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D59B4" w14:textId="77777777" w:rsidR="00A75E40" w:rsidRPr="009110F7" w:rsidRDefault="00BF4329" w:rsidP="00E67696">
      <w:pPr>
        <w:rPr>
          <w:lang w:eastAsia="ar-SA"/>
        </w:rPr>
        <w:sectPr w:rsidR="00A75E40" w:rsidRPr="009110F7" w:rsidSect="0085114D">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153790F7" wp14:editId="0FC115F8">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50F9"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">
                <o:lock v:ext="edit" aspectratio="t"/>
                <v:rect id="Rectangle 9"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fillcolor="#0071bc" stroked="f">
                  <o:lock v:ext="edit" aspectratio="t"/>
                </v:rect>
                <v:rect id="Rectangle 10"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fillcolor="#0071bc" stroked="f">
                  <o:lock v:ext="edit" aspectratio="t"/>
                </v:rect>
                <v:rect id="Rectangle 11"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7D749472" wp14:editId="7C6FD2F2">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E9AC955" w14:textId="1A430DC1" w:rsidR="008D3ACD" w:rsidRDefault="008D3ACD" w:rsidP="004924DC">
                            <w:r>
                              <w:t>Z</w:t>
                            </w:r>
                            <w:r w:rsidRPr="006C5577">
                              <w:t xml:space="preserve">pracoval: </w:t>
                            </w:r>
                            <w:r>
                              <w:t>o</w:t>
                            </w:r>
                            <w:r w:rsidRPr="006C5577">
                              <w:t>dbor</w:t>
                            </w:r>
                            <w:r>
                              <w:t xml:space="preserve"> Kancelář předsedy</w:t>
                            </w:r>
                          </w:p>
                          <w:p w14:paraId="132AD0FF" w14:textId="77777777" w:rsidR="008D3ACD" w:rsidRPr="006C5577" w:rsidRDefault="008D3ACD" w:rsidP="004924DC">
                            <w:r w:rsidRPr="006C5577">
                              <w:t xml:space="preserve">Ředitel odboru: </w:t>
                            </w:r>
                            <w:proofErr w:type="spellStart"/>
                            <w:r>
                              <w:t>Egor</w:t>
                            </w:r>
                            <w:proofErr w:type="spellEnd"/>
                            <w:r>
                              <w:t xml:space="preserve"> </w:t>
                            </w:r>
                            <w:proofErr w:type="spellStart"/>
                            <w:r>
                              <w:t>Sidorov</w:t>
                            </w:r>
                            <w:proofErr w:type="spellEnd"/>
                            <w:r>
                              <w:t>, Ph.D.</w:t>
                            </w:r>
                          </w:p>
                          <w:p w14:paraId="6CA077B6" w14:textId="77777777" w:rsidR="008D3ACD" w:rsidRPr="006C5577" w:rsidRDefault="008D3ACD" w:rsidP="004924DC">
                            <w:r w:rsidRPr="006C5577">
                              <w:t xml:space="preserve">Kontaktní osoba: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49472"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" filled="f" stroked="f">
                <v:textbox inset="0,0,0,0">
                  <w:txbxContent>
                    <w:p w14:paraId="7E9AC955" w14:textId="1A430DC1" w:rsidR="008D3ACD" w:rsidRDefault="008D3ACD" w:rsidP="004924DC">
                      <w:r>
                        <w:t>Z</w:t>
                      </w:r>
                      <w:r w:rsidRPr="006C5577">
                        <w:t xml:space="preserve">pracoval: </w:t>
                      </w:r>
                      <w:r>
                        <w:t>o</w:t>
                      </w:r>
                      <w:r w:rsidRPr="006C5577">
                        <w:t>dbor</w:t>
                      </w:r>
                      <w:r>
                        <w:t xml:space="preserve"> Kancelář předsedy</w:t>
                      </w:r>
                    </w:p>
                    <w:p w14:paraId="132AD0FF" w14:textId="77777777" w:rsidR="008D3ACD" w:rsidRPr="006C5577" w:rsidRDefault="008D3ACD" w:rsidP="004924DC">
                      <w:r w:rsidRPr="006C5577">
                        <w:t xml:space="preserve">Ředitel odboru: </w:t>
                      </w:r>
                      <w:proofErr w:type="spellStart"/>
                      <w:r>
                        <w:t>Egor</w:t>
                      </w:r>
                      <w:proofErr w:type="spellEnd"/>
                      <w:r>
                        <w:t xml:space="preserve"> </w:t>
                      </w:r>
                      <w:proofErr w:type="spellStart"/>
                      <w:r>
                        <w:t>Sidorov</w:t>
                      </w:r>
                      <w:proofErr w:type="spellEnd"/>
                      <w:r>
                        <w:t>, Ph.D.</w:t>
                      </w:r>
                    </w:p>
                    <w:p w14:paraId="6CA077B6" w14:textId="77777777" w:rsidR="008D3ACD" w:rsidRPr="006C5577" w:rsidRDefault="008D3ACD"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8FC7FBA" wp14:editId="39BCFF7A">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DD19A4A" w14:textId="77777777" w:rsidR="008D3ACD" w:rsidRPr="004924DC" w:rsidRDefault="008D3ACD" w:rsidP="004924DC">
                            <w:pPr>
                              <w:pStyle w:val="TLIdentifikace-sted"/>
                            </w:pPr>
                            <w:r>
                              <w:t>souhrnná data o České republice</w:t>
                            </w:r>
                          </w:p>
                          <w:p w14:paraId="6D18FF6B" w14:textId="29EFCBF5" w:rsidR="008D3ACD" w:rsidRPr="004924DC" w:rsidRDefault="008D3ACD" w:rsidP="004924DC">
                            <w:pPr>
                              <w:pStyle w:val="TLIdentifikace-sted"/>
                            </w:pPr>
                            <w:r>
                              <w:t>Praha, 17. 12. 2020</w:t>
                            </w:r>
                          </w:p>
                          <w:p w14:paraId="730B937E" w14:textId="6A25289A" w:rsidR="008D3ACD" w:rsidRPr="00B23E6E" w:rsidRDefault="008D3ACD" w:rsidP="004924DC">
                            <w:pPr>
                              <w:pStyle w:val="TLIdentifikace-sted"/>
                            </w:pPr>
                            <w:r w:rsidRPr="00B23E6E">
                              <w:t>Kód publikace: 320193-20</w:t>
                            </w:r>
                          </w:p>
                          <w:p w14:paraId="1E265112" w14:textId="36DA7BCD" w:rsidR="008D3ACD" w:rsidRPr="00B23E6E" w:rsidRDefault="008D3ACD" w:rsidP="004924DC">
                            <w:pPr>
                              <w:pStyle w:val="TLIdentifikace-sted"/>
                              <w:rPr>
                                <w:rFonts w:cs="Arial"/>
                              </w:rPr>
                            </w:pPr>
                            <w:r w:rsidRPr="00B23E6E">
                              <w:rPr>
                                <w:rFonts w:cs="Arial"/>
                              </w:rPr>
                              <w:t xml:space="preserve">Č. j.: </w:t>
                            </w:r>
                            <w:r w:rsidRPr="00B23E6E">
                              <w:rPr>
                                <w:rFonts w:eastAsia="Calibri" w:cs="Arial"/>
                                <w:lang w:eastAsia="en-US"/>
                              </w:rPr>
                              <w:t>CSU-</w:t>
                            </w:r>
                            <w:r w:rsidR="00B23E6E" w:rsidRPr="00B23E6E">
                              <w:rPr>
                                <w:rFonts w:cs="Arial"/>
                                <w:color w:val="000000"/>
                                <w:shd w:val="clear" w:color="auto" w:fill="FFFFFF"/>
                              </w:rPr>
                              <w:t>015282/2020</w:t>
                            </w:r>
                          </w:p>
                          <w:p w14:paraId="3F00E29A" w14:textId="41667225" w:rsidR="008D3ACD" w:rsidRPr="004924DC" w:rsidRDefault="008D3ACD" w:rsidP="004924DC">
                            <w:pPr>
                              <w:pStyle w:val="TLIdentifikace-sted"/>
                            </w:pPr>
                            <w:r w:rsidRPr="004924DC">
                              <w:t>Pořadové číslo v</w:t>
                            </w:r>
                            <w:r>
                              <w:t> </w:t>
                            </w:r>
                            <w:r w:rsidRPr="004924DC">
                              <w:t xml:space="preserve">roce: </w:t>
                            </w:r>
                            <w:r>
                              <w:t>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FC7FBA"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" filled="f" stroked="f">
                <v:textbox style="mso-fit-shape-to-text:t" inset="0,0,0,0">
                  <w:txbxContent>
                    <w:p w14:paraId="7DD19A4A" w14:textId="77777777" w:rsidR="008D3ACD" w:rsidRPr="004924DC" w:rsidRDefault="008D3ACD" w:rsidP="004924DC">
                      <w:pPr>
                        <w:pStyle w:val="TLIdentifikace-sted"/>
                      </w:pPr>
                      <w:r>
                        <w:t>souhrnná data o České republice</w:t>
                      </w:r>
                    </w:p>
                    <w:p w14:paraId="6D18FF6B" w14:textId="29EFCBF5" w:rsidR="008D3ACD" w:rsidRPr="004924DC" w:rsidRDefault="008D3ACD" w:rsidP="004924DC">
                      <w:pPr>
                        <w:pStyle w:val="TLIdentifikace-sted"/>
                      </w:pPr>
                      <w:r>
                        <w:t>Praha, 17. 12. 2020</w:t>
                      </w:r>
                    </w:p>
                    <w:p w14:paraId="730B937E" w14:textId="6A25289A" w:rsidR="008D3ACD" w:rsidRPr="00B23E6E" w:rsidRDefault="008D3ACD" w:rsidP="004924DC">
                      <w:pPr>
                        <w:pStyle w:val="TLIdentifikace-sted"/>
                      </w:pPr>
                      <w:r w:rsidRPr="00B23E6E">
                        <w:t>Kód publikace: 320193-20</w:t>
                      </w:r>
                    </w:p>
                    <w:p w14:paraId="1E265112" w14:textId="36DA7BCD" w:rsidR="008D3ACD" w:rsidRPr="00B23E6E" w:rsidRDefault="008D3ACD" w:rsidP="004924DC">
                      <w:pPr>
                        <w:pStyle w:val="TLIdentifikace-sted"/>
                        <w:rPr>
                          <w:rFonts w:cs="Arial"/>
                        </w:rPr>
                      </w:pPr>
                      <w:r w:rsidRPr="00B23E6E">
                        <w:rPr>
                          <w:rFonts w:cs="Arial"/>
                        </w:rPr>
                        <w:t xml:space="preserve">Č. j.: </w:t>
                      </w:r>
                      <w:r w:rsidRPr="00B23E6E">
                        <w:rPr>
                          <w:rFonts w:eastAsia="Calibri" w:cs="Arial"/>
                          <w:lang w:eastAsia="en-US"/>
                        </w:rPr>
                        <w:t>CSU-</w:t>
                      </w:r>
                      <w:r w:rsidR="00B23E6E" w:rsidRPr="00B23E6E">
                        <w:rPr>
                          <w:rFonts w:cs="Arial"/>
                          <w:color w:val="000000"/>
                          <w:shd w:val="clear" w:color="auto" w:fill="FFFFFF"/>
                        </w:rPr>
                        <w:t>015282/2020</w:t>
                      </w:r>
                    </w:p>
                    <w:p w14:paraId="3F00E29A" w14:textId="41667225" w:rsidR="008D3ACD" w:rsidRPr="004924DC" w:rsidRDefault="008D3ACD" w:rsidP="004924DC">
                      <w:pPr>
                        <w:pStyle w:val="TLIdentifikace-sted"/>
                      </w:pPr>
                      <w:r w:rsidRPr="004924DC">
                        <w:t>Pořadové číslo v</w:t>
                      </w:r>
                      <w:r>
                        <w:t> </w:t>
                      </w:r>
                      <w:r w:rsidRPr="004924DC">
                        <w:t xml:space="preserve">roce: </w:t>
                      </w:r>
                      <w:r>
                        <w:t>3</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22A1BD4B" wp14:editId="31E7B52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6763847" w14:textId="77777777" w:rsidR="008D3ACD" w:rsidRPr="000E6FBD" w:rsidRDefault="008D3ACD" w:rsidP="000E6FBD">
                            <w:pPr>
                              <w:pStyle w:val="Nzev"/>
                            </w:pPr>
                            <w:r>
                              <w:t>Vývoj ekonomiky české republiky</w:t>
                            </w:r>
                          </w:p>
                          <w:p w14:paraId="0059A4DC" w14:textId="77777777" w:rsidR="008D3ACD" w:rsidRPr="0012192F" w:rsidRDefault="008D3ACD" w:rsidP="0012192F">
                            <w:pPr>
                              <w:pStyle w:val="Podnadpis"/>
                            </w:pPr>
                          </w:p>
                          <w:p w14:paraId="0A162DB8" w14:textId="4C681AAA" w:rsidR="008D3ACD" w:rsidRPr="0012192F" w:rsidRDefault="008D3ACD" w:rsidP="008A0659">
                            <w:pPr>
                              <w:pStyle w:val="Podnadpis"/>
                              <w:numPr>
                                <w:ilvl w:val="0"/>
                                <w:numId w:val="30"/>
                              </w:numPr>
                            </w:pPr>
                            <w:r>
                              <w:t>až 3. čtvrtletí 2020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A1BD4B"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" filled="f" stroked="f">
                <v:textbox style="mso-fit-shape-to-text:t" inset="0,0,0,0">
                  <w:txbxContent>
                    <w:p w14:paraId="06763847" w14:textId="77777777" w:rsidR="008D3ACD" w:rsidRPr="000E6FBD" w:rsidRDefault="008D3ACD" w:rsidP="000E6FBD">
                      <w:pPr>
                        <w:pStyle w:val="Nzev"/>
                      </w:pPr>
                      <w:r>
                        <w:t>Vývoj ekonomiky české republiky</w:t>
                      </w:r>
                    </w:p>
                    <w:p w14:paraId="0059A4DC" w14:textId="77777777" w:rsidR="008D3ACD" w:rsidRPr="0012192F" w:rsidRDefault="008D3ACD" w:rsidP="0012192F">
                      <w:pPr>
                        <w:pStyle w:val="Podnadpis"/>
                      </w:pPr>
                    </w:p>
                    <w:p w14:paraId="0A162DB8" w14:textId="4C681AAA" w:rsidR="008D3ACD" w:rsidRPr="0012192F" w:rsidRDefault="008D3ACD" w:rsidP="008A0659">
                      <w:pPr>
                        <w:pStyle w:val="Podnadpis"/>
                        <w:numPr>
                          <w:ilvl w:val="0"/>
                          <w:numId w:val="30"/>
                        </w:numPr>
                      </w:pPr>
                      <w:r>
                        <w:t>až 3. čtvrtletí 2020</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211D308C" wp14:editId="77DC381B">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04B1224" w14:textId="7F5B7397" w:rsidR="008D3ACD" w:rsidRPr="004924DC" w:rsidRDefault="008D3ACD" w:rsidP="004924DC">
                            <w:r w:rsidRPr="004924DC">
                              <w:t xml:space="preserve">© Český statistický úřad, </w:t>
                            </w:r>
                            <w:r>
                              <w:t>Praha</w:t>
                            </w:r>
                            <w:r w:rsidRPr="004924DC">
                              <w:t xml:space="preserve">, </w:t>
                            </w:r>
                            <w:r>
                              <w:t>2020</w:t>
                            </w:r>
                          </w:p>
                          <w:p w14:paraId="6B03C3EF" w14:textId="77777777" w:rsidR="008D3ACD" w:rsidRPr="005251DD" w:rsidRDefault="008D3ACD" w:rsidP="00665BA4"/>
                          <w:p w14:paraId="0A8089AF" w14:textId="77777777" w:rsidR="008D3ACD" w:rsidRPr="005251DD" w:rsidRDefault="008D3ACD" w:rsidP="00FC684B"/>
                          <w:p w14:paraId="002EBABF" w14:textId="77777777" w:rsidR="008D3ACD" w:rsidRDefault="008D3ACD"/>
                          <w:p w14:paraId="1BBEDF65" w14:textId="77777777" w:rsidR="008D3ACD" w:rsidRPr="00097407" w:rsidRDefault="008D3ACD"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048CED67" w14:textId="77777777" w:rsidR="008D3ACD" w:rsidRPr="005251DD" w:rsidRDefault="008D3ACD" w:rsidP="00665BA4"/>
                          <w:p w14:paraId="2D7C43C3" w14:textId="77777777" w:rsidR="008D3ACD" w:rsidRPr="005251DD" w:rsidRDefault="008D3ACD"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D308C"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" filled="f" stroked="f">
                <v:textbox inset="0,0,0,0">
                  <w:txbxContent>
                    <w:p w14:paraId="504B1224" w14:textId="7F5B7397" w:rsidR="008D3ACD" w:rsidRPr="004924DC" w:rsidRDefault="008D3ACD" w:rsidP="004924DC">
                      <w:r w:rsidRPr="004924DC">
                        <w:t xml:space="preserve">© Český statistický úřad, </w:t>
                      </w:r>
                      <w:r>
                        <w:t>Praha</w:t>
                      </w:r>
                      <w:r w:rsidRPr="004924DC">
                        <w:t xml:space="preserve">, </w:t>
                      </w:r>
                      <w:r>
                        <w:t>2020</w:t>
                      </w:r>
                    </w:p>
                    <w:p w14:paraId="6B03C3EF" w14:textId="77777777" w:rsidR="008D3ACD" w:rsidRPr="005251DD" w:rsidRDefault="008D3ACD" w:rsidP="00665BA4"/>
                    <w:p w14:paraId="0A8089AF" w14:textId="77777777" w:rsidR="008D3ACD" w:rsidRPr="005251DD" w:rsidRDefault="008D3ACD" w:rsidP="00FC684B"/>
                    <w:p w14:paraId="002EBABF" w14:textId="77777777" w:rsidR="008D3ACD" w:rsidRDefault="008D3ACD"/>
                    <w:p w14:paraId="1BBEDF65" w14:textId="77777777" w:rsidR="008D3ACD" w:rsidRPr="00097407" w:rsidRDefault="008D3ACD"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048CED67" w14:textId="77777777" w:rsidR="008D3ACD" w:rsidRPr="005251DD" w:rsidRDefault="008D3ACD" w:rsidP="00665BA4"/>
                    <w:p w14:paraId="2D7C43C3" w14:textId="77777777" w:rsidR="008D3ACD" w:rsidRPr="005251DD" w:rsidRDefault="008D3ACD" w:rsidP="00FC684B"/>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3632" behindDoc="0" locked="1" layoutInCell="0" allowOverlap="1" wp14:anchorId="56616E6D" wp14:editId="72D626EF">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F06386" id="Přímá spojnice 33" o:spid="_x0000_s1026"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rsidRPr="009110F7">
        <w:br w:type="page"/>
      </w:r>
      <w:r w:rsidR="00D57677" w:rsidRPr="009110F7">
        <w:lastRenderedPageBreak/>
        <w:br w:type="page"/>
      </w:r>
      <w:r>
        <w:rPr>
          <w:noProof/>
        </w:rPr>
        <mc:AlternateContent>
          <mc:Choice Requires="wps">
            <w:drawing>
              <wp:anchor distT="0" distB="0" distL="114300" distR="114300" simplePos="0" relativeHeight="251659776" behindDoc="0" locked="1" layoutInCell="1" allowOverlap="1" wp14:anchorId="1CA088C6" wp14:editId="054DEB49">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8541332" w14:textId="77777777" w:rsidR="008D3ACD" w:rsidRPr="006F5416" w:rsidRDefault="008D3ACD" w:rsidP="006F5416">
                            <w:pPr>
                              <w:pStyle w:val="TLKontaktyerven"/>
                            </w:pPr>
                            <w:r w:rsidRPr="006F5416">
                              <w:t>KONTAKTY V ÚSTŘEDÍ</w:t>
                            </w:r>
                          </w:p>
                          <w:p w14:paraId="3C71345D" w14:textId="77777777" w:rsidR="008D3ACD" w:rsidRPr="007D40DF" w:rsidRDefault="008D3ACD"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DF2AD66" w14:textId="77777777" w:rsidR="008D3ACD" w:rsidRPr="00D235B7" w:rsidRDefault="008D3ACD"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1F3052F" w14:textId="77777777" w:rsidR="008D3ACD" w:rsidRPr="00D235B7" w:rsidRDefault="008D3ACD"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31AC1D4" w14:textId="77777777" w:rsidR="008D3ACD" w:rsidRPr="00D235B7" w:rsidRDefault="008D3ACD"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548AAF1E" w14:textId="77777777" w:rsidR="008D3ACD" w:rsidRPr="00D235B7" w:rsidRDefault="008D3ACD"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676CE837" w14:textId="77777777" w:rsidR="008D3ACD" w:rsidRPr="004A61C5" w:rsidRDefault="008D3ACD" w:rsidP="00825C4D">
                            <w:pPr>
                              <w:pStyle w:val="TLKontakty"/>
                              <w:spacing w:after="80" w:line="240" w:lineRule="auto"/>
                              <w:contextualSpacing w:val="0"/>
                              <w:rPr>
                                <w:color w:val="auto"/>
                              </w:rPr>
                            </w:pPr>
                          </w:p>
                          <w:p w14:paraId="58156969" w14:textId="77777777" w:rsidR="008D3ACD" w:rsidRPr="00D66223" w:rsidRDefault="008D3ACD" w:rsidP="00D66223">
                            <w:pPr>
                              <w:pStyle w:val="TLKontaktyerven"/>
                            </w:pPr>
                            <w:r w:rsidRPr="00D66223">
                              <w:t>INFORMAČNÍ SLUŽBY V REGIONECH</w:t>
                            </w:r>
                          </w:p>
                          <w:p w14:paraId="4879BC68" w14:textId="77777777" w:rsidR="008D3ACD" w:rsidRPr="00992CF3" w:rsidRDefault="008D3ACD"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13DC4C4" w14:textId="77777777" w:rsidR="008D3ACD" w:rsidRPr="00992CF3" w:rsidRDefault="008D3ACD"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39B244A8" w14:textId="77777777" w:rsidR="008D3ACD" w:rsidRPr="004A61C5" w:rsidRDefault="008D3ACD" w:rsidP="00825C4D">
                            <w:pPr>
                              <w:pStyle w:val="TLKontakty"/>
                              <w:spacing w:after="80" w:line="240" w:lineRule="auto"/>
                              <w:rPr>
                                <w:color w:val="auto"/>
                              </w:rPr>
                            </w:pPr>
                          </w:p>
                          <w:p w14:paraId="0700B661" w14:textId="77777777" w:rsidR="008D3ACD" w:rsidRPr="00992CF3" w:rsidRDefault="008D3ACD"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416161E8" w14:textId="77777777" w:rsidR="008D3ACD" w:rsidRPr="00992CF3" w:rsidRDefault="008D3ACD"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4FF5E3BD" w14:textId="77777777" w:rsidR="008D3ACD" w:rsidRPr="004A61C5" w:rsidRDefault="008D3ACD" w:rsidP="00825C4D">
                            <w:pPr>
                              <w:pStyle w:val="TLKontakty"/>
                              <w:spacing w:after="80" w:line="240" w:lineRule="auto"/>
                              <w:rPr>
                                <w:color w:val="auto"/>
                              </w:rPr>
                            </w:pPr>
                          </w:p>
                          <w:p w14:paraId="272E9710" w14:textId="77777777" w:rsidR="008D3ACD" w:rsidRPr="00992CF3" w:rsidRDefault="008D3ACD"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41660CA4" w14:textId="77777777" w:rsidR="008D3ACD" w:rsidRPr="00992CF3" w:rsidRDefault="008D3ACD"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02FFC287" w14:textId="77777777" w:rsidR="008D3ACD" w:rsidRPr="004A61C5" w:rsidRDefault="008D3ACD" w:rsidP="00825C4D">
                            <w:pPr>
                              <w:pStyle w:val="TLKontakty"/>
                              <w:spacing w:after="80" w:line="240" w:lineRule="auto"/>
                              <w:rPr>
                                <w:color w:val="auto"/>
                              </w:rPr>
                            </w:pPr>
                          </w:p>
                          <w:p w14:paraId="28D66B71" w14:textId="77777777" w:rsidR="008D3ACD" w:rsidRPr="00BC731E" w:rsidRDefault="008D3ACD"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44E4A2F2"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24C070B" w14:textId="77777777" w:rsidR="008D3ACD" w:rsidRPr="004A61C5" w:rsidRDefault="008D3ACD" w:rsidP="00825C4D">
                            <w:pPr>
                              <w:pStyle w:val="TLKontakty"/>
                              <w:spacing w:after="80" w:line="240" w:lineRule="auto"/>
                              <w:rPr>
                                <w:color w:val="auto"/>
                              </w:rPr>
                            </w:pPr>
                          </w:p>
                          <w:p w14:paraId="09B6DE68" w14:textId="77777777" w:rsidR="008D3ACD" w:rsidRPr="004A61C5" w:rsidRDefault="008D3ACD"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77EF21B"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C1AC3BB" w14:textId="77777777" w:rsidR="008D3ACD" w:rsidRPr="004A61C5" w:rsidRDefault="008D3ACD" w:rsidP="00825C4D">
                            <w:pPr>
                              <w:pStyle w:val="TLKontakty"/>
                              <w:spacing w:after="80" w:line="240" w:lineRule="auto"/>
                              <w:rPr>
                                <w:color w:val="auto"/>
                              </w:rPr>
                            </w:pPr>
                          </w:p>
                          <w:p w14:paraId="59D3D98A" w14:textId="77777777" w:rsidR="008D3ACD" w:rsidRPr="004A61C5" w:rsidRDefault="008D3ACD"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F4D5FAC"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465C0979" w14:textId="77777777" w:rsidR="008D3ACD" w:rsidRPr="004A61C5" w:rsidRDefault="008D3ACD" w:rsidP="00825C4D">
                            <w:pPr>
                              <w:pStyle w:val="TLKontakty"/>
                              <w:spacing w:after="80" w:line="240" w:lineRule="auto"/>
                              <w:rPr>
                                <w:color w:val="auto"/>
                              </w:rPr>
                            </w:pPr>
                          </w:p>
                          <w:p w14:paraId="53E44571" w14:textId="77777777" w:rsidR="008D3ACD" w:rsidRPr="004A61C5" w:rsidRDefault="008D3ACD"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7748DBC3"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4123AE44" w14:textId="77777777" w:rsidR="008D3ACD" w:rsidRPr="004A61C5" w:rsidRDefault="008D3ACD" w:rsidP="00825C4D">
                            <w:pPr>
                              <w:pStyle w:val="TLKontakty"/>
                              <w:spacing w:after="80" w:line="240" w:lineRule="auto"/>
                              <w:rPr>
                                <w:b w:val="0"/>
                                <w:color w:val="auto"/>
                              </w:rPr>
                            </w:pPr>
                          </w:p>
                          <w:p w14:paraId="10E14C3C" w14:textId="77777777" w:rsidR="008D3ACD" w:rsidRPr="004A61C5" w:rsidRDefault="008D3ACD"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2E3651FF"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4F45FF3" w14:textId="77777777" w:rsidR="008D3ACD" w:rsidRPr="004A61C5" w:rsidRDefault="008D3ACD" w:rsidP="00825C4D">
                            <w:pPr>
                              <w:pStyle w:val="TLKontakty"/>
                              <w:spacing w:after="80" w:line="240" w:lineRule="auto"/>
                              <w:rPr>
                                <w:color w:val="auto"/>
                              </w:rPr>
                            </w:pPr>
                          </w:p>
                          <w:p w14:paraId="5E11F5F2" w14:textId="77777777" w:rsidR="008D3ACD" w:rsidRPr="004A61C5" w:rsidRDefault="008D3ACD"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2152ABD"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158F18" w14:textId="77777777" w:rsidR="008D3ACD" w:rsidRPr="004A61C5" w:rsidRDefault="008D3ACD" w:rsidP="00825C4D">
                            <w:pPr>
                              <w:pStyle w:val="TLKontakty"/>
                              <w:spacing w:after="80" w:line="240" w:lineRule="auto"/>
                              <w:rPr>
                                <w:b w:val="0"/>
                                <w:color w:val="auto"/>
                              </w:rPr>
                            </w:pPr>
                          </w:p>
                          <w:p w14:paraId="231F5E11" w14:textId="77777777" w:rsidR="008D3ACD" w:rsidRPr="004A61C5" w:rsidRDefault="008D3ACD"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5687D8F"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14A58016" w14:textId="77777777" w:rsidR="008D3ACD" w:rsidRDefault="008D3ACD" w:rsidP="00825C4D">
                            <w:pPr>
                              <w:pStyle w:val="TLKontakty"/>
                              <w:spacing w:after="80" w:line="240" w:lineRule="auto"/>
                            </w:pPr>
                          </w:p>
                          <w:p w14:paraId="2C2F9B1E" w14:textId="455F4613" w:rsidR="008D3ACD" w:rsidRPr="00BC731E" w:rsidRDefault="008D3ACD"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95EA08C" w14:textId="77777777" w:rsidR="008D3ACD" w:rsidRPr="004A61C5" w:rsidRDefault="008D3ACD"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E41DBBE" w14:textId="77777777" w:rsidR="008D3ACD" w:rsidRPr="004A61C5" w:rsidRDefault="008D3ACD" w:rsidP="00825C4D">
                            <w:pPr>
                              <w:pStyle w:val="TLKontakty"/>
                              <w:spacing w:after="80" w:line="240" w:lineRule="auto"/>
                              <w:rPr>
                                <w:b w:val="0"/>
                                <w:color w:val="auto"/>
                              </w:rPr>
                            </w:pPr>
                          </w:p>
                          <w:p w14:paraId="3F9813C4" w14:textId="77777777" w:rsidR="008D3ACD" w:rsidRPr="005E7C78" w:rsidRDefault="008D3ACD"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483B16E7" w14:textId="77777777" w:rsidR="008D3ACD" w:rsidRPr="005E7C78" w:rsidRDefault="008D3ACD"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1DEA6773" w14:textId="77777777" w:rsidR="008D3ACD" w:rsidRPr="005E7C78" w:rsidRDefault="008D3ACD" w:rsidP="00825C4D">
                            <w:pPr>
                              <w:pStyle w:val="TLKontakty"/>
                              <w:spacing w:after="80" w:line="240" w:lineRule="auto"/>
                              <w:rPr>
                                <w:b w:val="0"/>
                                <w:color w:val="auto"/>
                              </w:rPr>
                            </w:pPr>
                          </w:p>
                          <w:p w14:paraId="448F5DDA" w14:textId="77777777" w:rsidR="008D3ACD" w:rsidRPr="005E7C78" w:rsidRDefault="008D3ACD"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103B14" w14:textId="77777777" w:rsidR="008D3ACD" w:rsidRDefault="008D3ACD"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48B741A9" w14:textId="77777777" w:rsidR="008D3ACD" w:rsidRPr="005E7C78" w:rsidRDefault="008D3ACD" w:rsidP="00095135">
                            <w:pPr>
                              <w:pStyle w:val="TLKontakty"/>
                              <w:spacing w:after="80" w:line="240" w:lineRule="auto"/>
                              <w:rPr>
                                <w:b w:val="0"/>
                                <w:color w:val="auto"/>
                              </w:rPr>
                            </w:pPr>
                          </w:p>
                          <w:p w14:paraId="395ED09A" w14:textId="77777777" w:rsidR="008D3ACD" w:rsidRPr="005E7C78" w:rsidRDefault="008D3ACD"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0575867B" w14:textId="77777777" w:rsidR="008D3ACD" w:rsidRPr="00095135" w:rsidRDefault="008D3ACD"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A088C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" filled="f" stroked="f">
                <v:textbox style="mso-fit-shape-to-text:t" inset="0,0,0,0">
                  <w:txbxContent>
                    <w:p w14:paraId="28541332" w14:textId="77777777" w:rsidR="008D3ACD" w:rsidRPr="006F5416" w:rsidRDefault="008D3ACD" w:rsidP="006F5416">
                      <w:pPr>
                        <w:pStyle w:val="TLKontaktyerven"/>
                      </w:pPr>
                      <w:r w:rsidRPr="006F5416">
                        <w:t>KONTAKTY V ÚSTŘEDÍ</w:t>
                      </w:r>
                    </w:p>
                    <w:p w14:paraId="3C71345D" w14:textId="77777777" w:rsidR="008D3ACD" w:rsidRPr="007D40DF" w:rsidRDefault="008D3ACD"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DF2AD66" w14:textId="77777777" w:rsidR="008D3ACD" w:rsidRPr="00D235B7" w:rsidRDefault="008D3ACD"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1F3052F" w14:textId="77777777" w:rsidR="008D3ACD" w:rsidRPr="00D235B7" w:rsidRDefault="008D3ACD"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31AC1D4" w14:textId="77777777" w:rsidR="008D3ACD" w:rsidRPr="00D235B7" w:rsidRDefault="008D3ACD"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548AAF1E" w14:textId="77777777" w:rsidR="008D3ACD" w:rsidRPr="00D235B7" w:rsidRDefault="008D3ACD"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676CE837" w14:textId="77777777" w:rsidR="008D3ACD" w:rsidRPr="004A61C5" w:rsidRDefault="008D3ACD" w:rsidP="00825C4D">
                      <w:pPr>
                        <w:pStyle w:val="TLKontakty"/>
                        <w:spacing w:after="80" w:line="240" w:lineRule="auto"/>
                        <w:contextualSpacing w:val="0"/>
                        <w:rPr>
                          <w:color w:val="auto"/>
                        </w:rPr>
                      </w:pPr>
                    </w:p>
                    <w:p w14:paraId="58156969" w14:textId="77777777" w:rsidR="008D3ACD" w:rsidRPr="00D66223" w:rsidRDefault="008D3ACD" w:rsidP="00D66223">
                      <w:pPr>
                        <w:pStyle w:val="TLKontaktyerven"/>
                      </w:pPr>
                      <w:r w:rsidRPr="00D66223">
                        <w:t>INFORMAČNÍ SLUŽBY V REGIONECH</w:t>
                      </w:r>
                    </w:p>
                    <w:p w14:paraId="4879BC68" w14:textId="77777777" w:rsidR="008D3ACD" w:rsidRPr="00992CF3" w:rsidRDefault="008D3ACD"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13DC4C4" w14:textId="77777777" w:rsidR="008D3ACD" w:rsidRPr="00992CF3" w:rsidRDefault="008D3ACD"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39B244A8" w14:textId="77777777" w:rsidR="008D3ACD" w:rsidRPr="004A61C5" w:rsidRDefault="008D3ACD" w:rsidP="00825C4D">
                      <w:pPr>
                        <w:pStyle w:val="TLKontakty"/>
                        <w:spacing w:after="80" w:line="240" w:lineRule="auto"/>
                        <w:rPr>
                          <w:color w:val="auto"/>
                        </w:rPr>
                      </w:pPr>
                    </w:p>
                    <w:p w14:paraId="0700B661" w14:textId="77777777" w:rsidR="008D3ACD" w:rsidRPr="00992CF3" w:rsidRDefault="008D3ACD"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416161E8" w14:textId="77777777" w:rsidR="008D3ACD" w:rsidRPr="00992CF3" w:rsidRDefault="008D3ACD"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4FF5E3BD" w14:textId="77777777" w:rsidR="008D3ACD" w:rsidRPr="004A61C5" w:rsidRDefault="008D3ACD" w:rsidP="00825C4D">
                      <w:pPr>
                        <w:pStyle w:val="TLKontakty"/>
                        <w:spacing w:after="80" w:line="240" w:lineRule="auto"/>
                        <w:rPr>
                          <w:color w:val="auto"/>
                        </w:rPr>
                      </w:pPr>
                    </w:p>
                    <w:p w14:paraId="272E9710" w14:textId="77777777" w:rsidR="008D3ACD" w:rsidRPr="00992CF3" w:rsidRDefault="008D3ACD"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41660CA4" w14:textId="77777777" w:rsidR="008D3ACD" w:rsidRPr="00992CF3" w:rsidRDefault="008D3ACD"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02FFC287" w14:textId="77777777" w:rsidR="008D3ACD" w:rsidRPr="004A61C5" w:rsidRDefault="008D3ACD" w:rsidP="00825C4D">
                      <w:pPr>
                        <w:pStyle w:val="TLKontakty"/>
                        <w:spacing w:after="80" w:line="240" w:lineRule="auto"/>
                        <w:rPr>
                          <w:color w:val="auto"/>
                        </w:rPr>
                      </w:pPr>
                    </w:p>
                    <w:p w14:paraId="28D66B71" w14:textId="77777777" w:rsidR="008D3ACD" w:rsidRPr="00BC731E" w:rsidRDefault="008D3ACD"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44E4A2F2"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24C070B" w14:textId="77777777" w:rsidR="008D3ACD" w:rsidRPr="004A61C5" w:rsidRDefault="008D3ACD" w:rsidP="00825C4D">
                      <w:pPr>
                        <w:pStyle w:val="TLKontakty"/>
                        <w:spacing w:after="80" w:line="240" w:lineRule="auto"/>
                        <w:rPr>
                          <w:color w:val="auto"/>
                        </w:rPr>
                      </w:pPr>
                    </w:p>
                    <w:p w14:paraId="09B6DE68" w14:textId="77777777" w:rsidR="008D3ACD" w:rsidRPr="004A61C5" w:rsidRDefault="008D3ACD"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77EF21B"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C1AC3BB" w14:textId="77777777" w:rsidR="008D3ACD" w:rsidRPr="004A61C5" w:rsidRDefault="008D3ACD" w:rsidP="00825C4D">
                      <w:pPr>
                        <w:pStyle w:val="TLKontakty"/>
                        <w:spacing w:after="80" w:line="240" w:lineRule="auto"/>
                        <w:rPr>
                          <w:color w:val="auto"/>
                        </w:rPr>
                      </w:pPr>
                    </w:p>
                    <w:p w14:paraId="59D3D98A" w14:textId="77777777" w:rsidR="008D3ACD" w:rsidRPr="004A61C5" w:rsidRDefault="008D3ACD"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F4D5FAC"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465C0979" w14:textId="77777777" w:rsidR="008D3ACD" w:rsidRPr="004A61C5" w:rsidRDefault="008D3ACD" w:rsidP="00825C4D">
                      <w:pPr>
                        <w:pStyle w:val="TLKontakty"/>
                        <w:spacing w:after="80" w:line="240" w:lineRule="auto"/>
                        <w:rPr>
                          <w:color w:val="auto"/>
                        </w:rPr>
                      </w:pPr>
                    </w:p>
                    <w:p w14:paraId="53E44571" w14:textId="77777777" w:rsidR="008D3ACD" w:rsidRPr="004A61C5" w:rsidRDefault="008D3ACD"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7748DBC3"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4123AE44" w14:textId="77777777" w:rsidR="008D3ACD" w:rsidRPr="004A61C5" w:rsidRDefault="008D3ACD" w:rsidP="00825C4D">
                      <w:pPr>
                        <w:pStyle w:val="TLKontakty"/>
                        <w:spacing w:after="80" w:line="240" w:lineRule="auto"/>
                        <w:rPr>
                          <w:b w:val="0"/>
                          <w:color w:val="auto"/>
                        </w:rPr>
                      </w:pPr>
                    </w:p>
                    <w:p w14:paraId="10E14C3C" w14:textId="77777777" w:rsidR="008D3ACD" w:rsidRPr="004A61C5" w:rsidRDefault="008D3ACD"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2E3651FF"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4F45FF3" w14:textId="77777777" w:rsidR="008D3ACD" w:rsidRPr="004A61C5" w:rsidRDefault="008D3ACD" w:rsidP="00825C4D">
                      <w:pPr>
                        <w:pStyle w:val="TLKontakty"/>
                        <w:spacing w:after="80" w:line="240" w:lineRule="auto"/>
                        <w:rPr>
                          <w:color w:val="auto"/>
                        </w:rPr>
                      </w:pPr>
                    </w:p>
                    <w:p w14:paraId="5E11F5F2" w14:textId="77777777" w:rsidR="008D3ACD" w:rsidRPr="004A61C5" w:rsidRDefault="008D3ACD"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2152ABD"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158F18" w14:textId="77777777" w:rsidR="008D3ACD" w:rsidRPr="004A61C5" w:rsidRDefault="008D3ACD" w:rsidP="00825C4D">
                      <w:pPr>
                        <w:pStyle w:val="TLKontakty"/>
                        <w:spacing w:after="80" w:line="240" w:lineRule="auto"/>
                        <w:rPr>
                          <w:b w:val="0"/>
                          <w:color w:val="auto"/>
                        </w:rPr>
                      </w:pPr>
                    </w:p>
                    <w:p w14:paraId="231F5E11" w14:textId="77777777" w:rsidR="008D3ACD" w:rsidRPr="004A61C5" w:rsidRDefault="008D3ACD"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5687D8F" w14:textId="77777777" w:rsidR="008D3ACD" w:rsidRPr="004A61C5" w:rsidRDefault="008D3ACD"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14A58016" w14:textId="77777777" w:rsidR="008D3ACD" w:rsidRDefault="008D3ACD" w:rsidP="00825C4D">
                      <w:pPr>
                        <w:pStyle w:val="TLKontakty"/>
                        <w:spacing w:after="80" w:line="240" w:lineRule="auto"/>
                      </w:pPr>
                    </w:p>
                    <w:p w14:paraId="2C2F9B1E" w14:textId="455F4613" w:rsidR="008D3ACD" w:rsidRPr="00BC731E" w:rsidRDefault="008D3ACD"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95EA08C" w14:textId="77777777" w:rsidR="008D3ACD" w:rsidRPr="004A61C5" w:rsidRDefault="008D3ACD"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E41DBBE" w14:textId="77777777" w:rsidR="008D3ACD" w:rsidRPr="004A61C5" w:rsidRDefault="008D3ACD" w:rsidP="00825C4D">
                      <w:pPr>
                        <w:pStyle w:val="TLKontakty"/>
                        <w:spacing w:after="80" w:line="240" w:lineRule="auto"/>
                        <w:rPr>
                          <w:b w:val="0"/>
                          <w:color w:val="auto"/>
                        </w:rPr>
                      </w:pPr>
                    </w:p>
                    <w:p w14:paraId="3F9813C4" w14:textId="77777777" w:rsidR="008D3ACD" w:rsidRPr="005E7C78" w:rsidRDefault="008D3ACD"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483B16E7" w14:textId="77777777" w:rsidR="008D3ACD" w:rsidRPr="005E7C78" w:rsidRDefault="008D3ACD"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1DEA6773" w14:textId="77777777" w:rsidR="008D3ACD" w:rsidRPr="005E7C78" w:rsidRDefault="008D3ACD" w:rsidP="00825C4D">
                      <w:pPr>
                        <w:pStyle w:val="TLKontakty"/>
                        <w:spacing w:after="80" w:line="240" w:lineRule="auto"/>
                        <w:rPr>
                          <w:b w:val="0"/>
                          <w:color w:val="auto"/>
                        </w:rPr>
                      </w:pPr>
                    </w:p>
                    <w:p w14:paraId="448F5DDA" w14:textId="77777777" w:rsidR="008D3ACD" w:rsidRPr="005E7C78" w:rsidRDefault="008D3ACD"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103B14" w14:textId="77777777" w:rsidR="008D3ACD" w:rsidRDefault="008D3ACD"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48B741A9" w14:textId="77777777" w:rsidR="008D3ACD" w:rsidRPr="005E7C78" w:rsidRDefault="008D3ACD" w:rsidP="00095135">
                      <w:pPr>
                        <w:pStyle w:val="TLKontakty"/>
                        <w:spacing w:after="80" w:line="240" w:lineRule="auto"/>
                        <w:rPr>
                          <w:b w:val="0"/>
                          <w:color w:val="auto"/>
                        </w:rPr>
                      </w:pPr>
                    </w:p>
                    <w:p w14:paraId="395ED09A" w14:textId="77777777" w:rsidR="008D3ACD" w:rsidRPr="005E7C78" w:rsidRDefault="008D3ACD"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0575867B" w14:textId="77777777" w:rsidR="008D3ACD" w:rsidRPr="00095135" w:rsidRDefault="008D3ACD"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3EE77A96" wp14:editId="5156964C">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AD0B002" w14:textId="25AECD0A" w:rsidR="008D3ACD" w:rsidRPr="00321924" w:rsidRDefault="008D3ACD" w:rsidP="00A16E1D">
                            <w:pPr>
                              <w:jc w:val="left"/>
                            </w:pPr>
                            <w:r w:rsidRPr="00321924">
                              <w:br/>
                              <w:t xml:space="preserve">© Český statistický úřad, </w:t>
                            </w:r>
                            <w:r>
                              <w:t>Praha, 2020</w:t>
                            </w:r>
                          </w:p>
                          <w:p w14:paraId="52FD100C" w14:textId="77777777" w:rsidR="008D3ACD" w:rsidRDefault="008D3ACD"/>
                          <w:p w14:paraId="515D7599" w14:textId="0789EE63" w:rsidR="008D3ACD" w:rsidRPr="00841D9F" w:rsidRDefault="008D3ACD"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0975553D" w14:textId="77777777" w:rsidR="008D3ACD" w:rsidRPr="00AF2852" w:rsidRDefault="008D3ACD"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7A96"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" filled="f" stroked="f">
                <v:textbox inset="0,0,0,0">
                  <w:txbxContent>
                    <w:p w14:paraId="1AD0B002" w14:textId="25AECD0A" w:rsidR="008D3ACD" w:rsidRPr="00321924" w:rsidRDefault="008D3ACD" w:rsidP="00A16E1D">
                      <w:pPr>
                        <w:jc w:val="left"/>
                      </w:pPr>
                      <w:r w:rsidRPr="00321924">
                        <w:br/>
                        <w:t xml:space="preserve">© Český statistický úřad, </w:t>
                      </w:r>
                      <w:r>
                        <w:t>Praha, 2020</w:t>
                      </w:r>
                    </w:p>
                    <w:p w14:paraId="52FD100C" w14:textId="77777777" w:rsidR="008D3ACD" w:rsidRDefault="008D3ACD"/>
                    <w:p w14:paraId="515D7599" w14:textId="0789EE63" w:rsidR="008D3ACD" w:rsidRPr="00841D9F" w:rsidRDefault="008D3ACD"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0975553D" w14:textId="77777777" w:rsidR="008D3ACD" w:rsidRPr="00AF2852" w:rsidRDefault="008D3ACD"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01D0B83B" wp14:editId="3F386203">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6FEE0FA" w14:textId="77777777" w:rsidR="008D3ACD" w:rsidRPr="009A1902" w:rsidRDefault="008D3ACD"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D0B83B"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" filled="f" stroked="f">
                <v:textbox style="mso-fit-shape-to-text:t" inset="0,0,0,0">
                  <w:txbxContent>
                    <w:p w14:paraId="26FEE0FA" w14:textId="77777777" w:rsidR="008D3ACD" w:rsidRPr="009A1902" w:rsidRDefault="008D3ACD"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mc:Fallback>
        </mc:AlternateContent>
      </w:r>
    </w:p>
    <w:sdt>
      <w:sdtPr>
        <w:rPr>
          <w:b w:val="0"/>
          <w:color w:val="auto"/>
          <w:sz w:val="20"/>
        </w:rPr>
        <w:id w:val="5357999"/>
        <w:docPartObj>
          <w:docPartGallery w:val="Table of Contents"/>
          <w:docPartUnique/>
        </w:docPartObj>
      </w:sdtPr>
      <w:sdtEndPr/>
      <w:sdtContent>
        <w:p w14:paraId="74D73AA9" w14:textId="77777777" w:rsidR="00867DAB" w:rsidRPr="009110F7" w:rsidRDefault="00867DAB" w:rsidP="00867DAB">
          <w:pPr>
            <w:pStyle w:val="Obsah"/>
          </w:pPr>
          <w:r w:rsidRPr="009110F7">
            <w:t>Obsah</w:t>
          </w:r>
        </w:p>
        <w:p w14:paraId="63C218ED" w14:textId="7E8EA4A0" w:rsidR="00EF326A" w:rsidRDefault="007D42E5">
          <w:pPr>
            <w:pStyle w:val="Obsah1"/>
            <w:rPr>
              <w:rFonts w:asciiTheme="minorHAnsi" w:eastAsiaTheme="minorEastAsia" w:hAnsiTheme="minorHAnsi" w:cstheme="minorBidi"/>
              <w:noProof/>
              <w:sz w:val="22"/>
              <w:szCs w:val="22"/>
            </w:rPr>
          </w:pPr>
          <w:r w:rsidRPr="009110F7">
            <w:fldChar w:fldCharType="begin"/>
          </w:r>
          <w:r w:rsidR="00867DAB" w:rsidRPr="009110F7">
            <w:instrText xml:space="preserve"> TOC \o "1-3" \h \z \u </w:instrText>
          </w:r>
          <w:r w:rsidRPr="009110F7">
            <w:fldChar w:fldCharType="separate"/>
          </w:r>
          <w:hyperlink w:anchor="_Toc59001050" w:history="1">
            <w:r w:rsidR="00EF326A" w:rsidRPr="00944EC2">
              <w:rPr>
                <w:rStyle w:val="Hypertextovodkaz"/>
                <w:noProof/>
              </w:rPr>
              <w:t>1. Shrnutí</w:t>
            </w:r>
            <w:r w:rsidR="00EF326A">
              <w:rPr>
                <w:noProof/>
                <w:webHidden/>
              </w:rPr>
              <w:tab/>
            </w:r>
            <w:r w:rsidR="00EF326A">
              <w:rPr>
                <w:noProof/>
                <w:webHidden/>
              </w:rPr>
              <w:fldChar w:fldCharType="begin"/>
            </w:r>
            <w:r w:rsidR="00EF326A">
              <w:rPr>
                <w:noProof/>
                <w:webHidden/>
              </w:rPr>
              <w:instrText xml:space="preserve"> PAGEREF _Toc59001050 \h </w:instrText>
            </w:r>
            <w:r w:rsidR="00EF326A">
              <w:rPr>
                <w:noProof/>
                <w:webHidden/>
              </w:rPr>
            </w:r>
            <w:r w:rsidR="00EF326A">
              <w:rPr>
                <w:noProof/>
                <w:webHidden/>
              </w:rPr>
              <w:fldChar w:fldCharType="separate"/>
            </w:r>
            <w:r w:rsidR="00EF326A">
              <w:rPr>
                <w:noProof/>
                <w:webHidden/>
              </w:rPr>
              <w:t>4</w:t>
            </w:r>
            <w:r w:rsidR="00EF326A">
              <w:rPr>
                <w:noProof/>
                <w:webHidden/>
              </w:rPr>
              <w:fldChar w:fldCharType="end"/>
            </w:r>
          </w:hyperlink>
        </w:p>
        <w:p w14:paraId="284338B5" w14:textId="4B55A235" w:rsidR="00EF326A" w:rsidRDefault="00EF326A">
          <w:pPr>
            <w:pStyle w:val="Obsah1"/>
            <w:rPr>
              <w:rFonts w:asciiTheme="minorHAnsi" w:eastAsiaTheme="minorEastAsia" w:hAnsiTheme="minorHAnsi" w:cstheme="minorBidi"/>
              <w:noProof/>
              <w:sz w:val="22"/>
              <w:szCs w:val="22"/>
            </w:rPr>
          </w:pPr>
          <w:hyperlink w:anchor="_Toc59001051" w:history="1">
            <w:r w:rsidRPr="00944EC2">
              <w:rPr>
                <w:rStyle w:val="Hypertextovodkaz"/>
                <w:noProof/>
              </w:rPr>
              <w:t>2. Souhrnná výkonnost</w:t>
            </w:r>
            <w:r>
              <w:rPr>
                <w:noProof/>
                <w:webHidden/>
              </w:rPr>
              <w:tab/>
            </w:r>
            <w:r>
              <w:rPr>
                <w:noProof/>
                <w:webHidden/>
              </w:rPr>
              <w:fldChar w:fldCharType="begin"/>
            </w:r>
            <w:r>
              <w:rPr>
                <w:noProof/>
                <w:webHidden/>
              </w:rPr>
              <w:instrText xml:space="preserve"> PAGEREF _Toc59001051 \h </w:instrText>
            </w:r>
            <w:r>
              <w:rPr>
                <w:noProof/>
                <w:webHidden/>
              </w:rPr>
            </w:r>
            <w:r>
              <w:rPr>
                <w:noProof/>
                <w:webHidden/>
              </w:rPr>
              <w:fldChar w:fldCharType="separate"/>
            </w:r>
            <w:r>
              <w:rPr>
                <w:noProof/>
                <w:webHidden/>
              </w:rPr>
              <w:t>5</w:t>
            </w:r>
            <w:r>
              <w:rPr>
                <w:noProof/>
                <w:webHidden/>
              </w:rPr>
              <w:fldChar w:fldCharType="end"/>
            </w:r>
          </w:hyperlink>
        </w:p>
        <w:p w14:paraId="35E32DDA" w14:textId="2EEA624F" w:rsidR="00EF326A" w:rsidRDefault="00EF326A">
          <w:pPr>
            <w:pStyle w:val="Obsah1"/>
            <w:rPr>
              <w:rFonts w:asciiTheme="minorHAnsi" w:eastAsiaTheme="minorEastAsia" w:hAnsiTheme="minorHAnsi" w:cstheme="minorBidi"/>
              <w:noProof/>
              <w:sz w:val="22"/>
              <w:szCs w:val="22"/>
            </w:rPr>
          </w:pPr>
          <w:hyperlink w:anchor="_Toc59001052" w:history="1">
            <w:r w:rsidRPr="00944EC2">
              <w:rPr>
                <w:rStyle w:val="Hypertextovodkaz"/>
                <w:noProof/>
              </w:rPr>
              <w:t>3. Výkonnost odvětví</w:t>
            </w:r>
            <w:r>
              <w:rPr>
                <w:noProof/>
                <w:webHidden/>
              </w:rPr>
              <w:tab/>
            </w:r>
            <w:r>
              <w:rPr>
                <w:noProof/>
                <w:webHidden/>
              </w:rPr>
              <w:fldChar w:fldCharType="begin"/>
            </w:r>
            <w:r>
              <w:rPr>
                <w:noProof/>
                <w:webHidden/>
              </w:rPr>
              <w:instrText xml:space="preserve"> PAGEREF _Toc59001052 \h </w:instrText>
            </w:r>
            <w:r>
              <w:rPr>
                <w:noProof/>
                <w:webHidden/>
              </w:rPr>
            </w:r>
            <w:r>
              <w:rPr>
                <w:noProof/>
                <w:webHidden/>
              </w:rPr>
              <w:fldChar w:fldCharType="separate"/>
            </w:r>
            <w:r>
              <w:rPr>
                <w:noProof/>
                <w:webHidden/>
              </w:rPr>
              <w:t>9</w:t>
            </w:r>
            <w:r>
              <w:rPr>
                <w:noProof/>
                <w:webHidden/>
              </w:rPr>
              <w:fldChar w:fldCharType="end"/>
            </w:r>
          </w:hyperlink>
        </w:p>
        <w:p w14:paraId="6762E394" w14:textId="07CF0D4A" w:rsidR="00EF326A" w:rsidRDefault="00EF326A">
          <w:pPr>
            <w:pStyle w:val="Obsah1"/>
            <w:rPr>
              <w:rFonts w:asciiTheme="minorHAnsi" w:eastAsiaTheme="minorEastAsia" w:hAnsiTheme="minorHAnsi" w:cstheme="minorBidi"/>
              <w:noProof/>
              <w:sz w:val="22"/>
              <w:szCs w:val="22"/>
            </w:rPr>
          </w:pPr>
          <w:hyperlink w:anchor="_Toc59001053" w:history="1">
            <w:r w:rsidRPr="00944EC2">
              <w:rPr>
                <w:rStyle w:val="Hypertextovodkaz"/>
                <w:noProof/>
              </w:rPr>
              <w:t>4. Vnější vztahy</w:t>
            </w:r>
            <w:r>
              <w:rPr>
                <w:noProof/>
                <w:webHidden/>
              </w:rPr>
              <w:tab/>
            </w:r>
            <w:r>
              <w:rPr>
                <w:noProof/>
                <w:webHidden/>
              </w:rPr>
              <w:fldChar w:fldCharType="begin"/>
            </w:r>
            <w:r>
              <w:rPr>
                <w:noProof/>
                <w:webHidden/>
              </w:rPr>
              <w:instrText xml:space="preserve"> PAGEREF _Toc59001053 \h </w:instrText>
            </w:r>
            <w:r>
              <w:rPr>
                <w:noProof/>
                <w:webHidden/>
              </w:rPr>
            </w:r>
            <w:r>
              <w:rPr>
                <w:noProof/>
                <w:webHidden/>
              </w:rPr>
              <w:fldChar w:fldCharType="separate"/>
            </w:r>
            <w:r>
              <w:rPr>
                <w:noProof/>
                <w:webHidden/>
              </w:rPr>
              <w:t>17</w:t>
            </w:r>
            <w:r>
              <w:rPr>
                <w:noProof/>
                <w:webHidden/>
              </w:rPr>
              <w:fldChar w:fldCharType="end"/>
            </w:r>
          </w:hyperlink>
        </w:p>
        <w:p w14:paraId="57C1875F" w14:textId="7994DE14" w:rsidR="00EF326A" w:rsidRDefault="00EF326A">
          <w:pPr>
            <w:pStyle w:val="Obsah1"/>
            <w:rPr>
              <w:rFonts w:asciiTheme="minorHAnsi" w:eastAsiaTheme="minorEastAsia" w:hAnsiTheme="minorHAnsi" w:cstheme="minorBidi"/>
              <w:noProof/>
              <w:sz w:val="22"/>
              <w:szCs w:val="22"/>
            </w:rPr>
          </w:pPr>
          <w:hyperlink w:anchor="_Toc59001054" w:history="1">
            <w:r w:rsidRPr="00944EC2">
              <w:rPr>
                <w:rStyle w:val="Hypertextovodkaz"/>
                <w:noProof/>
              </w:rPr>
              <w:t>5. Ceny</w:t>
            </w:r>
            <w:r>
              <w:rPr>
                <w:noProof/>
                <w:webHidden/>
              </w:rPr>
              <w:tab/>
            </w:r>
            <w:r>
              <w:rPr>
                <w:noProof/>
                <w:webHidden/>
              </w:rPr>
              <w:fldChar w:fldCharType="begin"/>
            </w:r>
            <w:r>
              <w:rPr>
                <w:noProof/>
                <w:webHidden/>
              </w:rPr>
              <w:instrText xml:space="preserve"> PAGEREF _Toc59001054 \h </w:instrText>
            </w:r>
            <w:r>
              <w:rPr>
                <w:noProof/>
                <w:webHidden/>
              </w:rPr>
            </w:r>
            <w:r>
              <w:rPr>
                <w:noProof/>
                <w:webHidden/>
              </w:rPr>
              <w:fldChar w:fldCharType="separate"/>
            </w:r>
            <w:r>
              <w:rPr>
                <w:noProof/>
                <w:webHidden/>
              </w:rPr>
              <w:t>19</w:t>
            </w:r>
            <w:r>
              <w:rPr>
                <w:noProof/>
                <w:webHidden/>
              </w:rPr>
              <w:fldChar w:fldCharType="end"/>
            </w:r>
          </w:hyperlink>
        </w:p>
        <w:p w14:paraId="367322DA" w14:textId="55FEFCF5" w:rsidR="00EF326A" w:rsidRDefault="00EF326A">
          <w:pPr>
            <w:pStyle w:val="Obsah1"/>
            <w:rPr>
              <w:rFonts w:asciiTheme="minorHAnsi" w:eastAsiaTheme="minorEastAsia" w:hAnsiTheme="minorHAnsi" w:cstheme="minorBidi"/>
              <w:noProof/>
              <w:sz w:val="22"/>
              <w:szCs w:val="22"/>
            </w:rPr>
          </w:pPr>
          <w:hyperlink w:anchor="_Toc59001055" w:history="1">
            <w:r w:rsidRPr="00944EC2">
              <w:rPr>
                <w:rStyle w:val="Hypertextovodkaz"/>
                <w:noProof/>
              </w:rPr>
              <w:t>6. Trh práce</w:t>
            </w:r>
            <w:r>
              <w:rPr>
                <w:noProof/>
                <w:webHidden/>
              </w:rPr>
              <w:tab/>
            </w:r>
            <w:r>
              <w:rPr>
                <w:noProof/>
                <w:webHidden/>
              </w:rPr>
              <w:fldChar w:fldCharType="begin"/>
            </w:r>
            <w:r>
              <w:rPr>
                <w:noProof/>
                <w:webHidden/>
              </w:rPr>
              <w:instrText xml:space="preserve"> PAGEREF _Toc59001055 \h </w:instrText>
            </w:r>
            <w:r>
              <w:rPr>
                <w:noProof/>
                <w:webHidden/>
              </w:rPr>
            </w:r>
            <w:r>
              <w:rPr>
                <w:noProof/>
                <w:webHidden/>
              </w:rPr>
              <w:fldChar w:fldCharType="separate"/>
            </w:r>
            <w:r>
              <w:rPr>
                <w:noProof/>
                <w:webHidden/>
              </w:rPr>
              <w:t>24</w:t>
            </w:r>
            <w:r>
              <w:rPr>
                <w:noProof/>
                <w:webHidden/>
              </w:rPr>
              <w:fldChar w:fldCharType="end"/>
            </w:r>
          </w:hyperlink>
        </w:p>
        <w:p w14:paraId="7A0CC8C7" w14:textId="41F4412C" w:rsidR="00EF326A" w:rsidRDefault="00EF326A">
          <w:pPr>
            <w:pStyle w:val="Obsah1"/>
            <w:rPr>
              <w:rFonts w:asciiTheme="minorHAnsi" w:eastAsiaTheme="minorEastAsia" w:hAnsiTheme="minorHAnsi" w:cstheme="minorBidi"/>
              <w:noProof/>
              <w:sz w:val="22"/>
              <w:szCs w:val="22"/>
            </w:rPr>
          </w:pPr>
          <w:hyperlink w:anchor="_Toc59001056" w:history="1">
            <w:r w:rsidRPr="00944EC2">
              <w:rPr>
                <w:rStyle w:val="Hypertextovodkaz"/>
                <w:noProof/>
              </w:rPr>
              <w:t>7. Měnové podmínky</w:t>
            </w:r>
            <w:r>
              <w:rPr>
                <w:noProof/>
                <w:webHidden/>
              </w:rPr>
              <w:tab/>
            </w:r>
            <w:r>
              <w:rPr>
                <w:noProof/>
                <w:webHidden/>
              </w:rPr>
              <w:fldChar w:fldCharType="begin"/>
            </w:r>
            <w:r>
              <w:rPr>
                <w:noProof/>
                <w:webHidden/>
              </w:rPr>
              <w:instrText xml:space="preserve"> PAGEREF _Toc59001056 \h </w:instrText>
            </w:r>
            <w:r>
              <w:rPr>
                <w:noProof/>
                <w:webHidden/>
              </w:rPr>
            </w:r>
            <w:r>
              <w:rPr>
                <w:noProof/>
                <w:webHidden/>
              </w:rPr>
              <w:fldChar w:fldCharType="separate"/>
            </w:r>
            <w:r>
              <w:rPr>
                <w:noProof/>
                <w:webHidden/>
              </w:rPr>
              <w:t>29</w:t>
            </w:r>
            <w:r>
              <w:rPr>
                <w:noProof/>
                <w:webHidden/>
              </w:rPr>
              <w:fldChar w:fldCharType="end"/>
            </w:r>
          </w:hyperlink>
        </w:p>
        <w:p w14:paraId="577F745A" w14:textId="039A4983" w:rsidR="00EF326A" w:rsidRDefault="00EF326A">
          <w:pPr>
            <w:pStyle w:val="Obsah1"/>
            <w:rPr>
              <w:rFonts w:asciiTheme="minorHAnsi" w:eastAsiaTheme="minorEastAsia" w:hAnsiTheme="minorHAnsi" w:cstheme="minorBidi"/>
              <w:noProof/>
              <w:sz w:val="22"/>
              <w:szCs w:val="22"/>
            </w:rPr>
          </w:pPr>
          <w:hyperlink w:anchor="_Toc59001057" w:history="1">
            <w:r w:rsidRPr="00944EC2">
              <w:rPr>
                <w:rStyle w:val="Hypertextovodkaz"/>
                <w:noProof/>
              </w:rPr>
              <w:t>8. Státní rozpočet</w:t>
            </w:r>
            <w:r>
              <w:rPr>
                <w:noProof/>
                <w:webHidden/>
              </w:rPr>
              <w:tab/>
            </w:r>
            <w:r>
              <w:rPr>
                <w:noProof/>
                <w:webHidden/>
              </w:rPr>
              <w:fldChar w:fldCharType="begin"/>
            </w:r>
            <w:r>
              <w:rPr>
                <w:noProof/>
                <w:webHidden/>
              </w:rPr>
              <w:instrText xml:space="preserve"> PAGEREF _Toc59001057 \h </w:instrText>
            </w:r>
            <w:r>
              <w:rPr>
                <w:noProof/>
                <w:webHidden/>
              </w:rPr>
            </w:r>
            <w:r>
              <w:rPr>
                <w:noProof/>
                <w:webHidden/>
              </w:rPr>
              <w:fldChar w:fldCharType="separate"/>
            </w:r>
            <w:r>
              <w:rPr>
                <w:noProof/>
                <w:webHidden/>
              </w:rPr>
              <w:t>31</w:t>
            </w:r>
            <w:r>
              <w:rPr>
                <w:noProof/>
                <w:webHidden/>
              </w:rPr>
              <w:fldChar w:fldCharType="end"/>
            </w:r>
          </w:hyperlink>
        </w:p>
        <w:p w14:paraId="75243E96" w14:textId="4F9F767D" w:rsidR="00867DAB" w:rsidRPr="009110F7" w:rsidRDefault="007D42E5">
          <w:r w:rsidRPr="009110F7">
            <w:fldChar w:fldCharType="end"/>
          </w:r>
        </w:p>
      </w:sdtContent>
    </w:sdt>
    <w:p w14:paraId="0A820079" w14:textId="77777777" w:rsidR="00003F5C" w:rsidRPr="009110F7" w:rsidRDefault="00003F5C" w:rsidP="00003F5C">
      <w:pPr>
        <w:pStyle w:val="Textpoznpodarou"/>
        <w:jc w:val="both"/>
        <w:rPr>
          <w:rFonts w:cs="Arial"/>
          <w:color w:val="000000"/>
        </w:rPr>
      </w:pPr>
    </w:p>
    <w:p w14:paraId="3858DEBA" w14:textId="77777777" w:rsidR="00003F5C" w:rsidRPr="009110F7" w:rsidRDefault="00003F5C" w:rsidP="00003F5C">
      <w:pPr>
        <w:pStyle w:val="Textpoznpodarou"/>
        <w:jc w:val="both"/>
        <w:rPr>
          <w:rFonts w:cs="Arial"/>
          <w:color w:val="000000"/>
        </w:rPr>
      </w:pPr>
    </w:p>
    <w:p w14:paraId="446544F6" w14:textId="77777777" w:rsidR="00003F5C" w:rsidRPr="009110F7" w:rsidRDefault="00003F5C" w:rsidP="00003F5C">
      <w:pPr>
        <w:pStyle w:val="Textpoznpodarou"/>
        <w:jc w:val="both"/>
        <w:rPr>
          <w:rFonts w:cs="Arial"/>
          <w:color w:val="000000"/>
        </w:rPr>
      </w:pPr>
    </w:p>
    <w:p w14:paraId="7C135E77" w14:textId="77777777" w:rsidR="00003F5C" w:rsidRPr="009110F7" w:rsidRDefault="00003F5C" w:rsidP="00003F5C">
      <w:pPr>
        <w:pStyle w:val="Textpoznpodarou"/>
        <w:jc w:val="both"/>
        <w:rPr>
          <w:rFonts w:cs="Arial"/>
          <w:color w:val="000000"/>
        </w:rPr>
      </w:pPr>
    </w:p>
    <w:p w14:paraId="0E1BF7EA" w14:textId="77777777" w:rsidR="00003F5C" w:rsidRPr="009110F7" w:rsidRDefault="00003F5C" w:rsidP="00003F5C">
      <w:pPr>
        <w:pStyle w:val="Textpoznpodarou"/>
        <w:jc w:val="both"/>
        <w:rPr>
          <w:rFonts w:cs="Arial"/>
          <w:color w:val="000000"/>
        </w:rPr>
      </w:pPr>
    </w:p>
    <w:p w14:paraId="62028913" w14:textId="77777777" w:rsidR="00003F5C" w:rsidRPr="009110F7" w:rsidRDefault="00003F5C" w:rsidP="00003F5C">
      <w:pPr>
        <w:pStyle w:val="Textpoznpodarou"/>
        <w:jc w:val="both"/>
        <w:rPr>
          <w:rFonts w:cs="Arial"/>
          <w:color w:val="000000"/>
        </w:rPr>
      </w:pPr>
    </w:p>
    <w:p w14:paraId="1651792B" w14:textId="77777777" w:rsidR="00003F5C" w:rsidRPr="009110F7" w:rsidRDefault="00003F5C" w:rsidP="00003F5C">
      <w:pPr>
        <w:pStyle w:val="Textpoznpodarou"/>
        <w:jc w:val="both"/>
        <w:rPr>
          <w:rFonts w:cs="Arial"/>
          <w:color w:val="000000"/>
        </w:rPr>
      </w:pPr>
      <w:r w:rsidRPr="009110F7">
        <w:rPr>
          <w:rFonts w:cs="Arial"/>
          <w:color w:val="000000"/>
        </w:rPr>
        <w:t>Zdroje dat v celé analýze: ČSÚ, MF</w:t>
      </w:r>
      <w:r w:rsidR="00A45489" w:rsidRPr="009110F7">
        <w:rPr>
          <w:rFonts w:cs="Arial"/>
          <w:color w:val="000000"/>
        </w:rPr>
        <w:t> </w:t>
      </w:r>
      <w:r w:rsidRPr="009110F7">
        <w:rPr>
          <w:rFonts w:cs="Arial"/>
          <w:color w:val="000000"/>
        </w:rPr>
        <w:t xml:space="preserve">ČR, ČNB, MPSV, ČSSZ, </w:t>
      </w:r>
      <w:proofErr w:type="spellStart"/>
      <w:r w:rsidRPr="009110F7">
        <w:rPr>
          <w:rFonts w:cs="Arial"/>
          <w:color w:val="000000"/>
        </w:rPr>
        <w:t>Eurostat</w:t>
      </w:r>
      <w:proofErr w:type="spellEnd"/>
      <w:r w:rsidRPr="009110F7">
        <w:rPr>
          <w:rFonts w:cs="Arial"/>
          <w:color w:val="000000"/>
        </w:rPr>
        <w:t>, propočty ČSÚ.</w:t>
      </w:r>
    </w:p>
    <w:p w14:paraId="4EA2233D" w14:textId="071CE4D9" w:rsidR="00003F5C" w:rsidRDefault="00003F5C" w:rsidP="00003F5C">
      <w:pPr>
        <w:pStyle w:val="Textpoznpodarou"/>
        <w:jc w:val="both"/>
        <w:rPr>
          <w:rFonts w:cs="Arial"/>
          <w:color w:val="000000"/>
        </w:rPr>
      </w:pPr>
      <w:r w:rsidRPr="009110F7">
        <w:rPr>
          <w:rFonts w:cs="Arial"/>
          <w:color w:val="000000"/>
        </w:rPr>
        <w:t xml:space="preserve">Poslední informace uváděné v této publikaci </w:t>
      </w:r>
      <w:r w:rsidR="00FA6CB6" w:rsidRPr="009110F7">
        <w:rPr>
          <w:rFonts w:cs="Arial"/>
          <w:color w:val="000000"/>
        </w:rPr>
        <w:t xml:space="preserve">pocházejí </w:t>
      </w:r>
      <w:r w:rsidR="00283F7B" w:rsidRPr="009110F7">
        <w:rPr>
          <w:rFonts w:cs="Arial"/>
          <w:color w:val="000000"/>
        </w:rPr>
        <w:t>z</w:t>
      </w:r>
      <w:r w:rsidR="00283F7B">
        <w:rPr>
          <w:rFonts w:cs="Arial"/>
          <w:color w:val="000000"/>
        </w:rPr>
        <w:t> </w:t>
      </w:r>
      <w:r w:rsidR="008A0659">
        <w:rPr>
          <w:rFonts w:cs="Arial"/>
          <w:color w:val="000000"/>
        </w:rPr>
        <w:t>8</w:t>
      </w:r>
      <w:r w:rsidR="00971710">
        <w:rPr>
          <w:rFonts w:cs="Arial"/>
          <w:color w:val="000000"/>
        </w:rPr>
        <w:t>.</w:t>
      </w:r>
      <w:r w:rsidR="003A7373">
        <w:rPr>
          <w:rFonts w:cs="Arial"/>
          <w:color w:val="000000"/>
        </w:rPr>
        <w:t> </w:t>
      </w:r>
      <w:r w:rsidR="008A0659">
        <w:rPr>
          <w:rFonts w:cs="Arial"/>
          <w:color w:val="000000"/>
        </w:rPr>
        <w:t>prosince</w:t>
      </w:r>
      <w:r w:rsidRPr="009110F7">
        <w:rPr>
          <w:rFonts w:cs="Arial"/>
          <w:color w:val="000000"/>
        </w:rPr>
        <w:t xml:space="preserve"> </w:t>
      </w:r>
      <w:r w:rsidR="00F37EDC">
        <w:rPr>
          <w:rFonts w:cs="Arial"/>
          <w:color w:val="000000"/>
        </w:rPr>
        <w:t>20</w:t>
      </w:r>
      <w:r w:rsidR="005C216C">
        <w:rPr>
          <w:rFonts w:cs="Arial"/>
          <w:color w:val="000000"/>
        </w:rPr>
        <w:t>20</w:t>
      </w:r>
      <w:r w:rsidRPr="009110F7">
        <w:rPr>
          <w:rFonts w:cs="Arial"/>
          <w:color w:val="000000"/>
        </w:rPr>
        <w:t>.</w:t>
      </w:r>
    </w:p>
    <w:p w14:paraId="56EC82D9" w14:textId="0A5866B3" w:rsidR="002F1D56" w:rsidRDefault="002F1D56" w:rsidP="00003F5C">
      <w:pPr>
        <w:pStyle w:val="Textpoznpodarou"/>
        <w:jc w:val="both"/>
        <w:rPr>
          <w:rFonts w:cs="Arial"/>
          <w:color w:val="000000"/>
        </w:rPr>
      </w:pPr>
    </w:p>
    <w:p w14:paraId="7C689972" w14:textId="443C9781" w:rsidR="002F1D56" w:rsidRPr="002F1D56" w:rsidRDefault="002F1D56" w:rsidP="00003F5C">
      <w:pPr>
        <w:pStyle w:val="Textpoznpodarou"/>
        <w:jc w:val="both"/>
        <w:rPr>
          <w:rFonts w:cs="Arial"/>
        </w:rPr>
      </w:pPr>
    </w:p>
    <w:p w14:paraId="638CF984" w14:textId="3D533D8A" w:rsidR="002F1D56" w:rsidRPr="002F1D56" w:rsidRDefault="002F1D56" w:rsidP="00003F5C">
      <w:pPr>
        <w:pStyle w:val="Textpoznpodarou"/>
        <w:jc w:val="both"/>
        <w:rPr>
          <w:rFonts w:cs="Arial"/>
        </w:rPr>
      </w:pPr>
      <w:r w:rsidRPr="002F1D56">
        <w:rPr>
          <w:rStyle w:val="Zdraznn"/>
          <w:rFonts w:cs="Arial"/>
          <w:i w:val="0"/>
        </w:rPr>
        <w:t>Agregované údaje za EU použité v tomto textu zahrnují 2</w:t>
      </w:r>
      <w:r w:rsidR="00C41D54">
        <w:rPr>
          <w:rStyle w:val="Zdraznn"/>
          <w:rFonts w:cs="Arial"/>
          <w:i w:val="0"/>
        </w:rPr>
        <w:t>7</w:t>
      </w:r>
      <w:r w:rsidRPr="002F1D56">
        <w:rPr>
          <w:rStyle w:val="Zdraznn"/>
          <w:rFonts w:cs="Arial"/>
          <w:i w:val="0"/>
        </w:rPr>
        <w:t xml:space="preserve"> států Unie </w:t>
      </w:r>
      <w:r w:rsidR="00C41D54">
        <w:rPr>
          <w:rStyle w:val="Zdraznn"/>
          <w:rFonts w:cs="Arial"/>
          <w:i w:val="0"/>
        </w:rPr>
        <w:t>bez V</w:t>
      </w:r>
      <w:r w:rsidRPr="002F1D56">
        <w:rPr>
          <w:rStyle w:val="Zdraznn"/>
          <w:rFonts w:cs="Arial"/>
          <w:i w:val="0"/>
        </w:rPr>
        <w:t>elké Británie.</w:t>
      </w:r>
    </w:p>
    <w:p w14:paraId="4B6AA756" w14:textId="77777777" w:rsidR="000C72B7" w:rsidRPr="00584252" w:rsidRDefault="00087F2B" w:rsidP="000C72B7">
      <w:pPr>
        <w:pStyle w:val="Nadpis1"/>
      </w:pPr>
      <w:r w:rsidRPr="002F1D56">
        <w:rPr>
          <w:color w:val="auto"/>
        </w:rPr>
        <w:br w:type="page"/>
      </w:r>
      <w:bookmarkStart w:id="0" w:name="_Toc444112494"/>
      <w:bookmarkStart w:id="1" w:name="_Toc511215208"/>
      <w:bookmarkStart w:id="2" w:name="_Toc26865017"/>
      <w:bookmarkStart w:id="3" w:name="_Toc19090676"/>
      <w:bookmarkStart w:id="4" w:name="_Toc59001050"/>
      <w:r w:rsidR="000C72B7" w:rsidRPr="00584252">
        <w:lastRenderedPageBreak/>
        <w:t>1. Shrnutí</w:t>
      </w:r>
      <w:bookmarkEnd w:id="4"/>
    </w:p>
    <w:bookmarkEnd w:id="0"/>
    <w:bookmarkEnd w:id="1"/>
    <w:p w14:paraId="55A26EAD" w14:textId="77777777" w:rsidR="000C72B7" w:rsidRDefault="000C72B7" w:rsidP="000C72B7">
      <w:pPr>
        <w:pStyle w:val="Normalodrka"/>
        <w:spacing w:after="100"/>
        <w:rPr>
          <w:spacing w:val="-4"/>
        </w:rPr>
      </w:pPr>
      <w:r>
        <w:rPr>
          <w:spacing w:val="-4"/>
        </w:rPr>
        <w:t>Ve 3. čtvrtletí došlo k prudkému ekonomickému oživení souvisejícímu s uvolněním restrikcí, které ve 2. čtvrtletí vedly k paralýze části ekonomiky. Hrubý domácí produkt (HDP) tak oproti 2. čtvrtletí vzrostl o 6,9 %</w:t>
      </w:r>
      <w:r w:rsidRPr="008C3B05">
        <w:rPr>
          <w:rStyle w:val="Znakapoznpodarou"/>
          <w:spacing w:val="-4"/>
          <w:szCs w:val="20"/>
        </w:rPr>
        <w:footnoteReference w:id="1"/>
      </w:r>
      <w:r>
        <w:rPr>
          <w:spacing w:val="-4"/>
        </w:rPr>
        <w:t>. Celý výpadek ze 2. čtvrtletí se ale nepodařilo dohnat a meziroční pokles dosáhl 5,0 %. Ve směru meziročního poklesu HDP působily zejména investice, které se snížily meziročně i mezičtvrtletně. Meziročně nižší byla i spotřeba domácností, zejména v oblasti služeb a zboží střednědobé spotřeby. Bilance zahraničního obchodu se naopak ve 3. čtvrtletí vyvíjela pozitivně. V rámci Evropské unie byl vývoj podobný – mohutný mezičtvrtletní přírůstek HDP (11,5 %), ale meziroční propad trval (–4,2 %).</w:t>
      </w:r>
    </w:p>
    <w:p w14:paraId="537CB3EB" w14:textId="77777777" w:rsidR="000C72B7" w:rsidRDefault="000C72B7" w:rsidP="000C72B7">
      <w:pPr>
        <w:pStyle w:val="Normalodrka"/>
        <w:spacing w:after="100"/>
        <w:rPr>
          <w:spacing w:val="-4"/>
        </w:rPr>
      </w:pPr>
      <w:r>
        <w:rPr>
          <w:spacing w:val="-4"/>
        </w:rPr>
        <w:t>Hrubá přidaná hodnota (HPH) se mezičtvrtletně zvýšila o 7,3 %. Většina odvětví v mezičtvrtletním srovnání vykazovala velké přírůstky, výjimkou byly profesní, vědecké, technické a administrativní činnosti (–4,0 %). Část jarních ztrát se dařilo smazat zpracovatelskému průmyslu (mezičtvrtletní nárůst HPH o 16,5 %) i obchodu, dopravě, ubytování a pohostinství (13,5 %). Většina odvětví ale nakonec za úrovní loňského 3. čtvrtletí zaostávala – nejvíce profesní, vědecké, technické a administrativní činnosti (–14,1 %) a uskupení obchod, doprava, ubytování a pohostinství (–9,3 %). Zpracovatelský průmysl se meziročně propadl o 4,9 %. Meziroční přírůstek HPH zaznamenalo zemědělství, lesnictví a rybářství (+3,7 %) nebo informační a komunikační činnosti (+0,4 %).</w:t>
      </w:r>
    </w:p>
    <w:p w14:paraId="720F2CBD" w14:textId="010481D7" w:rsidR="000C72B7" w:rsidRDefault="000C72B7" w:rsidP="000C72B7">
      <w:pPr>
        <w:pStyle w:val="Normalodrka"/>
        <w:spacing w:after="100"/>
        <w:rPr>
          <w:spacing w:val="-4"/>
        </w:rPr>
      </w:pPr>
      <w:r>
        <w:rPr>
          <w:spacing w:val="-4"/>
        </w:rPr>
        <w:t>Zahraniční obchod se ve 3. čtvrtletí po předchozím rekordním propadu rychle zotavoval. Vývoz zboží a služeb mezičtvrtletně reálně vzrostl o 26,2 %</w:t>
      </w:r>
      <w:r w:rsidRPr="009110F7">
        <w:rPr>
          <w:rStyle w:val="Znakapoznpodarou"/>
        </w:rPr>
        <w:footnoteReference w:id="2"/>
      </w:r>
      <w:r>
        <w:rPr>
          <w:spacing w:val="-4"/>
        </w:rPr>
        <w:t xml:space="preserve"> a dovoz o 16,3 %. Oživení se ale týkalo výhradně obchodu se zbožím, u služeb k oživení nedošlo, a jejich dovoz dokonce mezičtvrtletně klesl. Bilance obchodu se zbožím a službami ve 3. čtvrtletí dosáhla rekordního přebytku 12</w:t>
      </w:r>
      <w:r w:rsidR="0006551C">
        <w:rPr>
          <w:spacing w:val="-4"/>
        </w:rPr>
        <w:t>6</w:t>
      </w:r>
      <w:r>
        <w:rPr>
          <w:spacing w:val="-4"/>
        </w:rPr>
        <w:t>,6 mld. korun, který se meziročně zvýšil o 36,7 mld. korun. Jarní ztráty se ve 3. čtvrtletí dařilo mazat zejména vývozcům motorových vozidel. Meziročně vzrostl export počítačů, elektronických a optických přístrojů nebo potravinářských výrobků. Na zlepšení bilance měl velký podíl i propad hodnoty dovozu ropy a zemního plynu.</w:t>
      </w:r>
    </w:p>
    <w:p w14:paraId="4B343DDA" w14:textId="77777777" w:rsidR="000C72B7" w:rsidRDefault="000C72B7" w:rsidP="000C72B7">
      <w:pPr>
        <w:pStyle w:val="Normalodrka"/>
        <w:spacing w:after="100"/>
        <w:rPr>
          <w:spacing w:val="-4"/>
        </w:rPr>
      </w:pPr>
      <w:r>
        <w:rPr>
          <w:spacing w:val="-4"/>
        </w:rPr>
        <w:t>Celkový meziroční růst cenové hladiny (podle deflátoru HDP) ve 3. čtvrtletí dosáhl 4,1 %. Zvyšovala se cenová úroveň spotřebních i investičních statků, ve směru růstu cenové hladiny ale působily i směnné relace. Spotřebitelské ceny se meziročně zvýšily o 3,3 % a klíčovou roli v tom hrály alkoholické nápoje a tabák (10,3 %) a méně než v předchozích čtvrtletích potraviny a nealkoholické nápoje (4,0 %) a bydlení a energie (2,7 %). Celou ekonomiku ovlivňoval meziroční propad cen ropy. Ten se promítal do mírného poklesu spotřebitelských cen dopravy (–0,2 %) i do poklesu cen průmyslových výrobců v Česku i EU.</w:t>
      </w:r>
    </w:p>
    <w:p w14:paraId="2E35C351" w14:textId="77777777" w:rsidR="000C72B7" w:rsidRDefault="000C72B7" w:rsidP="000C72B7">
      <w:pPr>
        <w:pStyle w:val="Normalodrka"/>
        <w:spacing w:after="100"/>
        <w:rPr>
          <w:spacing w:val="-4"/>
        </w:rPr>
      </w:pPr>
      <w:proofErr w:type="spellStart"/>
      <w:r>
        <w:rPr>
          <w:spacing w:val="-4"/>
        </w:rPr>
        <w:t>Měnověpolitické</w:t>
      </w:r>
      <w:proofErr w:type="spellEnd"/>
      <w:r>
        <w:rPr>
          <w:spacing w:val="-4"/>
        </w:rPr>
        <w:t xml:space="preserve"> úrokové sazby zůstaly ve 3. čtvrtletí nezměněny. Nadále pokračoval odliv finančních prostředků z termínovaných vkladů. Specifická situace také srazila dynamiku spotřebních úvěrů, i když se jejich úročení dále snižovalo. Poměrně nedotčen zůstal růst objemu úvěrů na bydlení.</w:t>
      </w:r>
    </w:p>
    <w:p w14:paraId="5F92BC36" w14:textId="77777777" w:rsidR="000C72B7" w:rsidRPr="008D006F" w:rsidRDefault="000C72B7" w:rsidP="000C72B7">
      <w:pPr>
        <w:pStyle w:val="Normalodrka"/>
        <w:spacing w:after="100"/>
        <w:rPr>
          <w:spacing w:val="-4"/>
        </w:rPr>
      </w:pPr>
      <w:r>
        <w:rPr>
          <w:spacing w:val="-4"/>
        </w:rPr>
        <w:t>Celková zaměstnanost ve 3. čtvrtletí meziročně poklesla o 1,7 %</w:t>
      </w:r>
      <w:r w:rsidRPr="008D006F">
        <w:rPr>
          <w:rStyle w:val="Znakapoznpodarou"/>
          <w:spacing w:val="-4"/>
        </w:rPr>
        <w:footnoteReference w:id="3"/>
      </w:r>
      <w:r>
        <w:rPr>
          <w:spacing w:val="-4"/>
        </w:rPr>
        <w:t>. Velký propad související s poklesem počtu zaměstnanců v agenturách práce zasáhl profesní, vědecké, technické a administrativní činnosti (–6,8 %). Poměrně značné bylo i meziroční snížení zaměstnanosti ve zpracovatelském průmyslu (–3,9 %) a uskupení obchod, doprava, ubytování a pohostinství (2,6 %). Přitom míra nezaměstnanosti se nezvyšovala tak výrazně (ve 3. čtvrtletí meziročně stoupla o 0,8 p. b. na 2,9 %). Značně ale narůstal počet ekonomicky neaktivních, zejména žen. Do neaktivity ale vstupovali také pracovníci nad 60 let. Průměrná hrubá měsíční mzda ve 3. čtvrtletí dosáhla 35 402 korun a meziročně se zvýšila o 5,1 % (1 716 korun).</w:t>
      </w:r>
    </w:p>
    <w:p w14:paraId="1B4B4FE4" w14:textId="77777777" w:rsidR="000C72B7" w:rsidRDefault="000C72B7" w:rsidP="000C72B7">
      <w:pPr>
        <w:pStyle w:val="Normalodrka"/>
        <w:spacing w:after="100"/>
        <w:rPr>
          <w:spacing w:val="-4"/>
        </w:rPr>
      </w:pPr>
      <w:r>
        <w:rPr>
          <w:spacing w:val="-4"/>
        </w:rPr>
        <w:t>Zvýšené výdaje a snížené příjmy související s opatřeními přijatými kvůli pandemii covidu-19 vedly v 1. až 3. čtvrtletí k deficitu státního rozpočtu 252,7 mld. korun. Největší podíl na deficitu přitom má 2. čtvrtletí. Celkové příjmy státního rozpočtu od počátku roku se meziročně snížily o 4,1 % (45 mld. korun). Výpadek se týkal hlavně daňových příjmů včetně pojistného. Výdaje vzrostly o 16,6 % (187 mld. korun). Rostly především výdaje související s </w:t>
      </w:r>
      <w:proofErr w:type="spellStart"/>
      <w:r>
        <w:rPr>
          <w:spacing w:val="-4"/>
        </w:rPr>
        <w:t>protipandemickými</w:t>
      </w:r>
      <w:proofErr w:type="spellEnd"/>
      <w:r>
        <w:rPr>
          <w:spacing w:val="-4"/>
        </w:rPr>
        <w:t xml:space="preserve"> opatřeními (zejména podpůrná opatření na pomoc podnikatelským subjektům) i sociální dávky.</w:t>
      </w:r>
    </w:p>
    <w:bookmarkEnd w:id="2"/>
    <w:p w14:paraId="3344A35D" w14:textId="77777777" w:rsidR="000C72B7" w:rsidRPr="00E42054" w:rsidRDefault="000C72B7" w:rsidP="000C72B7">
      <w:pPr>
        <w:pStyle w:val="Nadpis11"/>
        <w:spacing w:after="0"/>
        <w:rPr>
          <w:b w:val="0"/>
          <w:sz w:val="2"/>
          <w:szCs w:val="2"/>
        </w:rPr>
      </w:pPr>
    </w:p>
    <w:p w14:paraId="66C05D05" w14:textId="6B3BEFD7" w:rsidR="00682110" w:rsidRPr="009110F7" w:rsidRDefault="00682110" w:rsidP="000C72B7">
      <w:pPr>
        <w:pStyle w:val="Nadpis1"/>
      </w:pPr>
      <w:bookmarkStart w:id="5" w:name="_Toc59001051"/>
      <w:r w:rsidRPr="0077605B">
        <w:t>2</w:t>
      </w:r>
      <w:r>
        <w:t>. </w:t>
      </w:r>
      <w:r w:rsidRPr="0077605B">
        <w:t>Souhrnná výkonnost</w:t>
      </w:r>
      <w:bookmarkEnd w:id="5"/>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682110" w:rsidRPr="009110F7" w14:paraId="30FD8377" w14:textId="77777777" w:rsidTr="00361FB7">
        <w:trPr>
          <w:trHeight w:val="145"/>
        </w:trPr>
        <w:tc>
          <w:tcPr>
            <w:tcW w:w="1806" w:type="dxa"/>
            <w:shd w:val="clear" w:color="auto" w:fill="auto"/>
            <w:tcMar>
              <w:left w:w="0" w:type="dxa"/>
            </w:tcMar>
          </w:tcPr>
          <w:p w14:paraId="7CBD8438" w14:textId="77777777" w:rsidR="00682110" w:rsidRDefault="00682110" w:rsidP="00361FB7">
            <w:pPr>
              <w:pStyle w:val="Marginlie"/>
            </w:pPr>
            <w:r>
              <w:t>Ve 3. čtvrtletí došlo k výraznému mezičtvrtletnímu oživení HDP. Meziroční propad se ale udržel.</w:t>
            </w:r>
          </w:p>
        </w:tc>
        <w:tc>
          <w:tcPr>
            <w:tcW w:w="223" w:type="dxa"/>
            <w:shd w:val="clear" w:color="auto" w:fill="auto"/>
            <w:tcMar>
              <w:left w:w="0" w:type="dxa"/>
            </w:tcMar>
          </w:tcPr>
          <w:p w14:paraId="0D865EC5" w14:textId="77777777" w:rsidR="00682110" w:rsidRDefault="00682110" w:rsidP="00361FB7">
            <w:pPr>
              <w:pStyle w:val="Textpoznpodarou"/>
              <w:jc w:val="both"/>
              <w:rPr>
                <w:spacing w:val="-4"/>
              </w:rPr>
            </w:pPr>
          </w:p>
        </w:tc>
        <w:tc>
          <w:tcPr>
            <w:tcW w:w="7610" w:type="dxa"/>
            <w:shd w:val="clear" w:color="auto" w:fill="auto"/>
            <w:tcMar>
              <w:left w:w="0" w:type="dxa"/>
            </w:tcMar>
          </w:tcPr>
          <w:p w14:paraId="76EE59F2" w14:textId="77777777" w:rsidR="00682110" w:rsidRPr="00014ED0" w:rsidRDefault="00682110" w:rsidP="00361FB7">
            <w:pPr>
              <w:spacing w:after="220"/>
              <w:rPr>
                <w:spacing w:val="-2"/>
              </w:rPr>
            </w:pPr>
            <w:r>
              <w:rPr>
                <w:spacing w:val="-2"/>
              </w:rPr>
              <w:t>Česká ekonomika se po rekordním propadu ze 2. čtvrtletí (mezičtvrtletně o 8,5 %, meziročně o 10,7 %) ve 3. kvartálu zvedla ze dna. Hrubý domácí produkt (HDP)</w:t>
            </w:r>
            <w:r w:rsidRPr="00014ED0">
              <w:rPr>
                <w:rStyle w:val="Znakapoznpodarou"/>
                <w:rFonts w:cs="Arial"/>
                <w:spacing w:val="-2"/>
              </w:rPr>
              <w:footnoteReference w:id="4"/>
            </w:r>
            <w:r>
              <w:rPr>
                <w:spacing w:val="-2"/>
              </w:rPr>
              <w:t xml:space="preserve"> se oproti předchozímu čtvrtletí zvýšil o 6,9 %. Meziroční propad ale přetrvával (–5,0 %). Mezičtvrtletní přírůstek odráží zejména uvolnění restrikcí, které ve 2. čtvrtletí zčásti zastavily ekonomický provoz v zemi. Pozitivně se mezičtvrtletně vyvíjela spotřeba i bilance zahraničního obchodu, naopak investiční aktivita ve srovnání s 2. kvartálem klesla. Hrubý domácí produkt stále setrvával poměrně hluboko pod úrovní loňského 3. čtvrtletí (–5,0 %). Zaostávala především domácí poptávka. Tvorba hrubého kapitálu působila ve směru poklesu HDP –4,1 p. b.</w:t>
            </w:r>
            <w:r w:rsidRPr="00014ED0">
              <w:rPr>
                <w:rStyle w:val="Znakapoznpodarou"/>
                <w:spacing w:val="-2"/>
              </w:rPr>
              <w:footnoteReference w:id="5"/>
            </w:r>
            <w:r>
              <w:rPr>
                <w:spacing w:val="-2"/>
              </w:rPr>
              <w:t xml:space="preserve"> a spotřeba –1,3 p. b. Naopak uvolnění opatření v Česku i v Evropě pomohlo zahraničnímu obchodu. Vývoj bilance přispěl ve směru meziročního růstu HDP 0,4 p. b.</w:t>
            </w:r>
          </w:p>
        </w:tc>
      </w:tr>
      <w:tr w:rsidR="00682110" w:rsidRPr="009110F7" w14:paraId="35BEE0F5" w14:textId="77777777" w:rsidTr="00361FB7">
        <w:trPr>
          <w:trHeight w:val="170"/>
        </w:trPr>
        <w:tc>
          <w:tcPr>
            <w:tcW w:w="1806" w:type="dxa"/>
            <w:vMerge w:val="restart"/>
            <w:shd w:val="clear" w:color="auto" w:fill="auto"/>
            <w:tcMar>
              <w:left w:w="0" w:type="dxa"/>
            </w:tcMar>
          </w:tcPr>
          <w:p w14:paraId="08A92B19" w14:textId="77777777" w:rsidR="00682110" w:rsidRDefault="00682110" w:rsidP="00361FB7">
            <w:pPr>
              <w:pStyle w:val="Marginlie"/>
            </w:pPr>
          </w:p>
        </w:tc>
        <w:tc>
          <w:tcPr>
            <w:tcW w:w="223" w:type="dxa"/>
            <w:vMerge w:val="restart"/>
            <w:shd w:val="clear" w:color="auto" w:fill="auto"/>
            <w:tcMar>
              <w:left w:w="0" w:type="dxa"/>
            </w:tcMar>
          </w:tcPr>
          <w:p w14:paraId="5CE720C4" w14:textId="77777777" w:rsidR="00682110" w:rsidRDefault="00682110" w:rsidP="00361FB7">
            <w:pPr>
              <w:pStyle w:val="Textpoznpodarou"/>
              <w:jc w:val="both"/>
              <w:rPr>
                <w:spacing w:val="-4"/>
              </w:rPr>
            </w:pPr>
          </w:p>
        </w:tc>
        <w:tc>
          <w:tcPr>
            <w:tcW w:w="7610" w:type="dxa"/>
            <w:shd w:val="clear" w:color="auto" w:fill="auto"/>
            <w:tcMar>
              <w:left w:w="0" w:type="dxa"/>
            </w:tcMar>
          </w:tcPr>
          <w:p w14:paraId="29E0F25F" w14:textId="77777777" w:rsidR="00682110" w:rsidRPr="001208E3" w:rsidRDefault="00682110" w:rsidP="00361FB7">
            <w:pPr>
              <w:spacing w:after="0"/>
              <w:rPr>
                <w:b/>
                <w:szCs w:val="20"/>
              </w:rPr>
            </w:pPr>
            <w:r w:rsidRPr="0041745D">
              <w:rPr>
                <w:rFonts w:cs="Arial"/>
                <w:b/>
                <w:bCs/>
                <w:color w:val="000000"/>
                <w:sz w:val="18"/>
                <w:szCs w:val="18"/>
              </w:rPr>
              <w:t xml:space="preserve">Graf </w:t>
            </w:r>
            <w:r>
              <w:rPr>
                <w:rFonts w:cs="Arial"/>
                <w:b/>
                <w:bCs/>
                <w:color w:val="000000"/>
                <w:sz w:val="18"/>
                <w:szCs w:val="18"/>
              </w:rPr>
              <w:t>č. </w:t>
            </w:r>
            <w:r w:rsidRPr="00663018">
              <w:rPr>
                <w:rFonts w:cs="Arial"/>
                <w:b/>
                <w:bCs/>
                <w:color w:val="000000"/>
                <w:sz w:val="18"/>
                <w:szCs w:val="18"/>
              </w:rPr>
              <w:t>1</w:t>
            </w:r>
            <w:r>
              <w:rPr>
                <w:rFonts w:cs="Arial"/>
                <w:b/>
                <w:bCs/>
                <w:color w:val="000000"/>
                <w:sz w:val="18"/>
                <w:szCs w:val="18"/>
              </w:rPr>
              <w:t xml:space="preserve">  </w:t>
            </w:r>
            <w:r w:rsidRPr="00663018">
              <w:rPr>
                <w:rFonts w:cs="Arial"/>
                <w:b/>
                <w:sz w:val="18"/>
                <w:szCs w:val="18"/>
                <w:lang w:eastAsia="en-US"/>
              </w:rPr>
              <w:t>HDP (objemové indexy, očištěno o</w:t>
            </w:r>
            <w:r>
              <w:rPr>
                <w:rFonts w:cs="Arial"/>
                <w:b/>
                <w:sz w:val="18"/>
                <w:szCs w:val="18"/>
                <w:lang w:eastAsia="en-US"/>
              </w:rPr>
              <w:t> </w:t>
            </w:r>
            <w:r w:rsidRPr="00663018">
              <w:rPr>
                <w:rFonts w:cs="Arial"/>
                <w:b/>
                <w:sz w:val="18"/>
                <w:szCs w:val="18"/>
                <w:lang w:eastAsia="en-US"/>
              </w:rPr>
              <w:t>sezónní a kalendářní vlivy, v</w:t>
            </w:r>
            <w:r>
              <w:rPr>
                <w:rFonts w:cs="Arial"/>
                <w:b/>
                <w:sz w:val="18"/>
                <w:szCs w:val="18"/>
                <w:lang w:eastAsia="en-US"/>
              </w:rPr>
              <w:t> %</w:t>
            </w:r>
            <w:r w:rsidRPr="00663018">
              <w:rPr>
                <w:rFonts w:cs="Arial"/>
                <w:b/>
                <w:sz w:val="18"/>
                <w:szCs w:val="18"/>
                <w:lang w:eastAsia="en-US"/>
              </w:rPr>
              <w:t>)</w:t>
            </w:r>
          </w:p>
        </w:tc>
      </w:tr>
      <w:tr w:rsidR="00682110" w:rsidRPr="009110F7" w14:paraId="296D0E4F" w14:textId="77777777" w:rsidTr="00361FB7">
        <w:tblPrEx>
          <w:tblCellMar>
            <w:left w:w="70" w:type="dxa"/>
            <w:right w:w="70" w:type="dxa"/>
          </w:tblCellMar>
        </w:tblPrEx>
        <w:trPr>
          <w:trHeight w:val="170"/>
        </w:trPr>
        <w:tc>
          <w:tcPr>
            <w:tcW w:w="1806" w:type="dxa"/>
            <w:vMerge/>
            <w:shd w:val="clear" w:color="auto" w:fill="auto"/>
          </w:tcPr>
          <w:p w14:paraId="76C8E48D" w14:textId="77777777" w:rsidR="00682110" w:rsidRPr="009110F7" w:rsidRDefault="00682110" w:rsidP="00361FB7">
            <w:pPr>
              <w:pStyle w:val="Marginlie"/>
            </w:pPr>
          </w:p>
        </w:tc>
        <w:tc>
          <w:tcPr>
            <w:tcW w:w="223" w:type="dxa"/>
            <w:vMerge/>
            <w:shd w:val="clear" w:color="auto" w:fill="auto"/>
          </w:tcPr>
          <w:p w14:paraId="13F4F55A" w14:textId="77777777" w:rsidR="00682110" w:rsidRPr="009110F7" w:rsidRDefault="00682110" w:rsidP="00361FB7">
            <w:pPr>
              <w:pStyle w:val="Textpoznpodarou"/>
              <w:jc w:val="both"/>
              <w:rPr>
                <w:spacing w:val="-4"/>
              </w:rPr>
            </w:pPr>
          </w:p>
        </w:tc>
        <w:tc>
          <w:tcPr>
            <w:tcW w:w="7610" w:type="dxa"/>
            <w:shd w:val="clear" w:color="auto" w:fill="auto"/>
          </w:tcPr>
          <w:p w14:paraId="3775488D" w14:textId="77777777" w:rsidR="00682110" w:rsidRPr="009110F7" w:rsidRDefault="00682110" w:rsidP="00361FB7">
            <w:pPr>
              <w:spacing w:after="0"/>
            </w:pPr>
            <w:r>
              <w:rPr>
                <w:noProof/>
              </w:rPr>
              <w:drawing>
                <wp:inline distT="0" distB="0" distL="0" distR="0" wp14:anchorId="52A6F771" wp14:editId="6A6F80F7">
                  <wp:extent cx="4737600" cy="3438900"/>
                  <wp:effectExtent l="0" t="0" r="6350" b="0"/>
                  <wp:docPr id="5" name="Graf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682110" w:rsidRPr="009110F7" w14:paraId="1980558D" w14:textId="77777777" w:rsidTr="00361FB7">
        <w:trPr>
          <w:trHeight w:val="170"/>
        </w:trPr>
        <w:tc>
          <w:tcPr>
            <w:tcW w:w="1806" w:type="dxa"/>
            <w:vMerge/>
            <w:shd w:val="clear" w:color="auto" w:fill="auto"/>
            <w:tcMar>
              <w:left w:w="0" w:type="dxa"/>
            </w:tcMar>
          </w:tcPr>
          <w:p w14:paraId="57CAB24E" w14:textId="77777777" w:rsidR="00682110" w:rsidRPr="009110F7" w:rsidRDefault="00682110" w:rsidP="00361FB7">
            <w:pPr>
              <w:pStyle w:val="Marginlie"/>
            </w:pPr>
          </w:p>
        </w:tc>
        <w:tc>
          <w:tcPr>
            <w:tcW w:w="223" w:type="dxa"/>
            <w:vMerge/>
            <w:shd w:val="clear" w:color="auto" w:fill="auto"/>
            <w:tcMar>
              <w:left w:w="0" w:type="dxa"/>
            </w:tcMar>
          </w:tcPr>
          <w:p w14:paraId="162750BA" w14:textId="77777777" w:rsidR="00682110" w:rsidRPr="009110F7" w:rsidRDefault="00682110" w:rsidP="00361FB7">
            <w:pPr>
              <w:pStyle w:val="Textpoznpodarou"/>
              <w:jc w:val="both"/>
              <w:rPr>
                <w:spacing w:val="-4"/>
              </w:rPr>
            </w:pPr>
          </w:p>
        </w:tc>
        <w:tc>
          <w:tcPr>
            <w:tcW w:w="7610" w:type="dxa"/>
            <w:shd w:val="clear" w:color="auto" w:fill="auto"/>
            <w:tcMar>
              <w:left w:w="0" w:type="dxa"/>
            </w:tcMar>
          </w:tcPr>
          <w:p w14:paraId="7D50A2BE" w14:textId="77777777" w:rsidR="00682110" w:rsidRPr="009110F7" w:rsidRDefault="00682110" w:rsidP="00361FB7">
            <w:pPr>
              <w:spacing w:after="220"/>
              <w:rPr>
                <w:sz w:val="14"/>
                <w:szCs w:val="14"/>
              </w:rPr>
            </w:pPr>
            <w:r>
              <w:rPr>
                <w:sz w:val="14"/>
                <w:szCs w:val="14"/>
              </w:rPr>
              <w:t xml:space="preserve">Zdroj: ČSÚ, </w:t>
            </w:r>
            <w:proofErr w:type="spellStart"/>
            <w:r>
              <w:rPr>
                <w:sz w:val="14"/>
                <w:szCs w:val="14"/>
              </w:rPr>
              <w:t>Eurostat</w:t>
            </w:r>
            <w:proofErr w:type="spellEnd"/>
          </w:p>
        </w:tc>
      </w:tr>
      <w:tr w:rsidR="002C5FEB" w:rsidRPr="009110F7" w14:paraId="5BED0BA2" w14:textId="77777777" w:rsidTr="00361FB7">
        <w:trPr>
          <w:trHeight w:val="145"/>
        </w:trPr>
        <w:tc>
          <w:tcPr>
            <w:tcW w:w="1806" w:type="dxa"/>
            <w:shd w:val="clear" w:color="auto" w:fill="auto"/>
            <w:tcMar>
              <w:left w:w="0" w:type="dxa"/>
            </w:tcMar>
          </w:tcPr>
          <w:p w14:paraId="6B5EC5E1" w14:textId="77777777" w:rsidR="002C5FEB" w:rsidRDefault="002C5FEB" w:rsidP="002C5FEB">
            <w:pPr>
              <w:pStyle w:val="Marginlie"/>
            </w:pPr>
            <w:r>
              <w:t>Podobná byla situace v EU.</w:t>
            </w:r>
          </w:p>
        </w:tc>
        <w:tc>
          <w:tcPr>
            <w:tcW w:w="223" w:type="dxa"/>
            <w:shd w:val="clear" w:color="auto" w:fill="auto"/>
            <w:tcMar>
              <w:left w:w="0" w:type="dxa"/>
            </w:tcMar>
          </w:tcPr>
          <w:p w14:paraId="2DDA49C4" w14:textId="77777777" w:rsidR="002C5FEB" w:rsidRDefault="002C5FEB" w:rsidP="002C5FEB">
            <w:pPr>
              <w:pStyle w:val="Textpoznpodarou"/>
              <w:jc w:val="both"/>
              <w:rPr>
                <w:spacing w:val="-4"/>
              </w:rPr>
            </w:pPr>
          </w:p>
        </w:tc>
        <w:tc>
          <w:tcPr>
            <w:tcW w:w="7610" w:type="dxa"/>
            <w:shd w:val="clear" w:color="auto" w:fill="auto"/>
            <w:tcMar>
              <w:left w:w="0" w:type="dxa"/>
            </w:tcMar>
          </w:tcPr>
          <w:p w14:paraId="2A4CB5F4" w14:textId="619F97A4" w:rsidR="002C5FEB" w:rsidRDefault="002C5FEB" w:rsidP="002C5FEB">
            <w:r>
              <w:t>Také v zemích EU se jarní opatření uvolnila, což vedlo k mohutnému mezičtvrtletnímu nárůstu HDP. Oproti 2. kvartálu se HDP v EU zvýšil o 11,5 %</w:t>
            </w:r>
            <w:r w:rsidRPr="009110F7">
              <w:rPr>
                <w:rStyle w:val="Znakapoznpodarou"/>
                <w:spacing w:val="-2"/>
              </w:rPr>
              <w:footnoteReference w:id="6"/>
            </w:r>
            <w:r>
              <w:t xml:space="preserve">. Podrobnější údaje ukazují na všeobecné zotavení spotřeby, ale v případě tvorby hrubého kapitálu některé země podobně jako ČR zaznamenaly mezičtvrtletní pokles (nejvíce Česko, a dále Malta, Německo, Finsko). Největších mezičtvrtletních přírůstků HDP dosáhly ekonomiky států, které byly ve 2. čtvrtletí také nejvíce zasaženy, zejména jih EU – Francie (18,7 %), Španělsko (16,7 %) a Itálie (15,9 %). Meziroční pokles HDP v Evropské unii činil 4,2 % a přispíval k němu vývoj spotřeby i investiční aktivity. Meziroční pokles HDP podle dostupných údajů přetrval ve všech zemích EU s výjimkou Irska (+8,1 %). Nejvíce se HDP propadl v Řecku (–11,7 %), Chorvatsku (–10,0 %) a na Maltě (–9,2 %). Nejmírněji meziročně poklesl HDP v Litvě (–1,6 %), Polsku (–1,8 %) a na Slovensku (–2,2 %). V Německu, které je klíčové pro další zlepšení ekonomické </w:t>
            </w:r>
            <w:r>
              <w:lastRenderedPageBreak/>
              <w:t>situace i v dalších zemích EU, HDP ve 3. čtvrtletí mezičtvrtletně vzrostl o 8,5 % a meziroční propad dosáhl 4,0 %.</w:t>
            </w:r>
          </w:p>
        </w:tc>
      </w:tr>
      <w:tr w:rsidR="002C5FEB" w:rsidRPr="009110F7" w14:paraId="4D4DBF4B" w14:textId="77777777" w:rsidTr="00361FB7">
        <w:trPr>
          <w:trHeight w:val="145"/>
        </w:trPr>
        <w:tc>
          <w:tcPr>
            <w:tcW w:w="1806" w:type="dxa"/>
            <w:shd w:val="clear" w:color="auto" w:fill="auto"/>
            <w:tcMar>
              <w:left w:w="0" w:type="dxa"/>
            </w:tcMar>
          </w:tcPr>
          <w:p w14:paraId="2FE43652" w14:textId="77777777" w:rsidR="002C5FEB" w:rsidRDefault="002C5FEB" w:rsidP="002C5FEB">
            <w:pPr>
              <w:pStyle w:val="Marginlie"/>
            </w:pPr>
            <w:r>
              <w:lastRenderedPageBreak/>
              <w:t>Trh práce byl ve 3. čtvrtletí zasažen poklesem zaměstnanosti. Růst mezd a platů se ale zčásti obnovil.</w:t>
            </w:r>
          </w:p>
        </w:tc>
        <w:tc>
          <w:tcPr>
            <w:tcW w:w="223" w:type="dxa"/>
            <w:shd w:val="clear" w:color="auto" w:fill="auto"/>
            <w:tcMar>
              <w:left w:w="0" w:type="dxa"/>
            </w:tcMar>
          </w:tcPr>
          <w:p w14:paraId="6104B3EA" w14:textId="77777777" w:rsidR="002C5FEB" w:rsidRDefault="002C5FEB" w:rsidP="002C5FEB">
            <w:pPr>
              <w:pStyle w:val="Textpoznpodarou"/>
              <w:jc w:val="both"/>
              <w:rPr>
                <w:spacing w:val="-4"/>
              </w:rPr>
            </w:pPr>
          </w:p>
        </w:tc>
        <w:tc>
          <w:tcPr>
            <w:tcW w:w="7610" w:type="dxa"/>
            <w:shd w:val="clear" w:color="auto" w:fill="auto"/>
            <w:tcMar>
              <w:left w:w="0" w:type="dxa"/>
            </w:tcMar>
          </w:tcPr>
          <w:p w14:paraId="0C7706D5" w14:textId="77777777" w:rsidR="002C5FEB" w:rsidRPr="00014ED0" w:rsidRDefault="002C5FEB" w:rsidP="002C5FEB">
            <w:pPr>
              <w:rPr>
                <w:spacing w:val="-2"/>
              </w:rPr>
            </w:pPr>
            <w:r>
              <w:rPr>
                <w:spacing w:val="-2"/>
              </w:rPr>
              <w:t>Objem vyplacených mezd a platů ve 3. čtvrtletí meziročně vzrostl o 1,0 %. Zároveň ale pokračoval meziroční pokles celkové zaměstnanosti</w:t>
            </w:r>
            <w:r w:rsidRPr="00014ED0">
              <w:rPr>
                <w:rStyle w:val="Znakapoznpodarou"/>
                <w:spacing w:val="-2"/>
              </w:rPr>
              <w:footnoteReference w:id="7"/>
            </w:r>
            <w:r>
              <w:rPr>
                <w:spacing w:val="-2"/>
              </w:rPr>
              <w:t>, který dosáhl 1,7 %, takže výše průměrné mzdy rostla výrazněji než objem mezd a platů. Počet odpracovaných hodin naopak mírně meziročně rostl (0,3 %), poprvé po čtyřech čtvrtletích poklesů. Zaměstnanost se nejvíce snižovala u profesních, vědeckých, technických a administrativních činností (–6,8 %). Objem vyplacených mezd a platů se zde ale snižoval mírněji (–3,6 %), což souvisí i s propouštěním zejména nízkopříjmových pracovníků v rámci agentur práce. Silný meziroční pokles zaměstnanosti se týkal i zpracovatelského průmyslu (–3,9 %), kde se nejvíce z celé ekonomiky snížil objem vyplacených mezd a platů (–3,7 %). Přetrvával také pokles u uskupení obchod, doprava, ubytování a pohostinství, kde se zaměstnanost i objem mezd snížily o 2,6 %. Největší nárůst objemu vyplacených prostředků se odehrál v odvětvích s dominancí vládního sektoru</w:t>
            </w:r>
            <w:r>
              <w:rPr>
                <w:rStyle w:val="Znakapoznpodarou"/>
                <w:spacing w:val="-2"/>
              </w:rPr>
              <w:footnoteReference w:id="8"/>
            </w:r>
            <w:r>
              <w:rPr>
                <w:spacing w:val="-2"/>
              </w:rPr>
              <w:t xml:space="preserve"> (9,2 %), kde také silně meziročně rostla zaměstnanost (2,5 %). Nejvyšší přírůstek zaměstnanosti zaznamenaly informační a komunikační činnosti (3,2 %), což dalo také impulz nárůstu objemu mezd a platů (6,4 %).</w:t>
            </w:r>
          </w:p>
        </w:tc>
      </w:tr>
      <w:tr w:rsidR="002C5FEB" w:rsidRPr="009110F7" w14:paraId="6B6C64B3" w14:textId="77777777" w:rsidTr="00361FB7">
        <w:trPr>
          <w:trHeight w:val="170"/>
        </w:trPr>
        <w:tc>
          <w:tcPr>
            <w:tcW w:w="1806" w:type="dxa"/>
            <w:vMerge w:val="restart"/>
            <w:shd w:val="clear" w:color="auto" w:fill="auto"/>
            <w:tcMar>
              <w:left w:w="0" w:type="dxa"/>
            </w:tcMar>
          </w:tcPr>
          <w:p w14:paraId="3AB076A4" w14:textId="77777777" w:rsidR="002C5FEB" w:rsidRDefault="002C5FEB" w:rsidP="002C5FEB">
            <w:pPr>
              <w:pStyle w:val="Marginlie"/>
            </w:pPr>
          </w:p>
        </w:tc>
        <w:tc>
          <w:tcPr>
            <w:tcW w:w="223" w:type="dxa"/>
            <w:vMerge w:val="restart"/>
            <w:shd w:val="clear" w:color="auto" w:fill="auto"/>
            <w:tcMar>
              <w:left w:w="0" w:type="dxa"/>
            </w:tcMar>
          </w:tcPr>
          <w:p w14:paraId="1EC4359E" w14:textId="77777777" w:rsidR="002C5FEB" w:rsidRDefault="002C5FEB" w:rsidP="002C5FEB">
            <w:pPr>
              <w:pStyle w:val="Textpoznpodarou"/>
              <w:jc w:val="both"/>
              <w:rPr>
                <w:spacing w:val="-4"/>
              </w:rPr>
            </w:pPr>
          </w:p>
        </w:tc>
        <w:tc>
          <w:tcPr>
            <w:tcW w:w="7610" w:type="dxa"/>
            <w:shd w:val="clear" w:color="auto" w:fill="auto"/>
            <w:tcMar>
              <w:left w:w="0" w:type="dxa"/>
            </w:tcMar>
          </w:tcPr>
          <w:p w14:paraId="68499F2D" w14:textId="77777777" w:rsidR="002C5FEB" w:rsidRDefault="002C5FEB" w:rsidP="002C5FEB">
            <w:pPr>
              <w:spacing w:after="0"/>
            </w:pPr>
            <w:r w:rsidRPr="0041745D">
              <w:rPr>
                <w:b/>
                <w:sz w:val="18"/>
                <w:szCs w:val="18"/>
              </w:rPr>
              <w:t xml:space="preserve">Graf </w:t>
            </w:r>
            <w:r>
              <w:rPr>
                <w:b/>
                <w:sz w:val="18"/>
                <w:szCs w:val="18"/>
              </w:rPr>
              <w:t xml:space="preserve">č. 2  </w:t>
            </w:r>
            <w:r w:rsidRPr="00663018">
              <w:rPr>
                <w:rFonts w:cs="Arial"/>
                <w:b/>
                <w:sz w:val="18"/>
                <w:szCs w:val="18"/>
                <w:lang w:eastAsia="en-US"/>
              </w:rPr>
              <w:t>Příspěvky výdajových složek k</w:t>
            </w:r>
            <w:r>
              <w:rPr>
                <w:rFonts w:cs="Arial"/>
                <w:b/>
                <w:sz w:val="18"/>
                <w:szCs w:val="18"/>
                <w:lang w:eastAsia="en-US"/>
              </w:rPr>
              <w:t> </w:t>
            </w:r>
            <w:r w:rsidRPr="00663018">
              <w:rPr>
                <w:rFonts w:cs="Arial"/>
                <w:b/>
                <w:sz w:val="18"/>
                <w:szCs w:val="18"/>
                <w:lang w:eastAsia="en-US"/>
              </w:rPr>
              <w:t>reálné</w:t>
            </w:r>
            <w:r>
              <w:rPr>
                <w:rFonts w:cs="Arial"/>
                <w:b/>
                <w:sz w:val="18"/>
                <w:szCs w:val="18"/>
                <w:lang w:eastAsia="en-US"/>
              </w:rPr>
              <w:t xml:space="preserve"> </w:t>
            </w:r>
            <w:r w:rsidRPr="00663018">
              <w:rPr>
                <w:rFonts w:cs="Arial"/>
                <w:b/>
                <w:sz w:val="18"/>
                <w:szCs w:val="18"/>
                <w:lang w:eastAsia="en-US"/>
              </w:rPr>
              <w:t xml:space="preserve">změně HDP* </w:t>
            </w:r>
            <w:r w:rsidRPr="00363CF2">
              <w:rPr>
                <w:rFonts w:cs="Arial"/>
                <w:bCs/>
                <w:sz w:val="18"/>
                <w:szCs w:val="18"/>
                <w:lang w:eastAsia="en-US"/>
              </w:rPr>
              <w:t>(objemové indexy, meziroční růst, příspěvky v p. b., HDP v %)</w:t>
            </w:r>
          </w:p>
        </w:tc>
      </w:tr>
      <w:tr w:rsidR="002C5FEB" w:rsidRPr="009110F7" w14:paraId="228C52A4" w14:textId="77777777" w:rsidTr="00361FB7">
        <w:tblPrEx>
          <w:tblCellMar>
            <w:left w:w="70" w:type="dxa"/>
            <w:right w:w="70" w:type="dxa"/>
          </w:tblCellMar>
        </w:tblPrEx>
        <w:trPr>
          <w:trHeight w:val="170"/>
        </w:trPr>
        <w:tc>
          <w:tcPr>
            <w:tcW w:w="1806" w:type="dxa"/>
            <w:vMerge/>
            <w:shd w:val="clear" w:color="auto" w:fill="auto"/>
          </w:tcPr>
          <w:p w14:paraId="386021B0" w14:textId="77777777" w:rsidR="002C5FEB" w:rsidRDefault="002C5FEB" w:rsidP="002C5FEB">
            <w:pPr>
              <w:pStyle w:val="Marginlie"/>
            </w:pPr>
          </w:p>
        </w:tc>
        <w:tc>
          <w:tcPr>
            <w:tcW w:w="223" w:type="dxa"/>
            <w:vMerge/>
            <w:shd w:val="clear" w:color="auto" w:fill="auto"/>
          </w:tcPr>
          <w:p w14:paraId="5AF91DC0" w14:textId="77777777" w:rsidR="002C5FEB" w:rsidRDefault="002C5FEB" w:rsidP="002C5FEB">
            <w:pPr>
              <w:pStyle w:val="Textpoznpodarou"/>
              <w:jc w:val="both"/>
              <w:rPr>
                <w:spacing w:val="-4"/>
              </w:rPr>
            </w:pPr>
          </w:p>
        </w:tc>
        <w:tc>
          <w:tcPr>
            <w:tcW w:w="7610" w:type="dxa"/>
            <w:shd w:val="clear" w:color="auto" w:fill="auto"/>
          </w:tcPr>
          <w:p w14:paraId="21F72D29" w14:textId="77777777" w:rsidR="002C5FEB" w:rsidRDefault="002C5FEB" w:rsidP="002C5FEB">
            <w:pPr>
              <w:spacing w:after="0"/>
            </w:pPr>
            <w:r>
              <w:rPr>
                <w:noProof/>
              </w:rPr>
              <w:drawing>
                <wp:inline distT="0" distB="0" distL="0" distR="0" wp14:anchorId="52B3788B" wp14:editId="4A244D27">
                  <wp:extent cx="4737600" cy="3432550"/>
                  <wp:effectExtent l="0" t="0" r="6350" b="0"/>
                  <wp:docPr id="7" name="Graf 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C5FEB" w:rsidRPr="009110F7" w14:paraId="7A9BE24D" w14:textId="77777777" w:rsidTr="00361FB7">
        <w:trPr>
          <w:trHeight w:val="170"/>
        </w:trPr>
        <w:tc>
          <w:tcPr>
            <w:tcW w:w="1806" w:type="dxa"/>
            <w:vMerge/>
            <w:shd w:val="clear" w:color="auto" w:fill="auto"/>
            <w:tcMar>
              <w:left w:w="0" w:type="dxa"/>
            </w:tcMar>
          </w:tcPr>
          <w:p w14:paraId="7C4B21C2" w14:textId="77777777" w:rsidR="002C5FEB" w:rsidRDefault="002C5FEB" w:rsidP="002C5FEB">
            <w:pPr>
              <w:pStyle w:val="Marginlie"/>
            </w:pPr>
          </w:p>
        </w:tc>
        <w:tc>
          <w:tcPr>
            <w:tcW w:w="223" w:type="dxa"/>
            <w:vMerge/>
            <w:shd w:val="clear" w:color="auto" w:fill="auto"/>
            <w:tcMar>
              <w:left w:w="0" w:type="dxa"/>
            </w:tcMar>
          </w:tcPr>
          <w:p w14:paraId="695B1AEA" w14:textId="77777777" w:rsidR="002C5FEB" w:rsidRDefault="002C5FEB" w:rsidP="002C5FEB">
            <w:pPr>
              <w:pStyle w:val="Textpoznpodarou"/>
              <w:jc w:val="both"/>
              <w:rPr>
                <w:spacing w:val="-4"/>
              </w:rPr>
            </w:pPr>
          </w:p>
        </w:tc>
        <w:tc>
          <w:tcPr>
            <w:tcW w:w="7610" w:type="dxa"/>
            <w:shd w:val="clear" w:color="auto" w:fill="auto"/>
            <w:tcMar>
              <w:left w:w="0" w:type="dxa"/>
            </w:tcMar>
          </w:tcPr>
          <w:p w14:paraId="6724848F" w14:textId="77777777" w:rsidR="002C5FEB" w:rsidRDefault="002C5FEB" w:rsidP="002C5FEB">
            <w:pPr>
              <w:spacing w:after="0"/>
              <w:rPr>
                <w:sz w:val="14"/>
                <w:szCs w:val="14"/>
              </w:rPr>
            </w:pPr>
            <w:r>
              <w:rPr>
                <w:sz w:val="14"/>
                <w:szCs w:val="14"/>
              </w:rPr>
              <w:t>Zdroj: ČSÚ</w:t>
            </w:r>
          </w:p>
          <w:p w14:paraId="7EFE3DF5" w14:textId="77777777" w:rsidR="002C5FEB" w:rsidRDefault="002C5FEB" w:rsidP="002C5FEB">
            <w:r>
              <w:rPr>
                <w:sz w:val="14"/>
                <w:szCs w:val="14"/>
              </w:rPr>
              <w:t>*po vyloučení dovozu pro konečné užití</w:t>
            </w:r>
          </w:p>
        </w:tc>
      </w:tr>
      <w:tr w:rsidR="002C5FEB" w:rsidRPr="009110F7" w14:paraId="3515F565" w14:textId="77777777" w:rsidTr="00361FB7">
        <w:trPr>
          <w:trHeight w:val="145"/>
        </w:trPr>
        <w:tc>
          <w:tcPr>
            <w:tcW w:w="1806" w:type="dxa"/>
            <w:shd w:val="clear" w:color="auto" w:fill="auto"/>
            <w:tcMar>
              <w:left w:w="0" w:type="dxa"/>
            </w:tcMar>
          </w:tcPr>
          <w:p w14:paraId="49459F61" w14:textId="77777777" w:rsidR="002C5FEB" w:rsidRDefault="002C5FEB" w:rsidP="002C5FEB">
            <w:pPr>
              <w:pStyle w:val="Marginlie"/>
            </w:pPr>
            <w:r>
              <w:t>Spotřeba přispívala k celkovému meziročnímu poklesu HDP.</w:t>
            </w:r>
          </w:p>
        </w:tc>
        <w:tc>
          <w:tcPr>
            <w:tcW w:w="223" w:type="dxa"/>
            <w:shd w:val="clear" w:color="auto" w:fill="auto"/>
            <w:tcMar>
              <w:left w:w="0" w:type="dxa"/>
            </w:tcMar>
          </w:tcPr>
          <w:p w14:paraId="0F002C60" w14:textId="77777777" w:rsidR="002C5FEB" w:rsidRDefault="002C5FEB" w:rsidP="002C5FEB">
            <w:pPr>
              <w:pStyle w:val="Textpoznpodarou"/>
              <w:jc w:val="both"/>
              <w:rPr>
                <w:spacing w:val="-4"/>
              </w:rPr>
            </w:pPr>
          </w:p>
        </w:tc>
        <w:tc>
          <w:tcPr>
            <w:tcW w:w="7610" w:type="dxa"/>
            <w:shd w:val="clear" w:color="auto" w:fill="auto"/>
            <w:tcMar>
              <w:left w:w="0" w:type="dxa"/>
            </w:tcMar>
          </w:tcPr>
          <w:p w14:paraId="14B31414" w14:textId="77777777" w:rsidR="002C5FEB" w:rsidRDefault="002C5FEB" w:rsidP="002C5FEB">
            <w:r>
              <w:rPr>
                <w:spacing w:val="-2"/>
              </w:rPr>
              <w:t>Domácí spotřeba se ve 3. čtvrtletí mezičtvrtletně zvýšila o 3,2 %. Z toho spotřeba domácností narostla o 5,0 %. Naopak výdaje na spotřebu vládních institucí mezičtvrtletně klesly o 0,6 %. Celkově se nepodařilo vyrovnat propad spotřeby, který nastal ve 2. kvartálu. Spotřeba tak byla ve 3. čtvrtletí meziročně nižší o 2,7 %. Propad přetrval jen u domácností (–3,9 %), naopak výdaje vládních institucí drobně vzrostly (0,1 %). Členění spotřeby podle trvanlivosti</w:t>
            </w:r>
            <w:r>
              <w:rPr>
                <w:rStyle w:val="Znakapoznpodarou"/>
              </w:rPr>
              <w:footnoteReference w:id="9"/>
            </w:r>
            <w:r>
              <w:rPr>
                <w:spacing w:val="-2"/>
              </w:rPr>
              <w:t xml:space="preserve"> ukazuje, že výrazný meziroční pokles přetrval u segmentů, které byly jarními omezeními nejvíce ovlivněny – služby (–12,4 %) a zboží střednědobé </w:t>
            </w:r>
            <w:r>
              <w:rPr>
                <w:spacing w:val="-2"/>
              </w:rPr>
              <w:lastRenderedPageBreak/>
              <w:t>spotřeby (–7,8 %). Výdaje na zboží dlouhodobé spotřeby byly meziročně nižší jen o 0,9 % a segment netrvanlivého zboží, který obvykle nejlépe odolává cyklickým výkyvům, vzrostl o 0,2 %.</w:t>
            </w:r>
          </w:p>
        </w:tc>
      </w:tr>
      <w:tr w:rsidR="002C5FEB" w:rsidRPr="009110F7" w14:paraId="5CFA0D2C" w14:textId="77777777" w:rsidTr="00361FB7">
        <w:trPr>
          <w:trHeight w:val="145"/>
        </w:trPr>
        <w:tc>
          <w:tcPr>
            <w:tcW w:w="1806" w:type="dxa"/>
            <w:shd w:val="clear" w:color="auto" w:fill="auto"/>
            <w:tcMar>
              <w:left w:w="0" w:type="dxa"/>
            </w:tcMar>
          </w:tcPr>
          <w:p w14:paraId="2673EB06" w14:textId="77777777" w:rsidR="002C5FEB" w:rsidRDefault="002C5FEB" w:rsidP="002C5FEB">
            <w:pPr>
              <w:pStyle w:val="Marginlie"/>
            </w:pPr>
            <w:r>
              <w:lastRenderedPageBreak/>
              <w:t>Vývoj investiční aktivity byl nepříznivý. Investice se ve srovnání se 2. čtvrtletím snížily.</w:t>
            </w:r>
          </w:p>
        </w:tc>
        <w:tc>
          <w:tcPr>
            <w:tcW w:w="223" w:type="dxa"/>
            <w:shd w:val="clear" w:color="auto" w:fill="auto"/>
            <w:tcMar>
              <w:left w:w="0" w:type="dxa"/>
            </w:tcMar>
          </w:tcPr>
          <w:p w14:paraId="480C1C05" w14:textId="77777777" w:rsidR="002C5FEB" w:rsidRDefault="002C5FEB" w:rsidP="002C5FEB">
            <w:pPr>
              <w:pStyle w:val="Textpoznpodarou"/>
              <w:jc w:val="both"/>
              <w:rPr>
                <w:spacing w:val="-4"/>
              </w:rPr>
            </w:pPr>
          </w:p>
        </w:tc>
        <w:tc>
          <w:tcPr>
            <w:tcW w:w="7610" w:type="dxa"/>
            <w:shd w:val="clear" w:color="auto" w:fill="auto"/>
            <w:tcMar>
              <w:left w:w="0" w:type="dxa"/>
            </w:tcMar>
          </w:tcPr>
          <w:p w14:paraId="139BD9AA" w14:textId="77777777" w:rsidR="002C5FEB" w:rsidRDefault="002C5FEB" w:rsidP="002C5FEB">
            <w:r>
              <w:t>Výdaje na tvorbu hrubého kapitálu meziročně klesaly od začátku roku (–8,6 %, –7,6 % a –16,4 % v 1., 2. a 3. čtvrtletí). Z toho výdaje na tvorbu hrubého fixního kapitálu ve 3. čtvrtletí meziročně klesly o 10,7 % (–5,2 % a –5,1 % v 1. a 2. kvartálu). Je tedy vidět, že místo toho, aby se investice společně s ekonomikou zotavovaly, se ve 3. čtvrtletí meziroční propad prohloubil. Ve srovnání se 2. čtvrtletím totiž tvorba hrubého kapitálu klesla o 7,5 % a samotné investice o 5,0 %. Věcné členění tvorby hrubého fixního kapitálu</w:t>
            </w:r>
            <w:r w:rsidRPr="009110F7">
              <w:rPr>
                <w:rStyle w:val="Znakapoznpodarou"/>
              </w:rPr>
              <w:footnoteReference w:id="10"/>
            </w:r>
            <w:r>
              <w:t xml:space="preserve"> ukazuje, že se ve 3. čtvrtletí výrazně prohloubil meziroční pokles investic do dopravních prostředků a zařízení (–22,9 %). Prudce se snížily i výdaje na produkty duševního vlastnictví (–14,7 %) a nejhlubší pokles od 1. čtvrtletí 2011 proběhl u investic do obydlí (–11,3 %). V případě ICT a ostatních strojů a zařízení se meziroční propad zmírnil na 9,9 %. Naopak po výrazném nárůstu z 2. kvartálu se ve 3. čtvrtletí snížily investice do ostatních budov a staveb. Popsaný pokles investic nepřímo ukazuje zejména na pokračující nejistotu a zdrženlivost nefinančních podniků, ke kterým se přidal i sektor domácností.</w:t>
            </w:r>
          </w:p>
        </w:tc>
      </w:tr>
      <w:tr w:rsidR="002C5FEB" w:rsidRPr="009110F7" w14:paraId="6C93F96D" w14:textId="77777777" w:rsidTr="00361FB7">
        <w:trPr>
          <w:trHeight w:val="145"/>
        </w:trPr>
        <w:tc>
          <w:tcPr>
            <w:tcW w:w="1806" w:type="dxa"/>
            <w:shd w:val="clear" w:color="auto" w:fill="auto"/>
            <w:tcMar>
              <w:left w:w="0" w:type="dxa"/>
            </w:tcMar>
          </w:tcPr>
          <w:p w14:paraId="7FD83695" w14:textId="77777777" w:rsidR="002C5FEB" w:rsidRDefault="002C5FEB" w:rsidP="002C5FEB">
            <w:pPr>
              <w:pStyle w:val="Marginlie"/>
            </w:pPr>
            <w:r>
              <w:t>Bilance zahraničního obchodu jako jediná přispívala ve směru meziročního růstu HDP.</w:t>
            </w:r>
          </w:p>
        </w:tc>
        <w:tc>
          <w:tcPr>
            <w:tcW w:w="223" w:type="dxa"/>
            <w:shd w:val="clear" w:color="auto" w:fill="auto"/>
            <w:tcMar>
              <w:left w:w="0" w:type="dxa"/>
            </w:tcMar>
          </w:tcPr>
          <w:p w14:paraId="24B2FE06" w14:textId="77777777" w:rsidR="002C5FEB" w:rsidRDefault="002C5FEB" w:rsidP="002C5FEB">
            <w:pPr>
              <w:pStyle w:val="Textpoznpodarou"/>
              <w:jc w:val="both"/>
              <w:rPr>
                <w:spacing w:val="-4"/>
              </w:rPr>
            </w:pPr>
          </w:p>
        </w:tc>
        <w:tc>
          <w:tcPr>
            <w:tcW w:w="7610" w:type="dxa"/>
            <w:shd w:val="clear" w:color="auto" w:fill="auto"/>
            <w:tcMar>
              <w:left w:w="0" w:type="dxa"/>
            </w:tcMar>
          </w:tcPr>
          <w:p w14:paraId="01C7E474" w14:textId="0492A881" w:rsidR="002C5FEB" w:rsidRDefault="002C5FEB" w:rsidP="002C5FEB">
            <w:r>
              <w:t>Zahraniční obchod byl ve 2. čtvrtletí paralyzován a odpovídal tomu také rekordní pokles přebytku. Uvolnění ve 3. čtvrtletí přineslo i mohutné mezičtvrtletní oživení vývozu (26,2 %)</w:t>
            </w:r>
            <w:r w:rsidRPr="009110F7">
              <w:rPr>
                <w:rStyle w:val="Znakapoznpodarou"/>
              </w:rPr>
              <w:footnoteReference w:id="11"/>
            </w:r>
            <w:r>
              <w:t xml:space="preserve"> i dovozu (16,3 %). Meziroční pokles se udržel – export byl o 3,1 % nižší než v loňském 3. čtvrtletí a import o 5,1 %. Zotavení se týkalo výhradně obchodu se zbožím. Vývoz zboží mezičtvrtletně narostl o 31,4 % a loňské 3. čtvrtletí překonal o 0,2 %, dovoz se mezičtvrtletně zvýšil o 20,6 % a meziročně zaostal o 1,3 %. Vývoz služeb se naopak držel na úrovni 2. čtvrtletí (+0,6 %) a dovoz dál mezičtvrtletně klesal</w:t>
            </w:r>
            <w:r>
              <w:br/>
              <w:t>(–8,2 %). Výsledná bilance obchodu se zbožím a službami dosáhla rekordního přebytku 12</w:t>
            </w:r>
            <w:r w:rsidR="0006551C">
              <w:t>6</w:t>
            </w:r>
            <w:r>
              <w:t>,6 mld. korun (nejvyšší zaznamenané kladné saldo). Přebytek meziročně narostl o 36,7 mld., z většiny díky obchodu se zbožím (přírůstek 31,2 mld.).</w:t>
            </w:r>
          </w:p>
        </w:tc>
      </w:tr>
      <w:tr w:rsidR="002C5FEB" w:rsidRPr="009110F7" w14:paraId="4FD719FB" w14:textId="77777777" w:rsidTr="00361FB7">
        <w:trPr>
          <w:trHeight w:val="145"/>
        </w:trPr>
        <w:tc>
          <w:tcPr>
            <w:tcW w:w="1806" w:type="dxa"/>
            <w:shd w:val="clear" w:color="auto" w:fill="auto"/>
            <w:tcMar>
              <w:left w:w="0" w:type="dxa"/>
            </w:tcMar>
          </w:tcPr>
          <w:p w14:paraId="03D4A8CA" w14:textId="77777777" w:rsidR="002C5FEB" w:rsidRDefault="002C5FEB" w:rsidP="002C5FEB">
            <w:pPr>
              <w:pStyle w:val="Marginlie"/>
            </w:pPr>
            <w:r>
              <w:t>Mezičtvrtletní růst HPH byl výrazný zejména v odvětvích nejvíce zasažených jarními protiepidemickými omezeními.</w:t>
            </w:r>
          </w:p>
        </w:tc>
        <w:tc>
          <w:tcPr>
            <w:tcW w:w="223" w:type="dxa"/>
            <w:shd w:val="clear" w:color="auto" w:fill="auto"/>
            <w:tcMar>
              <w:left w:w="0" w:type="dxa"/>
            </w:tcMar>
          </w:tcPr>
          <w:p w14:paraId="105BFDDD" w14:textId="77777777" w:rsidR="002C5FEB" w:rsidRDefault="002C5FEB" w:rsidP="002C5FEB">
            <w:pPr>
              <w:pStyle w:val="Textpoznpodarou"/>
              <w:jc w:val="both"/>
              <w:rPr>
                <w:spacing w:val="-4"/>
              </w:rPr>
            </w:pPr>
          </w:p>
        </w:tc>
        <w:tc>
          <w:tcPr>
            <w:tcW w:w="7610" w:type="dxa"/>
            <w:shd w:val="clear" w:color="auto" w:fill="auto"/>
            <w:tcMar>
              <w:left w:w="0" w:type="dxa"/>
            </w:tcMar>
          </w:tcPr>
          <w:p w14:paraId="3426CEC5" w14:textId="77777777" w:rsidR="002C5FEB" w:rsidRPr="00F93F2C" w:rsidRDefault="002C5FEB" w:rsidP="002C5FEB">
            <w:r>
              <w:t>Hrubá přidaná hodnota (HPH) se ve 3. čtvrtletí mezičtvrtletně zvýšila o 7,3 %. Velké přírůstky oproti 2. kvartálu zaznamenala odvětví nejvíce zasažená epidemickou situací – ostatní činnosti (21,3 %, zahrnují zejména poskytování osobních služeb – kadeřnictví, kosmetické služby apod.), zpracovatelský průmysl (16,5 %) a uskupení obchod, doprava, ubytování a pohostinství (13,5 %). Negativní vývoj pokračoval u profesních, vědeckých, technických a administrativních činností, kde HPH mezičtvrtletně klesla o 4,0 % (ve 2. čtvrtletí to bylo o 9,2 %). Mezičtvrtletně poklesla i HPH informačních a komunikačních činností (–1,2 %), kde ale jarní situace růst pouze zastavila. Slušného přírůstku HPH dosáhlo stavebnictví (3,8 %), odvětví s převahou vládních institucí (2,5 %) a peněžnictví a pojišťovnictví (2,3 %).</w:t>
            </w:r>
          </w:p>
        </w:tc>
      </w:tr>
      <w:tr w:rsidR="002C5FEB" w:rsidRPr="009110F7" w14:paraId="0C8FD78E" w14:textId="77777777" w:rsidTr="00361FB7">
        <w:trPr>
          <w:trHeight w:val="145"/>
        </w:trPr>
        <w:tc>
          <w:tcPr>
            <w:tcW w:w="1806" w:type="dxa"/>
            <w:shd w:val="clear" w:color="auto" w:fill="auto"/>
            <w:tcMar>
              <w:left w:w="0" w:type="dxa"/>
            </w:tcMar>
          </w:tcPr>
          <w:p w14:paraId="0A0C97CA" w14:textId="77777777" w:rsidR="002C5FEB" w:rsidRDefault="002C5FEB" w:rsidP="002C5FEB">
            <w:pPr>
              <w:pStyle w:val="Marginlie"/>
            </w:pPr>
            <w:r>
              <w:t>Většina odvětví ve 3. čtvrtletí zaznamenala meziroční pokles HPH.</w:t>
            </w:r>
          </w:p>
        </w:tc>
        <w:tc>
          <w:tcPr>
            <w:tcW w:w="223" w:type="dxa"/>
            <w:shd w:val="clear" w:color="auto" w:fill="auto"/>
            <w:tcMar>
              <w:left w:w="0" w:type="dxa"/>
            </w:tcMar>
          </w:tcPr>
          <w:p w14:paraId="2027DF8D" w14:textId="77777777" w:rsidR="002C5FEB" w:rsidRDefault="002C5FEB" w:rsidP="002C5FEB">
            <w:pPr>
              <w:pStyle w:val="Textpoznpodarou"/>
              <w:jc w:val="both"/>
              <w:rPr>
                <w:spacing w:val="-4"/>
              </w:rPr>
            </w:pPr>
          </w:p>
        </w:tc>
        <w:tc>
          <w:tcPr>
            <w:tcW w:w="7610" w:type="dxa"/>
            <w:shd w:val="clear" w:color="auto" w:fill="auto"/>
            <w:tcMar>
              <w:left w:w="0" w:type="dxa"/>
            </w:tcMar>
          </w:tcPr>
          <w:p w14:paraId="34B7DC6B" w14:textId="77777777" w:rsidR="002C5FEB" w:rsidRDefault="002C5FEB" w:rsidP="002C5FEB">
            <w:r>
              <w:t xml:space="preserve">Oproti stejnému období minulého roku byla HPH ve 3. čtvrtletí stále nižší o 4,8 %. Meziroční pokles se prohloubil u profesních, vědeckých, technických a administrativních činností (–14,1 %). Poměrně hluboko pod úrovní loňského 3. čtvrtletí zůstala HPH také u obchodu, dopravy, ubytování a pohostinství (–9,3 %, odvětví přispělo k celkovému poklesu HPH –1,7 p. b.) a ostatních činností (–8,0 %). Zpracovatelskému </w:t>
            </w:r>
            <w:r w:rsidRPr="005820CD">
              <w:rPr>
                <w:rFonts w:ascii="hodin" w:hAnsi="hodin"/>
              </w:rPr>
              <w:t>průmyslu</w:t>
            </w:r>
            <w:r>
              <w:t xml:space="preserve"> se podařilo velký propad z předchozího kvartálu dohnat jen zčásti (meziroční pokles ve 3. čtvrtletí o 4,9 %). Jeho velká váha v ekonomice ale znamenala, že vývoj zpracovatelského průmyslu k celkovému poklesu HPH přispěl </w:t>
            </w:r>
            <w:r>
              <w:br/>
              <w:t xml:space="preserve">–1,2 p. b. Nižší než loni byla také HPH činností v oblasti nemovitostí (–3,4 %), stavebnictví (–2,5 %) a peněžnictví a pojišťovnictví (–2,4 %). Již 11 čtvrtletí v řadě trvá </w:t>
            </w:r>
            <w:r>
              <w:lastRenderedPageBreak/>
              <w:t>meziroční růst HPH zemědělství, lesnictví a rybářství (3,7 %). Přírůstek zaznamenala také odvětví s převahou vládního sektoru (1,4 %) a informační a komunikační činnosti (0,4 %).</w:t>
            </w:r>
          </w:p>
        </w:tc>
      </w:tr>
      <w:tr w:rsidR="002C5FEB" w:rsidRPr="009110F7" w14:paraId="0DCA90FA" w14:textId="77777777" w:rsidTr="00361FB7">
        <w:trPr>
          <w:trHeight w:val="170"/>
        </w:trPr>
        <w:tc>
          <w:tcPr>
            <w:tcW w:w="1806" w:type="dxa"/>
            <w:vMerge w:val="restart"/>
            <w:shd w:val="clear" w:color="auto" w:fill="auto"/>
            <w:tcMar>
              <w:left w:w="0" w:type="dxa"/>
            </w:tcMar>
          </w:tcPr>
          <w:p w14:paraId="054D1E88" w14:textId="77777777" w:rsidR="002C5FEB" w:rsidRDefault="002C5FEB" w:rsidP="002C5FEB">
            <w:pPr>
              <w:pStyle w:val="Marginlie"/>
            </w:pPr>
          </w:p>
        </w:tc>
        <w:tc>
          <w:tcPr>
            <w:tcW w:w="223" w:type="dxa"/>
            <w:vMerge w:val="restart"/>
            <w:shd w:val="clear" w:color="auto" w:fill="auto"/>
            <w:tcMar>
              <w:left w:w="0" w:type="dxa"/>
            </w:tcMar>
          </w:tcPr>
          <w:p w14:paraId="7A9906DE" w14:textId="77777777" w:rsidR="002C5FEB" w:rsidRDefault="002C5FEB" w:rsidP="002C5FEB">
            <w:pPr>
              <w:pStyle w:val="Textpoznpodarou"/>
              <w:jc w:val="both"/>
              <w:rPr>
                <w:spacing w:val="-4"/>
              </w:rPr>
            </w:pPr>
          </w:p>
        </w:tc>
        <w:tc>
          <w:tcPr>
            <w:tcW w:w="7610" w:type="dxa"/>
            <w:shd w:val="clear" w:color="auto" w:fill="auto"/>
            <w:tcMar>
              <w:left w:w="0" w:type="dxa"/>
            </w:tcMar>
          </w:tcPr>
          <w:p w14:paraId="5BA96D14" w14:textId="77777777" w:rsidR="002C5FEB" w:rsidRPr="001208E3" w:rsidRDefault="002C5FEB" w:rsidP="002C5FEB">
            <w:pPr>
              <w:spacing w:after="0"/>
              <w:rPr>
                <w:szCs w:val="20"/>
              </w:rPr>
            </w:pPr>
            <w:r>
              <w:rPr>
                <w:b/>
                <w:sz w:val="18"/>
                <w:szCs w:val="18"/>
              </w:rPr>
              <w:t xml:space="preserve">Graf č. 3  </w:t>
            </w:r>
            <w:r w:rsidRPr="00663018">
              <w:rPr>
                <w:rFonts w:cs="Arial"/>
                <w:b/>
                <w:sz w:val="18"/>
                <w:szCs w:val="18"/>
                <w:lang w:eastAsia="en-US"/>
              </w:rPr>
              <w:t>Příspěvky odvětví k</w:t>
            </w:r>
            <w:r>
              <w:rPr>
                <w:rFonts w:cs="Arial"/>
                <w:b/>
                <w:sz w:val="18"/>
                <w:szCs w:val="18"/>
                <w:lang w:eastAsia="en-US"/>
              </w:rPr>
              <w:t> </w:t>
            </w:r>
            <w:r w:rsidRPr="00663018">
              <w:rPr>
                <w:rFonts w:cs="Arial"/>
                <w:b/>
                <w:sz w:val="18"/>
                <w:szCs w:val="18"/>
                <w:lang w:eastAsia="en-US"/>
              </w:rPr>
              <w:t>reálné</w:t>
            </w:r>
            <w:r>
              <w:rPr>
                <w:rFonts w:cs="Arial"/>
                <w:b/>
                <w:sz w:val="18"/>
                <w:szCs w:val="18"/>
                <w:lang w:eastAsia="en-US"/>
              </w:rPr>
              <w:t xml:space="preserve"> </w:t>
            </w:r>
            <w:r w:rsidRPr="00663018">
              <w:rPr>
                <w:rFonts w:cs="Arial"/>
                <w:b/>
                <w:sz w:val="18"/>
                <w:szCs w:val="18"/>
                <w:lang w:eastAsia="en-US"/>
              </w:rPr>
              <w:t xml:space="preserve">změně HPH </w:t>
            </w:r>
            <w:r w:rsidRPr="00363CF2">
              <w:rPr>
                <w:rFonts w:cs="Arial"/>
                <w:bCs/>
                <w:sz w:val="18"/>
                <w:szCs w:val="18"/>
                <w:lang w:eastAsia="en-US"/>
              </w:rPr>
              <w:t>(objemové indexy, meziroční příspěvky v p. b., HPH v %)</w:t>
            </w:r>
          </w:p>
        </w:tc>
      </w:tr>
      <w:tr w:rsidR="002C5FEB" w:rsidRPr="009110F7" w14:paraId="5A3EEFC4" w14:textId="77777777" w:rsidTr="00361FB7">
        <w:tblPrEx>
          <w:tblCellMar>
            <w:left w:w="70" w:type="dxa"/>
            <w:right w:w="70" w:type="dxa"/>
          </w:tblCellMar>
        </w:tblPrEx>
        <w:trPr>
          <w:trHeight w:val="170"/>
        </w:trPr>
        <w:tc>
          <w:tcPr>
            <w:tcW w:w="1806" w:type="dxa"/>
            <w:vMerge/>
            <w:shd w:val="clear" w:color="auto" w:fill="auto"/>
          </w:tcPr>
          <w:p w14:paraId="2F289233" w14:textId="77777777" w:rsidR="002C5FEB" w:rsidRPr="009110F7" w:rsidRDefault="002C5FEB" w:rsidP="002C5FEB">
            <w:pPr>
              <w:pStyle w:val="Marginlie"/>
            </w:pPr>
          </w:p>
        </w:tc>
        <w:tc>
          <w:tcPr>
            <w:tcW w:w="223" w:type="dxa"/>
            <w:vMerge/>
            <w:shd w:val="clear" w:color="auto" w:fill="auto"/>
          </w:tcPr>
          <w:p w14:paraId="427D7E07" w14:textId="77777777" w:rsidR="002C5FEB" w:rsidRPr="009110F7" w:rsidRDefault="002C5FEB" w:rsidP="002C5FEB">
            <w:pPr>
              <w:pStyle w:val="Textpoznpodarou"/>
              <w:jc w:val="both"/>
              <w:rPr>
                <w:spacing w:val="-4"/>
              </w:rPr>
            </w:pPr>
          </w:p>
        </w:tc>
        <w:tc>
          <w:tcPr>
            <w:tcW w:w="7610" w:type="dxa"/>
            <w:shd w:val="clear" w:color="auto" w:fill="auto"/>
          </w:tcPr>
          <w:p w14:paraId="6358A1AA" w14:textId="77777777" w:rsidR="002C5FEB" w:rsidRPr="009110F7" w:rsidRDefault="002C5FEB" w:rsidP="002C5FEB">
            <w:pPr>
              <w:spacing w:after="0"/>
            </w:pPr>
            <w:r>
              <w:rPr>
                <w:noProof/>
              </w:rPr>
              <w:drawing>
                <wp:inline distT="0" distB="0" distL="0" distR="0" wp14:anchorId="6DB0B725" wp14:editId="2F6EE873">
                  <wp:extent cx="4737600" cy="3372225"/>
                  <wp:effectExtent l="0" t="0" r="6350" b="0"/>
                  <wp:docPr id="8" name="Graf 8">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2C5FEB" w:rsidRPr="009110F7" w14:paraId="1088241D" w14:textId="77777777" w:rsidTr="00361FB7">
        <w:trPr>
          <w:trHeight w:val="170"/>
        </w:trPr>
        <w:tc>
          <w:tcPr>
            <w:tcW w:w="1806" w:type="dxa"/>
            <w:vMerge/>
            <w:shd w:val="clear" w:color="auto" w:fill="auto"/>
            <w:tcMar>
              <w:left w:w="0" w:type="dxa"/>
            </w:tcMar>
          </w:tcPr>
          <w:p w14:paraId="3B811974" w14:textId="77777777" w:rsidR="002C5FEB" w:rsidRPr="009110F7" w:rsidRDefault="002C5FEB" w:rsidP="002C5FEB">
            <w:pPr>
              <w:pStyle w:val="Marginlie"/>
            </w:pPr>
          </w:p>
        </w:tc>
        <w:tc>
          <w:tcPr>
            <w:tcW w:w="223" w:type="dxa"/>
            <w:vMerge/>
            <w:shd w:val="clear" w:color="auto" w:fill="auto"/>
            <w:tcMar>
              <w:left w:w="0" w:type="dxa"/>
            </w:tcMar>
          </w:tcPr>
          <w:p w14:paraId="62BA5C84" w14:textId="77777777" w:rsidR="002C5FEB" w:rsidRPr="009110F7" w:rsidRDefault="002C5FEB" w:rsidP="002C5FEB">
            <w:pPr>
              <w:pStyle w:val="Textpoznpodarou"/>
              <w:jc w:val="both"/>
              <w:rPr>
                <w:spacing w:val="-4"/>
              </w:rPr>
            </w:pPr>
          </w:p>
        </w:tc>
        <w:tc>
          <w:tcPr>
            <w:tcW w:w="7610" w:type="dxa"/>
            <w:shd w:val="clear" w:color="auto" w:fill="auto"/>
            <w:tcMar>
              <w:left w:w="0" w:type="dxa"/>
            </w:tcMar>
          </w:tcPr>
          <w:p w14:paraId="227C2AF1" w14:textId="77777777" w:rsidR="002C5FEB" w:rsidRPr="009110F7" w:rsidRDefault="002C5FEB" w:rsidP="002C5FEB">
            <w:pPr>
              <w:rPr>
                <w:sz w:val="14"/>
                <w:szCs w:val="14"/>
              </w:rPr>
            </w:pPr>
            <w:r w:rsidRPr="00A85DE1">
              <w:rPr>
                <w:sz w:val="14"/>
                <w:szCs w:val="14"/>
              </w:rPr>
              <w:t>Zdroj: ČSÚ</w:t>
            </w:r>
          </w:p>
        </w:tc>
      </w:tr>
    </w:tbl>
    <w:p w14:paraId="51DE27BA" w14:textId="77777777" w:rsidR="00682110" w:rsidRPr="00C41D54" w:rsidRDefault="00682110" w:rsidP="00682110">
      <w:pPr>
        <w:pStyle w:val="Nadpis11"/>
        <w:rPr>
          <w:b w:val="0"/>
          <w:sz w:val="2"/>
          <w:szCs w:val="2"/>
          <w:highlight w:val="yellow"/>
        </w:rPr>
      </w:pPr>
    </w:p>
    <w:p w14:paraId="6A57706F" w14:textId="1E866DB0" w:rsidR="0085334C" w:rsidRPr="00DA3ADF" w:rsidRDefault="0085334C" w:rsidP="00DA3ADF">
      <w:pPr>
        <w:spacing w:after="0" w:line="240" w:lineRule="auto"/>
        <w:jc w:val="left"/>
        <w:rPr>
          <w:rFonts w:eastAsia="MS Gothic"/>
          <w:bCs/>
          <w:color w:val="71818C"/>
          <w:sz w:val="2"/>
          <w:szCs w:val="2"/>
          <w:highlight w:val="yellow"/>
        </w:rPr>
      </w:pPr>
    </w:p>
    <w:tbl>
      <w:tblPr>
        <w:tblW w:w="9644" w:type="dxa"/>
        <w:tblInd w:w="-15" w:type="dxa"/>
        <w:tblCellMar>
          <w:left w:w="0" w:type="dxa"/>
          <w:right w:w="0" w:type="dxa"/>
        </w:tblCellMar>
        <w:tblLook w:val="00A0" w:firstRow="1" w:lastRow="0" w:firstColumn="1" w:lastColumn="0" w:noHBand="0" w:noVBand="0"/>
      </w:tblPr>
      <w:tblGrid>
        <w:gridCol w:w="9641"/>
        <w:gridCol w:w="6"/>
        <w:gridCol w:w="6"/>
      </w:tblGrid>
      <w:tr w:rsidR="0002669F" w:rsidRPr="0085334C" w14:paraId="4A1707A4" w14:textId="77777777" w:rsidTr="00DA3ADF">
        <w:trPr>
          <w:trHeight w:val="866"/>
        </w:trPr>
        <w:tc>
          <w:tcPr>
            <w:tcW w:w="1744" w:type="dxa"/>
            <w:shd w:val="clear" w:color="auto" w:fill="auto"/>
            <w:tcMar>
              <w:left w:w="0" w:type="dxa"/>
            </w:tcMar>
          </w:tcPr>
          <w:tbl>
            <w:tblPr>
              <w:tblW w:w="9653" w:type="dxa"/>
              <w:tblCellMar>
                <w:left w:w="0" w:type="dxa"/>
                <w:right w:w="0" w:type="dxa"/>
              </w:tblCellMar>
              <w:tblLook w:val="00A0" w:firstRow="1" w:lastRow="0" w:firstColumn="1" w:lastColumn="0" w:noHBand="0" w:noVBand="0"/>
            </w:tblPr>
            <w:tblGrid>
              <w:gridCol w:w="9629"/>
              <w:gridCol w:w="6"/>
              <w:gridCol w:w="6"/>
            </w:tblGrid>
            <w:tr w:rsidR="004A0D0E" w:rsidRPr="00682110" w14:paraId="16B2F609" w14:textId="77777777" w:rsidTr="008A0659">
              <w:trPr>
                <w:trHeight w:val="866"/>
              </w:trPr>
              <w:tc>
                <w:tcPr>
                  <w:tcW w:w="9641" w:type="dxa"/>
                  <w:shd w:val="clear" w:color="auto" w:fill="auto"/>
                  <w:tcMar>
                    <w:left w:w="0" w:type="dxa"/>
                  </w:tcMar>
                </w:tcPr>
                <w:tbl>
                  <w:tblPr>
                    <w:tblW w:w="9644" w:type="dxa"/>
                    <w:tblCellMar>
                      <w:left w:w="0" w:type="dxa"/>
                      <w:right w:w="0" w:type="dxa"/>
                    </w:tblCellMar>
                    <w:tblLook w:val="00A0" w:firstRow="1" w:lastRow="0" w:firstColumn="1" w:lastColumn="0" w:noHBand="0" w:noVBand="0"/>
                  </w:tblPr>
                  <w:tblGrid>
                    <w:gridCol w:w="1723"/>
                    <w:gridCol w:w="191"/>
                    <w:gridCol w:w="7730"/>
                  </w:tblGrid>
                  <w:tr w:rsidR="004A0D0E" w:rsidRPr="00682110" w14:paraId="129CBCAC" w14:textId="77777777" w:rsidTr="008A0659">
                    <w:trPr>
                      <w:trHeight w:val="80"/>
                    </w:trPr>
                    <w:tc>
                      <w:tcPr>
                        <w:tcW w:w="1723" w:type="dxa"/>
                        <w:shd w:val="clear" w:color="auto" w:fill="auto"/>
                        <w:tcMar>
                          <w:left w:w="0" w:type="dxa"/>
                        </w:tcMar>
                      </w:tcPr>
                      <w:p w14:paraId="356CED4E" w14:textId="3CE2229A" w:rsidR="004A0D0E" w:rsidRPr="00682110" w:rsidRDefault="004A0D0E" w:rsidP="00E13995">
                        <w:pPr>
                          <w:spacing w:after="0" w:line="240" w:lineRule="auto"/>
                          <w:jc w:val="left"/>
                          <w:rPr>
                            <w:color w:val="0D0D0D" w:themeColor="text1" w:themeTint="F2"/>
                            <w:highlight w:val="yellow"/>
                          </w:rPr>
                        </w:pPr>
                      </w:p>
                    </w:tc>
                    <w:tc>
                      <w:tcPr>
                        <w:tcW w:w="191" w:type="dxa"/>
                        <w:shd w:val="clear" w:color="auto" w:fill="auto"/>
                        <w:tcMar>
                          <w:left w:w="0" w:type="dxa"/>
                        </w:tcMar>
                      </w:tcPr>
                      <w:p w14:paraId="2ED89AA2" w14:textId="77777777" w:rsidR="004A0D0E" w:rsidRPr="00682110" w:rsidRDefault="004A0D0E" w:rsidP="004A0D0E">
                        <w:pPr>
                          <w:pStyle w:val="Textpoznpodarou"/>
                          <w:jc w:val="both"/>
                          <w:rPr>
                            <w:spacing w:val="-4"/>
                            <w:highlight w:val="yellow"/>
                          </w:rPr>
                        </w:pPr>
                      </w:p>
                    </w:tc>
                    <w:tc>
                      <w:tcPr>
                        <w:tcW w:w="7730" w:type="dxa"/>
                        <w:shd w:val="clear" w:color="auto" w:fill="auto"/>
                        <w:tcMar>
                          <w:left w:w="0" w:type="dxa"/>
                        </w:tcMar>
                      </w:tcPr>
                      <w:p w14:paraId="46B115C3" w14:textId="591B3F84" w:rsidR="004A0D0E" w:rsidRPr="00682110" w:rsidRDefault="004A0D0E" w:rsidP="00237C8B">
                        <w:pPr>
                          <w:spacing w:after="220"/>
                          <w:rPr>
                            <w:rFonts w:cs="Arial"/>
                            <w:szCs w:val="20"/>
                            <w:highlight w:val="yellow"/>
                          </w:rPr>
                        </w:pPr>
                      </w:p>
                    </w:tc>
                  </w:tr>
                </w:tbl>
                <w:p w14:paraId="21FEDC5E" w14:textId="77777777" w:rsidR="004A0D0E" w:rsidRPr="00682110" w:rsidRDefault="004A0D0E" w:rsidP="004A0D0E">
                  <w:pPr>
                    <w:pStyle w:val="Marginlie"/>
                    <w:rPr>
                      <w:color w:val="0D0D0D" w:themeColor="text1" w:themeTint="F2"/>
                      <w:spacing w:val="-4"/>
                      <w:highlight w:val="yellow"/>
                    </w:rPr>
                  </w:pPr>
                </w:p>
              </w:tc>
              <w:tc>
                <w:tcPr>
                  <w:tcW w:w="6" w:type="dxa"/>
                  <w:shd w:val="clear" w:color="auto" w:fill="auto"/>
                  <w:tcMar>
                    <w:left w:w="0" w:type="dxa"/>
                  </w:tcMar>
                </w:tcPr>
                <w:p w14:paraId="4958B95F" w14:textId="77777777" w:rsidR="004A0D0E" w:rsidRPr="00682110" w:rsidRDefault="004A0D0E" w:rsidP="004A0D0E">
                  <w:pPr>
                    <w:pStyle w:val="Textpoznpodarou"/>
                    <w:jc w:val="both"/>
                    <w:rPr>
                      <w:spacing w:val="-4"/>
                      <w:highlight w:val="yellow"/>
                    </w:rPr>
                  </w:pPr>
                </w:p>
              </w:tc>
              <w:tc>
                <w:tcPr>
                  <w:tcW w:w="6" w:type="dxa"/>
                  <w:shd w:val="clear" w:color="auto" w:fill="auto"/>
                  <w:tcMar>
                    <w:left w:w="0" w:type="dxa"/>
                  </w:tcMar>
                </w:tcPr>
                <w:p w14:paraId="6BCC4654" w14:textId="77777777" w:rsidR="004A0D0E" w:rsidRPr="00682110" w:rsidRDefault="004A0D0E" w:rsidP="004A0D0E">
                  <w:pPr>
                    <w:spacing w:after="0"/>
                    <w:rPr>
                      <w:rFonts w:cs="Arial"/>
                      <w:szCs w:val="20"/>
                      <w:highlight w:val="yellow"/>
                    </w:rPr>
                  </w:pPr>
                </w:p>
              </w:tc>
            </w:tr>
          </w:tbl>
          <w:p w14:paraId="6A9571F0" w14:textId="77777777" w:rsidR="004A0D0E" w:rsidRPr="00682110" w:rsidRDefault="004A0D0E" w:rsidP="004A0D0E">
            <w:pPr>
              <w:pStyle w:val="Nadpis11"/>
              <w:rPr>
                <w:sz w:val="2"/>
                <w:szCs w:val="2"/>
                <w:highlight w:val="yellow"/>
              </w:rPr>
            </w:pPr>
          </w:p>
          <w:p w14:paraId="0240E6A6" w14:textId="77777777" w:rsidR="004A0D0E" w:rsidRPr="00682110" w:rsidRDefault="004A0D0E" w:rsidP="004A0D0E">
            <w:pPr>
              <w:pStyle w:val="Nadpis11"/>
              <w:rPr>
                <w:sz w:val="2"/>
                <w:szCs w:val="2"/>
                <w:highlight w:val="yellow"/>
              </w:rPr>
            </w:pPr>
          </w:p>
          <w:p w14:paraId="7F98550E" w14:textId="77777777" w:rsidR="0002669F" w:rsidRDefault="0002669F" w:rsidP="0002669F">
            <w:pPr>
              <w:pStyle w:val="Marginlie"/>
              <w:rPr>
                <w:color w:val="0D0D0D" w:themeColor="text1" w:themeTint="F2"/>
                <w:spacing w:val="-4"/>
                <w:highlight w:val="yellow"/>
              </w:rPr>
            </w:pPr>
          </w:p>
          <w:p w14:paraId="7FCD3F3D" w14:textId="12EBEAB8" w:rsidR="00E579ED" w:rsidRPr="00682110" w:rsidRDefault="00E579ED" w:rsidP="0002669F">
            <w:pPr>
              <w:pStyle w:val="Marginlie"/>
              <w:rPr>
                <w:color w:val="0D0D0D" w:themeColor="text1" w:themeTint="F2"/>
                <w:spacing w:val="-4"/>
                <w:highlight w:val="yellow"/>
              </w:rPr>
            </w:pPr>
          </w:p>
        </w:tc>
        <w:tc>
          <w:tcPr>
            <w:tcW w:w="200" w:type="dxa"/>
            <w:shd w:val="clear" w:color="auto" w:fill="auto"/>
            <w:tcMar>
              <w:left w:w="0" w:type="dxa"/>
            </w:tcMar>
          </w:tcPr>
          <w:p w14:paraId="00000B90" w14:textId="77777777" w:rsidR="0002669F" w:rsidRPr="00682110" w:rsidRDefault="0002669F" w:rsidP="0002669F">
            <w:pPr>
              <w:pStyle w:val="Textpoznpodarou"/>
              <w:jc w:val="both"/>
              <w:rPr>
                <w:spacing w:val="-4"/>
                <w:highlight w:val="yellow"/>
              </w:rPr>
            </w:pPr>
          </w:p>
        </w:tc>
        <w:tc>
          <w:tcPr>
            <w:tcW w:w="7700" w:type="dxa"/>
            <w:shd w:val="clear" w:color="auto" w:fill="auto"/>
            <w:tcMar>
              <w:left w:w="0" w:type="dxa"/>
            </w:tcMar>
          </w:tcPr>
          <w:p w14:paraId="1CC8454B" w14:textId="549B5CBA" w:rsidR="0002669F" w:rsidRPr="00682110" w:rsidRDefault="0002669F" w:rsidP="0002669F">
            <w:pPr>
              <w:spacing w:after="0"/>
              <w:rPr>
                <w:rFonts w:cs="Arial"/>
                <w:szCs w:val="20"/>
                <w:highlight w:val="yellow"/>
              </w:rPr>
            </w:pPr>
          </w:p>
        </w:tc>
      </w:tr>
    </w:tbl>
    <w:p w14:paraId="74F2F8DA" w14:textId="77777777" w:rsidR="006E761A" w:rsidRPr="0085334C" w:rsidRDefault="006E761A" w:rsidP="006E761A">
      <w:pPr>
        <w:pStyle w:val="Nadpis11"/>
        <w:rPr>
          <w:sz w:val="20"/>
          <w:szCs w:val="20"/>
          <w:highlight w:val="yellow"/>
        </w:rPr>
      </w:pPr>
    </w:p>
    <w:bookmarkEnd w:id="3"/>
    <w:p w14:paraId="1C649B4E" w14:textId="77777777" w:rsidR="00AA4790" w:rsidRPr="0085334C" w:rsidRDefault="00AA4790" w:rsidP="00AA4790">
      <w:pPr>
        <w:pStyle w:val="Nadpis11"/>
        <w:rPr>
          <w:sz w:val="2"/>
          <w:szCs w:val="2"/>
          <w:highlight w:val="yellow"/>
        </w:rPr>
      </w:pPr>
    </w:p>
    <w:p w14:paraId="2AF04AC6" w14:textId="441D3B09" w:rsidR="008F509F" w:rsidRPr="00E13995" w:rsidRDefault="00A746C9" w:rsidP="00E13995">
      <w:pPr>
        <w:spacing w:after="0" w:line="240" w:lineRule="auto"/>
        <w:jc w:val="left"/>
        <w:rPr>
          <w:rFonts w:eastAsia="MS Gothic"/>
          <w:b/>
          <w:bCs/>
          <w:color w:val="71818C"/>
          <w:sz w:val="32"/>
          <w:szCs w:val="28"/>
          <w:highlight w:val="yellow"/>
        </w:rPr>
      </w:pPr>
      <w:bookmarkStart w:id="6" w:name="_Toc532558284"/>
      <w:bookmarkStart w:id="7" w:name="_Toc26539341"/>
      <w:r w:rsidRPr="0085334C">
        <w:rPr>
          <w:highlight w:val="yellow"/>
        </w:rPr>
        <w:br w:type="page"/>
      </w:r>
      <w:bookmarkStart w:id="8" w:name="_Toc11237634"/>
    </w:p>
    <w:p w14:paraId="18899EB9" w14:textId="77777777" w:rsidR="00E13995" w:rsidRDefault="00E13995" w:rsidP="00E13995">
      <w:pPr>
        <w:spacing w:after="0" w:line="240" w:lineRule="auto"/>
        <w:jc w:val="left"/>
        <w:rPr>
          <w:b/>
          <w:sz w:val="2"/>
          <w:szCs w:val="2"/>
          <w:highlight w:val="yellow"/>
        </w:rPr>
      </w:pPr>
    </w:p>
    <w:p w14:paraId="729AE94F" w14:textId="0ECEC0AD" w:rsidR="00E13995" w:rsidRDefault="00E13995" w:rsidP="00E13995">
      <w:pPr>
        <w:pStyle w:val="Nadpis11"/>
      </w:pPr>
      <w:bookmarkStart w:id="9" w:name="_Toc59001052"/>
      <w:r>
        <w:t>3</w:t>
      </w:r>
      <w:r w:rsidRPr="00B43216">
        <w:t>. </w:t>
      </w:r>
      <w:r>
        <w:t>Výkonnost odvětví</w:t>
      </w:r>
      <w:bookmarkEnd w:id="9"/>
    </w:p>
    <w:tbl>
      <w:tblPr>
        <w:tblW w:w="9664" w:type="dxa"/>
        <w:tblInd w:w="-30" w:type="dxa"/>
        <w:tblCellMar>
          <w:left w:w="0" w:type="dxa"/>
          <w:right w:w="0" w:type="dxa"/>
        </w:tblCellMar>
        <w:tblLook w:val="00A0" w:firstRow="1" w:lastRow="0" w:firstColumn="1" w:lastColumn="0" w:noHBand="0" w:noVBand="0"/>
      </w:tblPr>
      <w:tblGrid>
        <w:gridCol w:w="1792"/>
        <w:gridCol w:w="216"/>
        <w:gridCol w:w="7656"/>
      </w:tblGrid>
      <w:tr w:rsidR="008D3ACD" w:rsidRPr="006237E6" w14:paraId="2BED83D7" w14:textId="77777777" w:rsidTr="008D3ACD">
        <w:trPr>
          <w:trHeight w:val="155"/>
        </w:trPr>
        <w:tc>
          <w:tcPr>
            <w:tcW w:w="1792" w:type="dxa"/>
            <w:shd w:val="clear" w:color="auto" w:fill="auto"/>
            <w:tcMar>
              <w:left w:w="0" w:type="dxa"/>
            </w:tcMar>
          </w:tcPr>
          <w:p w14:paraId="63359FFA" w14:textId="77777777" w:rsidR="008D3ACD" w:rsidRPr="007C4B8D" w:rsidRDefault="008D3ACD" w:rsidP="008D3ACD">
            <w:pPr>
              <w:pStyle w:val="Marginlie"/>
            </w:pPr>
            <w:r>
              <w:t xml:space="preserve">Po rekordním </w:t>
            </w:r>
            <w:proofErr w:type="spellStart"/>
            <w:r>
              <w:t>m</w:t>
            </w:r>
            <w:r w:rsidRPr="00883202">
              <w:t>ezikvartální</w:t>
            </w:r>
            <w:r>
              <w:t>m</w:t>
            </w:r>
            <w:proofErr w:type="spellEnd"/>
            <w:r>
              <w:t xml:space="preserve"> propadu HPH v celé ekonomice přišlo ve 3</w:t>
            </w:r>
            <w:r w:rsidRPr="00883202">
              <w:t>. čtvrtletí</w:t>
            </w:r>
            <w:r>
              <w:t xml:space="preserve"> oživení. Výkon většiny hlavních odvětví ale stále zůstával pod úrovní počátku roku.</w:t>
            </w:r>
          </w:p>
        </w:tc>
        <w:tc>
          <w:tcPr>
            <w:tcW w:w="216" w:type="dxa"/>
            <w:shd w:val="clear" w:color="auto" w:fill="auto"/>
            <w:tcMar>
              <w:left w:w="0" w:type="dxa"/>
            </w:tcMar>
          </w:tcPr>
          <w:p w14:paraId="1B4723EC" w14:textId="77777777" w:rsidR="008D3ACD" w:rsidRPr="003B1401" w:rsidRDefault="008D3ACD" w:rsidP="008D3ACD">
            <w:pPr>
              <w:pStyle w:val="Textpoznpodarou"/>
              <w:jc w:val="both"/>
              <w:rPr>
                <w:spacing w:val="-4"/>
              </w:rPr>
            </w:pPr>
          </w:p>
        </w:tc>
        <w:tc>
          <w:tcPr>
            <w:tcW w:w="7656" w:type="dxa"/>
            <w:shd w:val="clear" w:color="auto" w:fill="auto"/>
            <w:tcMar>
              <w:left w:w="0" w:type="dxa"/>
            </w:tcMar>
          </w:tcPr>
          <w:p w14:paraId="1339D001" w14:textId="77777777" w:rsidR="008D3ACD" w:rsidRPr="008D3ACD" w:rsidRDefault="008D3ACD" w:rsidP="008D3ACD">
            <w:pPr>
              <w:spacing w:after="200"/>
              <w:rPr>
                <w:rFonts w:cs="Arial"/>
                <w:bCs/>
                <w:color w:val="000000"/>
                <w:spacing w:val="-2"/>
                <w:szCs w:val="20"/>
              </w:rPr>
            </w:pPr>
            <w:r w:rsidRPr="008D3ACD">
              <w:rPr>
                <w:spacing w:val="-2"/>
              </w:rPr>
              <w:t xml:space="preserve">Jestliže restriktivní </w:t>
            </w:r>
            <w:proofErr w:type="spellStart"/>
            <w:r w:rsidRPr="008D3ACD">
              <w:rPr>
                <w:spacing w:val="-2"/>
              </w:rPr>
              <w:t>protipandemická</w:t>
            </w:r>
            <w:proofErr w:type="spellEnd"/>
            <w:r w:rsidRPr="008D3ACD">
              <w:rPr>
                <w:spacing w:val="-2"/>
              </w:rPr>
              <w:t xml:space="preserve"> opatření tvrdě dopadla v 1. čtvrtletí 2020 primárně na odvětví těsně navázaná na cestovní ruch, během následujícího kvartálu již dokázala na několik týdnů ochromit velkou část ekonomiky. Hrubá přidaná hodnota (HPH)</w:t>
            </w:r>
            <w:r w:rsidRPr="008D3ACD">
              <w:rPr>
                <w:rStyle w:val="Znakapoznpodarou"/>
                <w:spacing w:val="-2"/>
              </w:rPr>
              <w:footnoteReference w:id="12"/>
            </w:r>
            <w:r w:rsidRPr="008D3ACD">
              <w:rPr>
                <w:spacing w:val="-2"/>
              </w:rPr>
              <w:t xml:space="preserve"> tak mezikvartálně propadla o rekordních 9,4 % a citelně prohloubila svůj pokles z 1. čtvrtletí (</w:t>
            </w:r>
            <w:r w:rsidRPr="008D3ACD">
              <w:rPr>
                <w:color w:val="000000" w:themeColor="text1"/>
                <w:spacing w:val="-2"/>
              </w:rPr>
              <w:t>–</w:t>
            </w:r>
            <w:r w:rsidRPr="008D3ACD">
              <w:rPr>
                <w:spacing w:val="-2"/>
              </w:rPr>
              <w:t xml:space="preserve">2,4 %). Ve 3. čtvrtletí byla většina významných restriktivních opatření zrušena, a ekonomika se tak mohla znovu nadechnout. Výsledkem byl 7,3% </w:t>
            </w:r>
            <w:proofErr w:type="spellStart"/>
            <w:r w:rsidRPr="008D3ACD">
              <w:rPr>
                <w:spacing w:val="-2"/>
              </w:rPr>
              <w:t>mezikvartální</w:t>
            </w:r>
            <w:proofErr w:type="spellEnd"/>
            <w:r w:rsidRPr="008D3ACD">
              <w:rPr>
                <w:spacing w:val="-2"/>
              </w:rPr>
              <w:t xml:space="preserve"> růst, který rovněž neměl v téměř 25leté dostupné časové řadě obdoby. Výkon většiny hlavních odvětví se ale na úroveň z 1. letošního čtvrtletí dosud nevrátil. Výjimkou bylo uskupení odvětví s převahou vládního sektoru a též odvětví zemědělství, lesnictví a rybářství.</w:t>
            </w:r>
          </w:p>
        </w:tc>
      </w:tr>
      <w:tr w:rsidR="008D3ACD" w:rsidRPr="006237E6" w14:paraId="4D212544" w14:textId="77777777" w:rsidTr="008D3ACD">
        <w:trPr>
          <w:trHeight w:val="155"/>
        </w:trPr>
        <w:tc>
          <w:tcPr>
            <w:tcW w:w="1792" w:type="dxa"/>
            <w:shd w:val="clear" w:color="auto" w:fill="auto"/>
            <w:tcMar>
              <w:left w:w="0" w:type="dxa"/>
            </w:tcMar>
          </w:tcPr>
          <w:p w14:paraId="51E7A1E7" w14:textId="77777777" w:rsidR="008D3ACD" w:rsidRDefault="008D3ACD" w:rsidP="008D3ACD">
            <w:pPr>
              <w:pStyle w:val="Marginlie"/>
              <w:rPr>
                <w:spacing w:val="-4"/>
              </w:rPr>
            </w:pPr>
            <w:r w:rsidRPr="00883202">
              <w:t xml:space="preserve">Největší meziroční útlum </w:t>
            </w:r>
            <w:r>
              <w:t>HPH postihl v 1. až 3. čtvrtletí</w:t>
            </w:r>
            <w:r w:rsidRPr="00883202">
              <w:t xml:space="preserve"> hlavně státy jižního</w:t>
            </w:r>
            <w:r>
              <w:t xml:space="preserve"> křídla eurozóny. Česko si vedlo podobně jako většina středoevropských ekonomik.</w:t>
            </w:r>
          </w:p>
        </w:tc>
        <w:tc>
          <w:tcPr>
            <w:tcW w:w="216" w:type="dxa"/>
            <w:shd w:val="clear" w:color="auto" w:fill="auto"/>
            <w:tcMar>
              <w:left w:w="0" w:type="dxa"/>
            </w:tcMar>
          </w:tcPr>
          <w:p w14:paraId="3E3AE9BE" w14:textId="77777777" w:rsidR="008D3ACD" w:rsidRPr="003B1401" w:rsidRDefault="008D3ACD" w:rsidP="008D3ACD">
            <w:pPr>
              <w:pStyle w:val="Textpoznpodarou"/>
              <w:jc w:val="both"/>
              <w:rPr>
                <w:spacing w:val="-4"/>
              </w:rPr>
            </w:pPr>
          </w:p>
        </w:tc>
        <w:tc>
          <w:tcPr>
            <w:tcW w:w="7656" w:type="dxa"/>
            <w:shd w:val="clear" w:color="auto" w:fill="auto"/>
            <w:tcMar>
              <w:left w:w="0" w:type="dxa"/>
            </w:tcMar>
          </w:tcPr>
          <w:p w14:paraId="7525FB28" w14:textId="77777777" w:rsidR="008D3ACD" w:rsidRPr="00F63577" w:rsidRDefault="008D3ACD" w:rsidP="008D3ACD">
            <w:pPr>
              <w:spacing w:after="200"/>
              <w:rPr>
                <w:rFonts w:cs="Arial"/>
                <w:bCs/>
                <w:color w:val="000000"/>
                <w:spacing w:val="-4"/>
                <w:szCs w:val="20"/>
              </w:rPr>
            </w:pPr>
            <w:r w:rsidRPr="00F63577">
              <w:rPr>
                <w:spacing w:val="-4"/>
              </w:rPr>
              <w:t>Za 1</w:t>
            </w:r>
            <w:r>
              <w:rPr>
                <w:spacing w:val="-4"/>
              </w:rPr>
              <w:t>. </w:t>
            </w:r>
            <w:r w:rsidRPr="00F63577">
              <w:rPr>
                <w:spacing w:val="-4"/>
              </w:rPr>
              <w:t>až 3.</w:t>
            </w:r>
            <w:r>
              <w:rPr>
                <w:spacing w:val="-4"/>
              </w:rPr>
              <w:t> čtvrtlet</w:t>
            </w:r>
            <w:r w:rsidRPr="00F63577">
              <w:rPr>
                <w:spacing w:val="-4"/>
              </w:rPr>
              <w:t>í 2020 se HPH meziročně snížila o</w:t>
            </w:r>
            <w:r>
              <w:rPr>
                <w:spacing w:val="-4"/>
              </w:rPr>
              <w:t> </w:t>
            </w:r>
            <w:r w:rsidRPr="00F63577">
              <w:rPr>
                <w:spacing w:val="-4"/>
              </w:rPr>
              <w:t>5,7</w:t>
            </w:r>
            <w:r>
              <w:rPr>
                <w:spacing w:val="-4"/>
              </w:rPr>
              <w:t> %</w:t>
            </w:r>
            <w:r w:rsidRPr="00F63577">
              <w:rPr>
                <w:spacing w:val="-4"/>
              </w:rPr>
              <w:t>. Dosud nejhlubší pokles v tomto období roku byl v</w:t>
            </w:r>
            <w:r>
              <w:rPr>
                <w:spacing w:val="-4"/>
              </w:rPr>
              <w:t xml:space="preserve"> časové </w:t>
            </w:r>
            <w:r w:rsidRPr="00F63577">
              <w:rPr>
                <w:spacing w:val="-4"/>
              </w:rPr>
              <w:t>řadě od poloviny 90</w:t>
            </w:r>
            <w:r>
              <w:rPr>
                <w:spacing w:val="-4"/>
              </w:rPr>
              <w:t>. </w:t>
            </w:r>
            <w:r w:rsidRPr="00F63577">
              <w:rPr>
                <w:spacing w:val="-4"/>
              </w:rPr>
              <w:t xml:space="preserve">let </w:t>
            </w:r>
            <w:r>
              <w:rPr>
                <w:spacing w:val="-4"/>
              </w:rPr>
              <w:t>registrov</w:t>
            </w:r>
            <w:r w:rsidRPr="00F63577">
              <w:rPr>
                <w:spacing w:val="-4"/>
              </w:rPr>
              <w:t>án během krizového roku 2009 (</w:t>
            </w:r>
            <w:r>
              <w:rPr>
                <w:spacing w:val="-4"/>
              </w:rPr>
              <w:t>–</w:t>
            </w:r>
            <w:r w:rsidRPr="00F63577">
              <w:rPr>
                <w:spacing w:val="-4"/>
              </w:rPr>
              <w:t xml:space="preserve">5,4 %). Útlum v roce 2020 byl úzce svázán s poklesem počtu odpracovaných hodin </w:t>
            </w:r>
            <w:r>
              <w:rPr>
                <w:spacing w:val="-4"/>
              </w:rPr>
              <w:br/>
            </w:r>
            <w:r w:rsidRPr="00F63577">
              <w:rPr>
                <w:spacing w:val="-4"/>
              </w:rPr>
              <w:t>(</w:t>
            </w:r>
            <w:r>
              <w:rPr>
                <w:spacing w:val="-4"/>
              </w:rPr>
              <w:t>–</w:t>
            </w:r>
            <w:r w:rsidRPr="00F63577">
              <w:rPr>
                <w:spacing w:val="-4"/>
              </w:rPr>
              <w:t>4,9</w:t>
            </w:r>
            <w:r>
              <w:rPr>
                <w:spacing w:val="-4"/>
              </w:rPr>
              <w:t> %</w:t>
            </w:r>
            <w:r w:rsidRPr="00F63577">
              <w:rPr>
                <w:spacing w:val="-4"/>
              </w:rPr>
              <w:t>)</w:t>
            </w:r>
            <w:r w:rsidRPr="00F63577">
              <w:rPr>
                <w:rStyle w:val="Znakapoznpodarou"/>
                <w:spacing w:val="-4"/>
              </w:rPr>
              <w:footnoteReference w:id="13"/>
            </w:r>
            <w:r w:rsidRPr="00F63577">
              <w:rPr>
                <w:spacing w:val="-4"/>
              </w:rPr>
              <w:t xml:space="preserve">. Letošní tempo HPH řadilo Česko v rámci EU na patnácté místo. V EU došlo k poklesu o 6,8 %, v zemích </w:t>
            </w:r>
            <w:r>
              <w:rPr>
                <w:spacing w:val="-4"/>
              </w:rPr>
              <w:t>e</w:t>
            </w:r>
            <w:r w:rsidRPr="00F63577">
              <w:rPr>
                <w:spacing w:val="-4"/>
              </w:rPr>
              <w:t>urozóny o</w:t>
            </w:r>
            <w:r>
              <w:rPr>
                <w:spacing w:val="-4"/>
              </w:rPr>
              <w:t> </w:t>
            </w:r>
            <w:r w:rsidRPr="00F63577">
              <w:rPr>
                <w:spacing w:val="-4"/>
              </w:rPr>
              <w:t>7,3</w:t>
            </w:r>
            <w:r>
              <w:rPr>
                <w:spacing w:val="-4"/>
              </w:rPr>
              <w:t> %</w:t>
            </w:r>
            <w:r w:rsidRPr="00F63577">
              <w:rPr>
                <w:spacing w:val="-4"/>
              </w:rPr>
              <w:t xml:space="preserve">. Tyto výsledky byly ovlivněny propadem výkonu významných ekonomik zejména na jižním křídle </w:t>
            </w:r>
            <w:r>
              <w:rPr>
                <w:spacing w:val="-4"/>
              </w:rPr>
              <w:t>e</w:t>
            </w:r>
            <w:r w:rsidRPr="00F63577">
              <w:rPr>
                <w:spacing w:val="-4"/>
              </w:rPr>
              <w:t>urozóny (Španělsko 11,2 %, Itálie 9,6 %, Řecko 8,5</w:t>
            </w:r>
            <w:r>
              <w:rPr>
                <w:spacing w:val="-4"/>
              </w:rPr>
              <w:t> %</w:t>
            </w:r>
            <w:r w:rsidRPr="00F63577">
              <w:rPr>
                <w:spacing w:val="-4"/>
              </w:rPr>
              <w:t>, Portugalsko 7,3 %) a také Francie (9,4 %). Z visegr</w:t>
            </w:r>
            <w:r>
              <w:rPr>
                <w:spacing w:val="-4"/>
              </w:rPr>
              <w:t>á</w:t>
            </w:r>
            <w:r w:rsidRPr="00F63577">
              <w:rPr>
                <w:spacing w:val="-4"/>
              </w:rPr>
              <w:t>dských států si nejlépe vedlo Polsko (</w:t>
            </w:r>
            <w:r>
              <w:rPr>
                <w:spacing w:val="-4"/>
              </w:rPr>
              <w:t>–</w:t>
            </w:r>
            <w:r w:rsidRPr="00F63577">
              <w:rPr>
                <w:spacing w:val="-4"/>
              </w:rPr>
              <w:t>3,0</w:t>
            </w:r>
            <w:r>
              <w:rPr>
                <w:spacing w:val="-4"/>
              </w:rPr>
              <w:t> %</w:t>
            </w:r>
            <w:r w:rsidRPr="00F63577">
              <w:rPr>
                <w:spacing w:val="-4"/>
              </w:rPr>
              <w:t>), nejhůře Slovensko (</w:t>
            </w:r>
            <w:r>
              <w:rPr>
                <w:spacing w:val="-4"/>
              </w:rPr>
              <w:t>–</w:t>
            </w:r>
            <w:r w:rsidRPr="00F63577">
              <w:rPr>
                <w:spacing w:val="-4"/>
              </w:rPr>
              <w:t>6,3</w:t>
            </w:r>
            <w:r>
              <w:rPr>
                <w:spacing w:val="-4"/>
              </w:rPr>
              <w:t> %</w:t>
            </w:r>
            <w:r w:rsidRPr="00F63577">
              <w:rPr>
                <w:spacing w:val="-4"/>
              </w:rPr>
              <w:t>). Růst přidané hodnoty registrovalo jen Irsko (+2,9</w:t>
            </w:r>
            <w:r>
              <w:rPr>
                <w:spacing w:val="-4"/>
              </w:rPr>
              <w:t> %</w:t>
            </w:r>
            <w:r w:rsidRPr="00F63577">
              <w:rPr>
                <w:spacing w:val="-4"/>
              </w:rPr>
              <w:t>), relativně příznivé výsledky hlásila i</w:t>
            </w:r>
            <w:r>
              <w:rPr>
                <w:spacing w:val="-4"/>
              </w:rPr>
              <w:t> </w:t>
            </w:r>
            <w:r w:rsidRPr="00F63577">
              <w:rPr>
                <w:spacing w:val="-4"/>
              </w:rPr>
              <w:t xml:space="preserve">většina severských států. Rozdíly mezi zeměmi vypovídají primárně o náběhu </w:t>
            </w:r>
            <w:proofErr w:type="spellStart"/>
            <w:r w:rsidRPr="00F63577">
              <w:rPr>
                <w:spacing w:val="-4"/>
              </w:rPr>
              <w:t>koronavirové</w:t>
            </w:r>
            <w:proofErr w:type="spellEnd"/>
            <w:r w:rsidRPr="00F63577">
              <w:rPr>
                <w:spacing w:val="-4"/>
              </w:rPr>
              <w:t xml:space="preserve"> nákazy napříč EU, rychlosti a intenzitě vládních restriktivních opatření a zčásti také o odlišné odvětvové skladbě ekonomik (negativně se projevilo vyšší zastoupení odvětví s vazbou na cestovní ruch, pozitivně pak </w:t>
            </w:r>
            <w:r>
              <w:rPr>
                <w:spacing w:val="-4"/>
              </w:rPr>
              <w:t>např.</w:t>
            </w:r>
            <w:r w:rsidRPr="00F63577">
              <w:rPr>
                <w:spacing w:val="-4"/>
              </w:rPr>
              <w:t xml:space="preserve"> role veřejných služeb).</w:t>
            </w:r>
          </w:p>
        </w:tc>
      </w:tr>
      <w:tr w:rsidR="008D3ACD" w:rsidRPr="006237E6" w14:paraId="40EAD8E5" w14:textId="77777777" w:rsidTr="008D3ACD">
        <w:trPr>
          <w:trHeight w:val="155"/>
        </w:trPr>
        <w:tc>
          <w:tcPr>
            <w:tcW w:w="1792" w:type="dxa"/>
            <w:shd w:val="clear" w:color="auto" w:fill="auto"/>
            <w:tcMar>
              <w:left w:w="0" w:type="dxa"/>
            </w:tcMar>
          </w:tcPr>
          <w:p w14:paraId="0B9F85BC" w14:textId="77777777" w:rsidR="008D3ACD" w:rsidRDefault="008D3ACD" w:rsidP="008D3ACD">
            <w:pPr>
              <w:pStyle w:val="Marginlie"/>
              <w:rPr>
                <w:spacing w:val="-4"/>
              </w:rPr>
            </w:pPr>
            <w:r>
              <w:t>Za tři čtvrtletí propadla přidaná hodnota nejvíce v uskupení obchod, doprava, ubytování a pohostinství.</w:t>
            </w:r>
          </w:p>
        </w:tc>
        <w:tc>
          <w:tcPr>
            <w:tcW w:w="216" w:type="dxa"/>
            <w:shd w:val="clear" w:color="auto" w:fill="auto"/>
            <w:tcMar>
              <w:left w:w="0" w:type="dxa"/>
            </w:tcMar>
          </w:tcPr>
          <w:p w14:paraId="01DA4395" w14:textId="77777777" w:rsidR="008D3ACD" w:rsidRPr="003B1401" w:rsidRDefault="008D3ACD" w:rsidP="008D3ACD">
            <w:pPr>
              <w:pStyle w:val="Textpoznpodarou"/>
              <w:jc w:val="both"/>
              <w:rPr>
                <w:spacing w:val="-4"/>
              </w:rPr>
            </w:pPr>
          </w:p>
        </w:tc>
        <w:tc>
          <w:tcPr>
            <w:tcW w:w="7656" w:type="dxa"/>
            <w:shd w:val="clear" w:color="auto" w:fill="auto"/>
            <w:tcMar>
              <w:left w:w="0" w:type="dxa"/>
            </w:tcMar>
          </w:tcPr>
          <w:p w14:paraId="2D5F6D24" w14:textId="77777777" w:rsidR="008D3ACD" w:rsidRPr="0082559E" w:rsidRDefault="008D3ACD" w:rsidP="008D3ACD">
            <w:pPr>
              <w:rPr>
                <w:rFonts w:cs="Arial"/>
                <w:bCs/>
                <w:color w:val="000000"/>
                <w:spacing w:val="-4"/>
                <w:szCs w:val="20"/>
              </w:rPr>
            </w:pPr>
            <w:r>
              <w:rPr>
                <w:spacing w:val="-4"/>
              </w:rPr>
              <w:t>Zatímco v 1. i ve 2. letošním čtvrtletí stál za poklesem HPH v ekonomice zejména zpracovatelský průmysl (příspěvek –0,8 p. b., resp. –4,5 bodu), v následujícím kvartálu tuto roli převzalo uskupení o</w:t>
            </w:r>
            <w:r w:rsidRPr="001B5F40">
              <w:rPr>
                <w:spacing w:val="-4"/>
              </w:rPr>
              <w:t>bchod, doprava, ubytování a</w:t>
            </w:r>
            <w:r>
              <w:rPr>
                <w:spacing w:val="-4"/>
              </w:rPr>
              <w:t> </w:t>
            </w:r>
            <w:r w:rsidRPr="001B5F40">
              <w:rPr>
                <w:spacing w:val="-4"/>
              </w:rPr>
              <w:t>pohostinství</w:t>
            </w:r>
            <w:r>
              <w:rPr>
                <w:spacing w:val="-4"/>
              </w:rPr>
              <w:t xml:space="preserve"> (–1,7 p. b.), když se na souhrnném poklesu podílelo z více než třetiny. Negativní dopad zde mělo nejen jarní uzavření významné části </w:t>
            </w:r>
            <w:r w:rsidRPr="00A97075">
              <w:rPr>
                <w:spacing w:val="-4"/>
              </w:rPr>
              <w:t>maloobchodních prodejen, ale i</w:t>
            </w:r>
            <w:r>
              <w:rPr>
                <w:spacing w:val="-4"/>
              </w:rPr>
              <w:t> </w:t>
            </w:r>
            <w:r w:rsidRPr="00A97075">
              <w:rPr>
                <w:spacing w:val="-4"/>
              </w:rPr>
              <w:t>přetrvávající hluboký útlu</w:t>
            </w:r>
            <w:r>
              <w:rPr>
                <w:spacing w:val="-4"/>
              </w:rPr>
              <w:t>m v příjezdovém cestovním ruchu</w:t>
            </w:r>
            <w:r w:rsidRPr="00A97075">
              <w:rPr>
                <w:rStyle w:val="Znakapoznpodarou"/>
                <w:spacing w:val="-3"/>
              </w:rPr>
              <w:footnoteReference w:id="14"/>
            </w:r>
            <w:r>
              <w:rPr>
                <w:spacing w:val="-4"/>
              </w:rPr>
              <w:t>. V tomto uskupení se tak přidaná hodnota za tři čtvrtletí meziročně propadla o 10,9 %, ve zpracovatelském průmyslu pak o 8,7 %. Silně zasaženy byly také tzv. ostatní činnosti služeb</w:t>
            </w:r>
            <w:r>
              <w:rPr>
                <w:rStyle w:val="Znakapoznpodarou"/>
                <w:spacing w:val="-4"/>
              </w:rPr>
              <w:footnoteReference w:id="15"/>
            </w:r>
            <w:r>
              <w:rPr>
                <w:spacing w:val="-4"/>
              </w:rPr>
              <w:t>, kde hluboký pokles HPH (–9,4 %) plně korespondoval s propadem odpracované doby. S problémy se potýkaly rovněž p</w:t>
            </w:r>
            <w:r w:rsidRPr="00BA361D">
              <w:rPr>
                <w:spacing w:val="-4"/>
              </w:rPr>
              <w:t>rofesní, vědecké, technické a</w:t>
            </w:r>
            <w:r>
              <w:rPr>
                <w:spacing w:val="-4"/>
              </w:rPr>
              <w:t> </w:t>
            </w:r>
            <w:r w:rsidRPr="00BA361D">
              <w:rPr>
                <w:spacing w:val="-4"/>
              </w:rPr>
              <w:t>administrativní činnosti</w:t>
            </w:r>
            <w:r>
              <w:rPr>
                <w:spacing w:val="-4"/>
              </w:rPr>
              <w:t xml:space="preserve"> (–7,7 %). Jako v jednom z mála hlavních odvětví zde nedošlo ve 3. čtvrtletí k oživení. Lze předpokládat, že mohlo jít i o důsledek zhoršující se finanční situace podniků, které mohly omezovat outsourcing některých služeb (např. v oblasti náboru pracovníků, pronájmů, úklidu, reklamy).</w:t>
            </w:r>
          </w:p>
        </w:tc>
      </w:tr>
      <w:tr w:rsidR="008D3ACD" w:rsidRPr="006237E6" w14:paraId="27845638" w14:textId="77777777" w:rsidTr="008D3ACD">
        <w:trPr>
          <w:trHeight w:val="155"/>
        </w:trPr>
        <w:tc>
          <w:tcPr>
            <w:tcW w:w="1792" w:type="dxa"/>
            <w:shd w:val="clear" w:color="auto" w:fill="auto"/>
            <w:tcMar>
              <w:left w:w="0" w:type="dxa"/>
            </w:tcMar>
          </w:tcPr>
          <w:p w14:paraId="0C8F995E" w14:textId="77777777" w:rsidR="008D3ACD" w:rsidRPr="00BE54BF" w:rsidRDefault="008D3ACD" w:rsidP="008D3ACD">
            <w:pPr>
              <w:pStyle w:val="Marginlie"/>
            </w:pPr>
            <w:r w:rsidRPr="00BE54BF">
              <w:t>Výkon stavebnictví klesl jen mírně, obdobně jako v roce 2019.</w:t>
            </w:r>
          </w:p>
          <w:p w14:paraId="7BFB6C42" w14:textId="77777777" w:rsidR="008D3ACD" w:rsidRPr="00BE54BF" w:rsidRDefault="008D3ACD" w:rsidP="008D3ACD">
            <w:pPr>
              <w:pStyle w:val="Marginlie"/>
            </w:pPr>
          </w:p>
          <w:p w14:paraId="627D4099" w14:textId="229ACCC7" w:rsidR="008D3ACD" w:rsidRPr="00BE54BF" w:rsidRDefault="008D3ACD" w:rsidP="008D3ACD">
            <w:pPr>
              <w:pStyle w:val="Marginlie"/>
            </w:pPr>
          </w:p>
          <w:p w14:paraId="7A2419B3" w14:textId="77777777" w:rsidR="008D3ACD" w:rsidRPr="00BE54BF" w:rsidRDefault="008D3ACD" w:rsidP="008D3ACD">
            <w:pPr>
              <w:pStyle w:val="Marginlie"/>
            </w:pPr>
            <w:r w:rsidRPr="00BE54BF">
              <w:t>Nejvíce rostla HPH v zemědělství, lesnictví a</w:t>
            </w:r>
            <w:r>
              <w:t> </w:t>
            </w:r>
            <w:r w:rsidRPr="00BE54BF">
              <w:t xml:space="preserve">rybářství. Projevil se vliv dobré úrody, stabilizovaný stav </w:t>
            </w:r>
            <w:r w:rsidRPr="00BE54BF">
              <w:lastRenderedPageBreak/>
              <w:t xml:space="preserve">živočišné výroby </w:t>
            </w:r>
            <w:r>
              <w:t>i </w:t>
            </w:r>
            <w:r w:rsidRPr="00BE54BF">
              <w:t>silná živelní těžba dřeva.</w:t>
            </w:r>
          </w:p>
          <w:p w14:paraId="55FAEC5A" w14:textId="77777777" w:rsidR="008D3ACD" w:rsidRDefault="008D3ACD" w:rsidP="008D3ACD">
            <w:pPr>
              <w:pStyle w:val="Marginlie"/>
              <w:rPr>
                <w:spacing w:val="-4"/>
              </w:rPr>
            </w:pPr>
          </w:p>
          <w:p w14:paraId="164A0A25" w14:textId="77777777" w:rsidR="008D3ACD" w:rsidRDefault="008D3ACD" w:rsidP="008D3ACD">
            <w:pPr>
              <w:pStyle w:val="Marginlie"/>
              <w:rPr>
                <w:spacing w:val="-4"/>
              </w:rPr>
            </w:pPr>
          </w:p>
          <w:p w14:paraId="3173F1ED" w14:textId="77777777" w:rsidR="008D3ACD" w:rsidRDefault="008D3ACD" w:rsidP="008D3ACD">
            <w:pPr>
              <w:pStyle w:val="Marginlie"/>
              <w:rPr>
                <w:spacing w:val="-4"/>
              </w:rPr>
            </w:pPr>
            <w:r w:rsidRPr="00677519">
              <w:t>HP</w:t>
            </w:r>
            <w:r>
              <w:t>H mírně rostla v informačních a</w:t>
            </w:r>
            <w:r w:rsidRPr="00677519">
              <w:t> komunikačních čin</w:t>
            </w:r>
            <w:r>
              <w:t>nostech i ve veřejných službách.</w:t>
            </w:r>
          </w:p>
        </w:tc>
        <w:tc>
          <w:tcPr>
            <w:tcW w:w="216" w:type="dxa"/>
            <w:shd w:val="clear" w:color="auto" w:fill="auto"/>
            <w:tcMar>
              <w:left w:w="0" w:type="dxa"/>
            </w:tcMar>
          </w:tcPr>
          <w:p w14:paraId="4814EBB0" w14:textId="77777777" w:rsidR="008D3ACD" w:rsidRPr="003B1401" w:rsidRDefault="008D3ACD" w:rsidP="008D3ACD">
            <w:pPr>
              <w:pStyle w:val="Textpoznpodarou"/>
              <w:jc w:val="both"/>
              <w:rPr>
                <w:spacing w:val="-4"/>
              </w:rPr>
            </w:pPr>
          </w:p>
        </w:tc>
        <w:tc>
          <w:tcPr>
            <w:tcW w:w="7656" w:type="dxa"/>
            <w:shd w:val="clear" w:color="auto" w:fill="auto"/>
            <w:tcMar>
              <w:left w:w="0" w:type="dxa"/>
            </w:tcMar>
          </w:tcPr>
          <w:p w14:paraId="65A28990" w14:textId="77777777" w:rsidR="008D3ACD" w:rsidRPr="00D74E92" w:rsidRDefault="008D3ACD" w:rsidP="008D3ACD">
            <w:pPr>
              <w:spacing w:after="200"/>
              <w:rPr>
                <w:rFonts w:cs="Arial"/>
                <w:bCs/>
                <w:color w:val="000000"/>
                <w:spacing w:val="-2"/>
                <w:szCs w:val="20"/>
              </w:rPr>
            </w:pPr>
            <w:r w:rsidRPr="00965AD0">
              <w:rPr>
                <w:spacing w:val="-4"/>
              </w:rPr>
              <w:t xml:space="preserve">Ostatní odvětví byla </w:t>
            </w:r>
            <w:r>
              <w:rPr>
                <w:spacing w:val="-4"/>
              </w:rPr>
              <w:t xml:space="preserve">v prvních třech čtvrtletích </w:t>
            </w:r>
            <w:r w:rsidRPr="00965AD0">
              <w:rPr>
                <w:spacing w:val="-4"/>
              </w:rPr>
              <w:t>zasažena</w:t>
            </w:r>
            <w:r>
              <w:rPr>
                <w:spacing w:val="-4"/>
              </w:rPr>
              <w:t xml:space="preserve"> </w:t>
            </w:r>
            <w:r w:rsidRPr="00965AD0">
              <w:rPr>
                <w:spacing w:val="-4"/>
              </w:rPr>
              <w:t xml:space="preserve">mírněji. </w:t>
            </w:r>
            <w:r>
              <w:rPr>
                <w:spacing w:val="-4"/>
              </w:rPr>
              <w:t>Přidaná hodnota ve</w:t>
            </w:r>
            <w:r w:rsidRPr="00965AD0">
              <w:rPr>
                <w:spacing w:val="-4"/>
              </w:rPr>
              <w:t xml:space="preserve"> stavebnictví</w:t>
            </w:r>
            <w:r>
              <w:rPr>
                <w:spacing w:val="-4"/>
              </w:rPr>
              <w:t xml:space="preserve"> se snížila o necelá 3 %, srovnatelným tempem jako v roce 2019. Příznivě zde působila relativně vysoká zásoba zakázek, limitujícím faktorem byl přetrvávající nedostatek pracovní síly i vysoká administrativní náročnost procesu přípravy i realizace staveb. Nepříznivý účinek těchto skutečností se v důsledku vyhlášení jarního nouzového stavu dále prohloubil. Výkon zemědělství, lesnictví a rybářství se meziročně zvýšil o 4,3 %, nejvíce z hlavních odvětví. Přidaná hodnota zde svižně rostla třetím rokem v řadě. </w:t>
            </w:r>
            <w:r w:rsidRPr="007D213B">
              <w:rPr>
                <w:spacing w:val="-4"/>
              </w:rPr>
              <w:t>Přispěla k tomu stabilizovaná situace v zemědělské prvovýrobě, jež nebyla letos vyjma zpřísněných hygienických opatření regulačními vlivy negativně dotčena. Výroba masa v 1. až 3.</w:t>
            </w:r>
            <w:r>
              <w:rPr>
                <w:spacing w:val="-4"/>
              </w:rPr>
              <w:t> čtvrtlet</w:t>
            </w:r>
            <w:r w:rsidRPr="007D213B">
              <w:rPr>
                <w:spacing w:val="-4"/>
              </w:rPr>
              <w:t>í</w:t>
            </w:r>
            <w:r>
              <w:rPr>
                <w:spacing w:val="-4"/>
              </w:rPr>
              <w:t xml:space="preserve"> </w:t>
            </w:r>
            <w:r>
              <w:rPr>
                <w:spacing w:val="-4"/>
              </w:rPr>
              <w:lastRenderedPageBreak/>
              <w:t xml:space="preserve">i díky </w:t>
            </w:r>
            <w:r w:rsidRPr="00B11F9A">
              <w:rPr>
                <w:spacing w:val="-4"/>
              </w:rPr>
              <w:t>vyšší porážkové hmotno</w:t>
            </w:r>
            <w:r>
              <w:rPr>
                <w:spacing w:val="-4"/>
              </w:rPr>
              <w:t>sti vykrmovaného skotu i prasat nepatrně vzrostla (+0,4 %). T</w:t>
            </w:r>
            <w:r w:rsidRPr="007D213B">
              <w:rPr>
                <w:spacing w:val="-4"/>
              </w:rPr>
              <w:t>uzemští producenti prodali naturálně o 4,7 % mléka více.</w:t>
            </w:r>
            <w:r>
              <w:rPr>
                <w:spacing w:val="-4"/>
              </w:rPr>
              <w:t xml:space="preserve"> Rostlinnou produkci podpořila dobrá letošní sklizeň, zejména u obilovin, brambor či pícnin</w:t>
            </w:r>
            <w:r w:rsidRPr="00282AD4">
              <w:rPr>
                <w:rStyle w:val="Znakapoznpodarou"/>
                <w:spacing w:val="-4"/>
              </w:rPr>
              <w:footnoteReference w:id="16"/>
            </w:r>
            <w:r w:rsidRPr="00282AD4">
              <w:rPr>
                <w:spacing w:val="-4"/>
              </w:rPr>
              <w:t xml:space="preserve">. </w:t>
            </w:r>
            <w:proofErr w:type="spellStart"/>
            <w:r w:rsidRPr="00282AD4">
              <w:rPr>
                <w:spacing w:val="-4"/>
              </w:rPr>
              <w:t>Prorůstově</w:t>
            </w:r>
            <w:proofErr w:type="spellEnd"/>
            <w:r w:rsidRPr="00282AD4">
              <w:rPr>
                <w:spacing w:val="-4"/>
              </w:rPr>
              <w:t xml:space="preserve"> </w:t>
            </w:r>
            <w:r>
              <w:rPr>
                <w:spacing w:val="-4"/>
              </w:rPr>
              <w:t xml:space="preserve">zřejmě </w:t>
            </w:r>
            <w:r w:rsidRPr="00282AD4">
              <w:rPr>
                <w:spacing w:val="-4"/>
              </w:rPr>
              <w:t xml:space="preserve">působila </w:t>
            </w:r>
            <w:r>
              <w:rPr>
                <w:spacing w:val="-4"/>
              </w:rPr>
              <w:t>na</w:t>
            </w:r>
            <w:r w:rsidRPr="00282AD4">
              <w:rPr>
                <w:spacing w:val="-4"/>
              </w:rPr>
              <w:t xml:space="preserve"> </w:t>
            </w:r>
            <w:r>
              <w:rPr>
                <w:spacing w:val="-4"/>
              </w:rPr>
              <w:t>celý</w:t>
            </w:r>
            <w:r w:rsidRPr="00282AD4">
              <w:rPr>
                <w:spacing w:val="-4"/>
              </w:rPr>
              <w:t xml:space="preserve"> primá</w:t>
            </w:r>
            <w:r>
              <w:rPr>
                <w:spacing w:val="-4"/>
              </w:rPr>
              <w:t>rní sektor</w:t>
            </w:r>
            <w:r w:rsidRPr="00282AD4">
              <w:rPr>
                <w:spacing w:val="-4"/>
              </w:rPr>
              <w:t xml:space="preserve"> i pokračující živelní těžba dřeva.</w:t>
            </w:r>
            <w:r w:rsidRPr="00F63577">
              <w:rPr>
                <w:spacing w:val="-2"/>
              </w:rPr>
              <w:t xml:space="preserve"> Role některých odvětví služeb nabírala v pandemickém období na významu. V informačních a</w:t>
            </w:r>
            <w:r>
              <w:rPr>
                <w:spacing w:val="-2"/>
              </w:rPr>
              <w:t> </w:t>
            </w:r>
            <w:r w:rsidRPr="00F63577">
              <w:rPr>
                <w:spacing w:val="-2"/>
              </w:rPr>
              <w:t>komunikačních činnostech vzrostla za tři čtvrtletí přidaná hodnota meziročně o</w:t>
            </w:r>
            <w:r>
              <w:rPr>
                <w:spacing w:val="-2"/>
              </w:rPr>
              <w:t> </w:t>
            </w:r>
            <w:r w:rsidRPr="00F63577">
              <w:rPr>
                <w:spacing w:val="-2"/>
              </w:rPr>
              <w:t>1,2</w:t>
            </w:r>
            <w:r>
              <w:rPr>
                <w:spacing w:val="-2"/>
              </w:rPr>
              <w:t> %</w:t>
            </w:r>
            <w:r w:rsidRPr="00F63577">
              <w:rPr>
                <w:spacing w:val="-2"/>
              </w:rPr>
              <w:t xml:space="preserve"> a v odvětvích s převahou vládních institucí o</w:t>
            </w:r>
            <w:r>
              <w:rPr>
                <w:spacing w:val="-2"/>
              </w:rPr>
              <w:t> </w:t>
            </w:r>
            <w:r w:rsidRPr="00F63577">
              <w:rPr>
                <w:spacing w:val="-2"/>
              </w:rPr>
              <w:t>0,5</w:t>
            </w:r>
            <w:r>
              <w:rPr>
                <w:spacing w:val="-2"/>
              </w:rPr>
              <w:t> %</w:t>
            </w:r>
            <w:r w:rsidRPr="00F63577">
              <w:rPr>
                <w:spacing w:val="-2"/>
              </w:rPr>
              <w:t>. Jestliže v informačních a</w:t>
            </w:r>
            <w:r>
              <w:rPr>
                <w:spacing w:val="-2"/>
              </w:rPr>
              <w:t> </w:t>
            </w:r>
            <w:r w:rsidRPr="00F63577">
              <w:rPr>
                <w:spacing w:val="-2"/>
              </w:rPr>
              <w:t>komunikačních činnostech šlo o</w:t>
            </w:r>
            <w:r>
              <w:rPr>
                <w:spacing w:val="-2"/>
              </w:rPr>
              <w:t> </w:t>
            </w:r>
            <w:r w:rsidRPr="00F63577">
              <w:rPr>
                <w:spacing w:val="-2"/>
              </w:rPr>
              <w:t>nejslabší tempo po roce 2012, v oblasti veřejných služeb byl mírný růst v posledním pětiletí standardním jevem.</w:t>
            </w:r>
          </w:p>
        </w:tc>
      </w:tr>
      <w:tr w:rsidR="008D3ACD" w:rsidRPr="006237E6" w14:paraId="52407B3A" w14:textId="77777777" w:rsidTr="008D3ACD">
        <w:trPr>
          <w:trHeight w:val="155"/>
        </w:trPr>
        <w:tc>
          <w:tcPr>
            <w:tcW w:w="1792" w:type="dxa"/>
            <w:shd w:val="clear" w:color="auto" w:fill="auto"/>
            <w:tcMar>
              <w:left w:w="0" w:type="dxa"/>
            </w:tcMar>
          </w:tcPr>
          <w:p w14:paraId="1AEC7451" w14:textId="77777777" w:rsidR="008D3ACD" w:rsidRPr="008A4CB5" w:rsidRDefault="008D3ACD" w:rsidP="008D3ACD">
            <w:pPr>
              <w:pStyle w:val="Marginlie"/>
              <w:rPr>
                <w:spacing w:val="-4"/>
              </w:rPr>
            </w:pPr>
            <w:r w:rsidRPr="008A4CB5">
              <w:rPr>
                <w:spacing w:val="-4"/>
              </w:rPr>
              <w:lastRenderedPageBreak/>
              <w:t>Navzdory silnému letnímu oživení zůstávala hodnota průmyslové produkce v září stále pod svým „</w:t>
            </w:r>
            <w:proofErr w:type="spellStart"/>
            <w:r w:rsidRPr="008A4CB5">
              <w:rPr>
                <w:spacing w:val="-4"/>
              </w:rPr>
              <w:t>předpandemickým</w:t>
            </w:r>
            <w:proofErr w:type="spellEnd"/>
            <w:r w:rsidRPr="008A4CB5">
              <w:rPr>
                <w:spacing w:val="-4"/>
              </w:rPr>
              <w:t>“ maximem.</w:t>
            </w:r>
          </w:p>
        </w:tc>
        <w:tc>
          <w:tcPr>
            <w:tcW w:w="216" w:type="dxa"/>
            <w:shd w:val="clear" w:color="auto" w:fill="auto"/>
            <w:tcMar>
              <w:left w:w="0" w:type="dxa"/>
            </w:tcMar>
          </w:tcPr>
          <w:p w14:paraId="7C371652" w14:textId="77777777" w:rsidR="008D3ACD" w:rsidRPr="003B1401" w:rsidRDefault="008D3ACD" w:rsidP="008D3ACD">
            <w:pPr>
              <w:pStyle w:val="Textpoznpodarou"/>
              <w:jc w:val="both"/>
              <w:rPr>
                <w:spacing w:val="-4"/>
              </w:rPr>
            </w:pPr>
          </w:p>
        </w:tc>
        <w:tc>
          <w:tcPr>
            <w:tcW w:w="7656" w:type="dxa"/>
            <w:shd w:val="clear" w:color="auto" w:fill="auto"/>
            <w:tcMar>
              <w:left w:w="0" w:type="dxa"/>
            </w:tcMar>
          </w:tcPr>
          <w:p w14:paraId="68605241" w14:textId="77777777" w:rsidR="008D3ACD" w:rsidRPr="00965AD0" w:rsidRDefault="008D3ACD" w:rsidP="008D3ACD">
            <w:pPr>
              <w:spacing w:after="200"/>
              <w:rPr>
                <w:spacing w:val="-4"/>
              </w:rPr>
            </w:pPr>
            <w:r w:rsidRPr="002A2159">
              <w:t>Z</w:t>
            </w:r>
            <w:r>
              <w:t> </w:t>
            </w:r>
            <w:r w:rsidRPr="002A2159">
              <w:t>podrobnější</w:t>
            </w:r>
            <w:r>
              <w:t>ch údajů</w:t>
            </w:r>
            <w:r w:rsidRPr="002A2159">
              <w:t xml:space="preserve"> podnikových statistik plyne, </w:t>
            </w:r>
            <w:r>
              <w:t xml:space="preserve">že </w:t>
            </w:r>
            <w:r w:rsidRPr="002A2159">
              <w:t>po prudkém jarní</w:t>
            </w:r>
            <w:r>
              <w:t>m útlumu</w:t>
            </w:r>
            <w:r>
              <w:rPr>
                <w:rStyle w:val="Znakapoznpodarou"/>
              </w:rPr>
              <w:footnoteReference w:id="17"/>
            </w:r>
            <w:r>
              <w:t xml:space="preserve"> doprovázeném několikatýdenní uzavírkou řady provozoven (včetně klíčových exportérů) došlo v letním období k významnému oživení </w:t>
            </w:r>
            <w:r w:rsidRPr="002A2159">
              <w:rPr>
                <w:color w:val="000000" w:themeColor="text1"/>
              </w:rPr>
              <w:t>průmyslov</w:t>
            </w:r>
            <w:r>
              <w:rPr>
                <w:color w:val="000000" w:themeColor="text1"/>
              </w:rPr>
              <w:t>é</w:t>
            </w:r>
            <w:r w:rsidRPr="002A2159">
              <w:rPr>
                <w:color w:val="000000" w:themeColor="text1"/>
              </w:rPr>
              <w:t xml:space="preserve"> produkce</w:t>
            </w:r>
            <w:r w:rsidRPr="002A2159">
              <w:rPr>
                <w:color w:val="000000" w:themeColor="text1"/>
                <w:vertAlign w:val="superscript"/>
              </w:rPr>
              <w:footnoteReference w:id="18"/>
            </w:r>
            <w:r>
              <w:rPr>
                <w:color w:val="000000" w:themeColor="text1"/>
              </w:rPr>
              <w:t xml:space="preserve">. Počínaje květnem výkon průmyslu meziměsíčně rostl. Tento trend mírně narušil pouze srpen (–0,8 %), zčásti v důsledku celozávodních dovolených. Za letní měsíce tak průmyslová produkce oproti 2. čtvrtletí vzrostla o 23 %. </w:t>
            </w:r>
            <w:r w:rsidRPr="004F16D8">
              <w:rPr>
                <w:color w:val="000000" w:themeColor="text1"/>
              </w:rPr>
              <w:t xml:space="preserve">K letnímu </w:t>
            </w:r>
            <w:r>
              <w:rPr>
                <w:color w:val="000000" w:themeColor="text1"/>
              </w:rPr>
              <w:t>oživení pomohl</w:t>
            </w:r>
            <w:r w:rsidRPr="004F16D8">
              <w:rPr>
                <w:color w:val="000000" w:themeColor="text1"/>
              </w:rPr>
              <w:t xml:space="preserve"> relativně rychlý „náběh“ zahraničních zakázek i</w:t>
            </w:r>
            <w:r>
              <w:rPr>
                <w:color w:val="000000" w:themeColor="text1"/>
              </w:rPr>
              <w:t> </w:t>
            </w:r>
            <w:r w:rsidRPr="004F16D8">
              <w:rPr>
                <w:color w:val="000000" w:themeColor="text1"/>
              </w:rPr>
              <w:t>slabší kurz koruny.</w:t>
            </w:r>
            <w:r>
              <w:rPr>
                <w:color w:val="000000" w:themeColor="text1"/>
              </w:rPr>
              <w:t xml:space="preserve"> Navzdory tomu ani zářijová úroveň produkce stále plně nedosahovala „</w:t>
            </w:r>
            <w:proofErr w:type="spellStart"/>
            <w:r>
              <w:rPr>
                <w:color w:val="000000" w:themeColor="text1"/>
              </w:rPr>
              <w:t>předpandemického</w:t>
            </w:r>
            <w:proofErr w:type="spellEnd"/>
            <w:r>
              <w:rPr>
                <w:color w:val="000000" w:themeColor="text1"/>
              </w:rPr>
              <w:t>“ maxima</w:t>
            </w:r>
            <w:r>
              <w:rPr>
                <w:rStyle w:val="Znakapoznpodarou"/>
                <w:color w:val="000000" w:themeColor="text1"/>
              </w:rPr>
              <w:footnoteReference w:id="19"/>
            </w:r>
            <w:r>
              <w:rPr>
                <w:color w:val="000000" w:themeColor="text1"/>
              </w:rPr>
              <w:t>.</w:t>
            </w:r>
          </w:p>
        </w:tc>
      </w:tr>
      <w:tr w:rsidR="008D3ACD" w:rsidRPr="006237E6" w14:paraId="5EBAF155" w14:textId="77777777" w:rsidTr="008D3ACD">
        <w:trPr>
          <w:trHeight w:val="155"/>
        </w:trPr>
        <w:tc>
          <w:tcPr>
            <w:tcW w:w="1792" w:type="dxa"/>
            <w:shd w:val="clear" w:color="auto" w:fill="auto"/>
            <w:tcMar>
              <w:left w:w="0" w:type="dxa"/>
            </w:tcMar>
          </w:tcPr>
          <w:p w14:paraId="0EC44454" w14:textId="77777777" w:rsidR="008D3ACD" w:rsidRPr="00BE54BF" w:rsidRDefault="008D3ACD" w:rsidP="008D3ACD">
            <w:pPr>
              <w:pStyle w:val="Marginlie"/>
            </w:pPr>
            <w:r>
              <w:t>V prvním pololetí působila ve směru poklesu průmyslu nejvíce výroba motorových vozidel, ve 3.</w:t>
            </w:r>
            <w:r w:rsidRPr="00BE54BF">
              <w:t> </w:t>
            </w:r>
            <w:r>
              <w:t>čtvrtletí kovovýroba a</w:t>
            </w:r>
            <w:r w:rsidRPr="00BE54BF">
              <w:t> </w:t>
            </w:r>
            <w:r>
              <w:t>strojírenství.</w:t>
            </w:r>
          </w:p>
        </w:tc>
        <w:tc>
          <w:tcPr>
            <w:tcW w:w="216" w:type="dxa"/>
            <w:shd w:val="clear" w:color="auto" w:fill="auto"/>
            <w:tcMar>
              <w:left w:w="0" w:type="dxa"/>
            </w:tcMar>
          </w:tcPr>
          <w:p w14:paraId="1A7DFF58" w14:textId="77777777" w:rsidR="008D3ACD" w:rsidRPr="003B1401" w:rsidRDefault="008D3ACD" w:rsidP="008D3ACD">
            <w:pPr>
              <w:pStyle w:val="Textpoznpodarou"/>
              <w:jc w:val="both"/>
              <w:rPr>
                <w:spacing w:val="-4"/>
              </w:rPr>
            </w:pPr>
          </w:p>
        </w:tc>
        <w:tc>
          <w:tcPr>
            <w:tcW w:w="7656" w:type="dxa"/>
            <w:shd w:val="clear" w:color="auto" w:fill="auto"/>
            <w:tcMar>
              <w:left w:w="0" w:type="dxa"/>
            </w:tcMar>
          </w:tcPr>
          <w:p w14:paraId="6EB9889D" w14:textId="77777777" w:rsidR="008D3ACD" w:rsidRPr="008F1AFF" w:rsidRDefault="008D3ACD" w:rsidP="008D3ACD">
            <w:pPr>
              <w:spacing w:after="200"/>
              <w:rPr>
                <w:spacing w:val="-3"/>
              </w:rPr>
            </w:pPr>
            <w:r w:rsidRPr="008F1AFF">
              <w:rPr>
                <w:spacing w:val="-3"/>
              </w:rPr>
              <w:t>I</w:t>
            </w:r>
            <w:r>
              <w:rPr>
                <w:spacing w:val="-3"/>
              </w:rPr>
              <w:t> </w:t>
            </w:r>
            <w:r w:rsidRPr="008F1AFF">
              <w:rPr>
                <w:spacing w:val="-3"/>
              </w:rPr>
              <w:t>přes solidní vstup do letošního roku klesla průmyslová produkce vinou nepříznivého březnového vývoje za celé 1.</w:t>
            </w:r>
            <w:r>
              <w:rPr>
                <w:spacing w:val="-3"/>
              </w:rPr>
              <w:t> čtvrtlet</w:t>
            </w:r>
            <w:r w:rsidRPr="008F1AFF">
              <w:rPr>
                <w:spacing w:val="-3"/>
              </w:rPr>
              <w:t>í meziročně o</w:t>
            </w:r>
            <w:r>
              <w:rPr>
                <w:spacing w:val="-3"/>
              </w:rPr>
              <w:t> </w:t>
            </w:r>
            <w:r w:rsidRPr="008F1AFF">
              <w:rPr>
                <w:spacing w:val="-3"/>
              </w:rPr>
              <w:t>5,0</w:t>
            </w:r>
            <w:r>
              <w:rPr>
                <w:spacing w:val="-3"/>
              </w:rPr>
              <w:t> %</w:t>
            </w:r>
            <w:r w:rsidRPr="008F1AFF">
              <w:rPr>
                <w:spacing w:val="-3"/>
              </w:rPr>
              <w:t>. V následujícím kvartálu došlo k nejhlubšímu propadu ve srovnatelné řadě od roku 2000 (o</w:t>
            </w:r>
            <w:r>
              <w:rPr>
                <w:spacing w:val="-3"/>
              </w:rPr>
              <w:t> </w:t>
            </w:r>
            <w:r w:rsidRPr="008F1AFF">
              <w:rPr>
                <w:spacing w:val="-3"/>
              </w:rPr>
              <w:t>23,6</w:t>
            </w:r>
            <w:r>
              <w:rPr>
                <w:spacing w:val="-3"/>
              </w:rPr>
              <w:t> %</w:t>
            </w:r>
            <w:r w:rsidRPr="008F1AFF">
              <w:rPr>
                <w:spacing w:val="-3"/>
              </w:rPr>
              <w:t>). Ve 3.</w:t>
            </w:r>
            <w:r>
              <w:rPr>
                <w:spacing w:val="-3"/>
              </w:rPr>
              <w:t> čtvrtlet</w:t>
            </w:r>
            <w:r w:rsidRPr="008F1AFF">
              <w:rPr>
                <w:spacing w:val="-3"/>
              </w:rPr>
              <w:t>í pokles zmírnil na 3,6</w:t>
            </w:r>
            <w:r>
              <w:rPr>
                <w:spacing w:val="-3"/>
              </w:rPr>
              <w:t> %</w:t>
            </w:r>
            <w:r w:rsidRPr="008F1AFF">
              <w:rPr>
                <w:spacing w:val="-3"/>
              </w:rPr>
              <w:t>. Jestliže v první polovině roku byl útlum průmyslu úzce svázán s produkcí motorových vozidel</w:t>
            </w:r>
            <w:r>
              <w:rPr>
                <w:spacing w:val="-3"/>
              </w:rPr>
              <w:t>,</w:t>
            </w:r>
            <w:r w:rsidRPr="008F1AFF">
              <w:rPr>
                <w:spacing w:val="-3"/>
              </w:rPr>
              <w:t xml:space="preserve"> </w:t>
            </w:r>
            <w:r>
              <w:rPr>
                <w:spacing w:val="-3"/>
              </w:rPr>
              <w:t>která</w:t>
            </w:r>
            <w:r w:rsidRPr="008F1AFF">
              <w:rPr>
                <w:spacing w:val="-3"/>
              </w:rPr>
              <w:t xml:space="preserve"> včetně nejbližších návazných oborů zodpovídala za zhruba polovinu celkové</w:t>
            </w:r>
            <w:r>
              <w:rPr>
                <w:spacing w:val="-3"/>
              </w:rPr>
              <w:t>ho</w:t>
            </w:r>
            <w:r w:rsidRPr="008F1AFF">
              <w:rPr>
                <w:spacing w:val="-3"/>
              </w:rPr>
              <w:t xml:space="preserve"> meziro</w:t>
            </w:r>
            <w:r>
              <w:rPr>
                <w:spacing w:val="-3"/>
              </w:rPr>
              <w:t>čního poklesu</w:t>
            </w:r>
            <w:r w:rsidRPr="008F1AFF">
              <w:rPr>
                <w:spacing w:val="-3"/>
              </w:rPr>
              <w:t>, ve 3.</w:t>
            </w:r>
            <w:r>
              <w:rPr>
                <w:spacing w:val="-3"/>
              </w:rPr>
              <w:t> čtvrtlet</w:t>
            </w:r>
            <w:r w:rsidRPr="008F1AFF">
              <w:rPr>
                <w:spacing w:val="-3"/>
              </w:rPr>
              <w:t xml:space="preserve">í táhly celé odvětví dolů nejvíce kovovýroba (vliv </w:t>
            </w:r>
            <w:r>
              <w:rPr>
                <w:spacing w:val="-3"/>
              </w:rPr>
              <w:t>–</w:t>
            </w:r>
            <w:r w:rsidRPr="008F1AFF">
              <w:rPr>
                <w:spacing w:val="-3"/>
              </w:rPr>
              <w:t>0,75</w:t>
            </w:r>
            <w:r>
              <w:rPr>
                <w:spacing w:val="-3"/>
              </w:rPr>
              <w:t> p. b.</w:t>
            </w:r>
            <w:r w:rsidRPr="008F1AFF">
              <w:rPr>
                <w:spacing w:val="-3"/>
              </w:rPr>
              <w:t>) a</w:t>
            </w:r>
            <w:r>
              <w:rPr>
                <w:spacing w:val="-3"/>
              </w:rPr>
              <w:t> </w:t>
            </w:r>
            <w:r w:rsidRPr="008F1AFF">
              <w:rPr>
                <w:spacing w:val="-3"/>
              </w:rPr>
              <w:t>strojírenství (</w:t>
            </w:r>
            <w:r>
              <w:rPr>
                <w:spacing w:val="-3"/>
              </w:rPr>
              <w:t>–</w:t>
            </w:r>
            <w:r w:rsidRPr="008F1AFF">
              <w:rPr>
                <w:spacing w:val="-3"/>
              </w:rPr>
              <w:t>0,74</w:t>
            </w:r>
            <w:r>
              <w:rPr>
                <w:spacing w:val="-3"/>
              </w:rPr>
              <w:t> p. b.</w:t>
            </w:r>
            <w:r w:rsidRPr="008F1AFF">
              <w:rPr>
                <w:spacing w:val="-3"/>
              </w:rPr>
              <w:t>).</w:t>
            </w:r>
          </w:p>
        </w:tc>
      </w:tr>
      <w:tr w:rsidR="008D3ACD" w:rsidRPr="006237E6" w14:paraId="0BEA3242" w14:textId="77777777" w:rsidTr="008D3ACD">
        <w:trPr>
          <w:trHeight w:val="155"/>
        </w:trPr>
        <w:tc>
          <w:tcPr>
            <w:tcW w:w="1792" w:type="dxa"/>
            <w:shd w:val="clear" w:color="auto" w:fill="auto"/>
            <w:tcMar>
              <w:left w:w="0" w:type="dxa"/>
            </w:tcMar>
          </w:tcPr>
          <w:p w14:paraId="44C94549" w14:textId="77777777" w:rsidR="008D3ACD" w:rsidRDefault="008D3ACD" w:rsidP="008D3ACD">
            <w:pPr>
              <w:pStyle w:val="Marginlie"/>
            </w:pPr>
            <w:r>
              <w:t>Výkon automobilového průmyslu se po dubnovém zmrazení během letního období vracel k normálu.</w:t>
            </w:r>
          </w:p>
          <w:p w14:paraId="7873E193" w14:textId="77777777" w:rsidR="008D3ACD" w:rsidRDefault="008D3ACD" w:rsidP="008D3ACD">
            <w:pPr>
              <w:pStyle w:val="Marginlie"/>
            </w:pPr>
          </w:p>
          <w:p w14:paraId="10A1BF5D" w14:textId="77777777" w:rsidR="008D3ACD" w:rsidRDefault="008D3ACD" w:rsidP="008D3ACD">
            <w:pPr>
              <w:pStyle w:val="Marginlie"/>
            </w:pPr>
          </w:p>
          <w:p w14:paraId="2837091C" w14:textId="77777777" w:rsidR="008D3ACD" w:rsidRDefault="008D3ACD" w:rsidP="008D3ACD">
            <w:pPr>
              <w:pStyle w:val="Marginlie"/>
            </w:pPr>
          </w:p>
          <w:p w14:paraId="62654518" w14:textId="77777777" w:rsidR="008D3ACD" w:rsidRDefault="008D3ACD" w:rsidP="008D3ACD">
            <w:pPr>
              <w:pStyle w:val="Marginlie"/>
            </w:pPr>
          </w:p>
          <w:p w14:paraId="6218A653" w14:textId="77777777" w:rsidR="008D3ACD" w:rsidRDefault="008D3ACD" w:rsidP="008D3ACD">
            <w:pPr>
              <w:pStyle w:val="Marginlie"/>
            </w:pPr>
            <w:r>
              <w:t>Pokles v těžebním průmyslu se prohloubil vinou útlumu těžby uhlí i vlivem nižší těžby stavebních surovin.</w:t>
            </w:r>
          </w:p>
          <w:p w14:paraId="66B19A9D" w14:textId="77777777" w:rsidR="008D3ACD" w:rsidRDefault="008D3ACD" w:rsidP="008D3ACD">
            <w:pPr>
              <w:pStyle w:val="Marginlie"/>
            </w:pPr>
          </w:p>
          <w:p w14:paraId="4685586B" w14:textId="77777777" w:rsidR="008D3ACD" w:rsidRDefault="008D3ACD" w:rsidP="008D3ACD">
            <w:pPr>
              <w:pStyle w:val="Marginlie"/>
            </w:pPr>
          </w:p>
          <w:p w14:paraId="049DE37B" w14:textId="77777777" w:rsidR="008D3ACD" w:rsidRDefault="008D3ACD" w:rsidP="008D3ACD">
            <w:pPr>
              <w:pStyle w:val="Marginlie"/>
            </w:pPr>
            <w:r>
              <w:lastRenderedPageBreak/>
              <w:t>Hlubší snížení produkce nastalo ve strojírenství, hutnictví či kovovýrobě.</w:t>
            </w:r>
          </w:p>
          <w:p w14:paraId="382C9AA9" w14:textId="77777777" w:rsidR="008D3ACD" w:rsidRDefault="008D3ACD" w:rsidP="008D3ACD">
            <w:pPr>
              <w:pStyle w:val="Marginlie"/>
            </w:pPr>
          </w:p>
          <w:p w14:paraId="223608FB" w14:textId="77777777" w:rsidR="008D3ACD" w:rsidRDefault="008D3ACD" w:rsidP="008D3ACD">
            <w:pPr>
              <w:pStyle w:val="Marginlie"/>
            </w:pPr>
          </w:p>
          <w:p w14:paraId="0E0358E2" w14:textId="77777777" w:rsidR="008D3ACD" w:rsidRDefault="008D3ACD" w:rsidP="008D3ACD">
            <w:pPr>
              <w:pStyle w:val="Marginlie"/>
            </w:pPr>
          </w:p>
          <w:p w14:paraId="31758575" w14:textId="77777777" w:rsidR="008D3ACD" w:rsidRDefault="008D3ACD" w:rsidP="008D3ACD">
            <w:pPr>
              <w:pStyle w:val="Marginlie"/>
            </w:pPr>
          </w:p>
          <w:p w14:paraId="048DAB8E" w14:textId="77777777" w:rsidR="008D3ACD" w:rsidRDefault="008D3ACD" w:rsidP="008D3ACD">
            <w:pPr>
              <w:pStyle w:val="Marginlie"/>
            </w:pPr>
            <w:r>
              <w:t>Potravinářství těžilo z vyšší tuzemské poptávky i dobré úrody.</w:t>
            </w:r>
          </w:p>
          <w:p w14:paraId="49FB1617" w14:textId="77777777" w:rsidR="008D3ACD" w:rsidRDefault="008D3ACD" w:rsidP="008D3ACD">
            <w:pPr>
              <w:pStyle w:val="Marginlie"/>
            </w:pPr>
          </w:p>
          <w:p w14:paraId="408B5057" w14:textId="77777777" w:rsidR="008D3ACD" w:rsidRDefault="008D3ACD" w:rsidP="008D3ACD">
            <w:pPr>
              <w:pStyle w:val="Marginlie"/>
            </w:pPr>
          </w:p>
          <w:p w14:paraId="3B95E73B" w14:textId="77777777" w:rsidR="008D3ACD" w:rsidRDefault="008D3ACD" w:rsidP="008D3ACD">
            <w:pPr>
              <w:pStyle w:val="Marginlie"/>
            </w:pPr>
          </w:p>
          <w:p w14:paraId="00D4A32C" w14:textId="77777777" w:rsidR="008D3ACD" w:rsidRDefault="008D3ACD" w:rsidP="008D3ACD">
            <w:pPr>
              <w:pStyle w:val="Marginlie"/>
            </w:pPr>
          </w:p>
          <w:p w14:paraId="78846F33" w14:textId="77777777" w:rsidR="008D3ACD" w:rsidRPr="00261D3B" w:rsidRDefault="008D3ACD" w:rsidP="008D3ACD">
            <w:pPr>
              <w:pStyle w:val="Marginlie"/>
            </w:pPr>
            <w:r w:rsidRPr="00261D3B">
              <w:t>Někte</w:t>
            </w:r>
            <w:r>
              <w:t>rým zejména menším oborům pomáhala</w:t>
            </w:r>
            <w:r w:rsidRPr="00261D3B">
              <w:t xml:space="preserve"> </w:t>
            </w:r>
            <w:r w:rsidRPr="00261D3B">
              <w:rPr>
                <w:color w:val="000000" w:themeColor="text1"/>
                <w:spacing w:val="-3"/>
              </w:rPr>
              <w:t>specifická skladba poptávky b</w:t>
            </w:r>
            <w:r>
              <w:rPr>
                <w:color w:val="000000" w:themeColor="text1"/>
                <w:spacing w:val="-3"/>
              </w:rPr>
              <w:t xml:space="preserve">ěhem </w:t>
            </w:r>
            <w:proofErr w:type="spellStart"/>
            <w:r>
              <w:rPr>
                <w:color w:val="000000" w:themeColor="text1"/>
                <w:spacing w:val="-3"/>
              </w:rPr>
              <w:t>koronavirové</w:t>
            </w:r>
            <w:proofErr w:type="spellEnd"/>
            <w:r>
              <w:rPr>
                <w:color w:val="000000" w:themeColor="text1"/>
                <w:spacing w:val="-3"/>
              </w:rPr>
              <w:t xml:space="preserve"> krize.</w:t>
            </w:r>
          </w:p>
          <w:p w14:paraId="0BAAFBC8" w14:textId="77777777" w:rsidR="008D3ACD" w:rsidRPr="00BE54BF" w:rsidRDefault="008D3ACD" w:rsidP="008D3ACD">
            <w:pPr>
              <w:pStyle w:val="Marginlie"/>
            </w:pPr>
          </w:p>
        </w:tc>
        <w:tc>
          <w:tcPr>
            <w:tcW w:w="216" w:type="dxa"/>
            <w:shd w:val="clear" w:color="auto" w:fill="auto"/>
            <w:tcMar>
              <w:left w:w="0" w:type="dxa"/>
            </w:tcMar>
          </w:tcPr>
          <w:p w14:paraId="3989D73D" w14:textId="77777777" w:rsidR="008D3ACD" w:rsidRPr="003B1401" w:rsidRDefault="008D3ACD" w:rsidP="008D3ACD">
            <w:pPr>
              <w:pStyle w:val="Textpoznpodarou"/>
              <w:jc w:val="both"/>
              <w:rPr>
                <w:spacing w:val="-4"/>
              </w:rPr>
            </w:pPr>
          </w:p>
        </w:tc>
        <w:tc>
          <w:tcPr>
            <w:tcW w:w="7656" w:type="dxa"/>
            <w:shd w:val="clear" w:color="auto" w:fill="auto"/>
            <w:tcMar>
              <w:left w:w="0" w:type="dxa"/>
            </w:tcMar>
          </w:tcPr>
          <w:p w14:paraId="7812FFBF" w14:textId="4D71F53D" w:rsidR="008D3ACD" w:rsidRPr="004173F3" w:rsidRDefault="008D3ACD" w:rsidP="008D3ACD">
            <w:pPr>
              <w:spacing w:after="200"/>
              <w:rPr>
                <w:spacing w:val="-4"/>
              </w:rPr>
            </w:pPr>
            <w:r w:rsidRPr="004173F3">
              <w:rPr>
                <w:spacing w:val="-4"/>
              </w:rPr>
              <w:t>Za 1</w:t>
            </w:r>
            <w:r>
              <w:rPr>
                <w:spacing w:val="-4"/>
              </w:rPr>
              <w:t>. </w:t>
            </w:r>
            <w:r w:rsidRPr="004173F3">
              <w:rPr>
                <w:spacing w:val="-4"/>
              </w:rPr>
              <w:t>až 3.</w:t>
            </w:r>
            <w:r>
              <w:rPr>
                <w:spacing w:val="-4"/>
              </w:rPr>
              <w:t> čtvrtlet</w:t>
            </w:r>
            <w:r w:rsidRPr="004173F3">
              <w:rPr>
                <w:spacing w:val="-4"/>
              </w:rPr>
              <w:t>í se produkce v odvětví výroby motorových vozidel snížila o</w:t>
            </w:r>
            <w:r>
              <w:rPr>
                <w:spacing w:val="-4"/>
              </w:rPr>
              <w:t> </w:t>
            </w:r>
            <w:r w:rsidR="0009290F">
              <w:rPr>
                <w:spacing w:val="-4"/>
              </w:rPr>
              <w:t>19,6</w:t>
            </w:r>
            <w:r>
              <w:rPr>
                <w:spacing w:val="-4"/>
              </w:rPr>
              <w:t> %</w:t>
            </w:r>
            <w:r w:rsidRPr="004173F3">
              <w:rPr>
                <w:spacing w:val="-4"/>
              </w:rPr>
              <w:t>, téměř dvojnásobně než v celém průmyslu. Faktické uzavření provozoven klíčových podniků i souběžné ochromení činnosti mnohých subdodavatelů vedl</w:t>
            </w:r>
            <w:r>
              <w:rPr>
                <w:spacing w:val="-4"/>
              </w:rPr>
              <w:t>y</w:t>
            </w:r>
            <w:r w:rsidRPr="004173F3">
              <w:rPr>
                <w:spacing w:val="-4"/>
              </w:rPr>
              <w:t xml:space="preserve"> v dubnu k bezprecedentnímu propadu produkce, vývozu i</w:t>
            </w:r>
            <w:r>
              <w:rPr>
                <w:spacing w:val="-4"/>
              </w:rPr>
              <w:t> </w:t>
            </w:r>
            <w:r w:rsidRPr="004173F3">
              <w:rPr>
                <w:spacing w:val="-4"/>
              </w:rPr>
              <w:t>nových zakázek o</w:t>
            </w:r>
            <w:r>
              <w:rPr>
                <w:spacing w:val="-4"/>
              </w:rPr>
              <w:t> </w:t>
            </w:r>
            <w:r w:rsidRPr="004173F3">
              <w:rPr>
                <w:spacing w:val="-4"/>
              </w:rPr>
              <w:t>zhruba 80</w:t>
            </w:r>
            <w:r>
              <w:rPr>
                <w:spacing w:val="-4"/>
              </w:rPr>
              <w:t> %</w:t>
            </w:r>
            <w:r w:rsidRPr="004173F3">
              <w:rPr>
                <w:rStyle w:val="Znakapoznpodarou"/>
                <w:spacing w:val="-4"/>
              </w:rPr>
              <w:footnoteReference w:id="20"/>
            </w:r>
            <w:r w:rsidRPr="004173F3">
              <w:rPr>
                <w:spacing w:val="-4"/>
              </w:rPr>
              <w:t>. J</w:t>
            </w:r>
            <w:r>
              <w:rPr>
                <w:spacing w:val="-4"/>
              </w:rPr>
              <w:t>eště během zbytku 1. pololetí</w:t>
            </w:r>
            <w:r w:rsidRPr="004173F3">
              <w:rPr>
                <w:spacing w:val="-4"/>
              </w:rPr>
              <w:t xml:space="preserve"> došlo ale k rychlému zotavení. V červenci se meziroční pokles produkce již zastavil. Na počátku 4.</w:t>
            </w:r>
            <w:r>
              <w:rPr>
                <w:spacing w:val="-4"/>
              </w:rPr>
              <w:t> čtvrtlet</w:t>
            </w:r>
            <w:r w:rsidRPr="004173F3">
              <w:rPr>
                <w:spacing w:val="-4"/>
              </w:rPr>
              <w:t>í přesáhlo využití výrobních kapacit v tomto odvětví 90</w:t>
            </w:r>
            <w:r>
              <w:rPr>
                <w:spacing w:val="-4"/>
              </w:rPr>
              <w:t> %</w:t>
            </w:r>
            <w:r w:rsidRPr="004173F3">
              <w:rPr>
                <w:spacing w:val="-4"/>
              </w:rPr>
              <w:t xml:space="preserve"> a</w:t>
            </w:r>
            <w:r>
              <w:rPr>
                <w:spacing w:val="-4"/>
              </w:rPr>
              <w:t> </w:t>
            </w:r>
            <w:r w:rsidRPr="004173F3">
              <w:rPr>
                <w:spacing w:val="-4"/>
              </w:rPr>
              <w:t>vrátilo se tak na úroveň obvyklou v posledních letech. Zatímco dosavadní letošní vývoj ve výrobě motorových vozidel lze považovat spíše za vybočení z dlouhodobě rostoucí</w:t>
            </w:r>
            <w:r>
              <w:rPr>
                <w:spacing w:val="-4"/>
              </w:rPr>
              <w:t>ho</w:t>
            </w:r>
            <w:r w:rsidRPr="004173F3">
              <w:rPr>
                <w:spacing w:val="-4"/>
              </w:rPr>
              <w:t xml:space="preserve"> trendu, obdobný pokles produkce v těžbě a</w:t>
            </w:r>
            <w:r>
              <w:rPr>
                <w:spacing w:val="-4"/>
              </w:rPr>
              <w:t> </w:t>
            </w:r>
            <w:r w:rsidRPr="004173F3">
              <w:rPr>
                <w:spacing w:val="-4"/>
              </w:rPr>
              <w:t>dobývání</w:t>
            </w:r>
            <w:r w:rsidRPr="004173F3">
              <w:rPr>
                <w:rStyle w:val="Znakapoznpodarou"/>
                <w:spacing w:val="-4"/>
              </w:rPr>
              <w:footnoteReference w:id="21"/>
            </w:r>
            <w:r w:rsidRPr="004173F3">
              <w:rPr>
                <w:spacing w:val="-4"/>
              </w:rPr>
              <w:t xml:space="preserve"> i</w:t>
            </w:r>
            <w:r>
              <w:rPr>
                <w:spacing w:val="-4"/>
              </w:rPr>
              <w:t> </w:t>
            </w:r>
            <w:r w:rsidRPr="004173F3">
              <w:rPr>
                <w:spacing w:val="-4"/>
              </w:rPr>
              <w:t>kožedělném průmyslu (za tři čtvrtletí shodně téměř o</w:t>
            </w:r>
            <w:r w:rsidR="0009290F">
              <w:rPr>
                <w:spacing w:val="-4"/>
              </w:rPr>
              <w:t xml:space="preserve"> pětinu</w:t>
            </w:r>
            <w:r w:rsidRPr="004173F3">
              <w:rPr>
                <w:spacing w:val="-4"/>
              </w:rPr>
              <w:t>) je spojen s vleklými strukturálními problémy těchto oborů. O</w:t>
            </w:r>
            <w:r>
              <w:rPr>
                <w:spacing w:val="-4"/>
              </w:rPr>
              <w:t> </w:t>
            </w:r>
            <w:r w:rsidRPr="004173F3">
              <w:rPr>
                <w:spacing w:val="-4"/>
              </w:rPr>
              <w:t>sedminu se meziročně snížila produkce ve strojírenství. To se i</w:t>
            </w:r>
            <w:r>
              <w:rPr>
                <w:spacing w:val="-4"/>
              </w:rPr>
              <w:t> </w:t>
            </w:r>
            <w:r w:rsidRPr="004173F3">
              <w:rPr>
                <w:spacing w:val="-4"/>
              </w:rPr>
              <w:t>ve 3.</w:t>
            </w:r>
            <w:r>
              <w:rPr>
                <w:spacing w:val="-4"/>
              </w:rPr>
              <w:t> čtvrtlet</w:t>
            </w:r>
            <w:r w:rsidRPr="004173F3">
              <w:rPr>
                <w:spacing w:val="-4"/>
              </w:rPr>
              <w:t>í potýkalo s poklesem domácí i</w:t>
            </w:r>
            <w:r>
              <w:rPr>
                <w:spacing w:val="-4"/>
              </w:rPr>
              <w:t> </w:t>
            </w:r>
            <w:r w:rsidRPr="004173F3">
              <w:rPr>
                <w:spacing w:val="-4"/>
              </w:rPr>
              <w:t>zahraniční poptávky, což souviselo s pokračujícím útlumem investiční aktivity v ekonomice. Bezmála o</w:t>
            </w:r>
            <w:r>
              <w:rPr>
                <w:spacing w:val="-4"/>
              </w:rPr>
              <w:t> </w:t>
            </w:r>
            <w:r w:rsidRPr="004173F3">
              <w:rPr>
                <w:spacing w:val="-4"/>
              </w:rPr>
              <w:t>osminu klesla od počátku roku produkce v kovodělném průmyslu, podobně jako v hutnictví a</w:t>
            </w:r>
            <w:r>
              <w:rPr>
                <w:spacing w:val="-4"/>
              </w:rPr>
              <w:t> </w:t>
            </w:r>
            <w:r w:rsidRPr="004173F3">
              <w:rPr>
                <w:spacing w:val="-4"/>
              </w:rPr>
              <w:t xml:space="preserve">slévárenství. Skutečnost, že půjde </w:t>
            </w:r>
            <w:r w:rsidRPr="004173F3">
              <w:rPr>
                <w:spacing w:val="-4"/>
              </w:rPr>
              <w:lastRenderedPageBreak/>
              <w:t xml:space="preserve">v těchto oborech patrně </w:t>
            </w:r>
            <w:r>
              <w:rPr>
                <w:spacing w:val="-4"/>
              </w:rPr>
              <w:t>o </w:t>
            </w:r>
            <w:r w:rsidRPr="004173F3">
              <w:rPr>
                <w:spacing w:val="-4"/>
              </w:rPr>
              <w:t>dlouhodobější útlum, naznačuje i</w:t>
            </w:r>
            <w:r>
              <w:rPr>
                <w:spacing w:val="-4"/>
              </w:rPr>
              <w:t> </w:t>
            </w:r>
            <w:r w:rsidRPr="004173F3">
              <w:rPr>
                <w:spacing w:val="-4"/>
              </w:rPr>
              <w:t>trvající pokles nových zakázek i</w:t>
            </w:r>
            <w:r>
              <w:rPr>
                <w:spacing w:val="-4"/>
              </w:rPr>
              <w:t> </w:t>
            </w:r>
            <w:r w:rsidRPr="004173F3">
              <w:rPr>
                <w:spacing w:val="-4"/>
              </w:rPr>
              <w:t>hlubší poklesy u</w:t>
            </w:r>
            <w:r>
              <w:rPr>
                <w:spacing w:val="-4"/>
              </w:rPr>
              <w:t> </w:t>
            </w:r>
            <w:r w:rsidRPr="004173F3">
              <w:rPr>
                <w:spacing w:val="-4"/>
              </w:rPr>
              <w:t>vývozu a</w:t>
            </w:r>
            <w:r>
              <w:rPr>
                <w:spacing w:val="-4"/>
              </w:rPr>
              <w:t> </w:t>
            </w:r>
            <w:r w:rsidRPr="004173F3">
              <w:rPr>
                <w:spacing w:val="-4"/>
              </w:rPr>
              <w:t>dovozu těchto komodit. Snížení produkce v energetice za 1</w:t>
            </w:r>
            <w:r>
              <w:rPr>
                <w:spacing w:val="-4"/>
              </w:rPr>
              <w:t>. </w:t>
            </w:r>
            <w:r w:rsidRPr="004173F3">
              <w:rPr>
                <w:spacing w:val="-4"/>
              </w:rPr>
              <w:t>až 3.</w:t>
            </w:r>
            <w:r>
              <w:rPr>
                <w:spacing w:val="-4"/>
              </w:rPr>
              <w:t> čtvrtlet</w:t>
            </w:r>
            <w:r w:rsidRPr="004173F3">
              <w:rPr>
                <w:spacing w:val="-4"/>
              </w:rPr>
              <w:t>í (</w:t>
            </w:r>
            <w:r>
              <w:rPr>
                <w:spacing w:val="-4"/>
              </w:rPr>
              <w:t>–</w:t>
            </w:r>
            <w:r w:rsidRPr="004173F3">
              <w:rPr>
                <w:spacing w:val="-4"/>
              </w:rPr>
              <w:t>7,2</w:t>
            </w:r>
            <w:r>
              <w:rPr>
                <w:spacing w:val="-4"/>
              </w:rPr>
              <w:t> %</w:t>
            </w:r>
            <w:r w:rsidRPr="004173F3">
              <w:rPr>
                <w:spacing w:val="-4"/>
              </w:rPr>
              <w:t>) bylo sice v kontextu celého průmyslu podprůměrné, v rámci oboru však šlo za shodné období roku o rekordní tempo. Projevil se efekt odstávek v</w:t>
            </w:r>
            <w:r>
              <w:rPr>
                <w:spacing w:val="-4"/>
              </w:rPr>
              <w:t> </w:t>
            </w:r>
            <w:r w:rsidRPr="004173F3">
              <w:rPr>
                <w:spacing w:val="-4"/>
              </w:rPr>
              <w:t>elektrárnách</w:t>
            </w:r>
            <w:r>
              <w:rPr>
                <w:spacing w:val="-4"/>
              </w:rPr>
              <w:t xml:space="preserve"> i</w:t>
            </w:r>
            <w:r w:rsidRPr="004173F3">
              <w:rPr>
                <w:spacing w:val="-4"/>
              </w:rPr>
              <w:t> pokles poptávky v podnicích vlivem snížené výrobní aktivity. Méně byla zasažena odvětví výroby počítačů, elektronických a</w:t>
            </w:r>
            <w:r>
              <w:rPr>
                <w:spacing w:val="-4"/>
              </w:rPr>
              <w:t> </w:t>
            </w:r>
            <w:r w:rsidRPr="004173F3">
              <w:rPr>
                <w:spacing w:val="-4"/>
              </w:rPr>
              <w:t xml:space="preserve">optických přístrojů či výroba stavebních materiálů </w:t>
            </w:r>
            <w:r w:rsidRPr="0009290F">
              <w:rPr>
                <w:spacing w:val="-2"/>
              </w:rPr>
              <w:t>(produkce zde shodně klesla o 5 %). Jen mírný pokles registroval potravinářský průmysl (–</w:t>
            </w:r>
            <w:r w:rsidR="0009290F" w:rsidRPr="0009290F">
              <w:rPr>
                <w:spacing w:val="-2"/>
              </w:rPr>
              <w:t>0,8</w:t>
            </w:r>
            <w:r w:rsidRPr="0009290F">
              <w:rPr>
                <w:spacing w:val="-2"/>
              </w:rPr>
              <w:t> %),</w:t>
            </w:r>
            <w:r w:rsidRPr="004173F3">
              <w:rPr>
                <w:spacing w:val="-4"/>
              </w:rPr>
              <w:t xml:space="preserve"> jemuž vedle relativně stabilní tuzemské poptávky patrně pomáhaly i</w:t>
            </w:r>
            <w:r>
              <w:rPr>
                <w:spacing w:val="-4"/>
              </w:rPr>
              <w:t> </w:t>
            </w:r>
            <w:r w:rsidRPr="004173F3">
              <w:rPr>
                <w:spacing w:val="-4"/>
              </w:rPr>
              <w:t>dobré letošní výsledky agrárního sektoru. Naopak na výrobce nápojů dolehlo omezení stravovacích a pohostinských zařízení umocněné útlumem příjezdového cestovního ruchu. Produkce v tomto odvětví klesla o</w:t>
            </w:r>
            <w:r>
              <w:rPr>
                <w:spacing w:val="-4"/>
              </w:rPr>
              <w:t> </w:t>
            </w:r>
            <w:r w:rsidR="0009290F">
              <w:rPr>
                <w:spacing w:val="-4"/>
              </w:rPr>
              <w:t>7,3</w:t>
            </w:r>
            <w:r>
              <w:rPr>
                <w:spacing w:val="-4"/>
              </w:rPr>
              <w:t> %</w:t>
            </w:r>
            <w:r w:rsidRPr="004173F3">
              <w:rPr>
                <w:spacing w:val="-4"/>
              </w:rPr>
              <w:t>, horší výsledky za tři čtvrtletí byly naposledy patrné v </w:t>
            </w:r>
            <w:r>
              <w:rPr>
                <w:spacing w:val="-4"/>
              </w:rPr>
              <w:t>letech</w:t>
            </w:r>
            <w:r w:rsidRPr="004173F3">
              <w:rPr>
                <w:spacing w:val="-4"/>
              </w:rPr>
              <w:t xml:space="preserve"> 2009 a</w:t>
            </w:r>
            <w:r>
              <w:rPr>
                <w:spacing w:val="-4"/>
              </w:rPr>
              <w:t> </w:t>
            </w:r>
            <w:r w:rsidRPr="004173F3">
              <w:rPr>
                <w:spacing w:val="-4"/>
              </w:rPr>
              <w:t>2010. Dřevozpracující i</w:t>
            </w:r>
            <w:r>
              <w:rPr>
                <w:spacing w:val="-4"/>
              </w:rPr>
              <w:t> </w:t>
            </w:r>
            <w:r w:rsidRPr="004173F3">
              <w:rPr>
                <w:spacing w:val="-4"/>
              </w:rPr>
              <w:t xml:space="preserve">papírenský průmysl docílily shodně posílení produkce </w:t>
            </w:r>
            <w:r>
              <w:rPr>
                <w:spacing w:val="-4"/>
              </w:rPr>
              <w:t>o</w:t>
            </w:r>
            <w:r w:rsidR="0009290F" w:rsidRPr="004173F3">
              <w:rPr>
                <w:spacing w:val="-4"/>
              </w:rPr>
              <w:t> </w:t>
            </w:r>
            <w:r w:rsidR="0009290F">
              <w:rPr>
                <w:spacing w:val="-4"/>
              </w:rPr>
              <w:t xml:space="preserve">necelá </w:t>
            </w:r>
            <w:r>
              <w:rPr>
                <w:spacing w:val="-4"/>
              </w:rPr>
              <w:t>3</w:t>
            </w:r>
            <w:r w:rsidRPr="004173F3">
              <w:rPr>
                <w:spacing w:val="-4"/>
              </w:rPr>
              <w:t xml:space="preserve"> %. </w:t>
            </w:r>
            <w:r w:rsidRPr="004173F3">
              <w:rPr>
                <w:color w:val="000000" w:themeColor="text1"/>
                <w:spacing w:val="-4"/>
              </w:rPr>
              <w:t xml:space="preserve">Specifická skladba poptávky během </w:t>
            </w:r>
            <w:proofErr w:type="spellStart"/>
            <w:r w:rsidRPr="004173F3">
              <w:rPr>
                <w:color w:val="000000" w:themeColor="text1"/>
                <w:spacing w:val="-4"/>
              </w:rPr>
              <w:t>koronavirové</w:t>
            </w:r>
            <w:proofErr w:type="spellEnd"/>
            <w:r w:rsidRPr="004173F3">
              <w:rPr>
                <w:color w:val="000000" w:themeColor="text1"/>
                <w:spacing w:val="-4"/>
              </w:rPr>
              <w:t xml:space="preserve"> krize se odrazila v mírném růstu výkonu farmaceutického průmyslu či ostatního zpracovatelského průmyslu, jenž</w:t>
            </w:r>
            <w:r>
              <w:rPr>
                <w:color w:val="000000" w:themeColor="text1"/>
                <w:spacing w:val="-4"/>
              </w:rPr>
              <w:t xml:space="preserve"> zahrnuje i</w:t>
            </w:r>
            <w:r w:rsidRPr="004173F3">
              <w:rPr>
                <w:spacing w:val="-4"/>
              </w:rPr>
              <w:t> </w:t>
            </w:r>
            <w:r w:rsidRPr="004173F3">
              <w:rPr>
                <w:color w:val="000000" w:themeColor="text1"/>
                <w:spacing w:val="-4"/>
              </w:rPr>
              <w:t>výrobu lékařských potřeb či výrobu her a</w:t>
            </w:r>
            <w:r>
              <w:rPr>
                <w:color w:val="000000" w:themeColor="text1"/>
                <w:spacing w:val="-4"/>
              </w:rPr>
              <w:t> </w:t>
            </w:r>
            <w:r w:rsidRPr="004173F3">
              <w:rPr>
                <w:color w:val="000000" w:themeColor="text1"/>
                <w:spacing w:val="-4"/>
              </w:rPr>
              <w:t>hraček</w:t>
            </w:r>
            <w:r>
              <w:rPr>
                <w:color w:val="000000" w:themeColor="text1"/>
                <w:spacing w:val="-4"/>
              </w:rPr>
              <w:t>.</w:t>
            </w:r>
          </w:p>
        </w:tc>
      </w:tr>
      <w:tr w:rsidR="008D3ACD" w:rsidRPr="006237E6" w14:paraId="401456BD" w14:textId="77777777" w:rsidTr="008D3ACD">
        <w:trPr>
          <w:trHeight w:val="155"/>
        </w:trPr>
        <w:tc>
          <w:tcPr>
            <w:tcW w:w="1792" w:type="dxa"/>
            <w:shd w:val="clear" w:color="auto" w:fill="auto"/>
            <w:tcMar>
              <w:left w:w="0" w:type="dxa"/>
            </w:tcMar>
          </w:tcPr>
          <w:p w14:paraId="3296C8CC" w14:textId="77777777" w:rsidR="008D3ACD" w:rsidRPr="00BE54BF" w:rsidRDefault="008D3ACD" w:rsidP="008D3ACD">
            <w:pPr>
              <w:pStyle w:val="Marginlie"/>
            </w:pPr>
          </w:p>
        </w:tc>
        <w:tc>
          <w:tcPr>
            <w:tcW w:w="216" w:type="dxa"/>
            <w:shd w:val="clear" w:color="auto" w:fill="auto"/>
            <w:tcMar>
              <w:left w:w="0" w:type="dxa"/>
            </w:tcMar>
          </w:tcPr>
          <w:p w14:paraId="5DA20423" w14:textId="77777777" w:rsidR="008D3ACD" w:rsidRPr="003B1401" w:rsidRDefault="008D3ACD" w:rsidP="008D3ACD">
            <w:pPr>
              <w:pStyle w:val="Textpoznpodarou"/>
              <w:jc w:val="both"/>
              <w:rPr>
                <w:spacing w:val="-4"/>
              </w:rPr>
            </w:pPr>
          </w:p>
        </w:tc>
        <w:tc>
          <w:tcPr>
            <w:tcW w:w="7656" w:type="dxa"/>
            <w:shd w:val="clear" w:color="auto" w:fill="auto"/>
            <w:tcMar>
              <w:left w:w="0" w:type="dxa"/>
            </w:tcMar>
          </w:tcPr>
          <w:p w14:paraId="2B859E3D" w14:textId="77777777" w:rsidR="008D3ACD" w:rsidRPr="00965AD0" w:rsidRDefault="008D3ACD" w:rsidP="008D3ACD">
            <w:pPr>
              <w:spacing w:after="0"/>
              <w:rPr>
                <w:spacing w:val="-4"/>
              </w:rPr>
            </w:pPr>
            <w:r w:rsidRPr="00883202">
              <w:rPr>
                <w:rFonts w:cs="Arial"/>
                <w:b/>
                <w:bCs/>
                <w:color w:val="000000"/>
                <w:szCs w:val="20"/>
              </w:rPr>
              <w:t>Graf č. 4</w:t>
            </w:r>
            <w:r>
              <w:rPr>
                <w:rFonts w:cs="Arial"/>
                <w:b/>
                <w:bCs/>
                <w:color w:val="000000"/>
                <w:szCs w:val="20"/>
              </w:rPr>
              <w:t xml:space="preserve">  </w:t>
            </w:r>
            <w:r w:rsidRPr="00883202">
              <w:rPr>
                <w:b/>
              </w:rPr>
              <w:t>Příspěvky dílčích odvětví k meziroční změně průmyslové produkce</w:t>
            </w:r>
            <w:r w:rsidRPr="00883202">
              <w:rPr>
                <w:b/>
              </w:rPr>
              <w:br/>
            </w:r>
            <w:r>
              <w:t>(v p. b., očištěno o kalendářní</w:t>
            </w:r>
            <w:r w:rsidRPr="00883202">
              <w:t xml:space="preserve"> vlivy)</w:t>
            </w:r>
            <w:r w:rsidRPr="00883202">
              <w:rPr>
                <w:b/>
                <w:bCs/>
              </w:rPr>
              <w:t xml:space="preserve">, </w:t>
            </w:r>
            <w:r w:rsidRPr="00883202">
              <w:rPr>
                <w:b/>
              </w:rPr>
              <w:t xml:space="preserve">saldo důvěry v průmyslu* </w:t>
            </w:r>
            <w:r w:rsidRPr="00883202">
              <w:t xml:space="preserve">(v p. b., </w:t>
            </w:r>
            <w:proofErr w:type="spellStart"/>
            <w:r w:rsidRPr="00883202">
              <w:t>pr</w:t>
            </w:r>
            <w:proofErr w:type="spellEnd"/>
            <w:r w:rsidRPr="00883202">
              <w:t>. osa)</w:t>
            </w:r>
          </w:p>
        </w:tc>
      </w:tr>
      <w:tr w:rsidR="008D3ACD" w:rsidRPr="00B43216" w14:paraId="10010A64" w14:textId="77777777" w:rsidTr="008D3ACD">
        <w:trPr>
          <w:trHeight w:val="145"/>
        </w:trPr>
        <w:tc>
          <w:tcPr>
            <w:tcW w:w="1792" w:type="dxa"/>
            <w:shd w:val="clear" w:color="auto" w:fill="auto"/>
            <w:tcMar>
              <w:left w:w="0" w:type="dxa"/>
            </w:tcMar>
          </w:tcPr>
          <w:p w14:paraId="67505C8F" w14:textId="77777777" w:rsidR="008D3ACD" w:rsidRDefault="008D3ACD" w:rsidP="008D3ACD">
            <w:pPr>
              <w:pStyle w:val="Marginlie"/>
              <w:rPr>
                <w:spacing w:val="-4"/>
              </w:rPr>
            </w:pPr>
          </w:p>
        </w:tc>
        <w:tc>
          <w:tcPr>
            <w:tcW w:w="216" w:type="dxa"/>
            <w:shd w:val="clear" w:color="auto" w:fill="auto"/>
            <w:tcMar>
              <w:left w:w="0" w:type="dxa"/>
            </w:tcMar>
          </w:tcPr>
          <w:p w14:paraId="10FBDA3B"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28EFBBB6" w14:textId="77777777" w:rsidR="008D3ACD" w:rsidRPr="00241E62" w:rsidRDefault="008D3ACD" w:rsidP="008D3ACD">
            <w:pPr>
              <w:spacing w:after="40"/>
              <w:rPr>
                <w:rFonts w:cs="Arial"/>
                <w:bCs/>
                <w:color w:val="000000"/>
                <w:szCs w:val="20"/>
              </w:rPr>
            </w:pPr>
            <w:r>
              <w:rPr>
                <w:noProof/>
              </w:rPr>
              <w:drawing>
                <wp:inline distT="0" distB="0" distL="0" distR="0" wp14:anchorId="4A1F0316" wp14:editId="03415363">
                  <wp:extent cx="4765040" cy="3500651"/>
                  <wp:effectExtent l="0" t="0" r="0" b="508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D3ACD" w:rsidRPr="00B43216" w14:paraId="5B02C635" w14:textId="77777777" w:rsidTr="008D3ACD">
        <w:trPr>
          <w:trHeight w:val="145"/>
        </w:trPr>
        <w:tc>
          <w:tcPr>
            <w:tcW w:w="1792" w:type="dxa"/>
            <w:shd w:val="clear" w:color="auto" w:fill="auto"/>
            <w:tcMar>
              <w:left w:w="0" w:type="dxa"/>
            </w:tcMar>
          </w:tcPr>
          <w:p w14:paraId="12F84691" w14:textId="77777777" w:rsidR="008D3ACD" w:rsidRDefault="008D3ACD" w:rsidP="008D3ACD">
            <w:pPr>
              <w:pStyle w:val="Marginlie"/>
              <w:rPr>
                <w:spacing w:val="-4"/>
              </w:rPr>
            </w:pPr>
          </w:p>
        </w:tc>
        <w:tc>
          <w:tcPr>
            <w:tcW w:w="216" w:type="dxa"/>
            <w:shd w:val="clear" w:color="auto" w:fill="auto"/>
            <w:tcMar>
              <w:left w:w="0" w:type="dxa"/>
            </w:tcMar>
          </w:tcPr>
          <w:p w14:paraId="59B7F0E8"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00A1D205" w14:textId="77777777" w:rsidR="008D3ACD" w:rsidRPr="002453EC" w:rsidRDefault="008D3ACD" w:rsidP="008D3ACD">
            <w:pPr>
              <w:spacing w:after="180"/>
              <w:rPr>
                <w:rFonts w:cs="Arial"/>
                <w:sz w:val="14"/>
                <w:szCs w:val="14"/>
              </w:rPr>
            </w:pPr>
            <w:r w:rsidRPr="00883202">
              <w:rPr>
                <w:rFonts w:cs="Arial"/>
                <w:sz w:val="14"/>
                <w:szCs w:val="14"/>
              </w:rPr>
              <w:t>*Saldo důvěry je sezónně očištěno a vyjadřuje stav ve druhém měsíci daného čtvrtletí.</w:t>
            </w:r>
            <w:r>
              <w:rPr>
                <w:rFonts w:cs="Arial"/>
                <w:sz w:val="14"/>
                <w:szCs w:val="14"/>
              </w:rPr>
              <w:t xml:space="preserve">                                       </w:t>
            </w:r>
            <w:r w:rsidRPr="00883202">
              <w:rPr>
                <w:rFonts w:cs="Arial"/>
                <w:sz w:val="14"/>
                <w:szCs w:val="14"/>
              </w:rPr>
              <w:t>Zdroj: ČSÚ</w:t>
            </w:r>
          </w:p>
        </w:tc>
      </w:tr>
      <w:tr w:rsidR="008D3ACD" w:rsidRPr="00B43216" w14:paraId="5B736C1C" w14:textId="77777777" w:rsidTr="008D3ACD">
        <w:trPr>
          <w:trHeight w:val="145"/>
        </w:trPr>
        <w:tc>
          <w:tcPr>
            <w:tcW w:w="1792" w:type="dxa"/>
            <w:shd w:val="clear" w:color="auto" w:fill="auto"/>
            <w:tcMar>
              <w:left w:w="0" w:type="dxa"/>
            </w:tcMar>
          </w:tcPr>
          <w:p w14:paraId="147AC888" w14:textId="77777777" w:rsidR="008D3ACD" w:rsidRPr="00D15820" w:rsidRDefault="008D3ACD" w:rsidP="008D3ACD">
            <w:pPr>
              <w:pStyle w:val="Marginlie"/>
              <w:rPr>
                <w:spacing w:val="0"/>
              </w:rPr>
            </w:pPr>
            <w:r w:rsidRPr="00D15820">
              <w:rPr>
                <w:spacing w:val="0"/>
              </w:rPr>
              <w:t>Tržby průmyslových podniků z přímého vývozu klesly za tři čtvrtletí o</w:t>
            </w:r>
            <w:r>
              <w:rPr>
                <w:spacing w:val="0"/>
              </w:rPr>
              <w:t> </w:t>
            </w:r>
            <w:r w:rsidRPr="00D15820">
              <w:rPr>
                <w:spacing w:val="0"/>
              </w:rPr>
              <w:t>11,5</w:t>
            </w:r>
            <w:r>
              <w:rPr>
                <w:spacing w:val="0"/>
              </w:rPr>
              <w:t> %</w:t>
            </w:r>
            <w:r w:rsidRPr="00D15820">
              <w:rPr>
                <w:spacing w:val="0"/>
              </w:rPr>
              <w:t>.</w:t>
            </w:r>
          </w:p>
        </w:tc>
        <w:tc>
          <w:tcPr>
            <w:tcW w:w="216" w:type="dxa"/>
            <w:shd w:val="clear" w:color="auto" w:fill="auto"/>
            <w:tcMar>
              <w:left w:w="0" w:type="dxa"/>
            </w:tcMar>
          </w:tcPr>
          <w:p w14:paraId="456BD037"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541F9A68" w14:textId="16FACFA6" w:rsidR="008D3ACD" w:rsidRPr="00744EA3" w:rsidRDefault="008D3ACD" w:rsidP="008D3ACD">
            <w:pPr>
              <w:spacing w:after="220"/>
              <w:rPr>
                <w:rFonts w:cs="Arial"/>
                <w:bCs/>
                <w:color w:val="000000"/>
                <w:spacing w:val="-4"/>
                <w:szCs w:val="20"/>
              </w:rPr>
            </w:pPr>
            <w:r w:rsidRPr="00744EA3">
              <w:rPr>
                <w:rFonts w:cs="Arial"/>
                <w:bCs/>
                <w:color w:val="000000"/>
                <w:spacing w:val="-4"/>
                <w:szCs w:val="20"/>
              </w:rPr>
              <w:t>Nominální tržby průmyslových podniků z přímého vývozu klesly v 1</w:t>
            </w:r>
            <w:r>
              <w:rPr>
                <w:rFonts w:cs="Arial"/>
                <w:bCs/>
                <w:color w:val="000000"/>
                <w:spacing w:val="-4"/>
                <w:szCs w:val="20"/>
              </w:rPr>
              <w:t>. </w:t>
            </w:r>
            <w:r w:rsidRPr="00744EA3">
              <w:rPr>
                <w:rFonts w:cs="Arial"/>
                <w:bCs/>
                <w:color w:val="000000"/>
                <w:spacing w:val="-4"/>
                <w:szCs w:val="20"/>
              </w:rPr>
              <w:t>až 3.</w:t>
            </w:r>
            <w:r>
              <w:rPr>
                <w:rFonts w:cs="Arial"/>
                <w:bCs/>
                <w:color w:val="000000"/>
                <w:spacing w:val="-4"/>
                <w:szCs w:val="20"/>
              </w:rPr>
              <w:t> čtvrtlet</w:t>
            </w:r>
            <w:r w:rsidRPr="00744EA3">
              <w:rPr>
                <w:rFonts w:cs="Arial"/>
                <w:bCs/>
                <w:color w:val="000000"/>
                <w:spacing w:val="-4"/>
                <w:szCs w:val="20"/>
              </w:rPr>
              <w:t>í o</w:t>
            </w:r>
            <w:r>
              <w:rPr>
                <w:rFonts w:cs="Arial"/>
                <w:bCs/>
                <w:color w:val="000000"/>
                <w:spacing w:val="-4"/>
                <w:szCs w:val="20"/>
              </w:rPr>
              <w:t> </w:t>
            </w:r>
            <w:r w:rsidRPr="00744EA3">
              <w:rPr>
                <w:rFonts w:cs="Arial"/>
                <w:bCs/>
                <w:color w:val="000000"/>
                <w:spacing w:val="-4"/>
                <w:szCs w:val="20"/>
              </w:rPr>
              <w:t>11,5</w:t>
            </w:r>
            <w:r>
              <w:rPr>
                <w:rFonts w:cs="Arial"/>
                <w:bCs/>
                <w:color w:val="000000"/>
                <w:spacing w:val="-4"/>
                <w:szCs w:val="20"/>
              </w:rPr>
              <w:t> %</w:t>
            </w:r>
            <w:r w:rsidRPr="00744EA3">
              <w:rPr>
                <w:rFonts w:cs="Arial"/>
                <w:bCs/>
                <w:color w:val="000000"/>
                <w:spacing w:val="-4"/>
                <w:szCs w:val="20"/>
              </w:rPr>
              <w:t>, tržby z tuzemska se snížily o</w:t>
            </w:r>
            <w:r>
              <w:rPr>
                <w:rFonts w:cs="Arial"/>
                <w:bCs/>
                <w:color w:val="000000"/>
                <w:spacing w:val="-4"/>
                <w:szCs w:val="20"/>
              </w:rPr>
              <w:t> </w:t>
            </w:r>
            <w:r w:rsidRPr="00744EA3">
              <w:rPr>
                <w:rFonts w:cs="Arial"/>
                <w:bCs/>
                <w:color w:val="000000"/>
                <w:spacing w:val="-4"/>
                <w:szCs w:val="20"/>
              </w:rPr>
              <w:t>8,8</w:t>
            </w:r>
            <w:r>
              <w:rPr>
                <w:rFonts w:cs="Arial"/>
                <w:bCs/>
                <w:color w:val="000000"/>
                <w:spacing w:val="-4"/>
                <w:szCs w:val="20"/>
              </w:rPr>
              <w:t> %</w:t>
            </w:r>
            <w:r w:rsidRPr="00744EA3">
              <w:rPr>
                <w:rFonts w:cs="Arial"/>
                <w:bCs/>
                <w:color w:val="000000"/>
                <w:spacing w:val="-4"/>
                <w:szCs w:val="20"/>
              </w:rPr>
              <w:t xml:space="preserve">. </w:t>
            </w:r>
            <w:r>
              <w:rPr>
                <w:rFonts w:cs="Arial"/>
                <w:bCs/>
                <w:color w:val="000000"/>
                <w:spacing w:val="-4"/>
                <w:szCs w:val="20"/>
              </w:rPr>
              <w:t>Mírnějšími tempy klesaly tržby i ve 3. čtvrtletí 2020. Od počátku roku vzrostly tržby nejvíce v energetice (+5,6 % meziročně). Cenový růst produktů se pozitivně odrazil např</w:t>
            </w:r>
            <w:r w:rsidR="0009290F">
              <w:rPr>
                <w:rFonts w:cs="Arial"/>
                <w:bCs/>
                <w:color w:val="000000"/>
                <w:spacing w:val="-4"/>
                <w:szCs w:val="20"/>
              </w:rPr>
              <w:t>. v tržbách potravinářství (+2,4</w:t>
            </w:r>
            <w:r>
              <w:rPr>
                <w:rFonts w:cs="Arial"/>
                <w:bCs/>
                <w:color w:val="000000"/>
                <w:spacing w:val="-4"/>
                <w:szCs w:val="20"/>
              </w:rPr>
              <w:t> %). Nejhlubší poklesy tržeb v těžbě a dobývání či v automobilovém průmyslu odpovídají tempům zjištěným u produkce.</w:t>
            </w:r>
          </w:p>
        </w:tc>
      </w:tr>
      <w:tr w:rsidR="008D3ACD" w:rsidRPr="00B43216" w14:paraId="7D9D9844" w14:textId="77777777" w:rsidTr="008D3ACD">
        <w:trPr>
          <w:trHeight w:val="145"/>
        </w:trPr>
        <w:tc>
          <w:tcPr>
            <w:tcW w:w="1792" w:type="dxa"/>
            <w:shd w:val="clear" w:color="auto" w:fill="auto"/>
            <w:tcMar>
              <w:left w:w="0" w:type="dxa"/>
            </w:tcMar>
          </w:tcPr>
          <w:p w14:paraId="76075053" w14:textId="77777777" w:rsidR="008D3ACD" w:rsidRDefault="008D3ACD" w:rsidP="008D3ACD">
            <w:pPr>
              <w:pStyle w:val="Marginlie"/>
            </w:pPr>
            <w:r>
              <w:t>Hodnota nových zakázek v průmyslu ve 3. čtvrtletí mírně klesala. Lépe se vedlo výrobě motorových vozidel.</w:t>
            </w:r>
          </w:p>
          <w:p w14:paraId="11A17E69" w14:textId="77777777" w:rsidR="008D3ACD" w:rsidRDefault="008D3ACD" w:rsidP="008D3ACD">
            <w:pPr>
              <w:pStyle w:val="Marginlie"/>
            </w:pPr>
          </w:p>
          <w:p w14:paraId="7B7B382A" w14:textId="77777777" w:rsidR="008D3ACD" w:rsidRDefault="008D3ACD" w:rsidP="008D3ACD">
            <w:pPr>
              <w:pStyle w:val="Marginlie"/>
            </w:pPr>
          </w:p>
          <w:p w14:paraId="4126A209" w14:textId="77777777" w:rsidR="008D3ACD" w:rsidRDefault="008D3ACD" w:rsidP="008D3ACD">
            <w:pPr>
              <w:pStyle w:val="Marginlie"/>
            </w:pPr>
            <w:r>
              <w:t>Mezi bariérami růstu výrazně dominuje nedostatečná poptávka.</w:t>
            </w:r>
          </w:p>
          <w:p w14:paraId="02231A00" w14:textId="77777777" w:rsidR="008D3ACD" w:rsidRDefault="008D3ACD" w:rsidP="008D3ACD">
            <w:pPr>
              <w:pStyle w:val="Marginlie"/>
            </w:pPr>
          </w:p>
          <w:p w14:paraId="17A9269A" w14:textId="77777777" w:rsidR="008D3ACD" w:rsidRDefault="008D3ACD" w:rsidP="008D3ACD">
            <w:pPr>
              <w:pStyle w:val="Marginlie"/>
            </w:pPr>
          </w:p>
          <w:p w14:paraId="4F3AA90E" w14:textId="77777777" w:rsidR="008D3ACD" w:rsidRDefault="008D3ACD" w:rsidP="008D3ACD">
            <w:pPr>
              <w:pStyle w:val="Marginlie"/>
            </w:pPr>
            <w:r>
              <w:t>Pokles počtu zaměstnanců v průmyslu se během roku 2020 prohluboval.</w:t>
            </w:r>
          </w:p>
        </w:tc>
        <w:tc>
          <w:tcPr>
            <w:tcW w:w="216" w:type="dxa"/>
            <w:shd w:val="clear" w:color="auto" w:fill="auto"/>
            <w:tcMar>
              <w:left w:w="0" w:type="dxa"/>
            </w:tcMar>
          </w:tcPr>
          <w:p w14:paraId="18745707"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423B7252" w14:textId="27B34F25" w:rsidR="008D3ACD" w:rsidRPr="00B12B9E" w:rsidRDefault="008D3ACD" w:rsidP="008D3ACD">
            <w:pPr>
              <w:spacing w:after="180"/>
              <w:rPr>
                <w:spacing w:val="-4"/>
              </w:rPr>
            </w:pPr>
            <w:r w:rsidRPr="00B12B9E">
              <w:rPr>
                <w:color w:val="000000" w:themeColor="text1"/>
                <w:spacing w:val="-4"/>
              </w:rPr>
              <w:t>Krátkodobé vyhlídky průmyslu zůstávaly navzdory silnému oživení ve výrobě motorových vozidel na přelomu 3.</w:t>
            </w:r>
            <w:r>
              <w:rPr>
                <w:color w:val="000000" w:themeColor="text1"/>
                <w:spacing w:val="-4"/>
              </w:rPr>
              <w:t> </w:t>
            </w:r>
            <w:r w:rsidRPr="00B12B9E">
              <w:rPr>
                <w:color w:val="000000" w:themeColor="text1"/>
                <w:spacing w:val="-4"/>
              </w:rPr>
              <w:t>a</w:t>
            </w:r>
            <w:r>
              <w:rPr>
                <w:color w:val="000000" w:themeColor="text1"/>
                <w:spacing w:val="-4"/>
              </w:rPr>
              <w:t> </w:t>
            </w:r>
            <w:r w:rsidRPr="00B12B9E">
              <w:rPr>
                <w:color w:val="000000" w:themeColor="text1"/>
                <w:spacing w:val="-4"/>
              </w:rPr>
              <w:t>4.</w:t>
            </w:r>
            <w:r>
              <w:rPr>
                <w:color w:val="000000" w:themeColor="text1"/>
                <w:spacing w:val="-4"/>
              </w:rPr>
              <w:t> čtvrtlet</w:t>
            </w:r>
            <w:r w:rsidRPr="00B12B9E">
              <w:rPr>
                <w:color w:val="000000" w:themeColor="text1"/>
                <w:spacing w:val="-4"/>
              </w:rPr>
              <w:t xml:space="preserve">í 2020 nadále spíše nepříznivé. </w:t>
            </w:r>
            <w:r w:rsidRPr="00B12B9E">
              <w:rPr>
                <w:color w:val="0D0D0D" w:themeColor="text1" w:themeTint="F2"/>
                <w:spacing w:val="-4"/>
              </w:rPr>
              <w:t>Hodnota průmyslových zakázek</w:t>
            </w:r>
            <w:r w:rsidRPr="00B12B9E">
              <w:rPr>
                <w:rStyle w:val="Znakapoznpodarou"/>
                <w:spacing w:val="-4"/>
              </w:rPr>
              <w:footnoteReference w:id="22"/>
            </w:r>
            <w:r w:rsidRPr="00B12B9E">
              <w:rPr>
                <w:color w:val="0D0D0D" w:themeColor="text1" w:themeTint="F2"/>
                <w:spacing w:val="-4"/>
              </w:rPr>
              <w:t xml:space="preserve"> ve 3. čtvrtletí dále mírně klesala (o</w:t>
            </w:r>
            <w:r>
              <w:rPr>
                <w:color w:val="0D0D0D" w:themeColor="text1" w:themeTint="F2"/>
                <w:spacing w:val="-4"/>
              </w:rPr>
              <w:t> </w:t>
            </w:r>
            <w:r w:rsidRPr="00B12B9E">
              <w:rPr>
                <w:color w:val="0D0D0D" w:themeColor="text1" w:themeTint="F2"/>
                <w:spacing w:val="-4"/>
              </w:rPr>
              <w:t>2,5</w:t>
            </w:r>
            <w:r>
              <w:rPr>
                <w:color w:val="0D0D0D" w:themeColor="text1" w:themeTint="F2"/>
                <w:spacing w:val="-4"/>
              </w:rPr>
              <w:t> %</w:t>
            </w:r>
            <w:r w:rsidRPr="00B12B9E">
              <w:rPr>
                <w:color w:val="0D0D0D" w:themeColor="text1" w:themeTint="F2"/>
                <w:spacing w:val="-4"/>
              </w:rPr>
              <w:t xml:space="preserve"> meziročně), příznivější tendence naznačoval automobilový průmysl (+3,6</w:t>
            </w:r>
            <w:r>
              <w:rPr>
                <w:color w:val="0D0D0D" w:themeColor="text1" w:themeTint="F2"/>
                <w:spacing w:val="-4"/>
              </w:rPr>
              <w:t> %</w:t>
            </w:r>
            <w:r w:rsidRPr="00B12B9E">
              <w:rPr>
                <w:color w:val="0D0D0D" w:themeColor="text1" w:themeTint="F2"/>
                <w:spacing w:val="-4"/>
              </w:rPr>
              <w:t>). K mírnému nárůstu celkových zakázek došlo v září i</w:t>
            </w:r>
            <w:r>
              <w:rPr>
                <w:color w:val="0D0D0D" w:themeColor="text1" w:themeTint="F2"/>
                <w:spacing w:val="-4"/>
              </w:rPr>
              <w:t> </w:t>
            </w:r>
            <w:r w:rsidRPr="00B12B9E">
              <w:rPr>
                <w:color w:val="0D0D0D" w:themeColor="text1" w:themeTint="F2"/>
                <w:spacing w:val="-4"/>
              </w:rPr>
              <w:t>v</w:t>
            </w:r>
            <w:r w:rsidRPr="00B12B9E">
              <w:rPr>
                <w:rFonts w:cs="Arial"/>
                <w:bCs/>
                <w:color w:val="000000"/>
                <w:spacing w:val="-4"/>
                <w:szCs w:val="20"/>
              </w:rPr>
              <w:t> </w:t>
            </w:r>
            <w:r w:rsidRPr="00B12B9E">
              <w:rPr>
                <w:color w:val="0D0D0D" w:themeColor="text1" w:themeTint="F2"/>
                <w:spacing w:val="-4"/>
              </w:rPr>
              <w:t>říjnu, ten byl ovšem částečně ovlivněn nižší srovnávací základn</w:t>
            </w:r>
            <w:r>
              <w:rPr>
                <w:color w:val="0D0D0D" w:themeColor="text1" w:themeTint="F2"/>
                <w:spacing w:val="-4"/>
              </w:rPr>
              <w:t>o</w:t>
            </w:r>
            <w:r w:rsidRPr="00B12B9E">
              <w:rPr>
                <w:color w:val="0D0D0D" w:themeColor="text1" w:themeTint="F2"/>
                <w:spacing w:val="-4"/>
              </w:rPr>
              <w:t xml:space="preserve">u, neboť </w:t>
            </w:r>
            <w:r w:rsidRPr="00B12B9E">
              <w:rPr>
                <w:color w:val="0D0D0D" w:themeColor="text1" w:themeTint="F2"/>
                <w:spacing w:val="-4"/>
              </w:rPr>
              <w:lastRenderedPageBreak/>
              <w:t>v posledním čtvrtletí 2019 výkon průmyslu oslaboval. V</w:t>
            </w:r>
            <w:r>
              <w:rPr>
                <w:color w:val="0D0D0D" w:themeColor="text1" w:themeTint="F2"/>
                <w:spacing w:val="-4"/>
              </w:rPr>
              <w:t>yužití výrobních kapacit setrv</w:t>
            </w:r>
            <w:r w:rsidRPr="00B12B9E">
              <w:rPr>
                <w:color w:val="0D0D0D" w:themeColor="text1" w:themeTint="F2"/>
                <w:spacing w:val="-4"/>
              </w:rPr>
              <w:t xml:space="preserve">alo ve většině oborů mimo výrobu motorových vozidel stále pod dlouhodobým průměrem. </w:t>
            </w:r>
            <w:r>
              <w:rPr>
                <w:color w:val="0D0D0D" w:themeColor="text1" w:themeTint="F2"/>
                <w:spacing w:val="-4"/>
              </w:rPr>
              <w:t>Hlavní růstovou bariérou zůstávala</w:t>
            </w:r>
            <w:r w:rsidRPr="00B12B9E">
              <w:rPr>
                <w:color w:val="0D0D0D" w:themeColor="text1" w:themeTint="F2"/>
                <w:spacing w:val="-4"/>
              </w:rPr>
              <w:t xml:space="preserve"> nedostatečná poptávka, v říjnu ji uvedla skoro polovina průmyslových podniků</w:t>
            </w:r>
            <w:r w:rsidRPr="00B12B9E">
              <w:rPr>
                <w:rStyle w:val="Znakapoznpodarou"/>
                <w:color w:val="0D0D0D" w:themeColor="text1" w:themeTint="F2"/>
                <w:spacing w:val="-4"/>
              </w:rPr>
              <w:footnoteReference w:id="23"/>
            </w:r>
            <w:r w:rsidRPr="00B12B9E">
              <w:rPr>
                <w:color w:val="0D0D0D" w:themeColor="text1" w:themeTint="F2"/>
                <w:spacing w:val="-4"/>
              </w:rPr>
              <w:t>. Naopak role nedostatku pracovníků ustupovala dále do pozadí. O snížení zaměstnanosti v příštích třech měsících uvažovalo v listopadu 15</w:t>
            </w:r>
            <w:r>
              <w:rPr>
                <w:color w:val="0D0D0D" w:themeColor="text1" w:themeTint="F2"/>
                <w:spacing w:val="-4"/>
              </w:rPr>
              <w:t> %</w:t>
            </w:r>
            <w:r w:rsidRPr="00B12B9E">
              <w:rPr>
                <w:color w:val="0D0D0D" w:themeColor="text1" w:themeTint="F2"/>
                <w:spacing w:val="-4"/>
              </w:rPr>
              <w:t xml:space="preserve"> podniků, 12 % naopak nové zaměstnance hledalo. Pokles evidenčního počtu zaměstnanců se </w:t>
            </w:r>
            <w:r>
              <w:rPr>
                <w:color w:val="0D0D0D" w:themeColor="text1" w:themeTint="F2"/>
                <w:spacing w:val="-4"/>
              </w:rPr>
              <w:t>letos</w:t>
            </w:r>
            <w:r w:rsidRPr="00B12B9E">
              <w:rPr>
                <w:color w:val="0D0D0D" w:themeColor="text1" w:themeTint="F2"/>
                <w:spacing w:val="-4"/>
              </w:rPr>
              <w:t xml:space="preserve"> prohluboval. Ve 3.</w:t>
            </w:r>
            <w:r>
              <w:rPr>
                <w:color w:val="0D0D0D" w:themeColor="text1" w:themeTint="F2"/>
                <w:spacing w:val="-4"/>
              </w:rPr>
              <w:t> čtvrtlet</w:t>
            </w:r>
            <w:r w:rsidRPr="00B12B9E">
              <w:rPr>
                <w:color w:val="0D0D0D" w:themeColor="text1" w:themeTint="F2"/>
                <w:spacing w:val="-4"/>
              </w:rPr>
              <w:t>í byl meziročně nižší o</w:t>
            </w:r>
            <w:r>
              <w:rPr>
                <w:color w:val="0D0D0D" w:themeColor="text1" w:themeTint="F2"/>
                <w:spacing w:val="-4"/>
              </w:rPr>
              <w:t> </w:t>
            </w:r>
            <w:r w:rsidRPr="00B12B9E">
              <w:rPr>
                <w:color w:val="0D0D0D" w:themeColor="text1" w:themeTint="F2"/>
                <w:spacing w:val="-4"/>
              </w:rPr>
              <w:t>4,8</w:t>
            </w:r>
            <w:r>
              <w:rPr>
                <w:color w:val="0D0D0D" w:themeColor="text1" w:themeTint="F2"/>
                <w:spacing w:val="-4"/>
              </w:rPr>
              <w:t> %</w:t>
            </w:r>
            <w:r w:rsidRPr="00B12B9E">
              <w:rPr>
                <w:rStyle w:val="Znakapoznpodarou"/>
                <w:color w:val="0D0D0D" w:themeColor="text1" w:themeTint="F2"/>
                <w:spacing w:val="-4"/>
              </w:rPr>
              <w:footnoteReference w:id="24"/>
            </w:r>
            <w:r w:rsidRPr="00B12B9E">
              <w:rPr>
                <w:color w:val="0D0D0D" w:themeColor="text1" w:themeTint="F2"/>
                <w:spacing w:val="-4"/>
              </w:rPr>
              <w:t>. Souhrnné saldo indikátoru důvěry</w:t>
            </w:r>
            <w:r>
              <w:rPr>
                <w:color w:val="0D0D0D" w:themeColor="text1" w:themeTint="F2"/>
                <w:spacing w:val="-4"/>
              </w:rPr>
              <w:t xml:space="preserve"> v průmyslu kleslo z –</w:t>
            </w:r>
            <w:r w:rsidRPr="00B12B9E">
              <w:rPr>
                <w:color w:val="0D0D0D" w:themeColor="text1" w:themeTint="F2"/>
                <w:spacing w:val="-4"/>
              </w:rPr>
              <w:t>6</w:t>
            </w:r>
            <w:r>
              <w:rPr>
                <w:color w:val="0D0D0D" w:themeColor="text1" w:themeTint="F2"/>
                <w:spacing w:val="-4"/>
              </w:rPr>
              <w:t> </w:t>
            </w:r>
            <w:r w:rsidRPr="00B12B9E">
              <w:rPr>
                <w:color w:val="0D0D0D" w:themeColor="text1" w:themeTint="F2"/>
                <w:spacing w:val="-4"/>
              </w:rPr>
              <w:t>bod</w:t>
            </w:r>
            <w:r>
              <w:rPr>
                <w:color w:val="0D0D0D" w:themeColor="text1" w:themeTint="F2"/>
                <w:spacing w:val="-4"/>
              </w:rPr>
              <w:t>ů (říjen) na</w:t>
            </w:r>
            <w:r w:rsidRPr="00B12B9E">
              <w:rPr>
                <w:color w:val="0D0D0D" w:themeColor="text1" w:themeTint="F2"/>
                <w:spacing w:val="-4"/>
              </w:rPr>
              <w:t xml:space="preserve"> </w:t>
            </w:r>
            <w:r>
              <w:rPr>
                <w:color w:val="0D0D0D" w:themeColor="text1" w:themeTint="F2"/>
                <w:spacing w:val="-4"/>
              </w:rPr>
              <w:t xml:space="preserve">–10 bodů (listopad). Na zhoršení </w:t>
            </w:r>
            <w:r>
              <w:rPr>
                <w:rFonts w:cs="Arial"/>
                <w:color w:val="0D0D0D" w:themeColor="text1" w:themeTint="F2"/>
                <w:spacing w:val="-4"/>
              </w:rPr>
              <w:t>epidemiologické</w:t>
            </w:r>
            <w:r w:rsidRPr="00B12B9E">
              <w:rPr>
                <w:color w:val="0D0D0D" w:themeColor="text1" w:themeTint="F2"/>
                <w:spacing w:val="-4"/>
              </w:rPr>
              <w:t xml:space="preserve"> situace tak zatím reagovalo mírně. Hodnota sald</w:t>
            </w:r>
            <w:r>
              <w:rPr>
                <w:color w:val="0D0D0D" w:themeColor="text1" w:themeTint="F2"/>
                <w:spacing w:val="-4"/>
              </w:rPr>
              <w:t>a</w:t>
            </w:r>
            <w:r w:rsidRPr="00B12B9E">
              <w:rPr>
                <w:color w:val="0D0D0D" w:themeColor="text1" w:themeTint="F2"/>
                <w:spacing w:val="-4"/>
              </w:rPr>
              <w:t xml:space="preserve"> byla </w:t>
            </w:r>
            <w:r>
              <w:rPr>
                <w:color w:val="0D0D0D" w:themeColor="text1" w:themeTint="F2"/>
                <w:spacing w:val="-4"/>
              </w:rPr>
              <w:t xml:space="preserve">stále </w:t>
            </w:r>
            <w:r w:rsidRPr="00B12B9E">
              <w:rPr>
                <w:color w:val="0D0D0D" w:themeColor="text1" w:themeTint="F2"/>
                <w:spacing w:val="-4"/>
              </w:rPr>
              <w:t>výrazně</w:t>
            </w:r>
            <w:r>
              <w:rPr>
                <w:color w:val="0D0D0D" w:themeColor="text1" w:themeTint="F2"/>
                <w:spacing w:val="-4"/>
              </w:rPr>
              <w:t xml:space="preserve"> příznivější ne</w:t>
            </w:r>
            <w:r w:rsidRPr="00B12B9E">
              <w:rPr>
                <w:color w:val="0D0D0D" w:themeColor="text1" w:themeTint="F2"/>
                <w:spacing w:val="-4"/>
              </w:rPr>
              <w:t>ž během jarní krize (</w:t>
            </w:r>
            <w:r>
              <w:rPr>
                <w:color w:val="0D0D0D" w:themeColor="text1" w:themeTint="F2"/>
                <w:spacing w:val="-4"/>
              </w:rPr>
              <w:t>–</w:t>
            </w:r>
            <w:r w:rsidRPr="00B12B9E">
              <w:rPr>
                <w:color w:val="0D0D0D" w:themeColor="text1" w:themeTint="F2"/>
                <w:spacing w:val="-4"/>
              </w:rPr>
              <w:t>26</w:t>
            </w:r>
            <w:r>
              <w:rPr>
                <w:color w:val="0D0D0D" w:themeColor="text1" w:themeTint="F2"/>
                <w:spacing w:val="-4"/>
              </w:rPr>
              <w:t> </w:t>
            </w:r>
            <w:r w:rsidRPr="00B12B9E">
              <w:rPr>
                <w:color w:val="0D0D0D" w:themeColor="text1" w:themeTint="F2"/>
                <w:spacing w:val="-4"/>
              </w:rPr>
              <w:t xml:space="preserve">až </w:t>
            </w:r>
            <w:r>
              <w:rPr>
                <w:color w:val="0D0D0D" w:themeColor="text1" w:themeTint="F2"/>
                <w:spacing w:val="-4"/>
              </w:rPr>
              <w:t>–</w:t>
            </w:r>
            <w:r w:rsidRPr="00B12B9E">
              <w:rPr>
                <w:color w:val="0D0D0D" w:themeColor="text1" w:themeTint="F2"/>
                <w:spacing w:val="-4"/>
              </w:rPr>
              <w:t>28</w:t>
            </w:r>
            <w:r>
              <w:rPr>
                <w:color w:val="0D0D0D" w:themeColor="text1" w:themeTint="F2"/>
                <w:spacing w:val="-4"/>
              </w:rPr>
              <w:t> </w:t>
            </w:r>
            <w:r w:rsidRPr="00B12B9E">
              <w:rPr>
                <w:color w:val="0D0D0D" w:themeColor="text1" w:themeTint="F2"/>
                <w:spacing w:val="-4"/>
              </w:rPr>
              <w:t>bod</w:t>
            </w:r>
            <w:r>
              <w:rPr>
                <w:color w:val="0D0D0D" w:themeColor="text1" w:themeTint="F2"/>
                <w:spacing w:val="-4"/>
              </w:rPr>
              <w:t>ů</w:t>
            </w:r>
            <w:r w:rsidRPr="00B12B9E">
              <w:rPr>
                <w:color w:val="0D0D0D" w:themeColor="text1" w:themeTint="F2"/>
                <w:spacing w:val="-4"/>
              </w:rPr>
              <w:t>), ale současně mírně horší než v listopadu 2019.</w:t>
            </w:r>
          </w:p>
        </w:tc>
      </w:tr>
      <w:tr w:rsidR="008D3ACD" w:rsidRPr="00B43216" w14:paraId="5BC82C89" w14:textId="77777777" w:rsidTr="008D3ACD">
        <w:trPr>
          <w:trHeight w:val="155"/>
        </w:trPr>
        <w:tc>
          <w:tcPr>
            <w:tcW w:w="1792" w:type="dxa"/>
            <w:vMerge w:val="restart"/>
            <w:shd w:val="clear" w:color="auto" w:fill="auto"/>
            <w:tcMar>
              <w:left w:w="0" w:type="dxa"/>
            </w:tcMar>
          </w:tcPr>
          <w:p w14:paraId="21E758CC" w14:textId="77777777" w:rsidR="008D3ACD" w:rsidRPr="00B43216" w:rsidRDefault="008D3ACD" w:rsidP="008D3ACD">
            <w:pPr>
              <w:pStyle w:val="Marginlie"/>
              <w:rPr>
                <w:spacing w:val="-4"/>
              </w:rPr>
            </w:pPr>
          </w:p>
        </w:tc>
        <w:tc>
          <w:tcPr>
            <w:tcW w:w="216" w:type="dxa"/>
            <w:vMerge w:val="restart"/>
            <w:shd w:val="clear" w:color="auto" w:fill="auto"/>
            <w:tcMar>
              <w:left w:w="0" w:type="dxa"/>
            </w:tcMar>
          </w:tcPr>
          <w:p w14:paraId="434659C2"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7CEE4489" w14:textId="77777777" w:rsidR="008D3ACD" w:rsidRPr="00E642CD" w:rsidRDefault="008D3ACD" w:rsidP="008D3ACD">
            <w:pPr>
              <w:pStyle w:val="Textpoznpodarou"/>
              <w:spacing w:line="276" w:lineRule="auto"/>
              <w:jc w:val="both"/>
              <w:rPr>
                <w:b/>
              </w:rPr>
            </w:pPr>
            <w:r w:rsidRPr="00883202">
              <w:rPr>
                <w:b/>
              </w:rPr>
              <w:t>Graf č. 5</w:t>
            </w:r>
            <w:r>
              <w:rPr>
                <w:b/>
              </w:rPr>
              <w:t xml:space="preserve">  </w:t>
            </w:r>
            <w:r w:rsidRPr="00883202">
              <w:rPr>
                <w:b/>
              </w:rPr>
              <w:t xml:space="preserve">Nové zakázky v automobilovém průmyslu, v průmyslu celkem </w:t>
            </w:r>
            <w:r w:rsidRPr="00883202">
              <w:rPr>
                <w:bCs/>
              </w:rPr>
              <w:t xml:space="preserve">(v běžných cenách, </w:t>
            </w:r>
            <w:r w:rsidRPr="00883202">
              <w:t>meziročně</w:t>
            </w:r>
            <w:r w:rsidRPr="00883202">
              <w:rPr>
                <w:bCs/>
              </w:rPr>
              <w:t xml:space="preserve"> v %)</w:t>
            </w:r>
            <w:r w:rsidRPr="00883202">
              <w:rPr>
                <w:b/>
              </w:rPr>
              <w:t xml:space="preserve"> a využití výrobních kapacit v průmyslu*</w:t>
            </w:r>
            <w:r w:rsidRPr="00883202">
              <w:t xml:space="preserve"> </w:t>
            </w:r>
            <w:r w:rsidRPr="00883202">
              <w:rPr>
                <w:b/>
              </w:rPr>
              <w:t>a vybrané bariéry růstu</w:t>
            </w:r>
            <w:r w:rsidRPr="00883202">
              <w:t>* (v %, pravá osa)</w:t>
            </w:r>
          </w:p>
        </w:tc>
      </w:tr>
      <w:tr w:rsidR="008D3ACD" w:rsidRPr="00B43216" w14:paraId="206D762D" w14:textId="77777777" w:rsidTr="008D3ACD">
        <w:tblPrEx>
          <w:tblCellMar>
            <w:left w:w="70" w:type="dxa"/>
            <w:right w:w="70" w:type="dxa"/>
          </w:tblCellMar>
        </w:tblPrEx>
        <w:trPr>
          <w:trHeight w:val="155"/>
        </w:trPr>
        <w:tc>
          <w:tcPr>
            <w:tcW w:w="1792" w:type="dxa"/>
            <w:vMerge/>
            <w:shd w:val="clear" w:color="auto" w:fill="auto"/>
          </w:tcPr>
          <w:p w14:paraId="29616BD9" w14:textId="77777777" w:rsidR="008D3ACD" w:rsidRPr="00B43216" w:rsidRDefault="008D3ACD" w:rsidP="008D3ACD">
            <w:pPr>
              <w:pStyle w:val="Marginlie"/>
              <w:rPr>
                <w:spacing w:val="-4"/>
              </w:rPr>
            </w:pPr>
          </w:p>
        </w:tc>
        <w:tc>
          <w:tcPr>
            <w:tcW w:w="216" w:type="dxa"/>
            <w:vMerge/>
            <w:shd w:val="clear" w:color="auto" w:fill="auto"/>
          </w:tcPr>
          <w:p w14:paraId="197322C6" w14:textId="77777777" w:rsidR="008D3ACD" w:rsidRPr="00B43216" w:rsidRDefault="008D3ACD" w:rsidP="008D3ACD">
            <w:pPr>
              <w:pStyle w:val="Textpoznpodarou"/>
              <w:jc w:val="both"/>
              <w:rPr>
                <w:spacing w:val="-4"/>
              </w:rPr>
            </w:pPr>
          </w:p>
        </w:tc>
        <w:tc>
          <w:tcPr>
            <w:tcW w:w="7656" w:type="dxa"/>
            <w:shd w:val="clear" w:color="auto" w:fill="auto"/>
          </w:tcPr>
          <w:p w14:paraId="7109CF95" w14:textId="77777777" w:rsidR="008D3ACD" w:rsidRPr="00B43216" w:rsidRDefault="008D3ACD" w:rsidP="008D3ACD">
            <w:pPr>
              <w:spacing w:after="0"/>
              <w:rPr>
                <w:spacing w:val="-4"/>
              </w:rPr>
            </w:pPr>
            <w:r>
              <w:rPr>
                <w:noProof/>
              </w:rPr>
              <w:drawing>
                <wp:inline distT="0" distB="0" distL="0" distR="0" wp14:anchorId="2C600ECD" wp14:editId="3700CBE7">
                  <wp:extent cx="4759325" cy="3418764"/>
                  <wp:effectExtent l="0" t="0" r="3175"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8D3ACD" w:rsidRPr="00B43216" w14:paraId="510AF6FF" w14:textId="77777777" w:rsidTr="008D3ACD">
        <w:trPr>
          <w:trHeight w:val="152"/>
        </w:trPr>
        <w:tc>
          <w:tcPr>
            <w:tcW w:w="1792" w:type="dxa"/>
            <w:vMerge/>
            <w:shd w:val="clear" w:color="auto" w:fill="auto"/>
            <w:tcMar>
              <w:left w:w="0" w:type="dxa"/>
            </w:tcMar>
          </w:tcPr>
          <w:p w14:paraId="225B5752" w14:textId="77777777" w:rsidR="008D3ACD" w:rsidRPr="00B43216" w:rsidRDefault="008D3ACD" w:rsidP="008D3ACD">
            <w:pPr>
              <w:pStyle w:val="Marginlie"/>
              <w:rPr>
                <w:spacing w:val="-4"/>
              </w:rPr>
            </w:pPr>
          </w:p>
        </w:tc>
        <w:tc>
          <w:tcPr>
            <w:tcW w:w="216" w:type="dxa"/>
            <w:vMerge/>
            <w:shd w:val="clear" w:color="auto" w:fill="auto"/>
            <w:tcMar>
              <w:left w:w="0" w:type="dxa"/>
            </w:tcMar>
          </w:tcPr>
          <w:p w14:paraId="25319665"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7A635D9B" w14:textId="77777777" w:rsidR="008D3ACD" w:rsidRPr="002453EC" w:rsidRDefault="008D3ACD" w:rsidP="008D3ACD">
            <w:pPr>
              <w:spacing w:after="180"/>
              <w:rPr>
                <w:rFonts w:cs="Arial"/>
                <w:sz w:val="14"/>
                <w:szCs w:val="14"/>
              </w:rPr>
            </w:pPr>
            <w:r w:rsidRPr="00883202">
              <w:rPr>
                <w:rFonts w:cs="Arial"/>
                <w:sz w:val="14"/>
                <w:szCs w:val="14"/>
              </w:rPr>
              <w:t>*Využití průmyslových kapacit i</w:t>
            </w:r>
            <w:r>
              <w:rPr>
                <w:rFonts w:cs="Arial"/>
                <w:sz w:val="14"/>
                <w:szCs w:val="14"/>
              </w:rPr>
              <w:t> </w:t>
            </w:r>
            <w:r w:rsidRPr="00883202">
              <w:rPr>
                <w:rFonts w:cs="Arial"/>
                <w:sz w:val="14"/>
                <w:szCs w:val="14"/>
              </w:rPr>
              <w:t>bariéry růstu jsou sezónně oč</w:t>
            </w:r>
            <w:r>
              <w:rPr>
                <w:rFonts w:cs="Arial"/>
                <w:sz w:val="14"/>
                <w:szCs w:val="14"/>
              </w:rPr>
              <w:t>ištěny a vyjadřují stav v prvním (bariéry růstu), resp.</w:t>
            </w:r>
            <w:r w:rsidRPr="00883202">
              <w:rPr>
                <w:rFonts w:cs="Arial"/>
                <w:sz w:val="14"/>
                <w:szCs w:val="14"/>
              </w:rPr>
              <w:t xml:space="preserve"> druhém měsíci daného čtvrtletí</w:t>
            </w:r>
            <w:r>
              <w:rPr>
                <w:rFonts w:cs="Arial"/>
                <w:sz w:val="14"/>
                <w:szCs w:val="14"/>
              </w:rPr>
              <w:t xml:space="preserve"> (využití kapacit)</w:t>
            </w:r>
            <w:r w:rsidRPr="00883202">
              <w:rPr>
                <w:rFonts w:cs="Arial"/>
                <w:sz w:val="14"/>
                <w:szCs w:val="14"/>
              </w:rPr>
              <w:t>.</w:t>
            </w:r>
            <w:r>
              <w:rPr>
                <w:rFonts w:cs="Arial"/>
                <w:sz w:val="14"/>
                <w:szCs w:val="14"/>
              </w:rPr>
              <w:t xml:space="preserve">                                                                                                                  </w:t>
            </w:r>
            <w:r w:rsidRPr="00883202">
              <w:rPr>
                <w:rFonts w:cs="Arial"/>
                <w:sz w:val="14"/>
                <w:szCs w:val="14"/>
              </w:rPr>
              <w:t>Zdroj: ČSÚ</w:t>
            </w:r>
          </w:p>
        </w:tc>
      </w:tr>
      <w:tr w:rsidR="008D3ACD" w:rsidRPr="00191C35" w14:paraId="5FAF6306" w14:textId="77777777" w:rsidTr="008D3ACD">
        <w:trPr>
          <w:trHeight w:val="145"/>
        </w:trPr>
        <w:tc>
          <w:tcPr>
            <w:tcW w:w="1792" w:type="dxa"/>
            <w:shd w:val="clear" w:color="auto" w:fill="auto"/>
            <w:tcMar>
              <w:left w:w="0" w:type="dxa"/>
            </w:tcMar>
          </w:tcPr>
          <w:p w14:paraId="2CB27FDC" w14:textId="77777777" w:rsidR="008D3ACD" w:rsidRDefault="008D3ACD" w:rsidP="008D3ACD">
            <w:pPr>
              <w:pStyle w:val="Marginlie"/>
            </w:pPr>
            <w:r>
              <w:t>Průmyslová produkce za tři čtvrtletí meziročně klesla v ČR obdobně jako v EU. Hlubší pokles sužoval Itálii, ale také Německo.</w:t>
            </w:r>
          </w:p>
        </w:tc>
        <w:tc>
          <w:tcPr>
            <w:tcW w:w="216" w:type="dxa"/>
            <w:shd w:val="clear" w:color="auto" w:fill="auto"/>
            <w:tcMar>
              <w:left w:w="0" w:type="dxa"/>
            </w:tcMar>
          </w:tcPr>
          <w:p w14:paraId="56DFF1FD"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6853534B" w14:textId="77777777" w:rsidR="008D3ACD" w:rsidRPr="0021253D" w:rsidRDefault="008D3ACD" w:rsidP="008D3ACD">
            <w:pPr>
              <w:spacing w:after="160"/>
              <w:rPr>
                <w:spacing w:val="-2"/>
              </w:rPr>
            </w:pPr>
            <w:r w:rsidRPr="0021253D">
              <w:rPr>
                <w:spacing w:val="-2"/>
              </w:rPr>
              <w:t>Průmyslová produkce v EU se za tři letošní čtvrtletí meziročně snížila podobným tempem jako v ČR (</w:t>
            </w:r>
            <w:r>
              <w:rPr>
                <w:spacing w:val="-2"/>
              </w:rPr>
              <w:t>–</w:t>
            </w:r>
            <w:r w:rsidRPr="0021253D">
              <w:rPr>
                <w:spacing w:val="-2"/>
              </w:rPr>
              <w:t>10,5</w:t>
            </w:r>
            <w:r>
              <w:rPr>
                <w:spacing w:val="-2"/>
              </w:rPr>
              <w:t> %</w:t>
            </w:r>
            <w:r w:rsidRPr="0021253D">
              <w:rPr>
                <w:spacing w:val="-2"/>
              </w:rPr>
              <w:t>).</w:t>
            </w:r>
            <w:r>
              <w:rPr>
                <w:spacing w:val="-2"/>
              </w:rPr>
              <w:t xml:space="preserve"> </w:t>
            </w:r>
            <w:r w:rsidRPr="0021253D">
              <w:rPr>
                <w:spacing w:val="-2"/>
              </w:rPr>
              <w:t>K největšímu útlumu došlo v Itálii (</w:t>
            </w:r>
            <w:r>
              <w:rPr>
                <w:spacing w:val="-2"/>
              </w:rPr>
              <w:t>–</w:t>
            </w:r>
            <w:r w:rsidRPr="0021253D">
              <w:rPr>
                <w:spacing w:val="-2"/>
              </w:rPr>
              <w:t>14,0</w:t>
            </w:r>
            <w:r>
              <w:rPr>
                <w:spacing w:val="-2"/>
              </w:rPr>
              <w:t> %</w:t>
            </w:r>
            <w:r w:rsidRPr="0021253D">
              <w:rPr>
                <w:spacing w:val="-2"/>
              </w:rPr>
              <w:t>), o</w:t>
            </w:r>
            <w:r>
              <w:rPr>
                <w:spacing w:val="-2"/>
              </w:rPr>
              <w:t> </w:t>
            </w:r>
            <w:r w:rsidRPr="0021253D">
              <w:rPr>
                <w:spacing w:val="-2"/>
              </w:rPr>
              <w:t>více než osminu klesla produkce také např</w:t>
            </w:r>
            <w:r>
              <w:rPr>
                <w:spacing w:val="-2"/>
              </w:rPr>
              <w:t>íklad</w:t>
            </w:r>
            <w:r w:rsidRPr="0021253D">
              <w:rPr>
                <w:spacing w:val="-2"/>
              </w:rPr>
              <w:t xml:space="preserve"> ve Francii, Španělsku, Německu, Rumunsku či </w:t>
            </w:r>
            <w:r>
              <w:rPr>
                <w:spacing w:val="-2"/>
              </w:rPr>
              <w:t xml:space="preserve">na </w:t>
            </w:r>
            <w:r w:rsidRPr="0021253D">
              <w:rPr>
                <w:spacing w:val="-2"/>
              </w:rPr>
              <w:t>Slovensku. Mírný růst registroval</w:t>
            </w:r>
            <w:r>
              <w:rPr>
                <w:spacing w:val="-2"/>
              </w:rPr>
              <w:t>y</w:t>
            </w:r>
            <w:r w:rsidRPr="0021253D">
              <w:rPr>
                <w:spacing w:val="-2"/>
              </w:rPr>
              <w:t xml:space="preserve"> pouze Irsko (+1,2</w:t>
            </w:r>
            <w:r>
              <w:rPr>
                <w:spacing w:val="-2"/>
              </w:rPr>
              <w:t> %</w:t>
            </w:r>
            <w:r w:rsidRPr="0021253D">
              <w:rPr>
                <w:spacing w:val="-2"/>
              </w:rPr>
              <w:t>) a</w:t>
            </w:r>
            <w:r>
              <w:rPr>
                <w:spacing w:val="-2"/>
              </w:rPr>
              <w:t> </w:t>
            </w:r>
            <w:r w:rsidRPr="0021253D">
              <w:rPr>
                <w:spacing w:val="-2"/>
              </w:rPr>
              <w:t>Malta. Z větších ekonomik zaznamenal</w:t>
            </w:r>
            <w:r>
              <w:rPr>
                <w:spacing w:val="-2"/>
              </w:rPr>
              <w:t>y</w:t>
            </w:r>
            <w:r w:rsidRPr="0021253D">
              <w:rPr>
                <w:spacing w:val="-2"/>
              </w:rPr>
              <w:t xml:space="preserve"> jen slabší pokles Řecko a</w:t>
            </w:r>
            <w:r>
              <w:rPr>
                <w:spacing w:val="-2"/>
              </w:rPr>
              <w:t> </w:t>
            </w:r>
            <w:r w:rsidRPr="0021253D">
              <w:rPr>
                <w:spacing w:val="-2"/>
              </w:rPr>
              <w:t xml:space="preserve">Polsko (shodně </w:t>
            </w:r>
            <w:r>
              <w:rPr>
                <w:spacing w:val="-2"/>
              </w:rPr>
              <w:t>–</w:t>
            </w:r>
            <w:r w:rsidRPr="0021253D">
              <w:rPr>
                <w:spacing w:val="-2"/>
              </w:rPr>
              <w:t>4</w:t>
            </w:r>
            <w:r>
              <w:rPr>
                <w:spacing w:val="-2"/>
              </w:rPr>
              <w:t> %</w:t>
            </w:r>
            <w:r w:rsidRPr="0021253D">
              <w:rPr>
                <w:spacing w:val="-2"/>
              </w:rPr>
              <w:t>), u</w:t>
            </w:r>
            <w:r>
              <w:rPr>
                <w:spacing w:val="-2"/>
              </w:rPr>
              <w:t> </w:t>
            </w:r>
            <w:r w:rsidRPr="0021253D">
              <w:rPr>
                <w:spacing w:val="-2"/>
              </w:rPr>
              <w:t xml:space="preserve">nichž se </w:t>
            </w:r>
            <w:r>
              <w:rPr>
                <w:spacing w:val="-2"/>
              </w:rPr>
              <w:t xml:space="preserve">mohl projevit </w:t>
            </w:r>
            <w:r w:rsidRPr="0021253D">
              <w:rPr>
                <w:color w:val="0D0D0D" w:themeColor="text1" w:themeTint="F2"/>
                <w:spacing w:val="-2"/>
              </w:rPr>
              <w:t>i </w:t>
            </w:r>
            <w:r w:rsidRPr="0021253D">
              <w:rPr>
                <w:spacing w:val="-2"/>
              </w:rPr>
              <w:t>vliv odlišnější skladby průmyslu (</w:t>
            </w:r>
            <w:r>
              <w:rPr>
                <w:spacing w:val="-2"/>
              </w:rPr>
              <w:t>např.</w:t>
            </w:r>
            <w:r w:rsidRPr="0021253D">
              <w:rPr>
                <w:spacing w:val="-2"/>
              </w:rPr>
              <w:t xml:space="preserve"> vyšší zastoupení odvětví navázaných na zemědělství).</w:t>
            </w:r>
            <w:r>
              <w:rPr>
                <w:spacing w:val="-2"/>
              </w:rPr>
              <w:t xml:space="preserve"> </w:t>
            </w:r>
            <w:r w:rsidRPr="0021253D">
              <w:rPr>
                <w:color w:val="0D0D0D" w:themeColor="text1" w:themeTint="F2"/>
                <w:spacing w:val="-2"/>
              </w:rPr>
              <w:t xml:space="preserve">V ČR </w:t>
            </w:r>
            <w:r>
              <w:rPr>
                <w:color w:val="0D0D0D" w:themeColor="text1" w:themeTint="F2"/>
                <w:spacing w:val="-2"/>
              </w:rPr>
              <w:t>(</w:t>
            </w:r>
            <w:r w:rsidRPr="0021253D">
              <w:rPr>
                <w:color w:val="0D0D0D" w:themeColor="text1" w:themeTint="F2"/>
                <w:spacing w:val="-2"/>
              </w:rPr>
              <w:t>–15 %)</w:t>
            </w:r>
            <w:r>
              <w:rPr>
                <w:color w:val="0D0D0D" w:themeColor="text1" w:themeTint="F2"/>
                <w:spacing w:val="-2"/>
              </w:rPr>
              <w:t>,</w:t>
            </w:r>
            <w:r w:rsidRPr="0021253D">
              <w:rPr>
                <w:color w:val="0D0D0D" w:themeColor="text1" w:themeTint="F2"/>
                <w:spacing w:val="-2"/>
              </w:rPr>
              <w:t xml:space="preserve"> podobně jako v celé EU (–17 %) klesla nejvíce výroba v odvětvích vyrábějících produkty investiční povahy (</w:t>
            </w:r>
            <w:r>
              <w:rPr>
                <w:color w:val="0D0D0D" w:themeColor="text1" w:themeTint="F2"/>
                <w:spacing w:val="-2"/>
              </w:rPr>
              <w:t>např.</w:t>
            </w:r>
            <w:r w:rsidRPr="0021253D">
              <w:rPr>
                <w:color w:val="0D0D0D" w:themeColor="text1" w:themeTint="F2"/>
                <w:spacing w:val="-2"/>
              </w:rPr>
              <w:t xml:space="preserve"> stroje, dopravní prostředky), nejméně pak </w:t>
            </w:r>
            <w:r>
              <w:rPr>
                <w:color w:val="0D0D0D" w:themeColor="text1" w:themeTint="F2"/>
                <w:spacing w:val="-2"/>
              </w:rPr>
              <w:t>v </w:t>
            </w:r>
            <w:r w:rsidRPr="0021253D">
              <w:rPr>
                <w:color w:val="0D0D0D" w:themeColor="text1" w:themeTint="F2"/>
                <w:spacing w:val="-2"/>
              </w:rPr>
              <w:t>odvětví</w:t>
            </w:r>
            <w:r>
              <w:rPr>
                <w:color w:val="0D0D0D" w:themeColor="text1" w:themeTint="F2"/>
                <w:spacing w:val="-2"/>
              </w:rPr>
              <w:t>ch</w:t>
            </w:r>
            <w:r w:rsidRPr="0021253D">
              <w:rPr>
                <w:color w:val="0D0D0D" w:themeColor="text1" w:themeTint="F2"/>
                <w:spacing w:val="-2"/>
              </w:rPr>
              <w:t xml:space="preserve"> zaměřen</w:t>
            </w:r>
            <w:r>
              <w:rPr>
                <w:color w:val="0D0D0D" w:themeColor="text1" w:themeTint="F2"/>
                <w:spacing w:val="-2"/>
              </w:rPr>
              <w:t>ých</w:t>
            </w:r>
            <w:r w:rsidRPr="0021253D">
              <w:rPr>
                <w:color w:val="0D0D0D" w:themeColor="text1" w:themeTint="F2"/>
                <w:spacing w:val="-2"/>
              </w:rPr>
              <w:t xml:space="preserve"> na produkty krátkodobé spotřeby (</w:t>
            </w:r>
            <w:r>
              <w:rPr>
                <w:color w:val="0D0D0D" w:themeColor="text1" w:themeTint="F2"/>
                <w:spacing w:val="-2"/>
              </w:rPr>
              <w:t>–</w:t>
            </w:r>
            <w:r w:rsidRPr="0021253D">
              <w:rPr>
                <w:color w:val="0D0D0D" w:themeColor="text1" w:themeTint="F2"/>
                <w:spacing w:val="-2"/>
              </w:rPr>
              <w:t>2</w:t>
            </w:r>
            <w:r>
              <w:rPr>
                <w:color w:val="0D0D0D" w:themeColor="text1" w:themeTint="F2"/>
                <w:spacing w:val="-2"/>
              </w:rPr>
              <w:t> %</w:t>
            </w:r>
            <w:r w:rsidRPr="0021253D">
              <w:rPr>
                <w:color w:val="0D0D0D" w:themeColor="text1" w:themeTint="F2"/>
                <w:spacing w:val="-2"/>
              </w:rPr>
              <w:t xml:space="preserve">, resp. </w:t>
            </w:r>
            <w:r>
              <w:rPr>
                <w:color w:val="0D0D0D" w:themeColor="text1" w:themeTint="F2"/>
                <w:spacing w:val="-2"/>
              </w:rPr>
              <w:br/>
              <w:t>–</w:t>
            </w:r>
            <w:r w:rsidRPr="0021253D">
              <w:rPr>
                <w:color w:val="0D0D0D" w:themeColor="text1" w:themeTint="F2"/>
                <w:spacing w:val="-2"/>
              </w:rPr>
              <w:t>4</w:t>
            </w:r>
            <w:r>
              <w:rPr>
                <w:color w:val="0D0D0D" w:themeColor="text1" w:themeTint="F2"/>
                <w:spacing w:val="-2"/>
              </w:rPr>
              <w:t> %</w:t>
            </w:r>
            <w:r w:rsidRPr="0021253D">
              <w:rPr>
                <w:color w:val="0D0D0D" w:themeColor="text1" w:themeTint="F2"/>
                <w:spacing w:val="-2"/>
              </w:rPr>
              <w:t>), kam patří např</w:t>
            </w:r>
            <w:r>
              <w:rPr>
                <w:color w:val="0D0D0D" w:themeColor="text1" w:themeTint="F2"/>
                <w:spacing w:val="-2"/>
              </w:rPr>
              <w:t>íklad</w:t>
            </w:r>
            <w:r w:rsidRPr="0021253D">
              <w:rPr>
                <w:color w:val="0D0D0D" w:themeColor="text1" w:themeTint="F2"/>
                <w:spacing w:val="-2"/>
              </w:rPr>
              <w:t xml:space="preserve"> potraviny, nápoje, tabák, oděvy, léky, čist</w:t>
            </w:r>
            <w:r>
              <w:rPr>
                <w:color w:val="0D0D0D" w:themeColor="text1" w:themeTint="F2"/>
                <w:spacing w:val="-2"/>
              </w:rPr>
              <w:t>i</w:t>
            </w:r>
            <w:r w:rsidRPr="0021253D">
              <w:rPr>
                <w:color w:val="0D0D0D" w:themeColor="text1" w:themeTint="F2"/>
                <w:spacing w:val="-2"/>
              </w:rPr>
              <w:t>cí a</w:t>
            </w:r>
            <w:r>
              <w:rPr>
                <w:color w:val="0D0D0D" w:themeColor="text1" w:themeTint="F2"/>
                <w:spacing w:val="-2"/>
              </w:rPr>
              <w:t> </w:t>
            </w:r>
            <w:r w:rsidRPr="0021253D">
              <w:rPr>
                <w:color w:val="0D0D0D" w:themeColor="text1" w:themeTint="F2"/>
                <w:spacing w:val="-2"/>
              </w:rPr>
              <w:t>hygienické prostředky, noviny, hračky či sportovní potřeby.</w:t>
            </w:r>
          </w:p>
        </w:tc>
      </w:tr>
      <w:tr w:rsidR="008D3ACD" w:rsidRPr="00191C35" w14:paraId="0379CC0C" w14:textId="77777777" w:rsidTr="008D3ACD">
        <w:trPr>
          <w:trHeight w:val="145"/>
        </w:trPr>
        <w:tc>
          <w:tcPr>
            <w:tcW w:w="1792" w:type="dxa"/>
            <w:shd w:val="clear" w:color="auto" w:fill="auto"/>
            <w:tcMar>
              <w:left w:w="0" w:type="dxa"/>
            </w:tcMar>
          </w:tcPr>
          <w:p w14:paraId="6676C3E8" w14:textId="77777777" w:rsidR="008D3ACD" w:rsidRDefault="008D3ACD" w:rsidP="008D3ACD">
            <w:pPr>
              <w:pStyle w:val="Marginlie"/>
            </w:pPr>
            <w:proofErr w:type="spellStart"/>
            <w:r>
              <w:t>Mezikvartální</w:t>
            </w:r>
            <w:proofErr w:type="spellEnd"/>
            <w:r>
              <w:t xml:space="preserve"> pokles produkce byl ve </w:t>
            </w:r>
            <w:r>
              <w:lastRenderedPageBreak/>
              <w:t>stavebnictví ve 2. čtvrtletí mírnější, přetrvával ovšem i v dalším období.</w:t>
            </w:r>
          </w:p>
          <w:p w14:paraId="7546763E" w14:textId="77777777" w:rsidR="008D3ACD" w:rsidRDefault="008D3ACD" w:rsidP="008D3ACD">
            <w:pPr>
              <w:pStyle w:val="Marginlie"/>
            </w:pPr>
          </w:p>
          <w:p w14:paraId="2B3315FF" w14:textId="77777777" w:rsidR="008D3ACD" w:rsidRDefault="008D3ACD" w:rsidP="008D3ACD">
            <w:pPr>
              <w:pStyle w:val="Marginlie"/>
            </w:pPr>
          </w:p>
          <w:p w14:paraId="61DF99A6" w14:textId="77777777" w:rsidR="008D3ACD" w:rsidRDefault="008D3ACD" w:rsidP="008D3ACD">
            <w:pPr>
              <w:pStyle w:val="Marginlie"/>
            </w:pPr>
          </w:p>
          <w:p w14:paraId="5A16501E" w14:textId="77777777" w:rsidR="008D3ACD" w:rsidRDefault="008D3ACD" w:rsidP="008D3ACD">
            <w:pPr>
              <w:pStyle w:val="Marginlie"/>
            </w:pPr>
          </w:p>
          <w:p w14:paraId="250C6E6F" w14:textId="77777777" w:rsidR="008D3ACD" w:rsidRDefault="008D3ACD" w:rsidP="008D3ACD">
            <w:pPr>
              <w:pStyle w:val="Marginlie"/>
            </w:pPr>
          </w:p>
          <w:p w14:paraId="68F56280" w14:textId="77777777" w:rsidR="008D3ACD" w:rsidRDefault="008D3ACD" w:rsidP="008D3ACD">
            <w:pPr>
              <w:pStyle w:val="Marginlie"/>
            </w:pPr>
            <w:r>
              <w:t>Výkon pozemního stavitelství klesl za tři čtvrtletí meziročně nejvíce za poslední dekádu.</w:t>
            </w:r>
          </w:p>
        </w:tc>
        <w:tc>
          <w:tcPr>
            <w:tcW w:w="216" w:type="dxa"/>
            <w:shd w:val="clear" w:color="auto" w:fill="auto"/>
            <w:tcMar>
              <w:left w:w="0" w:type="dxa"/>
            </w:tcMar>
          </w:tcPr>
          <w:p w14:paraId="28D0C1F6"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6BADBEB3" w14:textId="77777777" w:rsidR="008D3ACD" w:rsidRPr="00E675C3" w:rsidRDefault="008D3ACD" w:rsidP="008D3ACD">
            <w:pPr>
              <w:spacing w:after="160"/>
              <w:rPr>
                <w:spacing w:val="-4"/>
              </w:rPr>
            </w:pPr>
            <w:r w:rsidRPr="00E675C3">
              <w:rPr>
                <w:spacing w:val="-4"/>
              </w:rPr>
              <w:t xml:space="preserve">Ve stavebnictví se vliv </w:t>
            </w:r>
            <w:proofErr w:type="spellStart"/>
            <w:r w:rsidRPr="00E675C3">
              <w:rPr>
                <w:spacing w:val="-4"/>
              </w:rPr>
              <w:t>protipandemických</w:t>
            </w:r>
            <w:proofErr w:type="spellEnd"/>
            <w:r w:rsidRPr="00E675C3">
              <w:rPr>
                <w:spacing w:val="-4"/>
              </w:rPr>
              <w:t xml:space="preserve"> opatření projevoval pozvolněji, zato však s větší setrvačností. Během 2.</w:t>
            </w:r>
            <w:r>
              <w:rPr>
                <w:spacing w:val="-4"/>
              </w:rPr>
              <w:t> čtvrtlet</w:t>
            </w:r>
            <w:r w:rsidRPr="00E675C3">
              <w:rPr>
                <w:spacing w:val="-4"/>
              </w:rPr>
              <w:t xml:space="preserve">í se </w:t>
            </w:r>
            <w:r w:rsidRPr="00E675C3">
              <w:rPr>
                <w:color w:val="0D0D0D" w:themeColor="text1" w:themeTint="F2"/>
                <w:spacing w:val="-4"/>
              </w:rPr>
              <w:t>s</w:t>
            </w:r>
            <w:r w:rsidRPr="00E675C3">
              <w:rPr>
                <w:spacing w:val="-4"/>
              </w:rPr>
              <w:t>tavební produkce</w:t>
            </w:r>
            <w:r w:rsidRPr="00E675C3">
              <w:rPr>
                <w:rStyle w:val="Znakapoznpodarou"/>
                <w:spacing w:val="-4"/>
              </w:rPr>
              <w:footnoteReference w:id="25"/>
            </w:r>
            <w:r w:rsidRPr="00E675C3">
              <w:rPr>
                <w:spacing w:val="-4"/>
              </w:rPr>
              <w:t xml:space="preserve"> snížila o</w:t>
            </w:r>
            <w:r>
              <w:rPr>
                <w:spacing w:val="-4"/>
              </w:rPr>
              <w:t> </w:t>
            </w:r>
            <w:r w:rsidRPr="00E675C3">
              <w:rPr>
                <w:spacing w:val="-4"/>
              </w:rPr>
              <w:t>7,2</w:t>
            </w:r>
            <w:r>
              <w:rPr>
                <w:spacing w:val="-4"/>
              </w:rPr>
              <w:t> %</w:t>
            </w:r>
            <w:r w:rsidRPr="00E675C3">
              <w:rPr>
                <w:spacing w:val="-4"/>
              </w:rPr>
              <w:t xml:space="preserve">. Hlubší </w:t>
            </w:r>
            <w:proofErr w:type="spellStart"/>
            <w:r w:rsidRPr="00E675C3">
              <w:rPr>
                <w:spacing w:val="-4"/>
              </w:rPr>
              <w:t>mezikvartální</w:t>
            </w:r>
            <w:proofErr w:type="spellEnd"/>
            <w:r w:rsidRPr="00E675C3">
              <w:rPr>
                <w:spacing w:val="-4"/>
              </w:rPr>
              <w:t xml:space="preserve"> </w:t>
            </w:r>
            <w:r w:rsidRPr="00E675C3">
              <w:rPr>
                <w:spacing w:val="-4"/>
              </w:rPr>
              <w:lastRenderedPageBreak/>
              <w:t>pokles byl naposledy registrován na počátku roku 2013. Jarní opatření, která měla za následek i</w:t>
            </w:r>
            <w:r>
              <w:rPr>
                <w:spacing w:val="-4"/>
              </w:rPr>
              <w:t> </w:t>
            </w:r>
            <w:r w:rsidRPr="00E675C3">
              <w:rPr>
                <w:spacing w:val="-4"/>
              </w:rPr>
              <w:t>omezení výkonu stavebních úřadů, dále ztížila náročný administrativní proces přípravy staveb, došlo k přerušení různých výběrových řízení, což narušilo plynulost výstavby. Dále také prohloubila ve stavebnictví již tak palčivý problém s dostupností pracovních sil, především ze zahraniční. Uvedené vlivy znamenaly pro toto odvětví větší šok než krátkodobý výpadek veřejných infrastrukturních investic na počátku roku 2016 (vlivem přechodu na nové programové období</w:t>
            </w:r>
            <w:r>
              <w:rPr>
                <w:spacing w:val="-4"/>
              </w:rPr>
              <w:t> </w:t>
            </w:r>
            <w:r w:rsidRPr="00E675C3">
              <w:rPr>
                <w:spacing w:val="-4"/>
              </w:rPr>
              <w:t>EU). Jarní útlum stavebnictví byl ve srovnání s ostatními tržními odvětvími sice slabší, na rozdíl od nich zde však následně nedošlo k</w:t>
            </w:r>
            <w:r>
              <w:rPr>
                <w:spacing w:val="-4"/>
              </w:rPr>
              <w:t> </w:t>
            </w:r>
            <w:r w:rsidRPr="00E675C3">
              <w:rPr>
                <w:spacing w:val="-4"/>
              </w:rPr>
              <w:t>oživení. Za 3.</w:t>
            </w:r>
            <w:r>
              <w:rPr>
                <w:spacing w:val="-4"/>
              </w:rPr>
              <w:t> čtvrtlet</w:t>
            </w:r>
            <w:r w:rsidRPr="00E675C3">
              <w:rPr>
                <w:spacing w:val="-4"/>
              </w:rPr>
              <w:t>í se produkce stavebnictví proti předchozímu období dále snížila (o</w:t>
            </w:r>
            <w:r>
              <w:rPr>
                <w:spacing w:val="-4"/>
              </w:rPr>
              <w:t> </w:t>
            </w:r>
            <w:r w:rsidRPr="00E675C3">
              <w:rPr>
                <w:spacing w:val="-4"/>
              </w:rPr>
              <w:t>2,3</w:t>
            </w:r>
            <w:r>
              <w:rPr>
                <w:spacing w:val="-4"/>
              </w:rPr>
              <w:t> %</w:t>
            </w:r>
            <w:r w:rsidRPr="00E675C3">
              <w:rPr>
                <w:spacing w:val="-4"/>
              </w:rPr>
              <w:t>) a</w:t>
            </w:r>
            <w:r>
              <w:rPr>
                <w:spacing w:val="-4"/>
              </w:rPr>
              <w:t> </w:t>
            </w:r>
            <w:r w:rsidRPr="00E675C3">
              <w:rPr>
                <w:spacing w:val="-4"/>
              </w:rPr>
              <w:t>rovněž říjnové údaje naznačily pokračování tohoto trendu (meziměsíční pokles činil 1,7</w:t>
            </w:r>
            <w:r>
              <w:rPr>
                <w:spacing w:val="-4"/>
              </w:rPr>
              <w:t> %</w:t>
            </w:r>
            <w:r w:rsidRPr="00E675C3">
              <w:rPr>
                <w:spacing w:val="-4"/>
              </w:rPr>
              <w:t xml:space="preserve">). </w:t>
            </w:r>
            <w:r>
              <w:rPr>
                <w:spacing w:val="-4"/>
              </w:rPr>
              <w:t>V </w:t>
            </w:r>
            <w:r w:rsidRPr="00E675C3">
              <w:rPr>
                <w:spacing w:val="-4"/>
              </w:rPr>
              <w:t>1</w:t>
            </w:r>
            <w:r>
              <w:rPr>
                <w:spacing w:val="-4"/>
              </w:rPr>
              <w:t>. </w:t>
            </w:r>
            <w:r w:rsidRPr="00E675C3">
              <w:rPr>
                <w:spacing w:val="-4"/>
              </w:rPr>
              <w:t>až 3.</w:t>
            </w:r>
            <w:r>
              <w:rPr>
                <w:spacing w:val="-4"/>
              </w:rPr>
              <w:t> čtvrtlet</w:t>
            </w:r>
            <w:r w:rsidRPr="00E675C3">
              <w:rPr>
                <w:spacing w:val="-4"/>
              </w:rPr>
              <w:t xml:space="preserve">í klesl výkon stavebnictví </w:t>
            </w:r>
            <w:r>
              <w:rPr>
                <w:spacing w:val="-4"/>
              </w:rPr>
              <w:t>meziročně o 6,5 %, což byl</w:t>
            </w:r>
            <w:r w:rsidRPr="00E675C3">
              <w:rPr>
                <w:spacing w:val="-4"/>
              </w:rPr>
              <w:t xml:space="preserve"> nejslabší výsledek za poslední tři roky</w:t>
            </w:r>
            <w:r>
              <w:rPr>
                <w:spacing w:val="-4"/>
              </w:rPr>
              <w:t>. Zásadně k tomu přispělo</w:t>
            </w:r>
            <w:r w:rsidRPr="00E675C3">
              <w:rPr>
                <w:spacing w:val="-4"/>
              </w:rPr>
              <w:t xml:space="preserve"> pozemní stavitels</w:t>
            </w:r>
            <w:r>
              <w:rPr>
                <w:spacing w:val="-4"/>
              </w:rPr>
              <w:t>tví (pokles o 8,7 %, nejslabší tempo</w:t>
            </w:r>
            <w:r w:rsidRPr="00E675C3">
              <w:rPr>
                <w:spacing w:val="-4"/>
              </w:rPr>
              <w:t xml:space="preserve"> po roce 2010). Mírně nižší byla i</w:t>
            </w:r>
            <w:r>
              <w:rPr>
                <w:spacing w:val="-4"/>
              </w:rPr>
              <w:t> </w:t>
            </w:r>
            <w:r w:rsidRPr="00E675C3">
              <w:rPr>
                <w:spacing w:val="-4"/>
              </w:rPr>
              <w:t xml:space="preserve">produkce inženýrského stavitelství </w:t>
            </w:r>
            <w:r>
              <w:rPr>
                <w:spacing w:val="-4"/>
              </w:rPr>
              <w:br/>
            </w:r>
            <w:r w:rsidRPr="00E675C3">
              <w:rPr>
                <w:spacing w:val="-4"/>
              </w:rPr>
              <w:t>(</w:t>
            </w:r>
            <w:r>
              <w:rPr>
                <w:spacing w:val="-4"/>
              </w:rPr>
              <w:t>–</w:t>
            </w:r>
            <w:r w:rsidRPr="00E675C3">
              <w:rPr>
                <w:spacing w:val="-4"/>
              </w:rPr>
              <w:t>0,5</w:t>
            </w:r>
            <w:r>
              <w:rPr>
                <w:spacing w:val="-4"/>
              </w:rPr>
              <w:t> %</w:t>
            </w:r>
            <w:r w:rsidRPr="00E675C3">
              <w:rPr>
                <w:spacing w:val="-4"/>
              </w:rPr>
              <w:t>). T</w:t>
            </w:r>
            <w:r>
              <w:rPr>
                <w:spacing w:val="-4"/>
              </w:rPr>
              <w:t>o se ale mohlo opřít o </w:t>
            </w:r>
            <w:r w:rsidRPr="00E675C3">
              <w:rPr>
                <w:spacing w:val="-4"/>
              </w:rPr>
              <w:t>zrychlující čerpání evropských fondů na dopravní stavby. Proti hlubšímu útlumu celého odvětví působil</w:t>
            </w:r>
            <w:r>
              <w:rPr>
                <w:spacing w:val="-4"/>
              </w:rPr>
              <w:t>a</w:t>
            </w:r>
            <w:r w:rsidRPr="00E675C3">
              <w:rPr>
                <w:spacing w:val="-4"/>
              </w:rPr>
              <w:t xml:space="preserve"> i</w:t>
            </w:r>
            <w:r>
              <w:rPr>
                <w:spacing w:val="-4"/>
              </w:rPr>
              <w:t xml:space="preserve"> teplotně </w:t>
            </w:r>
            <w:r w:rsidRPr="00E675C3">
              <w:rPr>
                <w:spacing w:val="-4"/>
              </w:rPr>
              <w:t>vel</w:t>
            </w:r>
            <w:r>
              <w:rPr>
                <w:spacing w:val="-4"/>
              </w:rPr>
              <w:t>mi mírná zima</w:t>
            </w:r>
            <w:r w:rsidRPr="00E675C3">
              <w:rPr>
                <w:spacing w:val="-4"/>
              </w:rPr>
              <w:t>.</w:t>
            </w:r>
          </w:p>
        </w:tc>
      </w:tr>
      <w:tr w:rsidR="008D3ACD" w:rsidRPr="00191C35" w14:paraId="3ED363F1" w14:textId="77777777" w:rsidTr="008D3ACD">
        <w:trPr>
          <w:trHeight w:val="145"/>
        </w:trPr>
        <w:tc>
          <w:tcPr>
            <w:tcW w:w="1792" w:type="dxa"/>
            <w:shd w:val="clear" w:color="auto" w:fill="auto"/>
            <w:tcMar>
              <w:left w:w="0" w:type="dxa"/>
            </w:tcMar>
          </w:tcPr>
          <w:p w14:paraId="729594F0" w14:textId="77777777" w:rsidR="008D3ACD" w:rsidRDefault="008D3ACD" w:rsidP="008D3ACD">
            <w:pPr>
              <w:pStyle w:val="Marginlie"/>
            </w:pPr>
            <w:r>
              <w:lastRenderedPageBreak/>
              <w:t>Počet všech zahájených i dokončených bytů proti vysoké loňské úrovni klesl. Výstavbě rodinných domů se ale dále dařilo.</w:t>
            </w:r>
          </w:p>
        </w:tc>
        <w:tc>
          <w:tcPr>
            <w:tcW w:w="216" w:type="dxa"/>
            <w:shd w:val="clear" w:color="auto" w:fill="auto"/>
            <w:tcMar>
              <w:left w:w="0" w:type="dxa"/>
            </w:tcMar>
          </w:tcPr>
          <w:p w14:paraId="6F7FBE4F"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12B4D81C" w14:textId="77777777" w:rsidR="008D3ACD" w:rsidRPr="00E675C3" w:rsidRDefault="008D3ACD" w:rsidP="008D3ACD">
            <w:pPr>
              <w:spacing w:after="200"/>
              <w:rPr>
                <w:spacing w:val="-4"/>
              </w:rPr>
            </w:pPr>
            <w:r w:rsidRPr="00E675C3">
              <w:rPr>
                <w:spacing w:val="-4"/>
              </w:rPr>
              <w:t>Letošní problémy pozemního stavi</w:t>
            </w:r>
            <w:r>
              <w:rPr>
                <w:spacing w:val="-4"/>
              </w:rPr>
              <w:t>telství souvisely i </w:t>
            </w:r>
            <w:r w:rsidRPr="00E675C3">
              <w:rPr>
                <w:spacing w:val="-4"/>
              </w:rPr>
              <w:t>s poklesem v</w:t>
            </w:r>
            <w:r>
              <w:rPr>
                <w:spacing w:val="-4"/>
              </w:rPr>
              <w:t> </w:t>
            </w:r>
            <w:r w:rsidRPr="00E675C3">
              <w:rPr>
                <w:spacing w:val="-4"/>
              </w:rPr>
              <w:t>bytové výstavbě. Počet zahájených bytů za tři čtvrtletí se meziročně snížil o</w:t>
            </w:r>
            <w:r>
              <w:rPr>
                <w:spacing w:val="-4"/>
              </w:rPr>
              <w:t> 6,8 %, takřka výhradně vinou</w:t>
            </w:r>
            <w:r w:rsidRPr="00E675C3">
              <w:rPr>
                <w:spacing w:val="-4"/>
              </w:rPr>
              <w:t xml:space="preserve"> poklesu u</w:t>
            </w:r>
            <w:r>
              <w:rPr>
                <w:spacing w:val="-4"/>
              </w:rPr>
              <w:t> </w:t>
            </w:r>
            <w:r w:rsidRPr="00E675C3">
              <w:rPr>
                <w:spacing w:val="-4"/>
              </w:rPr>
              <w:t>bytů v bytových domech (o</w:t>
            </w:r>
            <w:r>
              <w:rPr>
                <w:spacing w:val="-4"/>
              </w:rPr>
              <w:t> </w:t>
            </w:r>
            <w:r w:rsidRPr="00E675C3">
              <w:rPr>
                <w:spacing w:val="-4"/>
              </w:rPr>
              <w:t>23</w:t>
            </w:r>
            <w:r>
              <w:rPr>
                <w:spacing w:val="-4"/>
              </w:rPr>
              <w:t> %</w:t>
            </w:r>
            <w:r w:rsidRPr="00E675C3">
              <w:rPr>
                <w:spacing w:val="-4"/>
              </w:rPr>
              <w:t>). Celkový počet zahájených bytů (27,2</w:t>
            </w:r>
            <w:r>
              <w:rPr>
                <w:spacing w:val="-4"/>
              </w:rPr>
              <w:t> tis.</w:t>
            </w:r>
            <w:r w:rsidRPr="00E675C3">
              <w:rPr>
                <w:spacing w:val="-4"/>
              </w:rPr>
              <w:t>) byl přesto druhý nejvyšší za poslední dekádu. Téměř o</w:t>
            </w:r>
            <w:r>
              <w:rPr>
                <w:spacing w:val="-4"/>
              </w:rPr>
              <w:t> </w:t>
            </w:r>
            <w:r w:rsidRPr="00E675C3">
              <w:rPr>
                <w:spacing w:val="-4"/>
              </w:rPr>
              <w:t>desetinu se snížila i</w:t>
            </w:r>
            <w:r>
              <w:rPr>
                <w:spacing w:val="-4"/>
              </w:rPr>
              <w:t> </w:t>
            </w:r>
            <w:r w:rsidRPr="00E675C3">
              <w:rPr>
                <w:spacing w:val="-4"/>
              </w:rPr>
              <w:t>četnost dokončených bytů. Nižší výstavbu registrovalo 12 ze 14</w:t>
            </w:r>
            <w:r>
              <w:rPr>
                <w:spacing w:val="-4"/>
              </w:rPr>
              <w:t> </w:t>
            </w:r>
            <w:r w:rsidRPr="00E675C3">
              <w:rPr>
                <w:spacing w:val="-4"/>
              </w:rPr>
              <w:t>regionů, nejvíce Praha a</w:t>
            </w:r>
            <w:r>
              <w:rPr>
                <w:spacing w:val="-4"/>
              </w:rPr>
              <w:t> </w:t>
            </w:r>
            <w:r w:rsidRPr="00E675C3">
              <w:rPr>
                <w:spacing w:val="-4"/>
              </w:rPr>
              <w:t>jižní Čechy</w:t>
            </w:r>
            <w:r>
              <w:rPr>
                <w:spacing w:val="-4"/>
              </w:rPr>
              <w:t xml:space="preserve"> (shodně skoro o</w:t>
            </w:r>
            <w:r w:rsidRPr="00E675C3">
              <w:rPr>
                <w:spacing w:val="-4"/>
              </w:rPr>
              <w:t> čtvrtinu). V celé ČR bylo dokončeno 13,7</w:t>
            </w:r>
            <w:r>
              <w:rPr>
                <w:spacing w:val="-4"/>
              </w:rPr>
              <w:t> tis.</w:t>
            </w:r>
            <w:r w:rsidRPr="00E675C3">
              <w:rPr>
                <w:spacing w:val="-4"/>
              </w:rPr>
              <w:t xml:space="preserve"> bytů v rodinných domech, výstavba rostla pátým rokem v řadě a</w:t>
            </w:r>
            <w:r>
              <w:rPr>
                <w:spacing w:val="-4"/>
              </w:rPr>
              <w:t> </w:t>
            </w:r>
            <w:r w:rsidRPr="00E675C3">
              <w:rPr>
                <w:spacing w:val="-4"/>
              </w:rPr>
              <w:t>její výše byla v rámci 1</w:t>
            </w:r>
            <w:r>
              <w:rPr>
                <w:spacing w:val="-4"/>
              </w:rPr>
              <w:t>. </w:t>
            </w:r>
            <w:r w:rsidRPr="00E675C3">
              <w:rPr>
                <w:spacing w:val="-4"/>
              </w:rPr>
              <w:t>až 3.</w:t>
            </w:r>
            <w:r>
              <w:rPr>
                <w:spacing w:val="-4"/>
              </w:rPr>
              <w:t> čtvrtlet</w:t>
            </w:r>
            <w:r w:rsidRPr="00E675C3">
              <w:rPr>
                <w:spacing w:val="-4"/>
              </w:rPr>
              <w:t>í v historii samo</w:t>
            </w:r>
            <w:r>
              <w:rPr>
                <w:spacing w:val="-4"/>
              </w:rPr>
              <w:t>sta</w:t>
            </w:r>
            <w:r w:rsidRPr="00E675C3">
              <w:rPr>
                <w:spacing w:val="-4"/>
              </w:rPr>
              <w:t>tné ČR nejvyšší.</w:t>
            </w:r>
          </w:p>
        </w:tc>
      </w:tr>
      <w:tr w:rsidR="008D3ACD" w:rsidRPr="00191C35" w14:paraId="3A183838" w14:textId="77777777" w:rsidTr="008D3ACD">
        <w:trPr>
          <w:trHeight w:val="145"/>
        </w:trPr>
        <w:tc>
          <w:tcPr>
            <w:tcW w:w="1792" w:type="dxa"/>
            <w:shd w:val="clear" w:color="auto" w:fill="auto"/>
            <w:tcMar>
              <w:left w:w="0" w:type="dxa"/>
            </w:tcMar>
          </w:tcPr>
          <w:p w14:paraId="4EADF01D" w14:textId="77777777" w:rsidR="008D3ACD" w:rsidRDefault="008D3ACD" w:rsidP="008D3ACD">
            <w:pPr>
              <w:pStyle w:val="Marginlie"/>
            </w:pPr>
          </w:p>
        </w:tc>
        <w:tc>
          <w:tcPr>
            <w:tcW w:w="216" w:type="dxa"/>
            <w:shd w:val="clear" w:color="auto" w:fill="auto"/>
            <w:tcMar>
              <w:left w:w="0" w:type="dxa"/>
            </w:tcMar>
          </w:tcPr>
          <w:p w14:paraId="01E16108"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3E5410E0" w14:textId="77777777" w:rsidR="008D3ACD" w:rsidRPr="00FE5237" w:rsidRDefault="008D3ACD" w:rsidP="008D3ACD">
            <w:pPr>
              <w:spacing w:after="0"/>
              <w:rPr>
                <w:spacing w:val="-4"/>
              </w:rPr>
            </w:pPr>
            <w:r w:rsidRPr="00883202">
              <w:rPr>
                <w:b/>
              </w:rPr>
              <w:t>Graf č. 6</w:t>
            </w:r>
            <w:r>
              <w:rPr>
                <w:b/>
              </w:rPr>
              <w:t xml:space="preserve">  </w:t>
            </w:r>
            <w:r w:rsidRPr="00883202">
              <w:rPr>
                <w:b/>
              </w:rPr>
              <w:t xml:space="preserve">Příspěvky odvětví k meziroční změně stavební produkce </w:t>
            </w:r>
            <w:r w:rsidRPr="00883202">
              <w:t>(v p. b.)</w:t>
            </w:r>
            <w:r w:rsidRPr="00883202">
              <w:rPr>
                <w:b/>
                <w:bCs/>
              </w:rPr>
              <w:t>,</w:t>
            </w:r>
            <w:r w:rsidRPr="00883202">
              <w:rPr>
                <w:b/>
                <w:bCs/>
              </w:rPr>
              <w:br/>
            </w:r>
            <w:r w:rsidRPr="00883202">
              <w:rPr>
                <w:b/>
              </w:rPr>
              <w:t xml:space="preserve">nové stavební zakázky </w:t>
            </w:r>
            <w:r w:rsidRPr="00883202">
              <w:rPr>
                <w:bCs/>
              </w:rPr>
              <w:t>(</w:t>
            </w:r>
            <w:r w:rsidRPr="00883202">
              <w:t>meziročně</w:t>
            </w:r>
            <w:r w:rsidRPr="00883202">
              <w:rPr>
                <w:bCs/>
              </w:rPr>
              <w:t xml:space="preserve"> v %</w:t>
            </w:r>
            <w:r w:rsidRPr="00883202">
              <w:t>, pravá osa</w:t>
            </w:r>
            <w:r w:rsidRPr="00883202">
              <w:rPr>
                <w:bCs/>
              </w:rPr>
              <w:t>)</w:t>
            </w:r>
            <w:r w:rsidRPr="00883202">
              <w:rPr>
                <w:b/>
              </w:rPr>
              <w:t>, saldo indikátoru důvěry ve stavebnictví*</w:t>
            </w:r>
            <w:r w:rsidRPr="00883202">
              <w:t xml:space="preserve"> (v p. b., pravá osa) </w:t>
            </w:r>
            <w:r w:rsidRPr="00883202">
              <w:rPr>
                <w:b/>
              </w:rPr>
              <w:t>a vybrané bariéry růstu</w:t>
            </w:r>
            <w:r w:rsidRPr="00883202">
              <w:t>* (v %, pravá osa)</w:t>
            </w:r>
          </w:p>
        </w:tc>
      </w:tr>
      <w:tr w:rsidR="008D3ACD" w:rsidRPr="00191C35" w14:paraId="63B24F16" w14:textId="77777777" w:rsidTr="008D3ACD">
        <w:tblPrEx>
          <w:tblCellMar>
            <w:left w:w="70" w:type="dxa"/>
            <w:right w:w="70" w:type="dxa"/>
          </w:tblCellMar>
        </w:tblPrEx>
        <w:trPr>
          <w:trHeight w:val="145"/>
        </w:trPr>
        <w:tc>
          <w:tcPr>
            <w:tcW w:w="1792" w:type="dxa"/>
            <w:shd w:val="clear" w:color="auto" w:fill="auto"/>
          </w:tcPr>
          <w:p w14:paraId="4E319AD4" w14:textId="77777777" w:rsidR="008D3ACD" w:rsidRDefault="008D3ACD" w:rsidP="008D3ACD">
            <w:pPr>
              <w:pStyle w:val="Marginlie"/>
            </w:pPr>
          </w:p>
        </w:tc>
        <w:tc>
          <w:tcPr>
            <w:tcW w:w="216" w:type="dxa"/>
            <w:shd w:val="clear" w:color="auto" w:fill="auto"/>
          </w:tcPr>
          <w:p w14:paraId="600D92BA" w14:textId="77777777" w:rsidR="008D3ACD" w:rsidRPr="00B43216" w:rsidRDefault="008D3ACD" w:rsidP="008D3ACD">
            <w:pPr>
              <w:pStyle w:val="Textpoznpodarou"/>
              <w:jc w:val="both"/>
              <w:rPr>
                <w:spacing w:val="-4"/>
              </w:rPr>
            </w:pPr>
          </w:p>
        </w:tc>
        <w:tc>
          <w:tcPr>
            <w:tcW w:w="7656" w:type="dxa"/>
            <w:shd w:val="clear" w:color="auto" w:fill="auto"/>
          </w:tcPr>
          <w:p w14:paraId="03C2D000" w14:textId="77777777" w:rsidR="008D3ACD" w:rsidRPr="003E01D3" w:rsidRDefault="008D3ACD" w:rsidP="008D3ACD">
            <w:pPr>
              <w:spacing w:after="0"/>
              <w:rPr>
                <w:b/>
                <w:spacing w:val="-4"/>
              </w:rPr>
            </w:pPr>
            <w:r>
              <w:rPr>
                <w:noProof/>
              </w:rPr>
              <w:drawing>
                <wp:inline distT="0" distB="0" distL="0" distR="0" wp14:anchorId="20A56CED" wp14:editId="702CF1EF">
                  <wp:extent cx="4740275" cy="3480179"/>
                  <wp:effectExtent l="0" t="0" r="3175" b="635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8D3ACD" w:rsidRPr="00191C35" w14:paraId="3FC88773" w14:textId="77777777" w:rsidTr="008D3ACD">
        <w:trPr>
          <w:trHeight w:val="145"/>
        </w:trPr>
        <w:tc>
          <w:tcPr>
            <w:tcW w:w="1792" w:type="dxa"/>
            <w:shd w:val="clear" w:color="auto" w:fill="auto"/>
            <w:tcMar>
              <w:left w:w="0" w:type="dxa"/>
            </w:tcMar>
          </w:tcPr>
          <w:p w14:paraId="4A90FCF2" w14:textId="77777777" w:rsidR="008D3ACD" w:rsidRDefault="008D3ACD" w:rsidP="008D3ACD">
            <w:pPr>
              <w:pStyle w:val="Marginlie"/>
            </w:pPr>
          </w:p>
        </w:tc>
        <w:tc>
          <w:tcPr>
            <w:tcW w:w="216" w:type="dxa"/>
            <w:shd w:val="clear" w:color="auto" w:fill="auto"/>
            <w:tcMar>
              <w:left w:w="0" w:type="dxa"/>
            </w:tcMar>
          </w:tcPr>
          <w:p w14:paraId="3744B6B7"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62226C69" w14:textId="77777777" w:rsidR="008D3ACD" w:rsidRPr="00883202" w:rsidRDefault="008D3ACD" w:rsidP="008D3ACD">
            <w:pPr>
              <w:spacing w:after="0"/>
              <w:rPr>
                <w:rFonts w:cs="Arial"/>
                <w:sz w:val="14"/>
                <w:szCs w:val="14"/>
              </w:rPr>
            </w:pPr>
            <w:r w:rsidRPr="00883202">
              <w:rPr>
                <w:rFonts w:cs="Arial"/>
                <w:sz w:val="14"/>
                <w:szCs w:val="14"/>
              </w:rPr>
              <w:t>Údaje o stavební produkci jsou očištěny o kalendářní vlivy.</w:t>
            </w:r>
          </w:p>
          <w:p w14:paraId="5DA5E17E" w14:textId="77777777" w:rsidR="008D3ACD" w:rsidRPr="002453EC" w:rsidRDefault="008D3ACD" w:rsidP="008D3ACD">
            <w:pPr>
              <w:spacing w:after="180"/>
              <w:rPr>
                <w:rFonts w:cs="Arial"/>
                <w:sz w:val="14"/>
                <w:szCs w:val="14"/>
              </w:rPr>
            </w:pPr>
            <w:r w:rsidRPr="00883202">
              <w:rPr>
                <w:rFonts w:cs="Arial"/>
                <w:sz w:val="14"/>
                <w:szCs w:val="14"/>
              </w:rPr>
              <w:t>*</w:t>
            </w:r>
            <w:r w:rsidRPr="00883202">
              <w:rPr>
                <w:rFonts w:cs="Arial"/>
                <w:spacing w:val="-2"/>
                <w:sz w:val="14"/>
                <w:szCs w:val="14"/>
              </w:rPr>
              <w:t>Saldo důvěry i bariéry růstu jsou sezónně očištěny a vyjadřují stav ve druhém měsíci daného čtvrtletí</w:t>
            </w:r>
            <w:r w:rsidRPr="00883202">
              <w:rPr>
                <w:rFonts w:cs="Arial"/>
                <w:sz w:val="14"/>
                <w:szCs w:val="14"/>
              </w:rPr>
              <w:t>.</w:t>
            </w:r>
            <w:r>
              <w:rPr>
                <w:rFonts w:cs="Arial"/>
                <w:sz w:val="14"/>
                <w:szCs w:val="14"/>
              </w:rPr>
              <w:t xml:space="preserve">                    </w:t>
            </w:r>
            <w:r w:rsidRPr="00883202">
              <w:rPr>
                <w:rFonts w:cs="Arial"/>
                <w:sz w:val="14"/>
                <w:szCs w:val="14"/>
              </w:rPr>
              <w:t>Zdroj: ČSÚ</w:t>
            </w:r>
          </w:p>
        </w:tc>
      </w:tr>
      <w:tr w:rsidR="008D3ACD" w:rsidRPr="00191C35" w14:paraId="1E640183" w14:textId="77777777" w:rsidTr="008D3ACD">
        <w:trPr>
          <w:trHeight w:val="145"/>
        </w:trPr>
        <w:tc>
          <w:tcPr>
            <w:tcW w:w="1792" w:type="dxa"/>
            <w:shd w:val="clear" w:color="auto" w:fill="auto"/>
            <w:tcMar>
              <w:left w:w="0" w:type="dxa"/>
            </w:tcMar>
          </w:tcPr>
          <w:p w14:paraId="0B01171B" w14:textId="77777777" w:rsidR="008D3ACD" w:rsidRDefault="008D3ACD" w:rsidP="008D3ACD">
            <w:pPr>
              <w:pStyle w:val="Marginlie"/>
            </w:pPr>
            <w:r>
              <w:t xml:space="preserve">Orientační hodnota stavebních povolení mírně klesla. Nové zakázky i jejich celková </w:t>
            </w:r>
            <w:r>
              <w:lastRenderedPageBreak/>
              <w:t>zásoba ale dále meziročně rostly.</w:t>
            </w:r>
          </w:p>
          <w:p w14:paraId="43E00F7F" w14:textId="77777777" w:rsidR="008D3ACD" w:rsidRDefault="008D3ACD" w:rsidP="008D3ACD">
            <w:pPr>
              <w:pStyle w:val="Marginlie"/>
            </w:pPr>
          </w:p>
          <w:p w14:paraId="05BF46D1" w14:textId="77777777" w:rsidR="008D3ACD" w:rsidRDefault="008D3ACD" w:rsidP="008D3ACD">
            <w:pPr>
              <w:pStyle w:val="Marginlie"/>
            </w:pPr>
            <w:r>
              <w:t>Saldo indikátoru důvěry ve stavebnictví zůstalo v listopadu negativní, bylo však mírně příznivější než na jaře.</w:t>
            </w:r>
          </w:p>
          <w:p w14:paraId="160C84F0" w14:textId="77777777" w:rsidR="008D3ACD" w:rsidRDefault="008D3ACD" w:rsidP="008D3ACD">
            <w:pPr>
              <w:pStyle w:val="Marginlie"/>
            </w:pPr>
          </w:p>
          <w:p w14:paraId="7954A9D3" w14:textId="77777777" w:rsidR="008D3ACD" w:rsidRDefault="008D3ACD" w:rsidP="008D3ACD">
            <w:pPr>
              <w:pStyle w:val="Marginlie"/>
            </w:pPr>
          </w:p>
          <w:p w14:paraId="4003FE29" w14:textId="77777777" w:rsidR="008D3ACD" w:rsidRDefault="008D3ACD" w:rsidP="008D3ACD">
            <w:pPr>
              <w:pStyle w:val="Marginlie"/>
            </w:pPr>
            <w:r>
              <w:t>Stavební podniky výrazněji trápí nedostatečná poptávka i problém s náborem pracovních sil.</w:t>
            </w:r>
          </w:p>
        </w:tc>
        <w:tc>
          <w:tcPr>
            <w:tcW w:w="216" w:type="dxa"/>
            <w:shd w:val="clear" w:color="auto" w:fill="auto"/>
            <w:tcMar>
              <w:left w:w="0" w:type="dxa"/>
            </w:tcMar>
          </w:tcPr>
          <w:p w14:paraId="743A4422"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7A54B300" w14:textId="6AA41DAA" w:rsidR="008D3ACD" w:rsidRPr="00E675C3" w:rsidRDefault="008D3ACD" w:rsidP="008D3ACD">
            <w:pPr>
              <w:spacing w:after="220"/>
              <w:rPr>
                <w:spacing w:val="-2"/>
                <w:szCs w:val="20"/>
              </w:rPr>
            </w:pPr>
            <w:r w:rsidRPr="00E675C3">
              <w:rPr>
                <w:spacing w:val="-2"/>
                <w:szCs w:val="20"/>
              </w:rPr>
              <w:t xml:space="preserve">Orientační hodnota všech stavebních povolení byla </w:t>
            </w:r>
            <w:r>
              <w:rPr>
                <w:spacing w:val="-2"/>
                <w:szCs w:val="20"/>
              </w:rPr>
              <w:t xml:space="preserve">letos </w:t>
            </w:r>
            <w:r w:rsidRPr="00E675C3">
              <w:rPr>
                <w:spacing w:val="-2"/>
                <w:szCs w:val="20"/>
              </w:rPr>
              <w:t>meziročně mírně nižší ve všech dosavadních čtvrtletích. V úhrnu od počátku roku se snížila o</w:t>
            </w:r>
            <w:r>
              <w:rPr>
                <w:spacing w:val="-2"/>
                <w:szCs w:val="20"/>
              </w:rPr>
              <w:t> </w:t>
            </w:r>
            <w:r w:rsidRPr="00E675C3">
              <w:rPr>
                <w:spacing w:val="-2"/>
                <w:szCs w:val="20"/>
              </w:rPr>
              <w:t>4</w:t>
            </w:r>
            <w:r>
              <w:rPr>
                <w:spacing w:val="-2"/>
                <w:szCs w:val="20"/>
              </w:rPr>
              <w:t> %</w:t>
            </w:r>
            <w:r w:rsidRPr="00E675C3">
              <w:rPr>
                <w:spacing w:val="-2"/>
                <w:szCs w:val="20"/>
              </w:rPr>
              <w:t>. K významnějšímu růstu došlo jen u</w:t>
            </w:r>
            <w:r>
              <w:rPr>
                <w:spacing w:val="-2"/>
                <w:szCs w:val="20"/>
              </w:rPr>
              <w:t> </w:t>
            </w:r>
            <w:r w:rsidRPr="00E675C3">
              <w:rPr>
                <w:spacing w:val="-2"/>
                <w:szCs w:val="20"/>
              </w:rPr>
              <w:t>změn dokončených staveb v</w:t>
            </w:r>
            <w:r>
              <w:rPr>
                <w:spacing w:val="-2"/>
                <w:szCs w:val="20"/>
              </w:rPr>
              <w:t> </w:t>
            </w:r>
            <w:r w:rsidRPr="00E675C3">
              <w:rPr>
                <w:spacing w:val="-2"/>
                <w:szCs w:val="20"/>
              </w:rPr>
              <w:t>bytových budovách (+16</w:t>
            </w:r>
            <w:r>
              <w:rPr>
                <w:spacing w:val="-2"/>
                <w:szCs w:val="20"/>
              </w:rPr>
              <w:t> %</w:t>
            </w:r>
            <w:r w:rsidRPr="00E675C3">
              <w:rPr>
                <w:spacing w:val="-2"/>
                <w:szCs w:val="20"/>
              </w:rPr>
              <w:t xml:space="preserve">). Spíše než </w:t>
            </w:r>
            <w:r w:rsidRPr="00E675C3">
              <w:rPr>
                <w:spacing w:val="-2"/>
                <w:szCs w:val="20"/>
              </w:rPr>
              <w:lastRenderedPageBreak/>
              <w:t>o</w:t>
            </w:r>
            <w:r>
              <w:rPr>
                <w:spacing w:val="-2"/>
                <w:szCs w:val="20"/>
              </w:rPr>
              <w:t> </w:t>
            </w:r>
            <w:r w:rsidRPr="00E675C3">
              <w:rPr>
                <w:spacing w:val="-2"/>
                <w:szCs w:val="20"/>
              </w:rPr>
              <w:t>tržním poklesu vypovídají tato tempa o</w:t>
            </w:r>
            <w:r>
              <w:rPr>
                <w:spacing w:val="-2"/>
                <w:szCs w:val="20"/>
              </w:rPr>
              <w:t> </w:t>
            </w:r>
            <w:r w:rsidRPr="00E675C3">
              <w:rPr>
                <w:spacing w:val="-2"/>
                <w:szCs w:val="20"/>
              </w:rPr>
              <w:t xml:space="preserve">dočasných omezeních činnosti stavebních úřadů. </w:t>
            </w:r>
            <w:r w:rsidRPr="00E675C3">
              <w:rPr>
                <w:rFonts w:cstheme="minorHAnsi"/>
                <w:spacing w:val="-2"/>
              </w:rPr>
              <w:t>Hodnota nově uzavřených tuzemských zakázek (v podnicích nad 50 zaměstnanců) totiž ve 2. i</w:t>
            </w:r>
            <w:r>
              <w:rPr>
                <w:rFonts w:cstheme="minorHAnsi"/>
                <w:spacing w:val="-2"/>
              </w:rPr>
              <w:t> </w:t>
            </w:r>
            <w:r w:rsidRPr="00E675C3">
              <w:rPr>
                <w:rFonts w:cstheme="minorHAnsi"/>
                <w:spacing w:val="-2"/>
              </w:rPr>
              <w:t>3.</w:t>
            </w:r>
            <w:r>
              <w:rPr>
                <w:rFonts w:cstheme="minorHAnsi"/>
                <w:spacing w:val="-2"/>
              </w:rPr>
              <w:t> čtvrtlet</w:t>
            </w:r>
            <w:r w:rsidRPr="00E675C3">
              <w:rPr>
                <w:rFonts w:cstheme="minorHAnsi"/>
                <w:spacing w:val="-2"/>
              </w:rPr>
              <w:t>í mírně meziročně rostla</w:t>
            </w:r>
            <w:r>
              <w:rPr>
                <w:rFonts w:cstheme="minorHAnsi"/>
                <w:spacing w:val="-2"/>
              </w:rPr>
              <w:t xml:space="preserve"> – </w:t>
            </w:r>
            <w:r w:rsidRPr="00E675C3">
              <w:rPr>
                <w:rFonts w:cstheme="minorHAnsi"/>
                <w:spacing w:val="-2"/>
              </w:rPr>
              <w:t>jak v pozemním, tak i inženýrském stavitelství. Posilovala i celková zásoba práce ve formě dosud nerealizovaných stavebních zakázek. Na konci 3.</w:t>
            </w:r>
            <w:r w:rsidRPr="00E675C3">
              <w:rPr>
                <w:color w:val="0D0D0D" w:themeColor="text1" w:themeTint="F2"/>
                <w:spacing w:val="-2"/>
              </w:rPr>
              <w:t> </w:t>
            </w:r>
            <w:r w:rsidRPr="00E675C3">
              <w:rPr>
                <w:rFonts w:cstheme="minorHAnsi"/>
                <w:spacing w:val="-2"/>
              </w:rPr>
              <w:t>čtvrtletí byla meziročně o</w:t>
            </w:r>
            <w:r w:rsidRPr="00E675C3">
              <w:rPr>
                <w:color w:val="0D0D0D" w:themeColor="text1" w:themeTint="F2"/>
                <w:spacing w:val="-2"/>
              </w:rPr>
              <w:t> </w:t>
            </w:r>
            <w:r w:rsidRPr="00E675C3">
              <w:rPr>
                <w:rFonts w:cstheme="minorHAnsi"/>
                <w:spacing w:val="-2"/>
              </w:rPr>
              <w:t>osminu vyšší, a to díky veřejným i</w:t>
            </w:r>
            <w:r>
              <w:rPr>
                <w:rFonts w:cstheme="minorHAnsi"/>
                <w:spacing w:val="-2"/>
              </w:rPr>
              <w:t> </w:t>
            </w:r>
            <w:r w:rsidRPr="00824C1F">
              <w:rPr>
                <w:rFonts w:cstheme="minorHAnsi"/>
                <w:spacing w:val="-2"/>
              </w:rPr>
              <w:t>soukromým objednávkám z</w:t>
            </w:r>
            <w:r>
              <w:rPr>
                <w:rFonts w:cstheme="minorHAnsi"/>
                <w:spacing w:val="-2"/>
              </w:rPr>
              <w:t> </w:t>
            </w:r>
            <w:r w:rsidRPr="00824C1F">
              <w:rPr>
                <w:rFonts w:cstheme="minorHAnsi"/>
                <w:spacing w:val="-2"/>
              </w:rPr>
              <w:t>tuzemska, ale i</w:t>
            </w:r>
            <w:r>
              <w:rPr>
                <w:rFonts w:cstheme="minorHAnsi"/>
                <w:spacing w:val="-2"/>
              </w:rPr>
              <w:t> </w:t>
            </w:r>
            <w:r w:rsidRPr="00824C1F">
              <w:rPr>
                <w:rFonts w:cstheme="minorHAnsi"/>
                <w:spacing w:val="-2"/>
              </w:rPr>
              <w:t xml:space="preserve">zakázkám v zahraničí. Tři pětiny z celkové zásoby práce připadaly na tuzemské veřejné zakázky. </w:t>
            </w:r>
            <w:r w:rsidRPr="00824C1F">
              <w:rPr>
                <w:color w:val="0D0D0D" w:themeColor="text1" w:themeTint="F2"/>
                <w:spacing w:val="-4"/>
              </w:rPr>
              <w:t xml:space="preserve">Saldo </w:t>
            </w:r>
            <w:r w:rsidRPr="00824C1F">
              <w:rPr>
                <w:rFonts w:cs="Arial"/>
                <w:color w:val="0D0D0D" w:themeColor="text1" w:themeTint="F2"/>
                <w:spacing w:val="-4"/>
              </w:rPr>
              <w:t>indikátoru důvěry podnikatelů ve stavebnictví</w:t>
            </w:r>
            <w:r>
              <w:rPr>
                <w:rFonts w:cs="Arial"/>
                <w:color w:val="0D0D0D" w:themeColor="text1" w:themeTint="F2"/>
                <w:spacing w:val="-4"/>
              </w:rPr>
              <w:t xml:space="preserve"> setrvalo vyjma ledna 2020 po celý rok v záporném pásmu. V listopadu činilo –12 bodů, a nacházelo se tak na úrovni počátku roku 2018. Reakce na podzimní zhoršení epidemiologické situace byla zatím jen mírná. Oslabení investiční aktivity v ekonomice se částečně podepsalo na poptávce ve stavebnictví. Nedostatečnou poptávku označilo jako bariéru růstu v listopadu 41 % podniků (nejvíce od ledna 2018), významným limitem zůstává současně i nedostatek pracovníků (34 %). Stavební firmy tak zatím ve velkém nepropouštěly. Evidenční počet zaměstnanců byl ve 3. čtvrtletí meziročně nižší jen o 0,6 %.</w:t>
            </w:r>
          </w:p>
        </w:tc>
      </w:tr>
      <w:tr w:rsidR="008D3ACD" w:rsidRPr="00191C35" w14:paraId="1AF63C0E" w14:textId="77777777" w:rsidTr="008D3ACD">
        <w:trPr>
          <w:trHeight w:val="145"/>
        </w:trPr>
        <w:tc>
          <w:tcPr>
            <w:tcW w:w="1792" w:type="dxa"/>
            <w:shd w:val="clear" w:color="auto" w:fill="auto"/>
            <w:tcMar>
              <w:left w:w="0" w:type="dxa"/>
            </w:tcMar>
          </w:tcPr>
          <w:p w14:paraId="7D9AB176" w14:textId="77777777" w:rsidR="008D3ACD" w:rsidRPr="00A24BEC" w:rsidRDefault="008D3ACD" w:rsidP="008D3ACD">
            <w:pPr>
              <w:pStyle w:val="Marginlie"/>
            </w:pPr>
            <w:r w:rsidRPr="00A24BEC">
              <w:lastRenderedPageBreak/>
              <w:t>Pokles stavební produkce v Česku byl v 1.  až 3.</w:t>
            </w:r>
            <w:r>
              <w:t> čtvrtlet</w:t>
            </w:r>
            <w:r w:rsidRPr="00A24BEC">
              <w:t>í srovnatelný s vývojem v</w:t>
            </w:r>
            <w:r>
              <w:t> </w:t>
            </w:r>
            <w:r w:rsidRPr="00A24BEC">
              <w:t>EU</w:t>
            </w:r>
            <w:r>
              <w:t>.</w:t>
            </w:r>
          </w:p>
        </w:tc>
        <w:tc>
          <w:tcPr>
            <w:tcW w:w="216" w:type="dxa"/>
            <w:shd w:val="clear" w:color="auto" w:fill="auto"/>
            <w:tcMar>
              <w:left w:w="0" w:type="dxa"/>
            </w:tcMar>
          </w:tcPr>
          <w:p w14:paraId="329708E2" w14:textId="77777777" w:rsidR="008D3ACD" w:rsidRPr="00A24BEC" w:rsidRDefault="008D3ACD" w:rsidP="008D3ACD">
            <w:pPr>
              <w:pStyle w:val="Textpoznpodarou"/>
              <w:jc w:val="both"/>
              <w:rPr>
                <w:spacing w:val="-4"/>
              </w:rPr>
            </w:pPr>
          </w:p>
        </w:tc>
        <w:tc>
          <w:tcPr>
            <w:tcW w:w="7656" w:type="dxa"/>
            <w:shd w:val="clear" w:color="auto" w:fill="auto"/>
            <w:tcMar>
              <w:left w:w="0" w:type="dxa"/>
            </w:tcMar>
          </w:tcPr>
          <w:p w14:paraId="673C9A3E" w14:textId="77777777" w:rsidR="008D3ACD" w:rsidRPr="00A24BEC" w:rsidRDefault="008D3ACD" w:rsidP="008D3ACD">
            <w:pPr>
              <w:spacing w:after="220"/>
              <w:rPr>
                <w:spacing w:val="-4"/>
                <w:szCs w:val="20"/>
              </w:rPr>
            </w:pPr>
            <w:r w:rsidRPr="00A24BEC">
              <w:rPr>
                <w:color w:val="0D0D0D" w:themeColor="text1" w:themeTint="F2"/>
                <w:spacing w:val="-4"/>
              </w:rPr>
              <w:t>Stavební produkce v EU klesla v 1. až 3.</w:t>
            </w:r>
            <w:r>
              <w:rPr>
                <w:color w:val="0D0D0D" w:themeColor="text1" w:themeTint="F2"/>
                <w:spacing w:val="-4"/>
              </w:rPr>
              <w:t> čtvrtlet</w:t>
            </w:r>
            <w:r w:rsidRPr="00A24BEC">
              <w:rPr>
                <w:color w:val="0D0D0D" w:themeColor="text1" w:themeTint="F2"/>
                <w:spacing w:val="-4"/>
              </w:rPr>
              <w:t>í 2020 meziročně o 6,6 % </w:t>
            </w:r>
            <w:r w:rsidRPr="00A24BEC">
              <w:rPr>
                <w:color w:val="000000" w:themeColor="text1"/>
                <w:spacing w:val="-4"/>
              </w:rPr>
              <w:t>–</w:t>
            </w:r>
            <w:r w:rsidRPr="00A24BEC">
              <w:rPr>
                <w:color w:val="0D0D0D" w:themeColor="text1" w:themeTint="F2"/>
                <w:spacing w:val="-4"/>
              </w:rPr>
              <w:t xml:space="preserve"> srovnatelně jako v ČR. Největší propad ze sledovaných zemí</w:t>
            </w:r>
            <w:r w:rsidRPr="00A24BEC">
              <w:rPr>
                <w:color w:val="0D0D0D" w:themeColor="text1" w:themeTint="F2"/>
                <w:spacing w:val="-4"/>
                <w:vertAlign w:val="superscript"/>
              </w:rPr>
              <w:footnoteReference w:id="26"/>
            </w:r>
            <w:r w:rsidRPr="00A24BEC">
              <w:rPr>
                <w:color w:val="0D0D0D" w:themeColor="text1" w:themeTint="F2"/>
                <w:spacing w:val="-4"/>
              </w:rPr>
              <w:t xml:space="preserve"> postihl Francii (</w:t>
            </w:r>
            <w:r w:rsidRPr="00A24BEC">
              <w:rPr>
                <w:color w:val="000000" w:themeColor="text1"/>
                <w:spacing w:val="-4"/>
              </w:rPr>
              <w:t>–</w:t>
            </w:r>
            <w:r w:rsidRPr="00A24BEC">
              <w:rPr>
                <w:color w:val="0D0D0D" w:themeColor="text1" w:themeTint="F2"/>
                <w:spacing w:val="-4"/>
              </w:rPr>
              <w:t>17,9 %), Španělsko</w:t>
            </w:r>
            <w:r w:rsidRPr="00A24BEC">
              <w:rPr>
                <w:color w:val="0D0D0D" w:themeColor="text1" w:themeTint="F2"/>
                <w:spacing w:val="-4"/>
              </w:rPr>
              <w:br/>
              <w:t>(</w:t>
            </w:r>
            <w:r w:rsidRPr="00A24BEC">
              <w:rPr>
                <w:color w:val="000000" w:themeColor="text1"/>
                <w:spacing w:val="-4"/>
              </w:rPr>
              <w:t xml:space="preserve">–14,0 %), Itálii </w:t>
            </w:r>
            <w:r>
              <w:rPr>
                <w:color w:val="000000" w:themeColor="text1"/>
                <w:spacing w:val="-4"/>
              </w:rPr>
              <w:t>a </w:t>
            </w:r>
            <w:r w:rsidRPr="00A24BEC">
              <w:rPr>
                <w:color w:val="000000" w:themeColor="text1"/>
                <w:spacing w:val="-4"/>
              </w:rPr>
              <w:t xml:space="preserve">Slovensko (shodně </w:t>
            </w:r>
            <w:r>
              <w:rPr>
                <w:color w:val="000000" w:themeColor="text1"/>
                <w:spacing w:val="-4"/>
              </w:rPr>
              <w:t>–</w:t>
            </w:r>
            <w:r w:rsidRPr="00A24BEC">
              <w:rPr>
                <w:color w:val="000000" w:themeColor="text1"/>
                <w:spacing w:val="-4"/>
              </w:rPr>
              <w:t>12,0</w:t>
            </w:r>
            <w:r>
              <w:rPr>
                <w:color w:val="000000" w:themeColor="text1"/>
                <w:spacing w:val="-4"/>
              </w:rPr>
              <w:t> %</w:t>
            </w:r>
            <w:r w:rsidRPr="00A24BEC">
              <w:rPr>
                <w:color w:val="000000" w:themeColor="text1"/>
                <w:spacing w:val="-4"/>
              </w:rPr>
              <w:t>). S tím kontrastoval téměř 18% nárůst v Rumunsku. K navýšení došlo v dalších sedmi státech, mj. v Německu (+2,3 %). Lepšího výsledku než</w:t>
            </w:r>
            <w:r>
              <w:rPr>
                <w:color w:val="000000" w:themeColor="text1"/>
                <w:spacing w:val="-4"/>
              </w:rPr>
              <w:t> </w:t>
            </w:r>
            <w:r w:rsidRPr="00A24BEC">
              <w:rPr>
                <w:color w:val="000000" w:themeColor="text1"/>
                <w:spacing w:val="-4"/>
              </w:rPr>
              <w:t>EU dosáhly vyjma Maďarska a</w:t>
            </w:r>
            <w:r>
              <w:rPr>
                <w:color w:val="000000" w:themeColor="text1"/>
                <w:spacing w:val="-4"/>
              </w:rPr>
              <w:t> </w:t>
            </w:r>
            <w:r w:rsidRPr="00A24BEC">
              <w:rPr>
                <w:color w:val="000000" w:themeColor="text1"/>
                <w:spacing w:val="-4"/>
              </w:rPr>
              <w:t xml:space="preserve">Slovenska všechny </w:t>
            </w:r>
            <w:r w:rsidRPr="00A24BEC">
              <w:rPr>
                <w:color w:val="0D0D0D" w:themeColor="text1" w:themeTint="F2"/>
                <w:spacing w:val="-4"/>
              </w:rPr>
              <w:t>novější členské státy ze střední a</w:t>
            </w:r>
            <w:r w:rsidRPr="00A24BEC">
              <w:rPr>
                <w:rFonts w:cstheme="minorHAnsi"/>
                <w:spacing w:val="-4"/>
              </w:rPr>
              <w:t> </w:t>
            </w:r>
            <w:r w:rsidRPr="00A24BEC">
              <w:rPr>
                <w:color w:val="0D0D0D" w:themeColor="text1" w:themeTint="F2"/>
                <w:spacing w:val="-4"/>
              </w:rPr>
              <w:t>východní Evropy, k čemuž často přispěl příznivější vývoj inženýrského stavitelství.</w:t>
            </w:r>
          </w:p>
        </w:tc>
      </w:tr>
      <w:tr w:rsidR="008D3ACD" w:rsidRPr="00191C35" w14:paraId="5E63263A" w14:textId="77777777" w:rsidTr="008D3ACD">
        <w:trPr>
          <w:trHeight w:val="145"/>
        </w:trPr>
        <w:tc>
          <w:tcPr>
            <w:tcW w:w="1792" w:type="dxa"/>
            <w:shd w:val="clear" w:color="auto" w:fill="auto"/>
            <w:tcMar>
              <w:left w:w="0" w:type="dxa"/>
            </w:tcMar>
          </w:tcPr>
          <w:p w14:paraId="736A9E67" w14:textId="77777777" w:rsidR="008D3ACD" w:rsidRDefault="008D3ACD" w:rsidP="008D3ACD">
            <w:pPr>
              <w:pStyle w:val="Marginlie"/>
            </w:pPr>
            <w:r>
              <w:t>Prudký jarní pokles tržeb ve službách nebyl v následujících měsících zdaleka kompenzován.</w:t>
            </w:r>
          </w:p>
        </w:tc>
        <w:tc>
          <w:tcPr>
            <w:tcW w:w="216" w:type="dxa"/>
            <w:shd w:val="clear" w:color="auto" w:fill="auto"/>
            <w:tcMar>
              <w:left w:w="0" w:type="dxa"/>
            </w:tcMar>
          </w:tcPr>
          <w:p w14:paraId="5C4BD3E5"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640CE968" w14:textId="12BA79A3" w:rsidR="008D3ACD" w:rsidRPr="004D53D9" w:rsidRDefault="008D3ACD" w:rsidP="008D3ACD">
            <w:pPr>
              <w:spacing w:after="220"/>
              <w:rPr>
                <w:spacing w:val="-4"/>
                <w:szCs w:val="20"/>
              </w:rPr>
            </w:pPr>
            <w:r w:rsidRPr="00F91587">
              <w:rPr>
                <w:spacing w:val="-2"/>
              </w:rPr>
              <w:t xml:space="preserve">Tržby </w:t>
            </w:r>
            <w:r w:rsidRPr="00F91587">
              <w:rPr>
                <w:color w:val="0D0D0D" w:themeColor="text1" w:themeTint="F2"/>
                <w:spacing w:val="-2"/>
              </w:rPr>
              <w:t>ve vybraných službách</w:t>
            </w:r>
            <w:r w:rsidRPr="00F91587">
              <w:rPr>
                <w:color w:val="0D0D0D" w:themeColor="text1" w:themeTint="F2"/>
                <w:spacing w:val="-2"/>
                <w:vertAlign w:val="superscript"/>
              </w:rPr>
              <w:footnoteReference w:id="27"/>
            </w:r>
            <w:r>
              <w:rPr>
                <w:color w:val="0D0D0D" w:themeColor="text1" w:themeTint="F2"/>
                <w:spacing w:val="-2"/>
              </w:rPr>
              <w:t xml:space="preserve"> v důsledku vládních restriktivních opatření letos citelně klesly. Během března se meziměsíčně snížily o 8,7 %, v dubnu se tento pokles prohloubil na 11,3 %. Po uvolnění restrikcí v dalších měsících postupně mírně ožívaly, avšak již v září se jejich meziměsíční růst zastavil. Opětovně zhoršená epidemiologická situace zkrátila letní turistickou sezónu. Nově zavedená regulační opatření (omezení počtu hostů, zkrácení otevírací doby) utlumila růst stravování a pohostinství. Propad tržeb v celém segmentu služeb z 2. čtvrtletí tak v následujícím období nebyl zdaleka kompenzován</w:t>
            </w:r>
            <w:r>
              <w:rPr>
                <w:rStyle w:val="Znakapoznpodarou"/>
                <w:color w:val="0D0D0D" w:themeColor="text1" w:themeTint="F2"/>
                <w:spacing w:val="-2"/>
              </w:rPr>
              <w:footnoteReference w:id="28"/>
            </w:r>
            <w:r>
              <w:rPr>
                <w:color w:val="0D0D0D" w:themeColor="text1" w:themeTint="F2"/>
                <w:spacing w:val="-2"/>
              </w:rPr>
              <w:t>.</w:t>
            </w:r>
          </w:p>
        </w:tc>
      </w:tr>
      <w:tr w:rsidR="008D3ACD" w:rsidRPr="00191C35" w14:paraId="3A77710C" w14:textId="77777777" w:rsidTr="008D3ACD">
        <w:trPr>
          <w:trHeight w:val="145"/>
        </w:trPr>
        <w:tc>
          <w:tcPr>
            <w:tcW w:w="1792" w:type="dxa"/>
            <w:shd w:val="clear" w:color="auto" w:fill="auto"/>
            <w:tcMar>
              <w:left w:w="0" w:type="dxa"/>
            </w:tcMar>
          </w:tcPr>
          <w:p w14:paraId="1CBE6B0B" w14:textId="77777777" w:rsidR="008D3ACD" w:rsidRDefault="008D3ACD" w:rsidP="008D3ACD">
            <w:pPr>
              <w:pStyle w:val="Marginlie"/>
            </w:pPr>
            <w:r w:rsidRPr="00B52079">
              <w:t>Za meziročním poklesem tržeb ve službách stály zejména slabší výkony v dopravě a skladování</w:t>
            </w:r>
            <w:r>
              <w:t>.</w:t>
            </w:r>
          </w:p>
          <w:p w14:paraId="501D5505" w14:textId="77777777" w:rsidR="008D3ACD" w:rsidRDefault="008D3ACD" w:rsidP="008D3ACD">
            <w:pPr>
              <w:pStyle w:val="Marginlie"/>
            </w:pPr>
          </w:p>
          <w:p w14:paraId="10537A5C" w14:textId="77777777" w:rsidR="008D3ACD" w:rsidRDefault="008D3ACD" w:rsidP="008D3ACD">
            <w:pPr>
              <w:pStyle w:val="Marginlie"/>
            </w:pPr>
          </w:p>
          <w:p w14:paraId="6D89D138" w14:textId="77777777" w:rsidR="008D3ACD" w:rsidRDefault="008D3ACD" w:rsidP="008D3ACD">
            <w:pPr>
              <w:pStyle w:val="Marginlie"/>
            </w:pPr>
          </w:p>
          <w:p w14:paraId="5B2C3B37" w14:textId="77777777" w:rsidR="008D3ACD" w:rsidRDefault="008D3ACD" w:rsidP="008D3ACD">
            <w:pPr>
              <w:pStyle w:val="Marginlie"/>
            </w:pPr>
            <w:r>
              <w:t>Největší propad zaznamenaly tržby v odvětvích s vazbou na cestovní ruch.</w:t>
            </w:r>
          </w:p>
          <w:p w14:paraId="4AE8A025" w14:textId="77777777" w:rsidR="008D3ACD" w:rsidRDefault="008D3ACD" w:rsidP="008D3ACD">
            <w:pPr>
              <w:pStyle w:val="Marginlie"/>
            </w:pPr>
          </w:p>
          <w:p w14:paraId="59548C3F" w14:textId="77777777" w:rsidR="008D3ACD" w:rsidRDefault="008D3ACD" w:rsidP="008D3ACD">
            <w:pPr>
              <w:pStyle w:val="Marginlie"/>
            </w:pPr>
          </w:p>
          <w:p w14:paraId="1B9540CE" w14:textId="77777777" w:rsidR="008D3ACD" w:rsidRDefault="008D3ACD" w:rsidP="008D3ACD">
            <w:pPr>
              <w:pStyle w:val="Marginlie"/>
            </w:pPr>
          </w:p>
          <w:p w14:paraId="47E3D23D" w14:textId="77777777" w:rsidR="008D3ACD" w:rsidRDefault="008D3ACD" w:rsidP="008D3ACD">
            <w:pPr>
              <w:pStyle w:val="Marginlie"/>
            </w:pPr>
            <w:r>
              <w:t>Poptávka rostla v oblasti poštovních a kurýrních činností, telekomunikací či informačních činností.</w:t>
            </w:r>
          </w:p>
          <w:p w14:paraId="0A0538DE" w14:textId="77777777" w:rsidR="008D3ACD" w:rsidRDefault="008D3ACD" w:rsidP="008D3ACD">
            <w:pPr>
              <w:pStyle w:val="Marginlie"/>
            </w:pPr>
          </w:p>
          <w:p w14:paraId="056353CD" w14:textId="77777777" w:rsidR="008D3ACD" w:rsidRDefault="008D3ACD" w:rsidP="008D3ACD">
            <w:pPr>
              <w:pStyle w:val="Marginlie"/>
            </w:pPr>
          </w:p>
          <w:p w14:paraId="4E9286F6" w14:textId="77777777" w:rsidR="008D3ACD" w:rsidRDefault="008D3ACD" w:rsidP="008D3ACD">
            <w:pPr>
              <w:pStyle w:val="Marginlie"/>
            </w:pPr>
          </w:p>
          <w:p w14:paraId="66505AA4" w14:textId="374B11BE" w:rsidR="008D3ACD" w:rsidRDefault="008D3ACD" w:rsidP="008D3ACD">
            <w:pPr>
              <w:pStyle w:val="Marginlie"/>
            </w:pPr>
            <w:r>
              <w:lastRenderedPageBreak/>
              <w:t>Propad tržeb ve film</w:t>
            </w:r>
            <w:r w:rsidR="006C5506">
              <w:t>ovém a hudebním průmyslu byl vět</w:t>
            </w:r>
            <w:r>
              <w:t>ší než v roce 2009.</w:t>
            </w:r>
          </w:p>
        </w:tc>
        <w:tc>
          <w:tcPr>
            <w:tcW w:w="216" w:type="dxa"/>
            <w:shd w:val="clear" w:color="auto" w:fill="auto"/>
            <w:tcMar>
              <w:left w:w="0" w:type="dxa"/>
            </w:tcMar>
          </w:tcPr>
          <w:p w14:paraId="33B22629"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546ED1E7" w14:textId="13D42D36" w:rsidR="008D3ACD" w:rsidRPr="008D3ACD" w:rsidRDefault="008D3ACD" w:rsidP="008D3ACD">
            <w:pPr>
              <w:spacing w:after="220"/>
              <w:rPr>
                <w:spacing w:val="-2"/>
                <w:szCs w:val="20"/>
              </w:rPr>
            </w:pPr>
            <w:r w:rsidRPr="008D3ACD">
              <w:rPr>
                <w:spacing w:val="-2"/>
                <w:szCs w:val="20"/>
              </w:rPr>
              <w:t>První tři čtvrtletí 2020 přinesla 12,1% meziroční pokles tržeb ve službách (dosud rekordní útlum za stejné období roku 2009 čítal „jen“ necelých 10 %). Na letošním poklesu se z více než třetiny podílelo odvětví dopravy a skladování, z více než čtvrtiny administrativní a</w:t>
            </w:r>
            <w:r w:rsidRPr="008D3ACD">
              <w:rPr>
                <w:color w:val="0D0D0D" w:themeColor="text1" w:themeTint="F2"/>
                <w:spacing w:val="-2"/>
              </w:rPr>
              <w:t> </w:t>
            </w:r>
            <w:r w:rsidRPr="008D3ACD">
              <w:rPr>
                <w:spacing w:val="-2"/>
                <w:szCs w:val="20"/>
              </w:rPr>
              <w:t>podpůrné činnosti. Více než pětinou pak přispělo ubytování a</w:t>
            </w:r>
            <w:r w:rsidRPr="008D3ACD">
              <w:rPr>
                <w:color w:val="0D0D0D" w:themeColor="text1" w:themeTint="F2"/>
                <w:spacing w:val="-2"/>
              </w:rPr>
              <w:t> </w:t>
            </w:r>
            <w:r w:rsidRPr="008D3ACD">
              <w:rPr>
                <w:spacing w:val="-2"/>
                <w:szCs w:val="20"/>
              </w:rPr>
              <w:t>stravování. To také registrovalo nejhlubší propad tržeb ze všech hlavních odvětví služeb (za tři čtvrtletí meziročně o 33,5 %). V segmentu ubytování byly tržby pouze na polovině loňské úrovně</w:t>
            </w:r>
            <w:r w:rsidRPr="008D3ACD">
              <w:rPr>
                <w:rStyle w:val="Znakapoznpodarou"/>
                <w:spacing w:val="-2"/>
                <w:szCs w:val="20"/>
              </w:rPr>
              <w:footnoteReference w:id="29"/>
            </w:r>
            <w:r w:rsidRPr="008D3ACD">
              <w:rPr>
                <w:spacing w:val="-2"/>
                <w:szCs w:val="20"/>
              </w:rPr>
              <w:t>. Silný pokles postihl i odvětví administrativních a podpůrných činností (–27,5 %). Projevil se zde hlavně nebývalý propad u</w:t>
            </w:r>
            <w:r w:rsidRPr="008D3ACD">
              <w:rPr>
                <w:color w:val="0D0D0D" w:themeColor="text1" w:themeTint="F2"/>
                <w:spacing w:val="-2"/>
              </w:rPr>
              <w:t> </w:t>
            </w:r>
            <w:r w:rsidRPr="008D3ACD">
              <w:rPr>
                <w:spacing w:val="-2"/>
                <w:szCs w:val="20"/>
              </w:rPr>
              <w:t>cestovních agentur (–73,1 %), pokles tržeb hlásila i </w:t>
            </w:r>
            <w:r>
              <w:rPr>
                <w:spacing w:val="-2"/>
                <w:szCs w:val="20"/>
              </w:rPr>
              <w:t>ostatní</w:t>
            </w:r>
            <w:r w:rsidRPr="008D3ACD">
              <w:rPr>
                <w:spacing w:val="-2"/>
                <w:szCs w:val="20"/>
              </w:rPr>
              <w:t xml:space="preserve"> dílčí odvětví (např. pracovní agentury –23,0 %). V klíčovém odvětví dopravy a skladování se tržby snížily o sedminu. S</w:t>
            </w:r>
            <w:r w:rsidRPr="008D3ACD">
              <w:rPr>
                <w:color w:val="0D0D0D" w:themeColor="text1" w:themeTint="F2"/>
                <w:spacing w:val="-2"/>
              </w:rPr>
              <w:t> </w:t>
            </w:r>
            <w:r w:rsidRPr="008D3ACD">
              <w:rPr>
                <w:spacing w:val="-2"/>
                <w:szCs w:val="20"/>
              </w:rPr>
              <w:t>vývojem v celoročně ochromeném segmentu letecké dopravy (–68,5 %) kontrastoval pokračující rozvoj poštovních a kurýrních činností (+9,2 %). Významnější pokles tržeb byl patrný i v profesních, vědeckých a technických činnostech (–7,8 %), a to zejména vlivem nižší poptávky po architektonických a inženýrských činnostech. Tržby se však snižovaly i</w:t>
            </w:r>
            <w:r w:rsidRPr="008D3ACD">
              <w:rPr>
                <w:color w:val="0D0D0D" w:themeColor="text1" w:themeTint="F2"/>
                <w:spacing w:val="-2"/>
              </w:rPr>
              <w:t> </w:t>
            </w:r>
            <w:r w:rsidRPr="008D3ACD">
              <w:rPr>
                <w:spacing w:val="-2"/>
                <w:szCs w:val="20"/>
              </w:rPr>
              <w:t>ve všech dalších segmentech tohoto odvětví, včetně jinak dlouhodobě rostoucí oblasti výzkumu trhu a veřejného mínění. Relativně stabilní poptávku si držely pouze právní a</w:t>
            </w:r>
            <w:r w:rsidRPr="008D3ACD">
              <w:rPr>
                <w:color w:val="0D0D0D" w:themeColor="text1" w:themeTint="F2"/>
                <w:spacing w:val="-2"/>
              </w:rPr>
              <w:t> </w:t>
            </w:r>
            <w:r w:rsidRPr="008D3ACD">
              <w:rPr>
                <w:spacing w:val="-2"/>
                <w:szCs w:val="20"/>
              </w:rPr>
              <w:t>účetnické činnosti. To platilo i o odvětví informačních a</w:t>
            </w:r>
            <w:r w:rsidRPr="008D3ACD">
              <w:rPr>
                <w:color w:val="0D0D0D" w:themeColor="text1" w:themeTint="F2"/>
                <w:spacing w:val="-2"/>
              </w:rPr>
              <w:t> </w:t>
            </w:r>
            <w:r w:rsidRPr="008D3ACD">
              <w:rPr>
                <w:spacing w:val="-2"/>
                <w:szCs w:val="20"/>
              </w:rPr>
              <w:t>komunikačních činností (+0,8</w:t>
            </w:r>
            <w:r w:rsidRPr="008D3ACD">
              <w:rPr>
                <w:color w:val="0D0D0D" w:themeColor="text1" w:themeTint="F2"/>
                <w:spacing w:val="-2"/>
              </w:rPr>
              <w:t> </w:t>
            </w:r>
            <w:r w:rsidRPr="008D3ACD">
              <w:rPr>
                <w:spacing w:val="-2"/>
                <w:szCs w:val="20"/>
              </w:rPr>
              <w:t>%, nejslabší tempo za posledních sedm let). Dařilo se telekomunikacím (+7,4</w:t>
            </w:r>
            <w:r w:rsidRPr="008D3ACD">
              <w:rPr>
                <w:color w:val="0D0D0D" w:themeColor="text1" w:themeTint="F2"/>
                <w:spacing w:val="-2"/>
              </w:rPr>
              <w:t> </w:t>
            </w:r>
            <w:r w:rsidRPr="008D3ACD">
              <w:rPr>
                <w:spacing w:val="-2"/>
                <w:szCs w:val="20"/>
              </w:rPr>
              <w:t>%) a</w:t>
            </w:r>
            <w:r w:rsidRPr="008D3ACD">
              <w:rPr>
                <w:color w:val="0D0D0D" w:themeColor="text1" w:themeTint="F2"/>
                <w:spacing w:val="-2"/>
              </w:rPr>
              <w:t> </w:t>
            </w:r>
            <w:r w:rsidRPr="008D3ACD">
              <w:rPr>
                <w:spacing w:val="-2"/>
                <w:szCs w:val="20"/>
              </w:rPr>
              <w:t xml:space="preserve">informačním </w:t>
            </w:r>
            <w:r w:rsidRPr="008D3ACD">
              <w:rPr>
                <w:spacing w:val="-2"/>
                <w:szCs w:val="20"/>
              </w:rPr>
              <w:lastRenderedPageBreak/>
              <w:t>činnostem (+4,9 %) zahrnujícím např. zpracování dat či webové portály. S problémy se potýkal váhově okrajový segment filmového a hudebního průmyslu, kde 35 % pokles tržeb značil horší výsledek než v krizovém roce 2009</w:t>
            </w:r>
            <w:r w:rsidRPr="008D3ACD">
              <w:rPr>
                <w:rStyle w:val="Znakapoznpodarou"/>
                <w:spacing w:val="-2"/>
                <w:szCs w:val="20"/>
              </w:rPr>
              <w:footnoteReference w:id="30"/>
            </w:r>
            <w:r w:rsidRPr="008D3ACD">
              <w:rPr>
                <w:spacing w:val="-2"/>
                <w:szCs w:val="20"/>
              </w:rPr>
              <w:t>.</w:t>
            </w:r>
          </w:p>
        </w:tc>
      </w:tr>
      <w:tr w:rsidR="008D3ACD" w:rsidRPr="00191C35" w14:paraId="4DA19798" w14:textId="77777777" w:rsidTr="008D3ACD">
        <w:trPr>
          <w:trHeight w:val="145"/>
        </w:trPr>
        <w:tc>
          <w:tcPr>
            <w:tcW w:w="1792" w:type="dxa"/>
            <w:shd w:val="clear" w:color="auto" w:fill="auto"/>
            <w:tcMar>
              <w:left w:w="0" w:type="dxa"/>
            </w:tcMar>
          </w:tcPr>
          <w:p w14:paraId="1338A2F1" w14:textId="77777777" w:rsidR="008D3ACD" w:rsidRDefault="008D3ACD" w:rsidP="008D3ACD">
            <w:pPr>
              <w:pStyle w:val="Marginlie"/>
            </w:pPr>
          </w:p>
        </w:tc>
        <w:tc>
          <w:tcPr>
            <w:tcW w:w="216" w:type="dxa"/>
            <w:shd w:val="clear" w:color="auto" w:fill="auto"/>
            <w:tcMar>
              <w:left w:w="0" w:type="dxa"/>
            </w:tcMar>
          </w:tcPr>
          <w:p w14:paraId="7ECFB942"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020324A6" w14:textId="77777777" w:rsidR="008D3ACD" w:rsidRPr="004519A5" w:rsidRDefault="008D3ACD" w:rsidP="008D3ACD">
            <w:pPr>
              <w:spacing w:after="0"/>
              <w:rPr>
                <w:spacing w:val="2"/>
                <w:szCs w:val="20"/>
              </w:rPr>
            </w:pPr>
            <w:r w:rsidRPr="004519A5">
              <w:rPr>
                <w:b/>
                <w:spacing w:val="2"/>
              </w:rPr>
              <w:t>Graf č. 7</w:t>
            </w:r>
            <w:r>
              <w:rPr>
                <w:b/>
                <w:spacing w:val="2"/>
              </w:rPr>
              <w:t xml:space="preserve">  </w:t>
            </w:r>
            <w:r w:rsidRPr="004519A5">
              <w:rPr>
                <w:b/>
                <w:spacing w:val="2"/>
              </w:rPr>
              <w:t>Příspěvky odvětví k meziroční změně tržeb ve službách*</w:t>
            </w:r>
            <w:r w:rsidRPr="004519A5">
              <w:rPr>
                <w:b/>
                <w:spacing w:val="2"/>
              </w:rPr>
              <w:br/>
            </w:r>
            <w:r w:rsidRPr="004519A5">
              <w:rPr>
                <w:spacing w:val="2"/>
              </w:rPr>
              <w:t>(v p. b., očištěno o kalendářní vlivy)</w:t>
            </w:r>
            <w:r w:rsidRPr="004519A5">
              <w:rPr>
                <w:b/>
                <w:bCs/>
                <w:spacing w:val="2"/>
              </w:rPr>
              <w:t xml:space="preserve">, </w:t>
            </w:r>
            <w:r w:rsidRPr="004519A5">
              <w:rPr>
                <w:b/>
                <w:spacing w:val="2"/>
              </w:rPr>
              <w:t>saldo indikátoru důvěry ve službách**</w:t>
            </w:r>
            <w:r w:rsidRPr="004519A5">
              <w:rPr>
                <w:b/>
                <w:spacing w:val="2"/>
              </w:rPr>
              <w:br/>
            </w:r>
            <w:r w:rsidRPr="004519A5">
              <w:rPr>
                <w:spacing w:val="2"/>
              </w:rPr>
              <w:t>(v p. b., pravá osa)</w:t>
            </w:r>
            <w:r w:rsidRPr="004519A5">
              <w:rPr>
                <w:b/>
                <w:spacing w:val="2"/>
              </w:rPr>
              <w:t xml:space="preserve"> a vybrané bariéry růstu*</w:t>
            </w:r>
            <w:r w:rsidRPr="004519A5">
              <w:rPr>
                <w:spacing w:val="2"/>
              </w:rPr>
              <w:t>* (v %, pravá osa)</w:t>
            </w:r>
          </w:p>
        </w:tc>
      </w:tr>
      <w:tr w:rsidR="008D3ACD" w:rsidRPr="00191C35" w14:paraId="4F8B05B5" w14:textId="77777777" w:rsidTr="008D3ACD">
        <w:trPr>
          <w:trHeight w:val="145"/>
        </w:trPr>
        <w:tc>
          <w:tcPr>
            <w:tcW w:w="1792" w:type="dxa"/>
            <w:shd w:val="clear" w:color="auto" w:fill="auto"/>
            <w:tcMar>
              <w:left w:w="0" w:type="dxa"/>
            </w:tcMar>
          </w:tcPr>
          <w:p w14:paraId="4B419144" w14:textId="77777777" w:rsidR="008D3ACD" w:rsidRDefault="008D3ACD" w:rsidP="008D3ACD">
            <w:pPr>
              <w:pStyle w:val="Marginlie"/>
            </w:pPr>
          </w:p>
        </w:tc>
        <w:tc>
          <w:tcPr>
            <w:tcW w:w="216" w:type="dxa"/>
            <w:shd w:val="clear" w:color="auto" w:fill="auto"/>
            <w:tcMar>
              <w:left w:w="0" w:type="dxa"/>
            </w:tcMar>
          </w:tcPr>
          <w:p w14:paraId="2D6EAF87"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0A508F02" w14:textId="77777777" w:rsidR="008D3ACD" w:rsidRPr="004D53D9" w:rsidRDefault="008D3ACD" w:rsidP="008D3ACD">
            <w:pPr>
              <w:spacing w:after="0"/>
              <w:rPr>
                <w:spacing w:val="-4"/>
                <w:szCs w:val="20"/>
              </w:rPr>
            </w:pPr>
            <w:r>
              <w:rPr>
                <w:noProof/>
              </w:rPr>
              <w:drawing>
                <wp:inline distT="0" distB="0" distL="0" distR="0" wp14:anchorId="7A6EA012" wp14:editId="1D32F113">
                  <wp:extent cx="4766945" cy="3657600"/>
                  <wp:effectExtent l="0" t="0" r="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8D3ACD" w:rsidRPr="00191C35" w14:paraId="679BDA09" w14:textId="77777777" w:rsidTr="008D3ACD">
        <w:trPr>
          <w:trHeight w:val="145"/>
        </w:trPr>
        <w:tc>
          <w:tcPr>
            <w:tcW w:w="1792" w:type="dxa"/>
            <w:shd w:val="clear" w:color="auto" w:fill="auto"/>
            <w:tcMar>
              <w:left w:w="0" w:type="dxa"/>
            </w:tcMar>
          </w:tcPr>
          <w:p w14:paraId="2366E39F" w14:textId="77777777" w:rsidR="008D3ACD" w:rsidRDefault="008D3ACD" w:rsidP="008D3ACD">
            <w:pPr>
              <w:pStyle w:val="Marginlie"/>
            </w:pPr>
          </w:p>
        </w:tc>
        <w:tc>
          <w:tcPr>
            <w:tcW w:w="216" w:type="dxa"/>
            <w:shd w:val="clear" w:color="auto" w:fill="auto"/>
            <w:tcMar>
              <w:left w:w="0" w:type="dxa"/>
            </w:tcMar>
          </w:tcPr>
          <w:p w14:paraId="3D370FB2"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0461FDB4" w14:textId="77777777" w:rsidR="008D3ACD" w:rsidRPr="00883202" w:rsidRDefault="008D3ACD" w:rsidP="008D3ACD">
            <w:pPr>
              <w:spacing w:after="0"/>
              <w:rPr>
                <w:rFonts w:cs="Arial"/>
                <w:sz w:val="14"/>
                <w:szCs w:val="14"/>
              </w:rPr>
            </w:pPr>
            <w:r w:rsidRPr="00883202">
              <w:rPr>
                <w:rFonts w:cs="Arial"/>
                <w:sz w:val="14"/>
                <w:szCs w:val="14"/>
              </w:rPr>
              <w:t>*</w:t>
            </w:r>
            <w:r w:rsidRPr="00883202">
              <w:rPr>
                <w:color w:val="0D0D0D" w:themeColor="text1" w:themeTint="F2"/>
                <w:sz w:val="14"/>
                <w:szCs w:val="14"/>
              </w:rPr>
              <w:t xml:space="preserve"> Bez odvětví obchodu, peněžnictví, pojišťovnictví, vědy, výzkumu a veřejných služeb.</w:t>
            </w:r>
          </w:p>
          <w:p w14:paraId="3E4E944B" w14:textId="77777777" w:rsidR="008D3ACD" w:rsidRPr="002453EC" w:rsidRDefault="008D3ACD" w:rsidP="008D3ACD">
            <w:pPr>
              <w:spacing w:after="220"/>
              <w:rPr>
                <w:rFonts w:cs="Arial"/>
                <w:sz w:val="14"/>
                <w:szCs w:val="14"/>
              </w:rPr>
            </w:pPr>
            <w:r w:rsidRPr="00883202">
              <w:rPr>
                <w:rFonts w:cs="Arial"/>
                <w:sz w:val="14"/>
                <w:szCs w:val="14"/>
              </w:rPr>
              <w:t>**</w:t>
            </w:r>
            <w:r w:rsidRPr="00883202">
              <w:rPr>
                <w:rFonts w:cs="Arial"/>
                <w:spacing w:val="-2"/>
                <w:sz w:val="14"/>
                <w:szCs w:val="14"/>
              </w:rPr>
              <w:t xml:space="preserve">Zahrnuje i finanční sektor. Saldo důvěry i bariéry růstu jsou sezónně očištěny a vyjadřují stav </w:t>
            </w:r>
            <w:r>
              <w:rPr>
                <w:rFonts w:cs="Arial"/>
                <w:spacing w:val="-2"/>
                <w:sz w:val="14"/>
                <w:szCs w:val="14"/>
              </w:rPr>
              <w:t xml:space="preserve">v prvním (bariéry růstu), resp. </w:t>
            </w:r>
            <w:r w:rsidRPr="00883202">
              <w:rPr>
                <w:rFonts w:cs="Arial"/>
                <w:spacing w:val="-2"/>
                <w:sz w:val="14"/>
                <w:szCs w:val="14"/>
              </w:rPr>
              <w:t>ve druhém měsíci daného čtvrtletí</w:t>
            </w:r>
            <w:r>
              <w:rPr>
                <w:rFonts w:cs="Arial"/>
                <w:spacing w:val="-2"/>
                <w:sz w:val="14"/>
                <w:szCs w:val="14"/>
              </w:rPr>
              <w:t xml:space="preserve"> (saldo důvěry)</w:t>
            </w:r>
            <w:r w:rsidRPr="00883202">
              <w:rPr>
                <w:rFonts w:cs="Arial"/>
                <w:spacing w:val="-2"/>
                <w:sz w:val="14"/>
                <w:szCs w:val="14"/>
              </w:rPr>
              <w:t>.</w:t>
            </w:r>
            <w:r>
              <w:rPr>
                <w:rFonts w:cs="Arial"/>
                <w:spacing w:val="-2"/>
                <w:sz w:val="14"/>
                <w:szCs w:val="14"/>
              </w:rPr>
              <w:t xml:space="preserve">                                                                                                                </w:t>
            </w:r>
            <w:r w:rsidRPr="00883202">
              <w:rPr>
                <w:rFonts w:cs="Arial"/>
                <w:sz w:val="14"/>
                <w:szCs w:val="14"/>
              </w:rPr>
              <w:t>Zdroj: ČSÚ</w:t>
            </w:r>
          </w:p>
        </w:tc>
      </w:tr>
      <w:tr w:rsidR="008D3ACD" w:rsidRPr="00191C35" w14:paraId="79BA2FC2" w14:textId="77777777" w:rsidTr="008D3ACD">
        <w:trPr>
          <w:trHeight w:val="145"/>
        </w:trPr>
        <w:tc>
          <w:tcPr>
            <w:tcW w:w="1792" w:type="dxa"/>
            <w:shd w:val="clear" w:color="auto" w:fill="auto"/>
            <w:tcMar>
              <w:left w:w="0" w:type="dxa"/>
            </w:tcMar>
          </w:tcPr>
          <w:p w14:paraId="61086E79" w14:textId="77777777" w:rsidR="008D3ACD" w:rsidRDefault="008D3ACD" w:rsidP="008D3ACD">
            <w:pPr>
              <w:pStyle w:val="Marginlie"/>
            </w:pPr>
            <w:r>
              <w:t>Růst maloobchodních tržeb se v září zastavil.</w:t>
            </w:r>
          </w:p>
          <w:p w14:paraId="1B8304AE" w14:textId="77777777" w:rsidR="008D3ACD" w:rsidRDefault="008D3ACD" w:rsidP="008D3ACD">
            <w:pPr>
              <w:pStyle w:val="Marginlie"/>
            </w:pPr>
          </w:p>
          <w:p w14:paraId="0C575032" w14:textId="77777777" w:rsidR="008D3ACD" w:rsidRDefault="008D3ACD" w:rsidP="008D3ACD">
            <w:pPr>
              <w:pStyle w:val="Marginlie"/>
            </w:pPr>
          </w:p>
          <w:p w14:paraId="0CAC3E7F" w14:textId="77777777" w:rsidR="008D3ACD" w:rsidRDefault="008D3ACD" w:rsidP="008D3ACD">
            <w:pPr>
              <w:pStyle w:val="Marginlie"/>
            </w:pPr>
          </w:p>
          <w:p w14:paraId="46E647AE" w14:textId="77777777" w:rsidR="008D3ACD" w:rsidRDefault="008D3ACD" w:rsidP="008D3ACD">
            <w:pPr>
              <w:pStyle w:val="Marginlie"/>
            </w:pPr>
          </w:p>
          <w:p w14:paraId="0B58CB3C" w14:textId="77777777" w:rsidR="008D3ACD" w:rsidRDefault="008D3ACD" w:rsidP="008D3ACD">
            <w:pPr>
              <w:pStyle w:val="Marginlie"/>
            </w:pPr>
            <w:r>
              <w:t>V 1. až 3. čtvrtletí tržby mírně klesly. Zaznamenaly nejnižší tempo za posledních sedm let. K letošnímu poklesu nejvíce přispěly slabší tržby u čerpacích stanic.</w:t>
            </w:r>
          </w:p>
        </w:tc>
        <w:tc>
          <w:tcPr>
            <w:tcW w:w="216" w:type="dxa"/>
            <w:shd w:val="clear" w:color="auto" w:fill="auto"/>
            <w:tcMar>
              <w:left w:w="0" w:type="dxa"/>
            </w:tcMar>
          </w:tcPr>
          <w:p w14:paraId="68797B49"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177B8C18" w14:textId="27B9A0D8" w:rsidR="008D3ACD" w:rsidRPr="00F608E8" w:rsidRDefault="008D3ACD" w:rsidP="008D3ACD">
            <w:pPr>
              <w:spacing w:after="220"/>
              <w:rPr>
                <w:rFonts w:cs="Arial"/>
                <w:spacing w:val="-2"/>
                <w:szCs w:val="20"/>
              </w:rPr>
            </w:pPr>
            <w:r w:rsidRPr="00F608E8">
              <w:rPr>
                <w:rFonts w:cs="Arial"/>
                <w:spacing w:val="-2"/>
                <w:szCs w:val="20"/>
              </w:rPr>
              <w:t>Maloobchodní tržby</w:t>
            </w:r>
            <w:r w:rsidRPr="00F608E8">
              <w:rPr>
                <w:rStyle w:val="Znakapoznpodarou"/>
                <w:spacing w:val="-2"/>
              </w:rPr>
              <w:footnoteReference w:id="31"/>
            </w:r>
            <w:r w:rsidRPr="00F608E8">
              <w:rPr>
                <w:rFonts w:cs="Arial"/>
                <w:spacing w:val="-2"/>
                <w:szCs w:val="20"/>
              </w:rPr>
              <w:t xml:space="preserve"> po březnovém i</w:t>
            </w:r>
            <w:r>
              <w:rPr>
                <w:rFonts w:cs="Arial"/>
                <w:spacing w:val="-2"/>
                <w:szCs w:val="20"/>
              </w:rPr>
              <w:t> </w:t>
            </w:r>
            <w:r w:rsidRPr="00F608E8">
              <w:rPr>
                <w:rFonts w:cs="Arial"/>
                <w:spacing w:val="-2"/>
                <w:szCs w:val="20"/>
              </w:rPr>
              <w:t xml:space="preserve">dubnovém </w:t>
            </w:r>
            <w:r w:rsidR="00466595">
              <w:rPr>
                <w:rFonts w:cs="Arial"/>
                <w:spacing w:val="-2"/>
                <w:szCs w:val="20"/>
              </w:rPr>
              <w:t xml:space="preserve">meziměsíčním </w:t>
            </w:r>
            <w:r w:rsidRPr="00F608E8">
              <w:rPr>
                <w:rFonts w:cs="Arial"/>
                <w:spacing w:val="-2"/>
                <w:szCs w:val="20"/>
              </w:rPr>
              <w:t xml:space="preserve">poklesu postupně ožívaly a v prázdninových měsících se </w:t>
            </w:r>
            <w:r w:rsidR="00466595">
              <w:rPr>
                <w:rFonts w:cs="Arial"/>
                <w:spacing w:val="-2"/>
                <w:szCs w:val="20"/>
              </w:rPr>
              <w:t xml:space="preserve">fakticky </w:t>
            </w:r>
            <w:r w:rsidRPr="00F608E8">
              <w:rPr>
                <w:rFonts w:cs="Arial"/>
                <w:spacing w:val="-2"/>
                <w:szCs w:val="20"/>
              </w:rPr>
              <w:t>vrátily na úroveň z počátku letošního roku. V září se však meziměsíční i</w:t>
            </w:r>
            <w:r>
              <w:rPr>
                <w:rFonts w:cs="Arial"/>
                <w:spacing w:val="-2"/>
                <w:szCs w:val="20"/>
              </w:rPr>
              <w:t> </w:t>
            </w:r>
            <w:r w:rsidRPr="00F608E8">
              <w:rPr>
                <w:rFonts w:cs="Arial"/>
                <w:spacing w:val="-2"/>
                <w:szCs w:val="20"/>
              </w:rPr>
              <w:t>meziroční růst zastavil. V úhrnu za tři čtvrtletí tržby meziročně o</w:t>
            </w:r>
            <w:r>
              <w:rPr>
                <w:rFonts w:cs="Arial"/>
                <w:spacing w:val="-2"/>
                <w:szCs w:val="20"/>
              </w:rPr>
              <w:t> </w:t>
            </w:r>
            <w:r w:rsidRPr="00F608E8">
              <w:rPr>
                <w:rFonts w:cs="Arial"/>
                <w:spacing w:val="-2"/>
                <w:szCs w:val="20"/>
              </w:rPr>
              <w:t>0,7</w:t>
            </w:r>
            <w:r>
              <w:rPr>
                <w:rFonts w:cs="Arial"/>
                <w:spacing w:val="-2"/>
                <w:szCs w:val="20"/>
              </w:rPr>
              <w:t> %</w:t>
            </w:r>
            <w:r w:rsidRPr="00F608E8">
              <w:rPr>
                <w:rStyle w:val="Znakapoznpodarou"/>
                <w:spacing w:val="-2"/>
                <w:szCs w:val="20"/>
              </w:rPr>
              <w:footnoteReference w:id="32"/>
            </w:r>
            <w:r w:rsidRPr="00F608E8">
              <w:rPr>
                <w:rFonts w:cs="Arial"/>
                <w:spacing w:val="-2"/>
                <w:szCs w:val="20"/>
              </w:rPr>
              <w:t xml:space="preserve"> klesly, </w:t>
            </w:r>
            <w:r>
              <w:rPr>
                <w:rFonts w:cs="Arial"/>
                <w:spacing w:val="-2"/>
                <w:szCs w:val="20"/>
              </w:rPr>
              <w:t>podobné</w:t>
            </w:r>
            <w:r w:rsidRPr="00F608E8">
              <w:rPr>
                <w:rFonts w:cs="Arial"/>
                <w:spacing w:val="-2"/>
                <w:szCs w:val="20"/>
              </w:rPr>
              <w:t xml:space="preserve"> tempo bylo naposledy patrné v období 2012</w:t>
            </w:r>
            <w:r>
              <w:rPr>
                <w:rFonts w:cs="Arial"/>
                <w:spacing w:val="-2"/>
                <w:szCs w:val="20"/>
              </w:rPr>
              <w:t>–</w:t>
            </w:r>
            <w:r w:rsidRPr="00F608E8">
              <w:rPr>
                <w:rFonts w:cs="Arial"/>
                <w:spacing w:val="-2"/>
                <w:szCs w:val="20"/>
              </w:rPr>
              <w:t>2013. Nákupní apetit tuzemských domácností byl tlumen nižší spotřebitelskou důvěrou, skromným růstem objemu vyplacených mezd v ekonomice i zvyšujícími se obavami domácností z růstu cen i nezaměstnanosti. Projevila se i</w:t>
            </w:r>
            <w:r>
              <w:rPr>
                <w:rFonts w:cs="Arial"/>
                <w:spacing w:val="-2"/>
                <w:szCs w:val="20"/>
              </w:rPr>
              <w:t> </w:t>
            </w:r>
            <w:r w:rsidRPr="00F608E8">
              <w:rPr>
                <w:rFonts w:cs="Arial"/>
                <w:spacing w:val="-2"/>
                <w:szCs w:val="20"/>
              </w:rPr>
              <w:t>výrazně oslabená</w:t>
            </w:r>
            <w:r>
              <w:rPr>
                <w:rFonts w:cs="Arial"/>
                <w:spacing w:val="-2"/>
                <w:szCs w:val="20"/>
              </w:rPr>
              <w:t xml:space="preserve"> poptávka</w:t>
            </w:r>
            <w:r w:rsidRPr="00F608E8">
              <w:rPr>
                <w:rFonts w:cs="Arial"/>
                <w:spacing w:val="-2"/>
                <w:szCs w:val="20"/>
              </w:rPr>
              <w:t xml:space="preserve"> ze strany nerezidentů. K letošnímu poklesu maloobchodu přispěly nejvíce slabší tržby za prodej pohonných hmot (</w:t>
            </w:r>
            <w:r>
              <w:rPr>
                <w:rFonts w:cs="Arial"/>
                <w:spacing w:val="-2"/>
                <w:szCs w:val="20"/>
              </w:rPr>
              <w:t>–</w:t>
            </w:r>
            <w:r w:rsidRPr="00F608E8">
              <w:rPr>
                <w:rFonts w:cs="Arial"/>
                <w:spacing w:val="-2"/>
                <w:szCs w:val="20"/>
              </w:rPr>
              <w:t>7,7</w:t>
            </w:r>
            <w:r>
              <w:rPr>
                <w:rFonts w:cs="Arial"/>
                <w:spacing w:val="-2"/>
                <w:szCs w:val="20"/>
              </w:rPr>
              <w:t> %</w:t>
            </w:r>
            <w:r w:rsidRPr="00F608E8">
              <w:rPr>
                <w:rFonts w:cs="Arial"/>
                <w:spacing w:val="-2"/>
                <w:szCs w:val="20"/>
              </w:rPr>
              <w:t>) v důsledku nižší mobility obyvatelstva či poklesu tranzitní dopravy. Mírně se snížily i</w:t>
            </w:r>
            <w:r>
              <w:rPr>
                <w:rFonts w:cs="Arial"/>
                <w:spacing w:val="-2"/>
                <w:szCs w:val="20"/>
              </w:rPr>
              <w:t> </w:t>
            </w:r>
            <w:r w:rsidRPr="00F608E8">
              <w:rPr>
                <w:rFonts w:cs="Arial"/>
                <w:spacing w:val="-2"/>
                <w:szCs w:val="20"/>
              </w:rPr>
              <w:t>tržby za prodej potravin (</w:t>
            </w:r>
            <w:r>
              <w:rPr>
                <w:rFonts w:cs="Arial"/>
                <w:spacing w:val="-2"/>
                <w:szCs w:val="20"/>
              </w:rPr>
              <w:t>–</w:t>
            </w:r>
            <w:r w:rsidRPr="00F608E8">
              <w:rPr>
                <w:rFonts w:cs="Arial"/>
                <w:spacing w:val="-2"/>
                <w:szCs w:val="20"/>
              </w:rPr>
              <w:t>0,6</w:t>
            </w:r>
            <w:r>
              <w:rPr>
                <w:rFonts w:cs="Arial"/>
                <w:spacing w:val="-2"/>
                <w:szCs w:val="20"/>
              </w:rPr>
              <w:t> %</w:t>
            </w:r>
            <w:r w:rsidRPr="00F608E8">
              <w:rPr>
                <w:rFonts w:cs="Arial"/>
                <w:spacing w:val="-2"/>
                <w:szCs w:val="20"/>
              </w:rPr>
              <w:t>), zejména vinou propadu u</w:t>
            </w:r>
            <w:r>
              <w:rPr>
                <w:rFonts w:cs="Arial"/>
                <w:spacing w:val="-2"/>
                <w:szCs w:val="20"/>
              </w:rPr>
              <w:t> </w:t>
            </w:r>
            <w:r w:rsidRPr="00F608E8">
              <w:rPr>
                <w:rFonts w:cs="Arial"/>
                <w:spacing w:val="-2"/>
                <w:szCs w:val="20"/>
              </w:rPr>
              <w:t>specializovaných prodejen (</w:t>
            </w:r>
            <w:r>
              <w:rPr>
                <w:rFonts w:cs="Arial"/>
                <w:spacing w:val="-2"/>
                <w:szCs w:val="20"/>
              </w:rPr>
              <w:t>–</w:t>
            </w:r>
            <w:r w:rsidRPr="00F608E8">
              <w:rPr>
                <w:rFonts w:cs="Arial"/>
                <w:spacing w:val="-2"/>
                <w:szCs w:val="20"/>
              </w:rPr>
              <w:t>10,3</w:t>
            </w:r>
            <w:r>
              <w:rPr>
                <w:rFonts w:cs="Arial"/>
                <w:spacing w:val="-2"/>
                <w:szCs w:val="20"/>
              </w:rPr>
              <w:t> %</w:t>
            </w:r>
            <w:r w:rsidRPr="00F608E8">
              <w:rPr>
                <w:rFonts w:cs="Arial"/>
                <w:spacing w:val="-2"/>
                <w:szCs w:val="20"/>
              </w:rPr>
              <w:t xml:space="preserve">). Růst maloobchodu s nepotravinářským zbožím (+1,0 %) byl tažen dynamicky </w:t>
            </w:r>
            <w:r>
              <w:rPr>
                <w:rFonts w:cs="Arial"/>
                <w:spacing w:val="-2"/>
                <w:szCs w:val="20"/>
              </w:rPr>
              <w:t xml:space="preserve">se </w:t>
            </w:r>
            <w:r w:rsidRPr="00F608E8">
              <w:rPr>
                <w:rFonts w:cs="Arial"/>
                <w:spacing w:val="-2"/>
                <w:szCs w:val="20"/>
              </w:rPr>
              <w:t>rozvíjejícím prodejem prostřednictvím internetu či zásilkové služby (+25,0 %, z toho ve 2. čtvrtletí +37,8 %). Z jednotlivých sortimentních skupin specializova</w:t>
            </w:r>
            <w:r w:rsidR="006C5506">
              <w:rPr>
                <w:rFonts w:cs="Arial"/>
                <w:spacing w:val="-2"/>
                <w:szCs w:val="20"/>
              </w:rPr>
              <w:t>ných prodejen rostla</w:t>
            </w:r>
            <w:r w:rsidRPr="00F608E8">
              <w:rPr>
                <w:rFonts w:cs="Arial"/>
                <w:spacing w:val="-2"/>
                <w:szCs w:val="20"/>
              </w:rPr>
              <w:t xml:space="preserve"> poptávka po počítačových a</w:t>
            </w:r>
            <w:r>
              <w:rPr>
                <w:rFonts w:cs="Arial"/>
                <w:spacing w:val="-2"/>
                <w:szCs w:val="20"/>
              </w:rPr>
              <w:t> </w:t>
            </w:r>
            <w:r w:rsidRPr="00F608E8">
              <w:rPr>
                <w:rFonts w:cs="Arial"/>
                <w:spacing w:val="-2"/>
                <w:szCs w:val="20"/>
              </w:rPr>
              <w:t xml:space="preserve">komunikačních </w:t>
            </w:r>
            <w:r w:rsidRPr="00F608E8">
              <w:rPr>
                <w:rFonts w:cs="Arial"/>
                <w:spacing w:val="-2"/>
                <w:szCs w:val="20"/>
              </w:rPr>
              <w:lastRenderedPageBreak/>
              <w:t>zařízení</w:t>
            </w:r>
            <w:r>
              <w:rPr>
                <w:rFonts w:cs="Arial"/>
                <w:spacing w:val="-2"/>
                <w:szCs w:val="20"/>
              </w:rPr>
              <w:t>ch</w:t>
            </w:r>
            <w:r w:rsidRPr="00F608E8">
              <w:rPr>
                <w:rFonts w:cs="Arial"/>
                <w:spacing w:val="-2"/>
                <w:szCs w:val="20"/>
              </w:rPr>
              <w:t xml:space="preserve"> a</w:t>
            </w:r>
            <w:r>
              <w:rPr>
                <w:rFonts w:cs="Arial"/>
                <w:spacing w:val="-2"/>
                <w:szCs w:val="20"/>
              </w:rPr>
              <w:t> </w:t>
            </w:r>
            <w:r w:rsidRPr="00F608E8">
              <w:rPr>
                <w:rFonts w:cs="Arial"/>
                <w:spacing w:val="-2"/>
                <w:szCs w:val="20"/>
              </w:rPr>
              <w:t>po výrobcích převážně pro domácnost. Naopak tržby za prodej oděvů, obuv</w:t>
            </w:r>
            <w:r>
              <w:rPr>
                <w:rFonts w:cs="Arial"/>
                <w:spacing w:val="-2"/>
                <w:szCs w:val="20"/>
              </w:rPr>
              <w:t>i</w:t>
            </w:r>
            <w:r w:rsidRPr="00F608E8">
              <w:rPr>
                <w:rFonts w:cs="Arial"/>
                <w:spacing w:val="-2"/>
                <w:szCs w:val="20"/>
              </w:rPr>
              <w:t xml:space="preserve"> a koženého zboží propadly meziročně o</w:t>
            </w:r>
            <w:r>
              <w:rPr>
                <w:rFonts w:cs="Arial"/>
                <w:spacing w:val="-2"/>
                <w:szCs w:val="20"/>
              </w:rPr>
              <w:t> </w:t>
            </w:r>
            <w:r w:rsidRPr="00F608E8">
              <w:rPr>
                <w:rFonts w:cs="Arial"/>
                <w:spacing w:val="-2"/>
                <w:szCs w:val="20"/>
              </w:rPr>
              <w:t>čtvrtinu.</w:t>
            </w:r>
          </w:p>
        </w:tc>
      </w:tr>
      <w:tr w:rsidR="008D3ACD" w:rsidRPr="00191C35" w14:paraId="42797F8C" w14:textId="77777777" w:rsidTr="008D3ACD">
        <w:trPr>
          <w:trHeight w:val="145"/>
        </w:trPr>
        <w:tc>
          <w:tcPr>
            <w:tcW w:w="1792" w:type="dxa"/>
            <w:shd w:val="clear" w:color="auto" w:fill="auto"/>
            <w:tcMar>
              <w:left w:w="0" w:type="dxa"/>
            </w:tcMar>
          </w:tcPr>
          <w:p w14:paraId="76C72AC5" w14:textId="77777777" w:rsidR="008D3ACD" w:rsidRDefault="008D3ACD" w:rsidP="008D3ACD">
            <w:pPr>
              <w:pStyle w:val="Marginlie"/>
            </w:pPr>
            <w:r>
              <w:lastRenderedPageBreak/>
              <w:t>Tržby v obchodu s motorovými vozidly meziročně propadly skoro o pětinu.</w:t>
            </w:r>
          </w:p>
        </w:tc>
        <w:tc>
          <w:tcPr>
            <w:tcW w:w="216" w:type="dxa"/>
            <w:shd w:val="clear" w:color="auto" w:fill="auto"/>
            <w:tcMar>
              <w:left w:w="0" w:type="dxa"/>
            </w:tcMar>
          </w:tcPr>
          <w:p w14:paraId="51C0CD2A" w14:textId="77777777" w:rsidR="008D3ACD" w:rsidRPr="00B43216" w:rsidRDefault="008D3ACD" w:rsidP="008D3ACD">
            <w:pPr>
              <w:pStyle w:val="Textpoznpodarou"/>
              <w:jc w:val="both"/>
              <w:rPr>
                <w:spacing w:val="-4"/>
              </w:rPr>
            </w:pPr>
          </w:p>
        </w:tc>
        <w:tc>
          <w:tcPr>
            <w:tcW w:w="7656" w:type="dxa"/>
            <w:shd w:val="clear" w:color="auto" w:fill="auto"/>
            <w:tcMar>
              <w:left w:w="0" w:type="dxa"/>
            </w:tcMar>
          </w:tcPr>
          <w:p w14:paraId="6C8B9900" w14:textId="77777777" w:rsidR="008D3ACD" w:rsidRPr="001F340A" w:rsidRDefault="008D3ACD" w:rsidP="008D3ACD">
            <w:pPr>
              <w:spacing w:after="0"/>
              <w:rPr>
                <w:rFonts w:cs="Arial"/>
                <w:spacing w:val="-4"/>
                <w:szCs w:val="20"/>
              </w:rPr>
            </w:pPr>
            <w:r>
              <w:rPr>
                <w:rFonts w:cs="Arial"/>
                <w:spacing w:val="-4"/>
                <w:szCs w:val="20"/>
              </w:rPr>
              <w:t>Poklesem poptávky byl výrazněji zasažen motoristický segment obchodu. Jeho tržby za tři letošní čtvrtletí meziročně propadly o 18,2 %. To bylo skoro o polovinu více než ve stejném období roku 2009. Citelněji byl postižen samotný obchod s vozidly, kde tržby klesly skoro o</w:t>
            </w:r>
            <w:r w:rsidRPr="001F340A">
              <w:rPr>
                <w:rFonts w:cs="Arial"/>
                <w:spacing w:val="-4"/>
                <w:szCs w:val="20"/>
              </w:rPr>
              <w:t> </w:t>
            </w:r>
            <w:r>
              <w:rPr>
                <w:rFonts w:cs="Arial"/>
                <w:spacing w:val="-4"/>
                <w:szCs w:val="20"/>
              </w:rPr>
              <w:t>pětinu, v údržbě a opravě vozů o necelou sedminu.</w:t>
            </w:r>
          </w:p>
        </w:tc>
      </w:tr>
    </w:tbl>
    <w:p w14:paraId="0A8F45FE" w14:textId="14E02EB2" w:rsidR="008D3ACD" w:rsidRPr="008D3ACD" w:rsidRDefault="008D3ACD" w:rsidP="00E13995">
      <w:pPr>
        <w:pStyle w:val="Nadpis11"/>
        <w:rPr>
          <w:sz w:val="20"/>
          <w:szCs w:val="20"/>
        </w:rPr>
      </w:pPr>
      <w:r>
        <w:rPr>
          <w:sz w:val="20"/>
          <w:szCs w:val="20"/>
        </w:rPr>
        <w:br w:type="page"/>
      </w:r>
    </w:p>
    <w:p w14:paraId="721C2EC1" w14:textId="46BE6B31" w:rsidR="00CC0AEA" w:rsidRPr="009110F7" w:rsidRDefault="00CC0AEA" w:rsidP="00CC0AEA">
      <w:pPr>
        <w:pStyle w:val="Nadpis11"/>
      </w:pPr>
      <w:bookmarkStart w:id="10" w:name="_Toc59001053"/>
      <w:r>
        <w:lastRenderedPageBreak/>
        <w:t>4</w:t>
      </w:r>
      <w:r w:rsidRPr="009110F7">
        <w:t>.</w:t>
      </w:r>
      <w:r>
        <w:t> </w:t>
      </w:r>
      <w:r w:rsidRPr="009110F7">
        <w:t>Vnější vztahy</w:t>
      </w:r>
      <w:bookmarkEnd w:id="10"/>
    </w:p>
    <w:tbl>
      <w:tblPr>
        <w:tblW w:w="9639" w:type="dxa"/>
        <w:tblInd w:w="-15" w:type="dxa"/>
        <w:tblCellMar>
          <w:left w:w="0" w:type="dxa"/>
          <w:right w:w="0" w:type="dxa"/>
        </w:tblCellMar>
        <w:tblLook w:val="00A0" w:firstRow="1" w:lastRow="0" w:firstColumn="1" w:lastColumn="0" w:noHBand="0" w:noVBand="0"/>
      </w:tblPr>
      <w:tblGrid>
        <w:gridCol w:w="1762"/>
        <w:gridCol w:w="223"/>
        <w:gridCol w:w="7654"/>
      </w:tblGrid>
      <w:tr w:rsidR="00CC0AEA" w:rsidRPr="009110F7" w14:paraId="169C349D" w14:textId="77777777" w:rsidTr="00361FB7">
        <w:trPr>
          <w:trHeight w:val="145"/>
        </w:trPr>
        <w:tc>
          <w:tcPr>
            <w:tcW w:w="1762" w:type="dxa"/>
            <w:shd w:val="clear" w:color="auto" w:fill="auto"/>
            <w:tcMar>
              <w:left w:w="0" w:type="dxa"/>
            </w:tcMar>
          </w:tcPr>
          <w:p w14:paraId="3E3AA0AB" w14:textId="77777777" w:rsidR="00CC0AEA" w:rsidRDefault="00CC0AEA" w:rsidP="00361FB7">
            <w:pPr>
              <w:pStyle w:val="Marginlie"/>
            </w:pPr>
            <w:r>
              <w:t>Po hlubokém propadu z 2. kvartálu se ve 3. čtvrtletí hodnota exportu přiblížila úrovni loňského roku.</w:t>
            </w:r>
          </w:p>
        </w:tc>
        <w:tc>
          <w:tcPr>
            <w:tcW w:w="223" w:type="dxa"/>
            <w:shd w:val="clear" w:color="auto" w:fill="auto"/>
            <w:tcMar>
              <w:left w:w="0" w:type="dxa"/>
            </w:tcMar>
          </w:tcPr>
          <w:p w14:paraId="6A329204" w14:textId="77777777" w:rsidR="00CC0AEA" w:rsidRDefault="00CC0AEA" w:rsidP="00361FB7">
            <w:pPr>
              <w:pStyle w:val="Textpoznpodarou"/>
              <w:jc w:val="both"/>
              <w:rPr>
                <w:spacing w:val="-4"/>
              </w:rPr>
            </w:pPr>
          </w:p>
        </w:tc>
        <w:tc>
          <w:tcPr>
            <w:tcW w:w="7654" w:type="dxa"/>
            <w:shd w:val="clear" w:color="auto" w:fill="auto"/>
            <w:tcMar>
              <w:left w:w="0" w:type="dxa"/>
            </w:tcMar>
          </w:tcPr>
          <w:p w14:paraId="311891C0" w14:textId="77777777" w:rsidR="00CC0AEA" w:rsidRPr="00AF6F98" w:rsidRDefault="00CC0AEA" w:rsidP="00361FB7">
            <w:pPr>
              <w:spacing w:after="200"/>
              <w:rPr>
                <w:spacing w:val="-4"/>
              </w:rPr>
            </w:pPr>
            <w:r>
              <w:rPr>
                <w:spacing w:val="-4"/>
              </w:rPr>
              <w:t>Celková hodnota vývozu zboží v 1. až 3. čtvrtletí 2020 dosáhla 2 511,0 mld. korun a oproti stejnému období minulého roku se snížila o 263,6 mld. (–9,5 %). To je největší propad za první 3 kvartály od krizového roku 2009</w:t>
            </w:r>
            <w:r>
              <w:rPr>
                <w:rStyle w:val="Znakapoznpodarou"/>
                <w:spacing w:val="-4"/>
              </w:rPr>
              <w:footnoteReference w:id="33"/>
            </w:r>
            <w:r>
              <w:rPr>
                <w:spacing w:val="-4"/>
              </w:rPr>
              <w:t>. Naprostá většina z tohoto poklesu připadá na 2. čtvrtletí, během kterého se odehrál nejhlubší hospodářský propad v historii ČR. Nestandardní okolnosti jarního propadu ale znamenaly rychlý návrat k předchozí intenzitě vývozu. Ve 3. čtvrtletí hodnota vývozu činila 884,9 mld. korun a vývozcům se podařilo meziroční pokles zredukovat na 10,2 mld. (–1,1 %), což je například méně než pokles ve 4. kvartálu 2019, kdy zpomalení průmyslu v Evropě mělo nepříznivé dopady i na český vývoz.</w:t>
            </w:r>
          </w:p>
        </w:tc>
      </w:tr>
      <w:tr w:rsidR="00CC0AEA" w:rsidRPr="009110F7" w14:paraId="36126C5D" w14:textId="77777777" w:rsidTr="00361FB7">
        <w:trPr>
          <w:trHeight w:val="145"/>
        </w:trPr>
        <w:tc>
          <w:tcPr>
            <w:tcW w:w="1762" w:type="dxa"/>
            <w:shd w:val="clear" w:color="auto" w:fill="auto"/>
            <w:tcMar>
              <w:left w:w="0" w:type="dxa"/>
            </w:tcMar>
          </w:tcPr>
          <w:p w14:paraId="019B37EA" w14:textId="77777777" w:rsidR="00CC0AEA" w:rsidRDefault="00CC0AEA" w:rsidP="00361FB7">
            <w:pPr>
              <w:pStyle w:val="Marginlie"/>
            </w:pPr>
            <w:r>
              <w:t>Zlepšil se hlavně vývoz do zemí EU.</w:t>
            </w:r>
          </w:p>
        </w:tc>
        <w:tc>
          <w:tcPr>
            <w:tcW w:w="223" w:type="dxa"/>
            <w:shd w:val="clear" w:color="auto" w:fill="auto"/>
            <w:tcMar>
              <w:left w:w="0" w:type="dxa"/>
            </w:tcMar>
          </w:tcPr>
          <w:p w14:paraId="3ABCCD6C" w14:textId="77777777" w:rsidR="00CC0AEA" w:rsidRDefault="00CC0AEA" w:rsidP="00361FB7">
            <w:pPr>
              <w:pStyle w:val="Textpoznpodarou"/>
              <w:jc w:val="both"/>
              <w:rPr>
                <w:spacing w:val="-4"/>
              </w:rPr>
            </w:pPr>
          </w:p>
        </w:tc>
        <w:tc>
          <w:tcPr>
            <w:tcW w:w="7654" w:type="dxa"/>
            <w:shd w:val="clear" w:color="auto" w:fill="auto"/>
            <w:tcMar>
              <w:left w:w="0" w:type="dxa"/>
            </w:tcMar>
          </w:tcPr>
          <w:p w14:paraId="782171AA" w14:textId="7C854E99" w:rsidR="00CC0AEA" w:rsidRPr="00AF6F98" w:rsidRDefault="00CC0AEA" w:rsidP="00361FB7">
            <w:pPr>
              <w:spacing w:after="200"/>
              <w:rPr>
                <w:spacing w:val="-4"/>
              </w:rPr>
            </w:pPr>
            <w:r>
              <w:rPr>
                <w:spacing w:val="-4"/>
              </w:rPr>
              <w:t xml:space="preserve">Většina z propadu vývozu v 1. až 3. čtvrtletí připadla na obchod s Evropskou unií </w:t>
            </w:r>
            <w:r>
              <w:rPr>
                <w:spacing w:val="-4"/>
              </w:rPr>
              <w:br/>
              <w:t xml:space="preserve">(–213,9 mld. korun, –9,7 %). Z toho nejvíce klesla hodnota exportu do Německa </w:t>
            </w:r>
            <w:r>
              <w:rPr>
                <w:spacing w:val="-4"/>
              </w:rPr>
              <w:br/>
              <w:t>(–80,3 mld., –9,2 %), Španělska (–28,7 mld., –30,3 %) a Francie (–27,1 mld., –19,0 %). Z </w:t>
            </w:r>
            <w:proofErr w:type="spellStart"/>
            <w:r>
              <w:rPr>
                <w:spacing w:val="-4"/>
              </w:rPr>
              <w:t>mimounijních</w:t>
            </w:r>
            <w:proofErr w:type="spellEnd"/>
            <w:r>
              <w:rPr>
                <w:spacing w:val="-4"/>
              </w:rPr>
              <w:t xml:space="preserve"> zemí byl v tomto období obzvlášť významný pokles exportu do Velké Británie (–21,0 mld., –17,9 %). Samotné 3. čtvrtletí přineslo rychlé oživení zahraničního obchodu v celé Unii. Vývoz do EU meziročně zaostával o 4,2 mld. korun, export mimo Unii byl o 5,4 mld. nižší. V rámci EU se nejvíce zvýšil vývoz do Polska (+3,8 mld. korun, 6,6 %), Nizozemska (+2,8 mld., 9,6 %) a Rumunska (+1,5 mld., 10,5 %). Mírně meziročně klesl export</w:t>
            </w:r>
            <w:r w:rsidR="0092036B">
              <w:rPr>
                <w:spacing w:val="-4"/>
              </w:rPr>
              <w:t xml:space="preserve"> </w:t>
            </w:r>
            <w:r>
              <w:rPr>
                <w:spacing w:val="-4"/>
              </w:rPr>
              <w:t>do</w:t>
            </w:r>
            <w:r w:rsidR="0092036B">
              <w:rPr>
                <w:spacing w:val="-4"/>
              </w:rPr>
              <w:t xml:space="preserve"> </w:t>
            </w:r>
            <w:r>
              <w:rPr>
                <w:spacing w:val="-4"/>
              </w:rPr>
              <w:t>Německa</w:t>
            </w:r>
            <w:r w:rsidR="0092036B">
              <w:rPr>
                <w:spacing w:val="-4"/>
              </w:rPr>
              <w:t xml:space="preserve"> </w:t>
            </w:r>
            <w:r>
              <w:rPr>
                <w:spacing w:val="-4"/>
              </w:rPr>
              <w:t>(–1,3</w:t>
            </w:r>
            <w:r w:rsidR="0092036B">
              <w:rPr>
                <w:spacing w:val="-4"/>
              </w:rPr>
              <w:t xml:space="preserve"> </w:t>
            </w:r>
            <w:r>
              <w:rPr>
                <w:spacing w:val="-4"/>
              </w:rPr>
              <w:t>mld.</w:t>
            </w:r>
            <w:r w:rsidR="0092036B">
              <w:rPr>
                <w:spacing w:val="-4"/>
              </w:rPr>
              <w:t xml:space="preserve"> </w:t>
            </w:r>
            <w:r>
              <w:rPr>
                <w:spacing w:val="-4"/>
              </w:rPr>
              <w:t>korun,</w:t>
            </w:r>
            <w:r w:rsidR="0092036B">
              <w:rPr>
                <w:spacing w:val="-4"/>
              </w:rPr>
              <w:t xml:space="preserve"> </w:t>
            </w:r>
            <w:r>
              <w:rPr>
                <w:spacing w:val="-4"/>
              </w:rPr>
              <w:t>–0,5</w:t>
            </w:r>
            <w:r w:rsidR="0092036B">
              <w:rPr>
                <w:spacing w:val="-4"/>
              </w:rPr>
              <w:t xml:space="preserve"> </w:t>
            </w:r>
            <w:r>
              <w:rPr>
                <w:spacing w:val="-4"/>
              </w:rPr>
              <w:t>%),</w:t>
            </w:r>
            <w:r w:rsidR="0092036B">
              <w:rPr>
                <w:spacing w:val="-4"/>
              </w:rPr>
              <w:t xml:space="preserve"> Itálie (–1,2 mld., –3,8 %) a </w:t>
            </w:r>
            <w:r>
              <w:rPr>
                <w:spacing w:val="-4"/>
              </w:rPr>
              <w:t>Rakouska (</w:t>
            </w:r>
            <w:r w:rsidR="00CC5BE8">
              <w:rPr>
                <w:spacing w:val="-4"/>
              </w:rPr>
              <w:noBreakHyphen/>
            </w:r>
            <w:r>
              <w:rPr>
                <w:spacing w:val="-4"/>
              </w:rPr>
              <w:t>1,</w:t>
            </w:r>
            <w:r w:rsidR="0092036B">
              <w:rPr>
                <w:spacing w:val="-4"/>
              </w:rPr>
              <w:t>0 </w:t>
            </w:r>
            <w:r>
              <w:rPr>
                <w:spacing w:val="-4"/>
              </w:rPr>
              <w:t>mld., –2,7</w:t>
            </w:r>
            <w:r w:rsidR="0092036B">
              <w:rPr>
                <w:spacing w:val="-4"/>
              </w:rPr>
              <w:t xml:space="preserve"> </w:t>
            </w:r>
            <w:r>
              <w:rPr>
                <w:spacing w:val="-4"/>
              </w:rPr>
              <w:t>%). Výraznější pokles zaznamenal export do Francie (–3,1 mld., –7,0 %). Meziroční propad hodnoty vývozu mimo EU tlumilo navýšení exportu do Turecka (+5,1 mld., 64,5 %) i Ruska (+1,7 mld., 7,7 %). Naopak vývoz do Velké Británie meziročně klesl o 2,1 mld. korun (–5,6 %).</w:t>
            </w:r>
          </w:p>
        </w:tc>
      </w:tr>
      <w:tr w:rsidR="00CC0AEA" w:rsidRPr="009110F7" w14:paraId="727C8F47" w14:textId="77777777" w:rsidTr="00361FB7">
        <w:trPr>
          <w:trHeight w:val="170"/>
        </w:trPr>
        <w:tc>
          <w:tcPr>
            <w:tcW w:w="1762" w:type="dxa"/>
            <w:shd w:val="clear" w:color="auto" w:fill="auto"/>
            <w:tcMar>
              <w:left w:w="0" w:type="dxa"/>
            </w:tcMar>
          </w:tcPr>
          <w:p w14:paraId="7BD3EAF2" w14:textId="77777777" w:rsidR="00CC0AEA" w:rsidRDefault="00CC0AEA" w:rsidP="00361FB7">
            <w:pPr>
              <w:pStyle w:val="Marginlie"/>
            </w:pPr>
            <w:r>
              <w:t>Vývoz motorových vozidel, který byl krizí ve 2. čtvrtletí nejvíce zasažen, ve 3. čtvrtletí jen drobně meziročně klesl.</w:t>
            </w:r>
          </w:p>
        </w:tc>
        <w:tc>
          <w:tcPr>
            <w:tcW w:w="223" w:type="dxa"/>
            <w:shd w:val="clear" w:color="auto" w:fill="auto"/>
            <w:tcMar>
              <w:left w:w="0" w:type="dxa"/>
            </w:tcMar>
          </w:tcPr>
          <w:p w14:paraId="0BE94AD7" w14:textId="77777777" w:rsidR="00CC0AEA" w:rsidRDefault="00CC0AEA" w:rsidP="00361FB7">
            <w:pPr>
              <w:pStyle w:val="Textpoznpodarou"/>
              <w:jc w:val="both"/>
              <w:rPr>
                <w:spacing w:val="-4"/>
              </w:rPr>
            </w:pPr>
          </w:p>
        </w:tc>
        <w:tc>
          <w:tcPr>
            <w:tcW w:w="7654" w:type="dxa"/>
            <w:shd w:val="clear" w:color="auto" w:fill="auto"/>
            <w:tcMar>
              <w:left w:w="0" w:type="dxa"/>
            </w:tcMar>
          </w:tcPr>
          <w:p w14:paraId="0FE8D693" w14:textId="77777777" w:rsidR="00CC0AEA" w:rsidRPr="00AF6F98" w:rsidRDefault="00CC0AEA" w:rsidP="00361FB7">
            <w:pPr>
              <w:spacing w:after="200"/>
              <w:rPr>
                <w:spacing w:val="-4"/>
              </w:rPr>
            </w:pPr>
            <w:r>
              <w:rPr>
                <w:spacing w:val="-4"/>
              </w:rPr>
              <w:t xml:space="preserve">Za 1. až 3. čtvrtletí se meziročně nejvíce propadl vývoz motorových vozidel (–135,7 mld. korun, –17,6 %), strojů a zařízení (–35,2 mld., –11,3 %) a kovodělných výrobků (–16,5 mld., –9,5 %). Naopak meziročně vyšší byl export počítačů, elektronických a optických přístrojů (+6,2 mld. korun, 2,2 %) či potravinářských výrobků (+4,5 mld., 5,4 %). Ve 3. čtvrtletí se mnohým odvětvím dařilo úroveň loňského roku alespoň částečně dohánět. Meziročně vzrostl zejména vývoz počítačů, elektronických a optických přístrojů (+8,4 mld. korun, 9,2 %), potravinářských výrobků (+1,8 mld., 6,3 %) a ostatních výrobků zpracovatelského průmyslu (+1,4 mld., 6,5 %). Důležitý je návrat exportu motorových vozidel blízko k úrovni loňského roku (–2,4 mld. korun, –1,0 %), podobně také elektrických zařízení (+0,2 mld., 0,2 %) a pryžových a plastových výrobků (–0,5 mld., –1,0 %). Výrazný meziroční pokles se udržel u strojů a zařízení (–4,7 mld. korun, –4,8 %), kovodělných výrobků (–3,4 mld., </w:t>
            </w:r>
            <w:r>
              <w:rPr>
                <w:spacing w:val="-4"/>
              </w:rPr>
              <w:br/>
              <w:t xml:space="preserve">–6,0 %), koksu a rafinovaných ropných výrobků (–3,4 mld., –33,1 %) a základních kovů </w:t>
            </w:r>
            <w:r>
              <w:rPr>
                <w:spacing w:val="-4"/>
              </w:rPr>
              <w:br/>
              <w:t>(–2,9 mld., –8,9 %).</w:t>
            </w:r>
          </w:p>
        </w:tc>
      </w:tr>
      <w:tr w:rsidR="00CC0AEA" w:rsidRPr="009110F7" w14:paraId="7D577A9B" w14:textId="77777777" w:rsidTr="00361FB7">
        <w:trPr>
          <w:trHeight w:val="145"/>
        </w:trPr>
        <w:tc>
          <w:tcPr>
            <w:tcW w:w="1762" w:type="dxa"/>
            <w:shd w:val="clear" w:color="auto" w:fill="auto"/>
            <w:tcMar>
              <w:left w:w="0" w:type="dxa"/>
            </w:tcMar>
          </w:tcPr>
          <w:p w14:paraId="2F919ABE" w14:textId="77777777" w:rsidR="00CC0AEA" w:rsidRDefault="00CC0AEA" w:rsidP="00361FB7">
            <w:pPr>
              <w:pStyle w:val="Marginlie"/>
            </w:pPr>
            <w:r>
              <w:t>Dynamika dovozu za vývozem zaostávala.</w:t>
            </w:r>
          </w:p>
        </w:tc>
        <w:tc>
          <w:tcPr>
            <w:tcW w:w="223" w:type="dxa"/>
            <w:shd w:val="clear" w:color="auto" w:fill="auto"/>
            <w:tcMar>
              <w:left w:w="0" w:type="dxa"/>
            </w:tcMar>
          </w:tcPr>
          <w:p w14:paraId="7FEA3FEA" w14:textId="77777777" w:rsidR="00CC0AEA" w:rsidRDefault="00CC0AEA" w:rsidP="00361FB7">
            <w:pPr>
              <w:pStyle w:val="Textpoznpodarou"/>
              <w:jc w:val="both"/>
              <w:rPr>
                <w:spacing w:val="-4"/>
              </w:rPr>
            </w:pPr>
          </w:p>
        </w:tc>
        <w:tc>
          <w:tcPr>
            <w:tcW w:w="7654" w:type="dxa"/>
            <w:shd w:val="clear" w:color="auto" w:fill="auto"/>
            <w:tcMar>
              <w:left w:w="0" w:type="dxa"/>
            </w:tcMar>
          </w:tcPr>
          <w:p w14:paraId="58A2EC7E" w14:textId="77777777" w:rsidR="00CC0AEA" w:rsidRPr="00AF6F98" w:rsidRDefault="00CC0AEA" w:rsidP="00361FB7">
            <w:pPr>
              <w:rPr>
                <w:spacing w:val="-4"/>
              </w:rPr>
            </w:pPr>
            <w:r>
              <w:rPr>
                <w:spacing w:val="-4"/>
              </w:rPr>
              <w:t xml:space="preserve">Celková hodnota dovozu zboží v 1. až 3. kvartálu činila 2 402,3 mld. korun. Meziroční pokles dovozu dosáhl 239,6 mld. (–9,1 %). Také import se extrémně propadl ve 2. čtvrtletí, z velké části kvůli oslabené poptávce výrobců, kteří importovaný materiál potřebují ke své produkci. Ve 3. čtvrtletí dovoz dosáhl 825,2 mld. korun. Za úrovní loňského roku import zaostával výrazněji než export (–42,4 mld., –4,9 %). V kumulaci od počátku roku meziročně klesl zejména dovoz z EU (–181,3 mld. korun, –10,6 %). Nejvíce to bylo z Německa </w:t>
            </w:r>
            <w:r>
              <w:rPr>
                <w:spacing w:val="-4"/>
              </w:rPr>
              <w:br/>
              <w:t>(–94,0 mld., –13,7 %), Slovenska (–14,6 mld., –11,3 %) a Polska (–13,0 mld., –5,9 %). Naopak se zvýšil dovoz z Nizozemska (+1,7 mld., 2,6 %). Propad dovozu z </w:t>
            </w:r>
            <w:proofErr w:type="spellStart"/>
            <w:r>
              <w:rPr>
                <w:spacing w:val="-4"/>
              </w:rPr>
              <w:t>mimounijních</w:t>
            </w:r>
            <w:proofErr w:type="spellEnd"/>
            <w:r>
              <w:rPr>
                <w:spacing w:val="-4"/>
              </w:rPr>
              <w:t xml:space="preserve"> zemí činil 55,6 mld. korun (–6,1 %). Na jedné straně se odehrál pokles dovozu z Ruska o 36,2 mld. (–42,8 %, hlavně kvůli propadu cen ropy a zemního plynu). Silně se naopak zvýšil nárůst importu z Číny (+29,6 mld., 10,8 %). V samotném 3. čtvrtletí meziroční poklesy u mnoha zemí přetrvaly. Dovoz z Německa zaostával za loňským rokem o 16,6 mld. korun </w:t>
            </w:r>
            <w:r>
              <w:rPr>
                <w:spacing w:val="-4"/>
              </w:rPr>
              <w:lastRenderedPageBreak/>
              <w:t xml:space="preserve">(–7,4 %), z Ruska o 10,5 mld. (–37,7 %), velký pokles měla také Jižní Korea (–6,4 mld., </w:t>
            </w:r>
            <w:r>
              <w:rPr>
                <w:spacing w:val="-4"/>
              </w:rPr>
              <w:br/>
              <w:t>–30,4 %). Nejvíce se ve 3. čtvrtletí meziročně zvýšil import z Číny (+8,2 mld. korun, 8,4 %), Maďarska (+3,5 mld., 16,7 %) a Nizozemska (+1,6 mld., 7,2 %).</w:t>
            </w:r>
          </w:p>
        </w:tc>
      </w:tr>
      <w:tr w:rsidR="00CC0AEA" w:rsidRPr="009110F7" w14:paraId="05AB9B6B" w14:textId="77777777" w:rsidTr="00361FB7">
        <w:trPr>
          <w:trHeight w:val="145"/>
        </w:trPr>
        <w:tc>
          <w:tcPr>
            <w:tcW w:w="1762" w:type="dxa"/>
            <w:shd w:val="clear" w:color="auto" w:fill="auto"/>
            <w:tcMar>
              <w:left w:w="0" w:type="dxa"/>
            </w:tcMar>
          </w:tcPr>
          <w:p w14:paraId="20078E89" w14:textId="77777777" w:rsidR="00CC0AEA" w:rsidRDefault="00CC0AEA" w:rsidP="00361FB7">
            <w:pPr>
              <w:pStyle w:val="Marginlie"/>
            </w:pPr>
            <w:r>
              <w:lastRenderedPageBreak/>
              <w:t>Vývoj dovozu silně ovlivňovaly ceny ropy a zemního plynu.</w:t>
            </w:r>
          </w:p>
        </w:tc>
        <w:tc>
          <w:tcPr>
            <w:tcW w:w="223" w:type="dxa"/>
            <w:shd w:val="clear" w:color="auto" w:fill="auto"/>
            <w:tcMar>
              <w:left w:w="0" w:type="dxa"/>
            </w:tcMar>
          </w:tcPr>
          <w:p w14:paraId="5CF3EBEB" w14:textId="77777777" w:rsidR="00CC0AEA" w:rsidRDefault="00CC0AEA" w:rsidP="00361FB7">
            <w:pPr>
              <w:pStyle w:val="Textpoznpodarou"/>
              <w:jc w:val="both"/>
              <w:rPr>
                <w:spacing w:val="-4"/>
              </w:rPr>
            </w:pPr>
          </w:p>
        </w:tc>
        <w:tc>
          <w:tcPr>
            <w:tcW w:w="7654" w:type="dxa"/>
            <w:shd w:val="clear" w:color="auto" w:fill="auto"/>
            <w:tcMar>
              <w:left w:w="0" w:type="dxa"/>
            </w:tcMar>
          </w:tcPr>
          <w:p w14:paraId="14AE8186" w14:textId="77777777" w:rsidR="00CC0AEA" w:rsidRDefault="00CC0AEA" w:rsidP="00361FB7">
            <w:pPr>
              <w:rPr>
                <w:spacing w:val="-4"/>
              </w:rPr>
            </w:pPr>
            <w:r>
              <w:rPr>
                <w:spacing w:val="-4"/>
              </w:rPr>
              <w:t xml:space="preserve">Propad dovozu v 1. až 3. čtvrtletí z hlediska zbožové struktury značně kopíroval vývoj exportu. Nejvíce tedy klesl dovoz motorových vozidel (–83,1 mld. korun, –19,8 %) a silný byl i pokles u strojů a zařízení (–33,1 mld., –12,5 %). Dovoz ovlivnil také pokles cen některých surovin. Nejvíce to bylo vidět na dovozu ropy a zemního plynu (–42,0 mld., </w:t>
            </w:r>
            <w:r>
              <w:rPr>
                <w:spacing w:val="-4"/>
              </w:rPr>
              <w:br/>
              <w:t xml:space="preserve">–43,5 %) a základních kovů (–36,0 mld., –17,9 %). Ve 3. čtvrtletí se dále projevoval pokles cen surovin, patrná ale byla i oslabená investiční poptávka. Přetrval tak hluboký meziroční pokles dovozu ropy a zemního plynu (–13,6 mld. korun, –41,6 %) a základních kovů </w:t>
            </w:r>
            <w:r>
              <w:rPr>
                <w:spacing w:val="-4"/>
              </w:rPr>
              <w:br/>
              <w:t xml:space="preserve">(–8,2 mld., –13,2 %). Dále se silně propadal také dovoz strojů a zařízení (–9,0 mld., </w:t>
            </w:r>
            <w:r>
              <w:rPr>
                <w:spacing w:val="-4"/>
              </w:rPr>
              <w:br/>
              <w:t>–10,4 %) a motorových vozidel (–8,3 mld., –6,2 %). Nejvíce ve 3. čtvrtletí meziročně narostl dovoz počítačů, elektronických a optických přístrojů (+6,9 mld., 6,9 %), elektrických zařízení (+3,0 mld., 4,6 %) a základních farmaceutických výrobků (+1,2 mld., 4,7 %).</w:t>
            </w:r>
          </w:p>
        </w:tc>
      </w:tr>
      <w:tr w:rsidR="00CC0AEA" w:rsidRPr="009110F7" w14:paraId="6C3BDE62" w14:textId="77777777" w:rsidTr="00361FB7">
        <w:trPr>
          <w:trHeight w:val="145"/>
        </w:trPr>
        <w:tc>
          <w:tcPr>
            <w:tcW w:w="1762" w:type="dxa"/>
            <w:shd w:val="clear" w:color="auto" w:fill="auto"/>
            <w:tcMar>
              <w:left w:w="0" w:type="dxa"/>
            </w:tcMar>
          </w:tcPr>
          <w:p w14:paraId="23761204" w14:textId="77777777" w:rsidR="00CC0AEA" w:rsidRDefault="00CC0AEA" w:rsidP="00361FB7">
            <w:pPr>
              <w:pStyle w:val="Marginlie"/>
            </w:pPr>
            <w:r>
              <w:t>Bilance zahraničního obchodu se zbožím se ve 3. čtvrtletí výrazně meziročně zlepšila.</w:t>
            </w:r>
          </w:p>
        </w:tc>
        <w:tc>
          <w:tcPr>
            <w:tcW w:w="223" w:type="dxa"/>
            <w:shd w:val="clear" w:color="auto" w:fill="auto"/>
            <w:tcMar>
              <w:left w:w="0" w:type="dxa"/>
            </w:tcMar>
          </w:tcPr>
          <w:p w14:paraId="039DFB7F" w14:textId="77777777" w:rsidR="00CC0AEA" w:rsidRDefault="00CC0AEA" w:rsidP="00361FB7">
            <w:pPr>
              <w:pStyle w:val="Textpoznpodarou"/>
              <w:jc w:val="both"/>
              <w:rPr>
                <w:spacing w:val="-4"/>
              </w:rPr>
            </w:pPr>
          </w:p>
        </w:tc>
        <w:tc>
          <w:tcPr>
            <w:tcW w:w="7654" w:type="dxa"/>
            <w:shd w:val="clear" w:color="auto" w:fill="auto"/>
            <w:tcMar>
              <w:left w:w="0" w:type="dxa"/>
            </w:tcMar>
          </w:tcPr>
          <w:p w14:paraId="5EC5FB05" w14:textId="77777777" w:rsidR="00CC0AEA" w:rsidRPr="00AF6F98" w:rsidRDefault="00CC0AEA" w:rsidP="00361FB7">
            <w:pPr>
              <w:rPr>
                <w:spacing w:val="-4"/>
              </w:rPr>
            </w:pPr>
            <w:r>
              <w:rPr>
                <w:spacing w:val="-4"/>
              </w:rPr>
              <w:t xml:space="preserve">Bilance zahraničního obchodu se zbožím za 1. až 3. čtvrtletí dosáhla přebytku 108,7 mld. korun. Meziročně byl přebytek o 24,1 mld. nižší. Ve 3. kvartálu přebytek dosáhl 59,7 mld. korun a vzhledem k zaostávající dynamice dovozu byl meziročně o 32,2 mld. vyšší. Nepodařilo se tak zcela vykompenzovat propad z 2. kvartálu. Zlepšení bilance ve 3. čtvrtletí lze připsat zvýšení přebytku se zeměmi EU o 16,0 mld. korun, ale také snížení deficitu u zemí mimo EU o 15,9 mld. Nejvíce se meziročně zlepšila bilance obchodu s Německem (+15,3 mld. korun), Ruskem (+12,2 mld.) a Jižní Koreou (+6,3 mld.). Meziročně se prohloubil deficit obchodu s Čínou (–8,2 mld.), zhoršil se přebytek se Španělskem </w:t>
            </w:r>
            <w:r>
              <w:rPr>
                <w:spacing w:val="-4"/>
              </w:rPr>
              <w:br/>
              <w:t>(–7,3 mld.) a Maďarskem (–3,6 mld.). Ze zboží nejvíce ve směru zlepšení bilance působily ropa a zemní plyn (+13,3 mld. korun), motorová vozidla (+5,9 mld.), základní kovy (+5,3 mld.) a stroje a zařízení (+4,3 mld.). Zhoršila se především bilance obchodu s elektrickými zařízeními (–2,9 mld. korun), chemickými látkami a přípravky (–1,5 mld.) a farmaceutickými výrobky (–1,1 mld.).</w:t>
            </w:r>
          </w:p>
        </w:tc>
      </w:tr>
      <w:tr w:rsidR="00CC0AEA" w:rsidRPr="009110F7" w14:paraId="3612B0DD" w14:textId="77777777" w:rsidTr="00361FB7">
        <w:trPr>
          <w:trHeight w:val="106"/>
        </w:trPr>
        <w:tc>
          <w:tcPr>
            <w:tcW w:w="1762" w:type="dxa"/>
            <w:vMerge w:val="restart"/>
            <w:shd w:val="clear" w:color="auto" w:fill="auto"/>
            <w:tcMar>
              <w:left w:w="0" w:type="dxa"/>
            </w:tcMar>
          </w:tcPr>
          <w:p w14:paraId="4FCF4133" w14:textId="77777777" w:rsidR="00CC0AEA" w:rsidRDefault="00CC0AEA" w:rsidP="00361FB7">
            <w:pPr>
              <w:pStyle w:val="Marginlie"/>
            </w:pPr>
          </w:p>
        </w:tc>
        <w:tc>
          <w:tcPr>
            <w:tcW w:w="223" w:type="dxa"/>
            <w:vMerge w:val="restart"/>
            <w:shd w:val="clear" w:color="auto" w:fill="auto"/>
            <w:tcMar>
              <w:left w:w="0" w:type="dxa"/>
            </w:tcMar>
          </w:tcPr>
          <w:p w14:paraId="5D051512" w14:textId="77777777" w:rsidR="00CC0AEA" w:rsidRDefault="00CC0AEA" w:rsidP="00361FB7">
            <w:pPr>
              <w:pStyle w:val="Textpoznpodarou"/>
              <w:jc w:val="both"/>
              <w:rPr>
                <w:spacing w:val="-4"/>
              </w:rPr>
            </w:pPr>
          </w:p>
        </w:tc>
        <w:tc>
          <w:tcPr>
            <w:tcW w:w="7654" w:type="dxa"/>
            <w:shd w:val="clear" w:color="auto" w:fill="auto"/>
            <w:tcMar>
              <w:left w:w="0" w:type="dxa"/>
            </w:tcMar>
          </w:tcPr>
          <w:p w14:paraId="270641AF" w14:textId="318FB9F6" w:rsidR="00CC0AEA" w:rsidRPr="00D75AC1" w:rsidRDefault="00CC0AEA" w:rsidP="00361FB7">
            <w:pPr>
              <w:spacing w:after="0"/>
              <w:rPr>
                <w:spacing w:val="-4"/>
                <w:szCs w:val="20"/>
              </w:rPr>
            </w:pPr>
            <w:r w:rsidRPr="00D75AC1">
              <w:rPr>
                <w:rFonts w:cs="Arial"/>
                <w:b/>
                <w:bCs/>
                <w:color w:val="000000"/>
                <w:szCs w:val="20"/>
              </w:rPr>
              <w:t>Graf č.</w:t>
            </w:r>
            <w:r>
              <w:rPr>
                <w:rFonts w:cs="Arial"/>
                <w:b/>
                <w:bCs/>
                <w:color w:val="000000"/>
                <w:szCs w:val="20"/>
              </w:rPr>
              <w:t> </w:t>
            </w:r>
            <w:r w:rsidR="00142B29">
              <w:rPr>
                <w:rFonts w:cs="Arial"/>
                <w:b/>
                <w:bCs/>
                <w:color w:val="000000"/>
                <w:szCs w:val="20"/>
              </w:rPr>
              <w:t>8</w:t>
            </w:r>
            <w:r>
              <w:rPr>
                <w:rFonts w:cs="Arial"/>
                <w:b/>
                <w:bCs/>
                <w:color w:val="000000"/>
                <w:szCs w:val="20"/>
              </w:rPr>
              <w:t xml:space="preserve"> </w:t>
            </w:r>
            <w:r w:rsidRPr="00D75AC1">
              <w:rPr>
                <w:rFonts w:cs="Arial"/>
                <w:b/>
                <w:bCs/>
                <w:color w:val="000000"/>
                <w:szCs w:val="20"/>
              </w:rPr>
              <w:t xml:space="preserve"> </w:t>
            </w:r>
            <w:r w:rsidRPr="00D75AC1">
              <w:rPr>
                <w:b/>
                <w:spacing w:val="-4"/>
                <w:szCs w:val="20"/>
              </w:rPr>
              <w:t xml:space="preserve">Bilance zahraničního obchodu </w:t>
            </w:r>
            <w:r>
              <w:rPr>
                <w:b/>
                <w:spacing w:val="-4"/>
                <w:szCs w:val="20"/>
              </w:rPr>
              <w:t xml:space="preserve">se zbožím </w:t>
            </w:r>
            <w:r w:rsidRPr="00D75AC1">
              <w:rPr>
                <w:b/>
                <w:spacing w:val="-4"/>
                <w:szCs w:val="20"/>
              </w:rPr>
              <w:t xml:space="preserve">ve statistice zahraničního obchodu </w:t>
            </w:r>
            <w:r w:rsidRPr="00D75AC1">
              <w:rPr>
                <w:spacing w:val="-4"/>
                <w:szCs w:val="20"/>
              </w:rPr>
              <w:t>(kumulace 1</w:t>
            </w:r>
            <w:r>
              <w:rPr>
                <w:spacing w:val="-4"/>
                <w:szCs w:val="20"/>
              </w:rPr>
              <w:t>. až 3.</w:t>
            </w:r>
            <w:r w:rsidRPr="00D75AC1">
              <w:rPr>
                <w:spacing w:val="-4"/>
                <w:szCs w:val="20"/>
              </w:rPr>
              <w:t> </w:t>
            </w:r>
            <w:r>
              <w:rPr>
                <w:spacing w:val="-4"/>
                <w:szCs w:val="20"/>
              </w:rPr>
              <w:t>čtvrtletí 2020</w:t>
            </w:r>
            <w:r w:rsidRPr="00D75AC1">
              <w:rPr>
                <w:spacing w:val="-4"/>
                <w:szCs w:val="20"/>
              </w:rPr>
              <w:t>, v mld.</w:t>
            </w:r>
            <w:r>
              <w:rPr>
                <w:spacing w:val="-4"/>
                <w:szCs w:val="20"/>
              </w:rPr>
              <w:t xml:space="preserve"> </w:t>
            </w:r>
            <w:r w:rsidRPr="00D75AC1">
              <w:rPr>
                <w:spacing w:val="-4"/>
                <w:szCs w:val="20"/>
              </w:rPr>
              <w:t>korun, vybrané oddíly klasifikace CPA)</w:t>
            </w:r>
          </w:p>
        </w:tc>
      </w:tr>
      <w:tr w:rsidR="00CC0AEA" w:rsidRPr="009110F7" w14:paraId="24960774" w14:textId="77777777" w:rsidTr="00361FB7">
        <w:tblPrEx>
          <w:tblCellMar>
            <w:left w:w="70" w:type="dxa"/>
            <w:right w:w="70" w:type="dxa"/>
          </w:tblCellMar>
        </w:tblPrEx>
        <w:trPr>
          <w:trHeight w:val="106"/>
        </w:trPr>
        <w:tc>
          <w:tcPr>
            <w:tcW w:w="1762" w:type="dxa"/>
            <w:vMerge/>
            <w:shd w:val="clear" w:color="auto" w:fill="auto"/>
          </w:tcPr>
          <w:p w14:paraId="0617E368" w14:textId="77777777" w:rsidR="00CC0AEA" w:rsidRDefault="00CC0AEA" w:rsidP="00361FB7">
            <w:pPr>
              <w:pStyle w:val="Marginlie"/>
            </w:pPr>
          </w:p>
        </w:tc>
        <w:tc>
          <w:tcPr>
            <w:tcW w:w="223" w:type="dxa"/>
            <w:vMerge/>
            <w:shd w:val="clear" w:color="auto" w:fill="auto"/>
          </w:tcPr>
          <w:p w14:paraId="5D7BCD71" w14:textId="77777777" w:rsidR="00CC0AEA" w:rsidRDefault="00CC0AEA" w:rsidP="00361FB7">
            <w:pPr>
              <w:pStyle w:val="Textpoznpodarou"/>
              <w:jc w:val="both"/>
              <w:rPr>
                <w:spacing w:val="-4"/>
              </w:rPr>
            </w:pPr>
          </w:p>
        </w:tc>
        <w:tc>
          <w:tcPr>
            <w:tcW w:w="7654" w:type="dxa"/>
            <w:shd w:val="clear" w:color="auto" w:fill="auto"/>
          </w:tcPr>
          <w:p w14:paraId="71855EE2" w14:textId="77777777" w:rsidR="00CC0AEA" w:rsidRPr="00AF6F98" w:rsidRDefault="00CC0AEA" w:rsidP="00361FB7">
            <w:pPr>
              <w:spacing w:after="0"/>
              <w:rPr>
                <w:spacing w:val="-4"/>
              </w:rPr>
            </w:pPr>
            <w:r>
              <w:rPr>
                <w:noProof/>
              </w:rPr>
              <w:drawing>
                <wp:inline distT="0" distB="0" distL="0" distR="0" wp14:anchorId="72C96C61" wp14:editId="344FB436">
                  <wp:extent cx="4715023" cy="3426200"/>
                  <wp:effectExtent l="0" t="0" r="0" b="3175"/>
                  <wp:docPr id="4" name="Graf 4">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CC0AEA" w:rsidRPr="009110F7" w14:paraId="74F8DA13" w14:textId="77777777" w:rsidTr="00361FB7">
        <w:trPr>
          <w:trHeight w:val="106"/>
        </w:trPr>
        <w:tc>
          <w:tcPr>
            <w:tcW w:w="1762" w:type="dxa"/>
            <w:vMerge/>
            <w:shd w:val="clear" w:color="auto" w:fill="auto"/>
            <w:tcMar>
              <w:left w:w="0" w:type="dxa"/>
            </w:tcMar>
          </w:tcPr>
          <w:p w14:paraId="2AA8B0A7" w14:textId="77777777" w:rsidR="00CC0AEA" w:rsidRDefault="00CC0AEA" w:rsidP="00361FB7">
            <w:pPr>
              <w:pStyle w:val="Marginlie"/>
            </w:pPr>
          </w:p>
        </w:tc>
        <w:tc>
          <w:tcPr>
            <w:tcW w:w="223" w:type="dxa"/>
            <w:vMerge/>
            <w:shd w:val="clear" w:color="auto" w:fill="auto"/>
            <w:tcMar>
              <w:left w:w="0" w:type="dxa"/>
            </w:tcMar>
          </w:tcPr>
          <w:p w14:paraId="248DC366" w14:textId="77777777" w:rsidR="00CC0AEA" w:rsidRDefault="00CC0AEA" w:rsidP="00361FB7">
            <w:pPr>
              <w:pStyle w:val="Textpoznpodarou"/>
              <w:jc w:val="both"/>
              <w:rPr>
                <w:spacing w:val="-4"/>
              </w:rPr>
            </w:pPr>
          </w:p>
        </w:tc>
        <w:tc>
          <w:tcPr>
            <w:tcW w:w="7654" w:type="dxa"/>
            <w:shd w:val="clear" w:color="auto" w:fill="auto"/>
            <w:tcMar>
              <w:left w:w="0" w:type="dxa"/>
            </w:tcMar>
          </w:tcPr>
          <w:p w14:paraId="6D8DD387" w14:textId="77777777" w:rsidR="00CC0AEA" w:rsidRPr="00AF6F98" w:rsidRDefault="00CC0AEA" w:rsidP="00361FB7">
            <w:pPr>
              <w:spacing w:after="0"/>
              <w:rPr>
                <w:spacing w:val="-4"/>
              </w:rPr>
            </w:pPr>
            <w:r>
              <w:rPr>
                <w:sz w:val="14"/>
                <w:szCs w:val="14"/>
              </w:rPr>
              <w:t>Zdroj: ČSÚ</w:t>
            </w:r>
          </w:p>
        </w:tc>
      </w:tr>
    </w:tbl>
    <w:p w14:paraId="09D30ACF" w14:textId="77777777" w:rsidR="00CC0AEA" w:rsidRPr="00C41D54" w:rsidRDefault="00CC0AEA" w:rsidP="00CC0AEA">
      <w:pPr>
        <w:pStyle w:val="Nadpis11"/>
        <w:rPr>
          <w:b w:val="0"/>
          <w:sz w:val="2"/>
          <w:szCs w:val="2"/>
          <w:highlight w:val="yellow"/>
        </w:rPr>
      </w:pPr>
    </w:p>
    <w:p w14:paraId="00525D14" w14:textId="77777777" w:rsidR="00CC0AEA" w:rsidRPr="00E42054" w:rsidRDefault="00CC0AEA" w:rsidP="00CC0AEA">
      <w:pPr>
        <w:pStyle w:val="Nadpis11"/>
        <w:spacing w:after="0"/>
        <w:rPr>
          <w:b w:val="0"/>
          <w:sz w:val="2"/>
          <w:szCs w:val="2"/>
        </w:rPr>
      </w:pPr>
    </w:p>
    <w:p w14:paraId="7E778031" w14:textId="054FC5D9" w:rsidR="00682110" w:rsidRDefault="00682110" w:rsidP="00682110">
      <w:pPr>
        <w:pStyle w:val="Nadpis11"/>
      </w:pPr>
      <w:bookmarkStart w:id="11" w:name="_Toc37403644"/>
      <w:bookmarkStart w:id="12" w:name="_Toc19090678"/>
      <w:bookmarkStart w:id="13" w:name="_Toc26539342"/>
      <w:bookmarkStart w:id="14" w:name="_Toc532558287"/>
      <w:bookmarkStart w:id="15" w:name="_Toc59001054"/>
      <w:bookmarkEnd w:id="6"/>
      <w:bookmarkEnd w:id="7"/>
      <w:bookmarkEnd w:id="8"/>
      <w:r>
        <w:t>5. Ceny</w:t>
      </w:r>
      <w:bookmarkEnd w:id="15"/>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682110" w14:paraId="03D351C6" w14:textId="77777777" w:rsidTr="00361FB7">
        <w:trPr>
          <w:trHeight w:val="145"/>
        </w:trPr>
        <w:tc>
          <w:tcPr>
            <w:tcW w:w="1805" w:type="dxa"/>
            <w:hideMark/>
          </w:tcPr>
          <w:p w14:paraId="497DC426" w14:textId="77777777" w:rsidR="00682110" w:rsidRDefault="00682110" w:rsidP="00361FB7">
            <w:pPr>
              <w:pStyle w:val="Marginlie"/>
              <w:rPr>
                <w:spacing w:val="0"/>
                <w:lang w:eastAsia="en-US"/>
              </w:rPr>
            </w:pPr>
            <w:r>
              <w:rPr>
                <w:spacing w:val="0"/>
                <w:lang w:eastAsia="en-US"/>
              </w:rPr>
              <w:t>Růst cenové hladiny zůstal vysoký.</w:t>
            </w:r>
          </w:p>
        </w:tc>
        <w:tc>
          <w:tcPr>
            <w:tcW w:w="224" w:type="dxa"/>
          </w:tcPr>
          <w:p w14:paraId="78DAC017" w14:textId="77777777" w:rsidR="00682110" w:rsidRDefault="00682110" w:rsidP="00361FB7">
            <w:pPr>
              <w:pStyle w:val="Textpoznpodarou1"/>
              <w:jc w:val="both"/>
              <w:rPr>
                <w:lang w:eastAsia="en-US"/>
              </w:rPr>
            </w:pPr>
          </w:p>
        </w:tc>
        <w:tc>
          <w:tcPr>
            <w:tcW w:w="7610" w:type="dxa"/>
          </w:tcPr>
          <w:p w14:paraId="7B082DD6" w14:textId="77777777" w:rsidR="00682110" w:rsidRDefault="00682110" w:rsidP="00361FB7">
            <w:pPr>
              <w:rPr>
                <w:szCs w:val="20"/>
                <w:lang w:eastAsia="en-US"/>
              </w:rPr>
            </w:pPr>
            <w:r>
              <w:rPr>
                <w:szCs w:val="20"/>
                <w:lang w:eastAsia="en-US"/>
              </w:rPr>
              <w:t>Celkový meziroční růst cenové hladiny (měřený deflátorem HDP) ve 3. čtvrtletí dosáhl 4,1 % a jen mírně se snížil oproti předchozímu kvartálu. Růst cenové hladiny spotřebních statků drobně zpomalil na 3,1 %. Z toho se ceny zboží a služeb spotřebovaných domácnostmi zvýšily o 2,3 %, což je výrazné zpomalení oproti předchozímu čtvrtletí (3,3 %). Cenová hladina kapitálových statků rostla o 2,4 %. Výrazný růstový impulz tak do domácí cenové hladiny vnášely směnné relace obchodu se zbožím a službami, které dosáhly 102,2 % a byly nejvyšší od 4. čtvrtletí 2009. Směnné relace obchodu se zbožím dosáhly 102,3 % a se službami 101,0 %.</w:t>
            </w:r>
          </w:p>
        </w:tc>
      </w:tr>
      <w:tr w:rsidR="00682110" w14:paraId="2767A07D" w14:textId="77777777" w:rsidTr="00361FB7">
        <w:trPr>
          <w:trHeight w:val="145"/>
        </w:trPr>
        <w:tc>
          <w:tcPr>
            <w:tcW w:w="1805" w:type="dxa"/>
            <w:hideMark/>
          </w:tcPr>
          <w:p w14:paraId="5CF4C31D" w14:textId="77777777" w:rsidR="00682110" w:rsidRDefault="00682110" w:rsidP="00361FB7">
            <w:pPr>
              <w:pStyle w:val="Marginlie"/>
              <w:rPr>
                <w:spacing w:val="0"/>
                <w:lang w:eastAsia="en-US"/>
              </w:rPr>
            </w:pPr>
            <w:r>
              <w:rPr>
                <w:spacing w:val="0"/>
                <w:lang w:eastAsia="en-US"/>
              </w:rPr>
              <w:t>Spotřebitelské ceny ve 3. čtvrtletí meziročně vzrostly o 3,3 %.</w:t>
            </w:r>
          </w:p>
        </w:tc>
        <w:tc>
          <w:tcPr>
            <w:tcW w:w="224" w:type="dxa"/>
          </w:tcPr>
          <w:p w14:paraId="34EE137E" w14:textId="77777777" w:rsidR="00682110" w:rsidRDefault="00682110" w:rsidP="00361FB7">
            <w:pPr>
              <w:pStyle w:val="Textpoznpodarou1"/>
              <w:jc w:val="both"/>
              <w:rPr>
                <w:highlight w:val="yellow"/>
                <w:lang w:eastAsia="en-US"/>
              </w:rPr>
            </w:pPr>
          </w:p>
        </w:tc>
        <w:tc>
          <w:tcPr>
            <w:tcW w:w="7610" w:type="dxa"/>
          </w:tcPr>
          <w:p w14:paraId="2C6E8817" w14:textId="77777777" w:rsidR="00682110" w:rsidRDefault="00682110" w:rsidP="00361FB7">
            <w:pPr>
              <w:rPr>
                <w:lang w:eastAsia="en-US"/>
              </w:rPr>
            </w:pPr>
            <w:r>
              <w:rPr>
                <w:lang w:eastAsia="en-US"/>
              </w:rPr>
              <w:t>V průběhu 1. až 3. čtvrtletí 2020 se index spotřebitelských cen oproti stejnému období minulého roku zvýšil o 3,3 %. V samotném 3. kvartálu se spotřebitelské ceny meziročně zvýšily rovněž o 3,3 %, což je mírně více než ve 2. čtvrtletí (3,1 %). Přírůstek ale nedosáhl úrovně 1. čtvrtletí (3,6 %). Meziroční navýšení od počátku roku nejvíce ovlivnil růst cen potravin a dále oddílů bydlení, voda, energie a paliva a alkoholické nápoje a tabák. Ve směru poklesu v malé míře působily ceny dopravy a rovněž ceny pošt a telekomunikací. Ve 3. čtvrtletí k meziročnímu růstu spotřebitelských cen nejvíce přispěly alkoholické nápoje a tabák. Ty mají ve spotřebním koši poměrně velkou váhu, zejména ve srovnání s ostatními zeměmi EU, ale obvykle jejich příspěvek nebývá tak velký. Výrazně přispěly také potraviny a nealkoholické nápoje a bydlení a energie.</w:t>
            </w:r>
          </w:p>
        </w:tc>
      </w:tr>
      <w:tr w:rsidR="00682110" w14:paraId="0581478D" w14:textId="77777777" w:rsidTr="00361FB7">
        <w:trPr>
          <w:trHeight w:val="145"/>
        </w:trPr>
        <w:tc>
          <w:tcPr>
            <w:tcW w:w="1805" w:type="dxa"/>
            <w:hideMark/>
          </w:tcPr>
          <w:p w14:paraId="4D84B5D9" w14:textId="77777777" w:rsidR="00682110" w:rsidRDefault="00682110" w:rsidP="00361FB7">
            <w:pPr>
              <w:pStyle w:val="Marginlie"/>
              <w:rPr>
                <w:spacing w:val="0"/>
                <w:lang w:eastAsia="en-US"/>
              </w:rPr>
            </w:pPr>
            <w:r>
              <w:rPr>
                <w:spacing w:val="0"/>
                <w:lang w:eastAsia="en-US"/>
              </w:rPr>
              <w:t>Nejvíce k růstu přispěly ceny alkoholických nápojů a tabáku.</w:t>
            </w:r>
          </w:p>
        </w:tc>
        <w:tc>
          <w:tcPr>
            <w:tcW w:w="224" w:type="dxa"/>
          </w:tcPr>
          <w:p w14:paraId="774128E2" w14:textId="77777777" w:rsidR="00682110" w:rsidRDefault="00682110" w:rsidP="00361FB7">
            <w:pPr>
              <w:pStyle w:val="Textpoznpodarou1"/>
              <w:jc w:val="both"/>
              <w:rPr>
                <w:highlight w:val="yellow"/>
                <w:lang w:eastAsia="en-US"/>
              </w:rPr>
            </w:pPr>
          </w:p>
        </w:tc>
        <w:tc>
          <w:tcPr>
            <w:tcW w:w="7610" w:type="dxa"/>
          </w:tcPr>
          <w:p w14:paraId="19CA6B40" w14:textId="77777777" w:rsidR="00682110" w:rsidRDefault="00682110" w:rsidP="00361FB7">
            <w:pPr>
              <w:rPr>
                <w:lang w:eastAsia="en-US"/>
              </w:rPr>
            </w:pPr>
            <w:r>
              <w:rPr>
                <w:lang w:eastAsia="en-US"/>
              </w:rPr>
              <w:t>Ceny alkoholických nápojů a tabáku se ve 3. čtvrtletí meziročně zvýšily o 10,3 %, což znamenalo značné zrychlení oproti již tak výraznému přírůstku ze 2. čtvrtletí (6,6 %). Ačkoli si alkoholické nápoje silné meziroční tempo ve 3. kvartálu držely (5,7 %), popsané posílení přírůstku cen v oddílu lze připsat na vrub hlavně tabáku (14,0 %, ve 2. čtvrtletí to bylo 7,5 %). Meziroční dynamika ale čerpá zejména z vysoké úrovně, na kterou se ceny tabáku dostaly během 1. pololetí, protože meziměsíční tempa ve 3. čtvrtletí oproti předchozímu půlroku ve skutečnosti oslabila.</w:t>
            </w:r>
          </w:p>
        </w:tc>
      </w:tr>
      <w:tr w:rsidR="00682110" w14:paraId="68E00A68" w14:textId="77777777" w:rsidTr="00361FB7">
        <w:trPr>
          <w:trHeight w:val="170"/>
        </w:trPr>
        <w:tc>
          <w:tcPr>
            <w:tcW w:w="1805" w:type="dxa"/>
            <w:vMerge w:val="restart"/>
          </w:tcPr>
          <w:p w14:paraId="4BA2A2C5" w14:textId="77777777" w:rsidR="00682110" w:rsidRDefault="00682110" w:rsidP="00361FB7">
            <w:pPr>
              <w:pStyle w:val="Marginlie"/>
              <w:rPr>
                <w:spacing w:val="0"/>
                <w:lang w:eastAsia="en-US"/>
              </w:rPr>
            </w:pPr>
          </w:p>
        </w:tc>
        <w:tc>
          <w:tcPr>
            <w:tcW w:w="224" w:type="dxa"/>
            <w:vMerge w:val="restart"/>
          </w:tcPr>
          <w:p w14:paraId="394B4266" w14:textId="77777777" w:rsidR="00682110" w:rsidRDefault="00682110" w:rsidP="00361FB7">
            <w:pPr>
              <w:pStyle w:val="Textpoznpodarou1"/>
              <w:jc w:val="both"/>
              <w:rPr>
                <w:highlight w:val="yellow"/>
                <w:lang w:eastAsia="en-US"/>
              </w:rPr>
            </w:pPr>
          </w:p>
        </w:tc>
        <w:tc>
          <w:tcPr>
            <w:tcW w:w="7610" w:type="dxa"/>
            <w:hideMark/>
          </w:tcPr>
          <w:p w14:paraId="173F0CF0" w14:textId="77777777" w:rsidR="00682110" w:rsidRDefault="00682110" w:rsidP="00361FB7">
            <w:pPr>
              <w:spacing w:after="0"/>
              <w:rPr>
                <w:b/>
                <w:szCs w:val="20"/>
                <w:lang w:eastAsia="en-US"/>
              </w:rPr>
            </w:pPr>
            <w:r>
              <w:rPr>
                <w:rFonts w:cs="Arial"/>
                <w:b/>
                <w:bCs/>
                <w:color w:val="000000"/>
                <w:sz w:val="18"/>
                <w:szCs w:val="18"/>
                <w:lang w:eastAsia="en-US"/>
              </w:rPr>
              <w:t>Graf č. 9  Ceny ve vybraných oddílech indexu spotřebitelských cen</w:t>
            </w:r>
            <w:r>
              <w:rPr>
                <w:rFonts w:cs="Arial"/>
                <w:b/>
                <w:color w:val="000000"/>
                <w:sz w:val="18"/>
                <w:szCs w:val="18"/>
                <w:lang w:eastAsia="en-US"/>
              </w:rPr>
              <w:t xml:space="preserve"> </w:t>
            </w:r>
            <w:r>
              <w:rPr>
                <w:rFonts w:cs="Arial"/>
                <w:color w:val="000000"/>
                <w:sz w:val="18"/>
                <w:szCs w:val="18"/>
                <w:lang w:eastAsia="en-US"/>
              </w:rPr>
              <w:t>(meziročně v %)</w:t>
            </w:r>
          </w:p>
        </w:tc>
      </w:tr>
      <w:tr w:rsidR="00682110" w14:paraId="479515CF" w14:textId="77777777" w:rsidTr="00361FB7">
        <w:tblPrEx>
          <w:tblCellMar>
            <w:left w:w="70" w:type="dxa"/>
            <w:right w:w="70" w:type="dxa"/>
          </w:tblCellMar>
        </w:tblPrEx>
        <w:trPr>
          <w:trHeight w:val="170"/>
        </w:trPr>
        <w:tc>
          <w:tcPr>
            <w:tcW w:w="1805" w:type="dxa"/>
            <w:vMerge/>
            <w:vAlign w:val="center"/>
            <w:hideMark/>
          </w:tcPr>
          <w:p w14:paraId="75FC32F6" w14:textId="77777777" w:rsidR="00682110" w:rsidRDefault="00682110" w:rsidP="00361FB7">
            <w:pPr>
              <w:spacing w:after="0" w:line="240" w:lineRule="auto"/>
              <w:jc w:val="left"/>
              <w:rPr>
                <w:sz w:val="16"/>
                <w:szCs w:val="16"/>
                <w:lang w:eastAsia="en-US"/>
              </w:rPr>
            </w:pPr>
          </w:p>
        </w:tc>
        <w:tc>
          <w:tcPr>
            <w:tcW w:w="224" w:type="dxa"/>
            <w:vMerge/>
            <w:vAlign w:val="center"/>
            <w:hideMark/>
          </w:tcPr>
          <w:p w14:paraId="673BF8E2" w14:textId="77777777" w:rsidR="00682110" w:rsidRDefault="00682110" w:rsidP="00361FB7">
            <w:pPr>
              <w:spacing w:after="0" w:line="240" w:lineRule="auto"/>
              <w:jc w:val="left"/>
              <w:rPr>
                <w:rFonts w:eastAsia="Calibri"/>
                <w:szCs w:val="20"/>
                <w:highlight w:val="yellow"/>
                <w:lang w:eastAsia="en-US"/>
              </w:rPr>
            </w:pPr>
          </w:p>
        </w:tc>
        <w:tc>
          <w:tcPr>
            <w:tcW w:w="7610" w:type="dxa"/>
            <w:hideMark/>
          </w:tcPr>
          <w:p w14:paraId="02C7D723" w14:textId="77777777" w:rsidR="00682110" w:rsidRDefault="00682110" w:rsidP="00361FB7">
            <w:pPr>
              <w:spacing w:after="0"/>
              <w:rPr>
                <w:lang w:eastAsia="en-US"/>
              </w:rPr>
            </w:pPr>
            <w:r>
              <w:rPr>
                <w:noProof/>
              </w:rPr>
              <w:drawing>
                <wp:inline distT="0" distB="0" distL="0" distR="0" wp14:anchorId="2732836A" wp14:editId="57E83A78">
                  <wp:extent cx="4737600" cy="3438900"/>
                  <wp:effectExtent l="0" t="0" r="6350" b="0"/>
                  <wp:docPr id="9" name="Graf 9">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2110" w14:paraId="18A486B9" w14:textId="77777777" w:rsidTr="00361FB7">
        <w:trPr>
          <w:trHeight w:val="170"/>
        </w:trPr>
        <w:tc>
          <w:tcPr>
            <w:tcW w:w="0" w:type="auto"/>
            <w:vMerge/>
            <w:vAlign w:val="center"/>
            <w:hideMark/>
          </w:tcPr>
          <w:p w14:paraId="3D72739A" w14:textId="77777777" w:rsidR="00682110" w:rsidRDefault="00682110" w:rsidP="00361FB7">
            <w:pPr>
              <w:spacing w:after="0" w:line="240" w:lineRule="auto"/>
              <w:jc w:val="left"/>
              <w:rPr>
                <w:sz w:val="16"/>
                <w:szCs w:val="16"/>
                <w:lang w:eastAsia="en-US"/>
              </w:rPr>
            </w:pPr>
          </w:p>
        </w:tc>
        <w:tc>
          <w:tcPr>
            <w:tcW w:w="0" w:type="auto"/>
            <w:vMerge/>
            <w:vAlign w:val="center"/>
            <w:hideMark/>
          </w:tcPr>
          <w:p w14:paraId="6AC9BDC6" w14:textId="77777777" w:rsidR="00682110" w:rsidRDefault="00682110" w:rsidP="00361FB7">
            <w:pPr>
              <w:spacing w:after="0" w:line="240" w:lineRule="auto"/>
              <w:jc w:val="left"/>
              <w:rPr>
                <w:rFonts w:eastAsia="Calibri"/>
                <w:szCs w:val="20"/>
                <w:highlight w:val="yellow"/>
                <w:lang w:eastAsia="en-US"/>
              </w:rPr>
            </w:pPr>
          </w:p>
        </w:tc>
        <w:tc>
          <w:tcPr>
            <w:tcW w:w="7610" w:type="dxa"/>
            <w:hideMark/>
          </w:tcPr>
          <w:p w14:paraId="5882452C" w14:textId="77777777" w:rsidR="00682110" w:rsidRDefault="00682110" w:rsidP="00361FB7">
            <w:pPr>
              <w:rPr>
                <w:sz w:val="14"/>
                <w:szCs w:val="14"/>
                <w:lang w:eastAsia="en-US"/>
              </w:rPr>
            </w:pPr>
            <w:r>
              <w:rPr>
                <w:sz w:val="14"/>
                <w:szCs w:val="14"/>
                <w:lang w:eastAsia="en-US"/>
              </w:rPr>
              <w:t>Zdroj: ČSÚ</w:t>
            </w:r>
          </w:p>
        </w:tc>
      </w:tr>
      <w:tr w:rsidR="00682110" w14:paraId="53D4A104" w14:textId="77777777" w:rsidTr="00361FB7">
        <w:trPr>
          <w:trHeight w:val="145"/>
        </w:trPr>
        <w:tc>
          <w:tcPr>
            <w:tcW w:w="1805" w:type="dxa"/>
          </w:tcPr>
          <w:p w14:paraId="7AD12399" w14:textId="77777777" w:rsidR="00682110" w:rsidRDefault="00682110" w:rsidP="00361FB7">
            <w:pPr>
              <w:pStyle w:val="Marginlie"/>
              <w:rPr>
                <w:spacing w:val="0"/>
                <w:lang w:eastAsia="en-US"/>
              </w:rPr>
            </w:pPr>
            <w:r>
              <w:rPr>
                <w:spacing w:val="0"/>
                <w:lang w:eastAsia="en-US"/>
              </w:rPr>
              <w:lastRenderedPageBreak/>
              <w:t>Výrazný příspěvek měly rovněž ceny potravin a nealkoholických nápojů a ceny bydlení a energií.</w:t>
            </w:r>
          </w:p>
        </w:tc>
        <w:tc>
          <w:tcPr>
            <w:tcW w:w="224" w:type="dxa"/>
          </w:tcPr>
          <w:p w14:paraId="444F8DDB" w14:textId="77777777" w:rsidR="00682110" w:rsidRDefault="00682110" w:rsidP="00361FB7">
            <w:pPr>
              <w:pStyle w:val="Textpoznpodarou1"/>
              <w:jc w:val="both"/>
              <w:rPr>
                <w:lang w:eastAsia="en-US"/>
              </w:rPr>
            </w:pPr>
          </w:p>
        </w:tc>
        <w:tc>
          <w:tcPr>
            <w:tcW w:w="7610" w:type="dxa"/>
          </w:tcPr>
          <w:p w14:paraId="3B01EC57" w14:textId="77777777" w:rsidR="00682110" w:rsidRDefault="00682110" w:rsidP="00361FB7">
            <w:pPr>
              <w:rPr>
                <w:lang w:eastAsia="en-US"/>
              </w:rPr>
            </w:pPr>
            <w:r>
              <w:rPr>
                <w:lang w:eastAsia="en-US"/>
              </w:rPr>
              <w:t>Meziroční přírůstek cen potravin a nealkoholických nápojů ve 3. čtvrtletí dosáhl 4,0 %. Cenový růst přitom oslabil zejména u váhově významných skupin – maso (meziroční přírůstek 6,2 %, ve 2. čtvrtletí to bylo 10,8 %), pekárenské výrobky a obiloviny (2,2 %), mléko, sýry a vejce (0,6 %). Velmi vysoký zůstal meziroční přírůstek cen ovoce (21,9 %), naopak zelenina zlevnila o 4,1 %. Ceny v oddílu bydlení, voda, energie a paliva ve 3. čtvrtletí meziročně vzrostly o 2,7 %. Pokračovalo tak postupné zpomalování tempa, které bylo patrné od počátku roku. Zmírnil se zejména přírůstek cen nájemného z bytu (2,5 %), imputovaného nájemného (1,9 %) a ostatních služeb souvisejících s bydlením (3,5 %). V menší míře zvolnilo tempo u běžné údržby a drobných oprav bytu (2,9 %). Růst cen elektrické a tepelné energie, plynu a ostatních paliv činil 3,5 % a ve srovnání s předchozím kvartálem zmírnil jen drobně.</w:t>
            </w:r>
          </w:p>
        </w:tc>
      </w:tr>
      <w:tr w:rsidR="00682110" w14:paraId="7F830383" w14:textId="77777777" w:rsidTr="00361FB7">
        <w:trPr>
          <w:trHeight w:val="145"/>
        </w:trPr>
        <w:tc>
          <w:tcPr>
            <w:tcW w:w="1805" w:type="dxa"/>
          </w:tcPr>
          <w:p w14:paraId="1F32075F" w14:textId="77777777" w:rsidR="00682110" w:rsidRDefault="00682110" w:rsidP="00361FB7">
            <w:pPr>
              <w:pStyle w:val="Marginlie"/>
              <w:rPr>
                <w:spacing w:val="0"/>
                <w:lang w:eastAsia="en-US"/>
              </w:rPr>
            </w:pPr>
            <w:r>
              <w:rPr>
                <w:spacing w:val="0"/>
                <w:lang w:eastAsia="en-US"/>
              </w:rPr>
              <w:t>Klesly ceny pošt a telekomunikací a dopravy.</w:t>
            </w:r>
          </w:p>
        </w:tc>
        <w:tc>
          <w:tcPr>
            <w:tcW w:w="224" w:type="dxa"/>
          </w:tcPr>
          <w:p w14:paraId="5D519716" w14:textId="77777777" w:rsidR="00682110" w:rsidRDefault="00682110" w:rsidP="00361FB7">
            <w:pPr>
              <w:pStyle w:val="Textpoznpodarou1"/>
              <w:jc w:val="both"/>
              <w:rPr>
                <w:lang w:eastAsia="en-US"/>
              </w:rPr>
            </w:pPr>
          </w:p>
        </w:tc>
        <w:tc>
          <w:tcPr>
            <w:tcW w:w="7610" w:type="dxa"/>
          </w:tcPr>
          <w:p w14:paraId="1E1DFD16" w14:textId="77777777" w:rsidR="00682110" w:rsidRDefault="00682110" w:rsidP="00361FB7">
            <w:pPr>
              <w:rPr>
                <w:lang w:eastAsia="en-US"/>
              </w:rPr>
            </w:pPr>
            <w:r>
              <w:rPr>
                <w:lang w:eastAsia="en-US"/>
              </w:rPr>
              <w:t>Ceny stravování a ubytování se ve 3. čtvrtletí meziročně zvýšily o 4,9 %. Dále se rozevíraly nůžky mezi tempem růstu cen stravovacích služeb (5,5 %), které zůstává stabilní od začátku roku, a ubytovacích služeb (1,1 %). Meziroční přírůstek cen rekreace a kultury dosáhl ve 3. kvartálu 2,2 %, a od začátku roku tak zůstal stabilní. Ceny bytového vybavení, zařízení domácnosti a oprav stouply o 3,2 %. Zrychlil růst cen odívání a obuvi na 4,5 %. Jediné dvě spotřební kategorie, kde ve 3. čtvrtletí ceny klesaly, byly pošty a telekomunikace (–3,8 %) a doprava (–0,2 %). U dopravy stály za poklesem čistě ceny pohonných hmot, což dokládá meziroční snížení cen provozu osobních dopravních prostředků o 7,3 % (propad se zmírnil oproti 2. čtvrtletí). Naopak nákupy dopravních prostředků zdražily o 6,7 %</w:t>
            </w:r>
            <w:r>
              <w:rPr>
                <w:rStyle w:val="Znakapoznpodarou"/>
                <w:lang w:eastAsia="en-US"/>
              </w:rPr>
              <w:footnoteReference w:id="34"/>
            </w:r>
            <w:r>
              <w:rPr>
                <w:lang w:eastAsia="en-US"/>
              </w:rPr>
              <w:t xml:space="preserve"> a ceny dopravních služeb se zvýšily o 2,0 %.</w:t>
            </w:r>
          </w:p>
        </w:tc>
      </w:tr>
      <w:tr w:rsidR="00682110" w14:paraId="37D27EC4" w14:textId="77777777" w:rsidTr="00361FB7">
        <w:trPr>
          <w:trHeight w:val="145"/>
        </w:trPr>
        <w:tc>
          <w:tcPr>
            <w:tcW w:w="1805" w:type="dxa"/>
            <w:hideMark/>
          </w:tcPr>
          <w:p w14:paraId="602AC694" w14:textId="77777777" w:rsidR="00682110" w:rsidRDefault="00682110" w:rsidP="00361FB7">
            <w:pPr>
              <w:pStyle w:val="Marginlie"/>
              <w:rPr>
                <w:spacing w:val="0"/>
                <w:lang w:eastAsia="en-US"/>
              </w:rPr>
            </w:pPr>
            <w:r>
              <w:rPr>
                <w:spacing w:val="0"/>
                <w:lang w:eastAsia="en-US"/>
              </w:rPr>
              <w:t>Spotřebitelské ceny v EU ve 3. čtvrtletí meziročně vzrostly jen mírně.</w:t>
            </w:r>
          </w:p>
        </w:tc>
        <w:tc>
          <w:tcPr>
            <w:tcW w:w="224" w:type="dxa"/>
          </w:tcPr>
          <w:p w14:paraId="6410FDB2" w14:textId="77777777" w:rsidR="00682110" w:rsidRDefault="00682110" w:rsidP="00361FB7">
            <w:pPr>
              <w:pStyle w:val="Textpoznpodarou1"/>
              <w:jc w:val="both"/>
              <w:rPr>
                <w:lang w:eastAsia="en-US"/>
              </w:rPr>
            </w:pPr>
          </w:p>
        </w:tc>
        <w:tc>
          <w:tcPr>
            <w:tcW w:w="7610" w:type="dxa"/>
            <w:hideMark/>
          </w:tcPr>
          <w:p w14:paraId="7AE17F03" w14:textId="77777777" w:rsidR="00682110" w:rsidRDefault="00682110" w:rsidP="00361FB7">
            <w:pPr>
              <w:rPr>
                <w:lang w:eastAsia="en-US"/>
              </w:rPr>
            </w:pPr>
            <w:r>
              <w:rPr>
                <w:lang w:eastAsia="en-US"/>
              </w:rPr>
              <w:t>Od začátku roku meziroční růst indexu spotřebitelských cen v EU zpomaloval. Celkově tak za 1. až 3. čtvrtletí došlo ke zvýšení cen o 0,8 %</w:t>
            </w:r>
            <w:r>
              <w:rPr>
                <w:rStyle w:val="Znakapoznpodarou"/>
                <w:lang w:eastAsia="en-US"/>
              </w:rPr>
              <w:footnoteReference w:id="35"/>
            </w:r>
            <w:r>
              <w:rPr>
                <w:lang w:eastAsia="en-US"/>
              </w:rPr>
              <w:t>, ale v samotném 3. kvartálu přírůstek dosáhl pouze 0,5 %. Hlavním důvodem propadu celkového tempa byl pokles cen dopravy ovlivněný jarním propadem cen ropy. Ve 3. čtvrtletí ale v EU meziročně klesaly i ceny bydlení a energií i pošt a telekomunikací. Spotřebitelské ceny ve 3. čtvrtletí nejvíce rostly v Maďarsku (3,8 %), Polsku (3,7 %) a v Česku (3,5 %). U všech tří zemí byl zaznamenán velmi silný růst cen alkoholických nápojů a tabáku. V Maďarsku a Česku se přidává prudký růst cen potravin. V Polsku rostly zejména ceny bydlení a energií. Ve 12 zemích EU ceny ve 3. čtvrtletí meziročně klesly. Nejvíce to bylo na Kypru (–2,3 %), v Řecku (–2,2 %) a v Estonsku (–1,3 %). U všech se propadaly především ceny dopravy a bydlení a energií.</w:t>
            </w:r>
          </w:p>
        </w:tc>
      </w:tr>
      <w:tr w:rsidR="00682110" w14:paraId="51B0A1DE" w14:textId="77777777" w:rsidTr="00361FB7">
        <w:trPr>
          <w:trHeight w:val="145"/>
        </w:trPr>
        <w:tc>
          <w:tcPr>
            <w:tcW w:w="1805" w:type="dxa"/>
            <w:hideMark/>
          </w:tcPr>
          <w:p w14:paraId="2155F59A" w14:textId="77777777" w:rsidR="00682110" w:rsidRDefault="00682110" w:rsidP="00361FB7">
            <w:pPr>
              <w:pStyle w:val="Marginlie"/>
              <w:rPr>
                <w:spacing w:val="0"/>
                <w:lang w:eastAsia="en-US"/>
              </w:rPr>
            </w:pPr>
            <w:r>
              <w:rPr>
                <w:spacing w:val="0"/>
                <w:lang w:eastAsia="en-US"/>
              </w:rPr>
              <w:t>Růst cen bytů zrychlil.</w:t>
            </w:r>
          </w:p>
        </w:tc>
        <w:tc>
          <w:tcPr>
            <w:tcW w:w="224" w:type="dxa"/>
          </w:tcPr>
          <w:p w14:paraId="79BBEAF6" w14:textId="77777777" w:rsidR="00682110" w:rsidRDefault="00682110" w:rsidP="00361FB7">
            <w:pPr>
              <w:pStyle w:val="Textpoznpodarou1"/>
              <w:jc w:val="both"/>
              <w:rPr>
                <w:lang w:eastAsia="en-US"/>
              </w:rPr>
            </w:pPr>
          </w:p>
        </w:tc>
        <w:tc>
          <w:tcPr>
            <w:tcW w:w="7610" w:type="dxa"/>
          </w:tcPr>
          <w:p w14:paraId="214342C3" w14:textId="7FA54152" w:rsidR="00682110" w:rsidRDefault="00682110" w:rsidP="00682110">
            <w:pPr>
              <w:spacing w:after="0"/>
              <w:rPr>
                <w:lang w:eastAsia="en-US"/>
              </w:rPr>
            </w:pPr>
            <w:r>
              <w:rPr>
                <w:lang w:eastAsia="en-US"/>
              </w:rPr>
              <w:t xml:space="preserve">Růst cen nemovitostí ani ve 3. čtvrtletí nejevil známky zpomalení. Nabídkové ceny bytů v ČR se meziročně zvýšily o 8,0 % a jejich růst zrychlil čtvrté čtvrtletí v řadě. Dynamiku tlačí vzhůru hlavně ceny bytů mimo Prahu (nárůst o 10,4 %), ale i nabídkové ceny bytů v Praze rostly rychleji než v předchozích kvartálech (6,2 %). Velmi vysoký zůstává i meziroční růst realizovaných cen starších bytů a ve 3. čtvrtletí jeho dynamika velmi zrychlila. V celé ČR dosáhl přírůstek realizovaných cen </w:t>
            </w:r>
            <w:r w:rsidR="00E17F36">
              <w:rPr>
                <w:lang w:eastAsia="en-US"/>
              </w:rPr>
              <w:t xml:space="preserve">starších bytů </w:t>
            </w:r>
            <w:r>
              <w:rPr>
                <w:lang w:eastAsia="en-US"/>
              </w:rPr>
              <w:t>11,2 %, byl nejvyšší od 1. čtvrtletí 2019 a nad 10% úrovní se držel od začátku roku. Opět se výrazněji zvyšoval index mimo Prahu (11,7 %), ale i přírůstek realizovaných cen starších bytů v Praze se dostal blízko 10 % (9,4 %). Ani vývoj realizovaných cen nových bytů v Praze nepřinesl náznaky zpomalení. Meziroční přírůstek indexu dosáhl 9,7 %.</w:t>
            </w:r>
          </w:p>
          <w:p w14:paraId="375FF207" w14:textId="77777777" w:rsidR="00682110" w:rsidRDefault="00682110" w:rsidP="00682110">
            <w:pPr>
              <w:spacing w:after="0"/>
              <w:rPr>
                <w:lang w:eastAsia="en-US"/>
              </w:rPr>
            </w:pPr>
          </w:p>
          <w:p w14:paraId="5C315DF2" w14:textId="77777777" w:rsidR="00682110" w:rsidRDefault="00682110" w:rsidP="00682110">
            <w:pPr>
              <w:spacing w:after="0"/>
              <w:rPr>
                <w:lang w:eastAsia="en-US"/>
              </w:rPr>
            </w:pPr>
          </w:p>
          <w:p w14:paraId="00B129A6" w14:textId="77777777" w:rsidR="00682110" w:rsidRDefault="00682110" w:rsidP="00682110">
            <w:pPr>
              <w:spacing w:after="0"/>
              <w:rPr>
                <w:lang w:eastAsia="en-US"/>
              </w:rPr>
            </w:pPr>
          </w:p>
          <w:p w14:paraId="1CDFD30F" w14:textId="6CEDFA88" w:rsidR="00682110" w:rsidRDefault="00682110" w:rsidP="00682110">
            <w:pPr>
              <w:spacing w:after="0"/>
              <w:rPr>
                <w:lang w:eastAsia="en-US"/>
              </w:rPr>
            </w:pPr>
          </w:p>
        </w:tc>
      </w:tr>
      <w:tr w:rsidR="00682110" w14:paraId="0A298FB1" w14:textId="77777777" w:rsidTr="00361FB7">
        <w:trPr>
          <w:trHeight w:val="170"/>
        </w:trPr>
        <w:tc>
          <w:tcPr>
            <w:tcW w:w="1805" w:type="dxa"/>
            <w:vMerge w:val="restart"/>
          </w:tcPr>
          <w:p w14:paraId="003E9D11" w14:textId="77777777" w:rsidR="00682110" w:rsidRDefault="00682110" w:rsidP="00361FB7">
            <w:pPr>
              <w:pStyle w:val="Marginlie"/>
              <w:rPr>
                <w:spacing w:val="0"/>
                <w:lang w:eastAsia="en-US"/>
              </w:rPr>
            </w:pPr>
          </w:p>
        </w:tc>
        <w:tc>
          <w:tcPr>
            <w:tcW w:w="224" w:type="dxa"/>
            <w:vMerge w:val="restart"/>
          </w:tcPr>
          <w:p w14:paraId="7D1C395D" w14:textId="77777777" w:rsidR="00682110" w:rsidRDefault="00682110" w:rsidP="00361FB7">
            <w:pPr>
              <w:pStyle w:val="Textpoznpodarou1"/>
              <w:jc w:val="both"/>
              <w:rPr>
                <w:lang w:eastAsia="en-US"/>
              </w:rPr>
            </w:pPr>
          </w:p>
        </w:tc>
        <w:tc>
          <w:tcPr>
            <w:tcW w:w="7610" w:type="dxa"/>
            <w:hideMark/>
          </w:tcPr>
          <w:p w14:paraId="3ED19AB9" w14:textId="77777777" w:rsidR="00682110" w:rsidRDefault="00682110" w:rsidP="00361FB7">
            <w:pPr>
              <w:spacing w:after="0"/>
              <w:rPr>
                <w:lang w:eastAsia="en-US"/>
              </w:rPr>
            </w:pPr>
            <w:r>
              <w:rPr>
                <w:b/>
                <w:sz w:val="18"/>
                <w:szCs w:val="18"/>
                <w:lang w:eastAsia="en-US"/>
              </w:rPr>
              <w:t xml:space="preserve">Graf č. 10  Ceny nemovitostí </w:t>
            </w:r>
            <w:r>
              <w:rPr>
                <w:sz w:val="18"/>
                <w:szCs w:val="18"/>
                <w:lang w:eastAsia="en-US"/>
              </w:rPr>
              <w:t>(meziroční změna, v %)</w:t>
            </w:r>
          </w:p>
        </w:tc>
      </w:tr>
      <w:tr w:rsidR="00682110" w14:paraId="157C17C4" w14:textId="77777777" w:rsidTr="00361FB7">
        <w:tblPrEx>
          <w:tblCellMar>
            <w:left w:w="70" w:type="dxa"/>
            <w:right w:w="70" w:type="dxa"/>
          </w:tblCellMar>
        </w:tblPrEx>
        <w:trPr>
          <w:trHeight w:val="170"/>
        </w:trPr>
        <w:tc>
          <w:tcPr>
            <w:tcW w:w="1805" w:type="dxa"/>
            <w:vMerge/>
            <w:vAlign w:val="center"/>
            <w:hideMark/>
          </w:tcPr>
          <w:p w14:paraId="777A1CAA" w14:textId="77777777" w:rsidR="00682110" w:rsidRDefault="00682110" w:rsidP="00361FB7">
            <w:pPr>
              <w:spacing w:after="0" w:line="240" w:lineRule="auto"/>
              <w:jc w:val="left"/>
              <w:rPr>
                <w:sz w:val="16"/>
                <w:szCs w:val="16"/>
                <w:lang w:eastAsia="en-US"/>
              </w:rPr>
            </w:pPr>
          </w:p>
        </w:tc>
        <w:tc>
          <w:tcPr>
            <w:tcW w:w="224" w:type="dxa"/>
            <w:vMerge/>
            <w:vAlign w:val="center"/>
            <w:hideMark/>
          </w:tcPr>
          <w:p w14:paraId="22AA9BC6" w14:textId="77777777" w:rsidR="00682110" w:rsidRDefault="00682110" w:rsidP="00361FB7">
            <w:pPr>
              <w:spacing w:after="0" w:line="240" w:lineRule="auto"/>
              <w:jc w:val="left"/>
              <w:rPr>
                <w:rFonts w:eastAsia="Calibri"/>
                <w:szCs w:val="20"/>
                <w:lang w:eastAsia="en-US"/>
              </w:rPr>
            </w:pPr>
          </w:p>
        </w:tc>
        <w:tc>
          <w:tcPr>
            <w:tcW w:w="7610" w:type="dxa"/>
            <w:hideMark/>
          </w:tcPr>
          <w:p w14:paraId="0626B1B5" w14:textId="77777777" w:rsidR="00682110" w:rsidRDefault="00682110" w:rsidP="00361FB7">
            <w:pPr>
              <w:rPr>
                <w:lang w:eastAsia="en-US"/>
              </w:rPr>
            </w:pPr>
            <w:r>
              <w:rPr>
                <w:noProof/>
              </w:rPr>
              <w:drawing>
                <wp:inline distT="0" distB="0" distL="0" distR="0" wp14:anchorId="0317F9F2" wp14:editId="49DC5F0D">
                  <wp:extent cx="4737600" cy="3438900"/>
                  <wp:effectExtent l="0" t="0" r="6350" b="0"/>
                  <wp:docPr id="10" name="Graf 10">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2110" w14:paraId="5B834B2B" w14:textId="77777777" w:rsidTr="00361FB7">
        <w:trPr>
          <w:trHeight w:val="170"/>
        </w:trPr>
        <w:tc>
          <w:tcPr>
            <w:tcW w:w="0" w:type="auto"/>
            <w:vMerge/>
            <w:vAlign w:val="center"/>
            <w:hideMark/>
          </w:tcPr>
          <w:p w14:paraId="54A877B8" w14:textId="77777777" w:rsidR="00682110" w:rsidRDefault="00682110" w:rsidP="00361FB7">
            <w:pPr>
              <w:spacing w:after="0" w:line="240" w:lineRule="auto"/>
              <w:jc w:val="left"/>
              <w:rPr>
                <w:sz w:val="16"/>
                <w:szCs w:val="16"/>
                <w:lang w:eastAsia="en-US"/>
              </w:rPr>
            </w:pPr>
          </w:p>
        </w:tc>
        <w:tc>
          <w:tcPr>
            <w:tcW w:w="0" w:type="auto"/>
            <w:vMerge/>
            <w:vAlign w:val="center"/>
            <w:hideMark/>
          </w:tcPr>
          <w:p w14:paraId="5E05AC8D" w14:textId="77777777" w:rsidR="00682110" w:rsidRDefault="00682110" w:rsidP="00361FB7">
            <w:pPr>
              <w:spacing w:after="0" w:line="240" w:lineRule="auto"/>
              <w:jc w:val="left"/>
              <w:rPr>
                <w:rFonts w:eastAsia="Calibri"/>
                <w:szCs w:val="20"/>
                <w:lang w:eastAsia="en-US"/>
              </w:rPr>
            </w:pPr>
          </w:p>
        </w:tc>
        <w:tc>
          <w:tcPr>
            <w:tcW w:w="7610" w:type="dxa"/>
            <w:hideMark/>
          </w:tcPr>
          <w:p w14:paraId="1AB98DD8" w14:textId="77777777" w:rsidR="00682110" w:rsidRDefault="00682110" w:rsidP="00361FB7">
            <w:pPr>
              <w:rPr>
                <w:lang w:eastAsia="en-US"/>
              </w:rPr>
            </w:pPr>
            <w:r>
              <w:rPr>
                <w:sz w:val="14"/>
                <w:szCs w:val="14"/>
                <w:lang w:eastAsia="en-US"/>
              </w:rPr>
              <w:t>Zdroj: ČSÚ</w:t>
            </w:r>
          </w:p>
        </w:tc>
      </w:tr>
      <w:tr w:rsidR="00682110" w14:paraId="44CE6260" w14:textId="77777777" w:rsidTr="00361FB7">
        <w:trPr>
          <w:trHeight w:val="145"/>
        </w:trPr>
        <w:tc>
          <w:tcPr>
            <w:tcW w:w="1805" w:type="dxa"/>
            <w:hideMark/>
          </w:tcPr>
          <w:p w14:paraId="56E79732" w14:textId="77777777" w:rsidR="00682110" w:rsidRDefault="00682110" w:rsidP="00361FB7">
            <w:pPr>
              <w:pStyle w:val="Marginlie"/>
              <w:rPr>
                <w:spacing w:val="0"/>
                <w:lang w:eastAsia="en-US"/>
              </w:rPr>
            </w:pPr>
            <w:r>
              <w:rPr>
                <w:spacing w:val="0"/>
                <w:lang w:eastAsia="en-US"/>
              </w:rPr>
              <w:t>Ceny průmyslových výrobců i nadále odrážely vývoj cen ropy.</w:t>
            </w:r>
          </w:p>
        </w:tc>
        <w:tc>
          <w:tcPr>
            <w:tcW w:w="224" w:type="dxa"/>
          </w:tcPr>
          <w:p w14:paraId="0DA04C8F" w14:textId="77777777" w:rsidR="00682110" w:rsidRDefault="00682110" w:rsidP="00361FB7">
            <w:pPr>
              <w:pStyle w:val="Textpoznpodarou1"/>
              <w:jc w:val="both"/>
              <w:rPr>
                <w:lang w:eastAsia="en-US"/>
              </w:rPr>
            </w:pPr>
          </w:p>
        </w:tc>
        <w:tc>
          <w:tcPr>
            <w:tcW w:w="7610" w:type="dxa"/>
            <w:hideMark/>
          </w:tcPr>
          <w:p w14:paraId="59A5B2EF" w14:textId="77777777" w:rsidR="00682110" w:rsidRDefault="00682110" w:rsidP="00361FB7">
            <w:pPr>
              <w:rPr>
                <w:lang w:eastAsia="en-US"/>
              </w:rPr>
            </w:pPr>
            <w:r>
              <w:rPr>
                <w:lang w:eastAsia="en-US"/>
              </w:rPr>
              <w:t>Ceny průmyslových výrobců za 1. až 3. čtvrtletí meziročně vzrostly o 0,1 %. Meziročního přírůstku ale index dosáhl pouze v 1. kvartálu, ve 2. i 3. čtvrtletí došlo k propadu (–0,6 % a –0,3 %). Dynamiku cen výrobců od začátku roku nejvíce ovlivňoval vývoj cen výrobků a služeb zpracovatelského průmyslu. Zde ve 3. čtvrtletí pokračoval meziroční propad (–1,8 %) způsobený zejména poklesem cen koksu a rafinovaných ropných výrobků</w:t>
            </w:r>
            <w:r>
              <w:rPr>
                <w:rStyle w:val="Znakapoznpodarou"/>
                <w:lang w:eastAsia="en-US"/>
              </w:rPr>
              <w:footnoteReference w:id="36"/>
            </w:r>
            <w:r>
              <w:rPr>
                <w:lang w:eastAsia="en-US"/>
              </w:rPr>
              <w:t>. K poklesu přispívaly také ceny chemických látek a výrobků (–11,5 %), zčásti navázané na ceny ropy, a ceny obecných kovů a kovodělných výrobků (–2,1 %). Ceny ve 3. čtvrtletí meziročně klesly také u dřeva, papíru a tisku (–2,3 %) a základních farmaceutických výrobků (–1,2 %). U některých výrobků, jejichž ceny meziročně rostly, dynamika oslabila. Platilo to pro ceny dopravních prostředků, které se zvýšily o 2,3 %, potravinářské výrobky, nápoje a tabák (1,2 %), počítače, elektronické a optické přístroje (0,6 %) a textil, oděvy a usně (0,6 %). Úroveň předchozího kvartálu si v zásadě udržely přírůstky cen nábytku a ostatních výrobků zpracovatelského průmyslu (4,6 %, zejména opravy, údržba a instalace strojů a zařízení), strojů a zařízení (2,5 %) a elektrických zařízení (1,8 %).</w:t>
            </w:r>
          </w:p>
        </w:tc>
      </w:tr>
      <w:tr w:rsidR="00682110" w14:paraId="388DE571" w14:textId="77777777" w:rsidTr="00361FB7">
        <w:trPr>
          <w:trHeight w:val="145"/>
        </w:trPr>
        <w:tc>
          <w:tcPr>
            <w:tcW w:w="1805" w:type="dxa"/>
            <w:hideMark/>
          </w:tcPr>
          <w:p w14:paraId="3CA0D7C3" w14:textId="77777777" w:rsidR="00682110" w:rsidRDefault="00682110" w:rsidP="00361FB7">
            <w:pPr>
              <w:pStyle w:val="Marginlie"/>
              <w:rPr>
                <w:spacing w:val="0"/>
                <w:lang w:eastAsia="en-US"/>
              </w:rPr>
            </w:pPr>
            <w:r>
              <w:rPr>
                <w:spacing w:val="0"/>
                <w:lang w:eastAsia="en-US"/>
              </w:rPr>
              <w:t>Klesaly ceny těžby uhlí, ropy i zemního plynu.</w:t>
            </w:r>
          </w:p>
        </w:tc>
        <w:tc>
          <w:tcPr>
            <w:tcW w:w="224" w:type="dxa"/>
          </w:tcPr>
          <w:p w14:paraId="01823A59" w14:textId="77777777" w:rsidR="00682110" w:rsidRDefault="00682110" w:rsidP="00361FB7">
            <w:pPr>
              <w:pStyle w:val="Textpoznpodarou1"/>
              <w:jc w:val="both"/>
              <w:rPr>
                <w:lang w:eastAsia="en-US"/>
              </w:rPr>
            </w:pPr>
          </w:p>
        </w:tc>
        <w:tc>
          <w:tcPr>
            <w:tcW w:w="7610" w:type="dxa"/>
            <w:hideMark/>
          </w:tcPr>
          <w:p w14:paraId="7C050806" w14:textId="77777777" w:rsidR="00682110" w:rsidRDefault="00682110" w:rsidP="00361FB7">
            <w:pPr>
              <w:rPr>
                <w:lang w:eastAsia="en-US"/>
              </w:rPr>
            </w:pPr>
            <w:r>
              <w:rPr>
                <w:lang w:eastAsia="en-US"/>
              </w:rPr>
              <w:t>Ceny těžby a dobývání jsou v meziročním poklesu od začátku roku a ve 3. kvartálu se jejich propad udržel (–3,6 %). Klesaly přitom ceny uhlí, ropy a zemního plynu, zatímco růst cen ostatních nerostných surovin sílil (v českých podmínkách se jedná zejména o stavební materiály – kámen, písek a jíl). Mírně oslabil meziroční přírůstek cen elektřiny, plynu, páry a klimatizovaného vzduchu (7,8 %). Ceny zásobování vodou a služeb souvisejících s odpadními vodami se ve 3. čtvrtletí meziročně zvýšily o 6,4 %.</w:t>
            </w:r>
          </w:p>
          <w:p w14:paraId="6811C803" w14:textId="77777777" w:rsidR="00682110" w:rsidRDefault="00682110" w:rsidP="00361FB7">
            <w:pPr>
              <w:rPr>
                <w:lang w:eastAsia="en-US"/>
              </w:rPr>
            </w:pPr>
          </w:p>
          <w:p w14:paraId="0D330DCF" w14:textId="77777777" w:rsidR="00682110" w:rsidRDefault="00682110" w:rsidP="00361FB7">
            <w:pPr>
              <w:rPr>
                <w:lang w:eastAsia="en-US"/>
              </w:rPr>
            </w:pPr>
          </w:p>
          <w:p w14:paraId="7AA57531" w14:textId="77777777" w:rsidR="00682110" w:rsidRDefault="00682110" w:rsidP="00361FB7">
            <w:pPr>
              <w:rPr>
                <w:lang w:eastAsia="en-US"/>
              </w:rPr>
            </w:pPr>
          </w:p>
        </w:tc>
      </w:tr>
      <w:tr w:rsidR="00682110" w14:paraId="66A9D6F8" w14:textId="77777777" w:rsidTr="00361FB7">
        <w:trPr>
          <w:trHeight w:val="170"/>
        </w:trPr>
        <w:tc>
          <w:tcPr>
            <w:tcW w:w="1805" w:type="dxa"/>
            <w:vMerge w:val="restart"/>
          </w:tcPr>
          <w:p w14:paraId="36A7F7A5" w14:textId="77777777" w:rsidR="00682110" w:rsidRDefault="00682110" w:rsidP="00361FB7">
            <w:pPr>
              <w:pStyle w:val="Marginlie"/>
              <w:rPr>
                <w:spacing w:val="0"/>
                <w:lang w:eastAsia="en-US"/>
              </w:rPr>
            </w:pPr>
          </w:p>
        </w:tc>
        <w:tc>
          <w:tcPr>
            <w:tcW w:w="224" w:type="dxa"/>
            <w:vMerge w:val="restart"/>
          </w:tcPr>
          <w:p w14:paraId="64D43561" w14:textId="77777777" w:rsidR="00682110" w:rsidRDefault="00682110" w:rsidP="00361FB7">
            <w:pPr>
              <w:pStyle w:val="Textpoznpodarou1"/>
              <w:jc w:val="both"/>
              <w:rPr>
                <w:highlight w:val="yellow"/>
                <w:lang w:eastAsia="en-US"/>
              </w:rPr>
            </w:pPr>
          </w:p>
        </w:tc>
        <w:tc>
          <w:tcPr>
            <w:tcW w:w="7610" w:type="dxa"/>
            <w:hideMark/>
          </w:tcPr>
          <w:p w14:paraId="3C10AC2C" w14:textId="77777777" w:rsidR="00682110" w:rsidRDefault="00682110" w:rsidP="00361FB7">
            <w:pPr>
              <w:spacing w:after="0"/>
              <w:rPr>
                <w:b/>
                <w:szCs w:val="20"/>
                <w:lang w:eastAsia="en-US"/>
              </w:rPr>
            </w:pPr>
            <w:r>
              <w:rPr>
                <w:b/>
                <w:sz w:val="18"/>
                <w:szCs w:val="18"/>
                <w:lang w:eastAsia="en-US"/>
              </w:rPr>
              <w:t xml:space="preserve">Graf č. 11  Ceny hlavních skupin průmyslových výrobců </w:t>
            </w:r>
            <w:r>
              <w:rPr>
                <w:sz w:val="18"/>
                <w:szCs w:val="18"/>
                <w:lang w:eastAsia="en-US"/>
              </w:rPr>
              <w:t>(meziroční změna, v %, podle klasifikace CPA)</w:t>
            </w:r>
          </w:p>
        </w:tc>
      </w:tr>
      <w:tr w:rsidR="00682110" w14:paraId="55FEC56A" w14:textId="77777777" w:rsidTr="00361FB7">
        <w:tblPrEx>
          <w:tblCellMar>
            <w:left w:w="70" w:type="dxa"/>
            <w:right w:w="70" w:type="dxa"/>
          </w:tblCellMar>
        </w:tblPrEx>
        <w:trPr>
          <w:trHeight w:val="170"/>
        </w:trPr>
        <w:tc>
          <w:tcPr>
            <w:tcW w:w="1805" w:type="dxa"/>
            <w:vMerge/>
            <w:vAlign w:val="center"/>
            <w:hideMark/>
          </w:tcPr>
          <w:p w14:paraId="1CA8D0C5" w14:textId="77777777" w:rsidR="00682110" w:rsidRDefault="00682110" w:rsidP="00361FB7">
            <w:pPr>
              <w:spacing w:after="0" w:line="240" w:lineRule="auto"/>
              <w:jc w:val="left"/>
              <w:rPr>
                <w:sz w:val="16"/>
                <w:szCs w:val="16"/>
                <w:lang w:eastAsia="en-US"/>
              </w:rPr>
            </w:pPr>
          </w:p>
        </w:tc>
        <w:tc>
          <w:tcPr>
            <w:tcW w:w="224" w:type="dxa"/>
            <w:vMerge/>
            <w:vAlign w:val="center"/>
            <w:hideMark/>
          </w:tcPr>
          <w:p w14:paraId="135DE5E5" w14:textId="77777777" w:rsidR="00682110" w:rsidRDefault="00682110" w:rsidP="00361FB7">
            <w:pPr>
              <w:spacing w:after="0" w:line="240" w:lineRule="auto"/>
              <w:jc w:val="left"/>
              <w:rPr>
                <w:rFonts w:eastAsia="Calibri"/>
                <w:szCs w:val="20"/>
                <w:highlight w:val="yellow"/>
                <w:lang w:eastAsia="en-US"/>
              </w:rPr>
            </w:pPr>
          </w:p>
        </w:tc>
        <w:tc>
          <w:tcPr>
            <w:tcW w:w="7610" w:type="dxa"/>
            <w:hideMark/>
          </w:tcPr>
          <w:p w14:paraId="14492AE1" w14:textId="77777777" w:rsidR="00682110" w:rsidRDefault="00682110" w:rsidP="00361FB7">
            <w:pPr>
              <w:spacing w:after="0"/>
              <w:rPr>
                <w:lang w:eastAsia="en-US"/>
              </w:rPr>
            </w:pPr>
            <w:r>
              <w:rPr>
                <w:noProof/>
              </w:rPr>
              <w:drawing>
                <wp:inline distT="0" distB="0" distL="0" distR="0" wp14:anchorId="26376106" wp14:editId="3591F1DB">
                  <wp:extent cx="4737600" cy="3432550"/>
                  <wp:effectExtent l="0" t="0" r="6350" b="0"/>
                  <wp:docPr id="12" name="Graf 1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2110" w14:paraId="144095CA" w14:textId="77777777" w:rsidTr="00361FB7">
        <w:trPr>
          <w:trHeight w:val="170"/>
        </w:trPr>
        <w:tc>
          <w:tcPr>
            <w:tcW w:w="0" w:type="auto"/>
            <w:vMerge/>
            <w:vAlign w:val="center"/>
            <w:hideMark/>
          </w:tcPr>
          <w:p w14:paraId="29E85EE2" w14:textId="77777777" w:rsidR="00682110" w:rsidRDefault="00682110" w:rsidP="00361FB7">
            <w:pPr>
              <w:spacing w:after="0" w:line="240" w:lineRule="auto"/>
              <w:jc w:val="left"/>
              <w:rPr>
                <w:sz w:val="16"/>
                <w:szCs w:val="16"/>
                <w:lang w:eastAsia="en-US"/>
              </w:rPr>
            </w:pPr>
          </w:p>
        </w:tc>
        <w:tc>
          <w:tcPr>
            <w:tcW w:w="0" w:type="auto"/>
            <w:vMerge/>
            <w:vAlign w:val="center"/>
            <w:hideMark/>
          </w:tcPr>
          <w:p w14:paraId="528CC2BE" w14:textId="77777777" w:rsidR="00682110" w:rsidRDefault="00682110" w:rsidP="00361FB7">
            <w:pPr>
              <w:spacing w:after="0" w:line="240" w:lineRule="auto"/>
              <w:jc w:val="left"/>
              <w:rPr>
                <w:rFonts w:eastAsia="Calibri"/>
                <w:szCs w:val="20"/>
                <w:highlight w:val="yellow"/>
                <w:lang w:eastAsia="en-US"/>
              </w:rPr>
            </w:pPr>
          </w:p>
        </w:tc>
        <w:tc>
          <w:tcPr>
            <w:tcW w:w="7610" w:type="dxa"/>
            <w:hideMark/>
          </w:tcPr>
          <w:p w14:paraId="7D17C72A" w14:textId="77777777" w:rsidR="00682110" w:rsidRDefault="00682110" w:rsidP="00361FB7">
            <w:pPr>
              <w:rPr>
                <w:lang w:eastAsia="en-US"/>
              </w:rPr>
            </w:pPr>
            <w:r>
              <w:rPr>
                <w:sz w:val="14"/>
                <w:szCs w:val="14"/>
                <w:lang w:eastAsia="en-US"/>
              </w:rPr>
              <w:t>Zdroj: ČSÚ</w:t>
            </w:r>
          </w:p>
        </w:tc>
      </w:tr>
      <w:tr w:rsidR="00682110" w14:paraId="0A49AD1F" w14:textId="77777777" w:rsidTr="00361FB7">
        <w:trPr>
          <w:trHeight w:val="145"/>
        </w:trPr>
        <w:tc>
          <w:tcPr>
            <w:tcW w:w="1805" w:type="dxa"/>
            <w:hideMark/>
          </w:tcPr>
          <w:p w14:paraId="0CBF1FDB" w14:textId="77777777" w:rsidR="00682110" w:rsidRDefault="00682110" w:rsidP="00361FB7">
            <w:pPr>
              <w:pStyle w:val="Marginlie"/>
              <w:rPr>
                <w:spacing w:val="0"/>
                <w:lang w:eastAsia="en-US"/>
              </w:rPr>
            </w:pPr>
            <w:r>
              <w:rPr>
                <w:spacing w:val="0"/>
                <w:lang w:eastAsia="en-US"/>
              </w:rPr>
              <w:t>Propad cen ropy výrazně ovlivňoval cenovou hladinu v EU.</w:t>
            </w:r>
          </w:p>
        </w:tc>
        <w:tc>
          <w:tcPr>
            <w:tcW w:w="224" w:type="dxa"/>
          </w:tcPr>
          <w:p w14:paraId="1B35D440" w14:textId="77777777" w:rsidR="00682110" w:rsidRDefault="00682110" w:rsidP="00361FB7">
            <w:pPr>
              <w:pStyle w:val="Textpoznpodarou1"/>
              <w:jc w:val="both"/>
              <w:rPr>
                <w:lang w:eastAsia="en-US"/>
              </w:rPr>
            </w:pPr>
          </w:p>
        </w:tc>
        <w:tc>
          <w:tcPr>
            <w:tcW w:w="7610" w:type="dxa"/>
          </w:tcPr>
          <w:p w14:paraId="7B1C5DDC" w14:textId="55135B53" w:rsidR="00682110" w:rsidRDefault="00682110" w:rsidP="00361FB7">
            <w:pPr>
              <w:rPr>
                <w:lang w:eastAsia="en-US"/>
              </w:rPr>
            </w:pPr>
            <w:r>
              <w:rPr>
                <w:lang w:eastAsia="en-US"/>
              </w:rPr>
              <w:t>Ceny průmyslových výrobců v EU za 1. až 3. čtvrtletí klesly ve srovnání se stejným obdobím loňského roku o 2,7 %. V samotném 3. kvartálu pokles dosáhl 2,</w:t>
            </w:r>
            <w:r w:rsidR="00806C9C">
              <w:rPr>
                <w:lang w:eastAsia="en-US"/>
              </w:rPr>
              <w:t>6</w:t>
            </w:r>
            <w:r>
              <w:rPr>
                <w:lang w:eastAsia="en-US"/>
              </w:rPr>
              <w:t> %. Ve vývoji se opět projevil propad cen ropy – nejvíce na cenách těžby a dobývání, ovlivněny ale byly i ceny ve zpracovatelském průmyslu. Meziročně klesaly i ceny elektřiny, plynu, páry a klimatizovaného vzduchu. Ve 3. čtvrtletí rostly ceny průmyslových výrobců jen na Maltě (1,</w:t>
            </w:r>
            <w:r w:rsidR="00806C9C">
              <w:rPr>
                <w:lang w:eastAsia="en-US"/>
              </w:rPr>
              <w:t>7</w:t>
            </w:r>
            <w:r>
              <w:rPr>
                <w:lang w:eastAsia="en-US"/>
              </w:rPr>
              <w:t> %), v Maďarsku (0,</w:t>
            </w:r>
            <w:r w:rsidR="00806C9C">
              <w:rPr>
                <w:lang w:eastAsia="en-US"/>
              </w:rPr>
              <w:t>4</w:t>
            </w:r>
            <w:r>
              <w:rPr>
                <w:lang w:eastAsia="en-US"/>
              </w:rPr>
              <w:t> %), ve Slovinsku (0,3 %) a na Slovensku (0,2 %). Nejvíce se ceny propadaly v Litvě (–7,</w:t>
            </w:r>
            <w:r w:rsidR="00806C9C">
              <w:rPr>
                <w:lang w:eastAsia="en-US"/>
              </w:rPr>
              <w:t>3</w:t>
            </w:r>
            <w:r>
              <w:rPr>
                <w:lang w:eastAsia="en-US"/>
              </w:rPr>
              <w:t> %), na Kypru (–6,9 %) a v Irsku (–6,2 %).</w:t>
            </w:r>
          </w:p>
        </w:tc>
      </w:tr>
      <w:tr w:rsidR="00682110" w14:paraId="7D7E3A4C" w14:textId="77777777" w:rsidTr="00361FB7">
        <w:trPr>
          <w:trHeight w:val="145"/>
        </w:trPr>
        <w:tc>
          <w:tcPr>
            <w:tcW w:w="1805" w:type="dxa"/>
            <w:hideMark/>
          </w:tcPr>
          <w:p w14:paraId="47833CD4" w14:textId="77777777" w:rsidR="00682110" w:rsidRDefault="00682110" w:rsidP="00361FB7">
            <w:pPr>
              <w:pStyle w:val="Marginlie"/>
              <w:rPr>
                <w:spacing w:val="0"/>
                <w:lang w:eastAsia="en-US"/>
              </w:rPr>
            </w:pPr>
            <w:r>
              <w:rPr>
                <w:spacing w:val="0"/>
                <w:lang w:eastAsia="en-US"/>
              </w:rPr>
              <w:t>Růst cen tržních služeb ve 3. čtvrtletí zpomalil.</w:t>
            </w:r>
          </w:p>
        </w:tc>
        <w:tc>
          <w:tcPr>
            <w:tcW w:w="224" w:type="dxa"/>
          </w:tcPr>
          <w:p w14:paraId="10C15E32" w14:textId="77777777" w:rsidR="00682110" w:rsidRDefault="00682110" w:rsidP="00361FB7">
            <w:pPr>
              <w:pStyle w:val="Textpoznpodarou1"/>
              <w:jc w:val="both"/>
              <w:rPr>
                <w:lang w:eastAsia="en-US"/>
              </w:rPr>
            </w:pPr>
          </w:p>
        </w:tc>
        <w:tc>
          <w:tcPr>
            <w:tcW w:w="7610" w:type="dxa"/>
          </w:tcPr>
          <w:p w14:paraId="65475B16" w14:textId="77777777" w:rsidR="00682110" w:rsidRDefault="00682110" w:rsidP="00361FB7">
            <w:pPr>
              <w:rPr>
                <w:lang w:eastAsia="en-US"/>
              </w:rPr>
            </w:pPr>
            <w:r>
              <w:rPr>
                <w:lang w:eastAsia="en-US"/>
              </w:rPr>
              <w:t>Ceny tržních služeb ve 3. čtvrtletí meziročně vzrostly o 2,0 %. To je nejméně od konce roku 2018. K růstu nejvíce přispívalo skladování a podpůrné služby v dopravě (přírůstek 4,9 %), služby v oblasti programování a související poradenství a služby (3,9 %, růst zde posílil) a služby v oblasti nemovitostí (3,1 %). Ve směru růstu výrazněji působila také váhově významná pozemní a potrubní doprava (1,1 %). Výrazné zpomalení proběhlo u služeb v oblasti zaměstnání (2,7 %, ve 2. čtvrtletí růst činil 7,2 %), ale také u pojištění, zajištění a penzijního financování (ze 3,1 % na 1,7 %). Do meziročního poklesu se ceny dostaly u reklamních služeb a průzkumu trhu (–1,9 %, první snížení od 1. čtvrtletí 2015). Stagnace pokračovala u ostatních odborných, vědeckých a technických služeb (–0,1 %, zejména překladatelské a tlumočnické služby).</w:t>
            </w:r>
          </w:p>
        </w:tc>
      </w:tr>
      <w:tr w:rsidR="00682110" w14:paraId="2AE5D74B" w14:textId="77777777" w:rsidTr="00361FB7">
        <w:trPr>
          <w:trHeight w:val="145"/>
        </w:trPr>
        <w:tc>
          <w:tcPr>
            <w:tcW w:w="1805" w:type="dxa"/>
            <w:hideMark/>
          </w:tcPr>
          <w:p w14:paraId="6E8F779C" w14:textId="77777777" w:rsidR="00682110" w:rsidRDefault="00682110" w:rsidP="00361FB7">
            <w:pPr>
              <w:pStyle w:val="Marginlie"/>
              <w:rPr>
                <w:spacing w:val="0"/>
                <w:lang w:eastAsia="en-US"/>
              </w:rPr>
            </w:pPr>
            <w:r>
              <w:rPr>
                <w:spacing w:val="0"/>
                <w:lang w:eastAsia="en-US"/>
              </w:rPr>
              <w:t>Ceny zemědělské výroby se propadly. Klesaly ceny rostlinné i živočišné výroby.</w:t>
            </w:r>
          </w:p>
        </w:tc>
        <w:tc>
          <w:tcPr>
            <w:tcW w:w="224" w:type="dxa"/>
          </w:tcPr>
          <w:p w14:paraId="10EC7B35" w14:textId="77777777" w:rsidR="00682110" w:rsidRDefault="00682110" w:rsidP="00361FB7">
            <w:pPr>
              <w:pStyle w:val="Textpoznpodarou1"/>
              <w:jc w:val="both"/>
              <w:rPr>
                <w:lang w:eastAsia="en-US"/>
              </w:rPr>
            </w:pPr>
          </w:p>
        </w:tc>
        <w:tc>
          <w:tcPr>
            <w:tcW w:w="7610" w:type="dxa"/>
            <w:hideMark/>
          </w:tcPr>
          <w:p w14:paraId="5B3F6A82" w14:textId="77777777" w:rsidR="00682110" w:rsidRDefault="00682110" w:rsidP="00361FB7">
            <w:pPr>
              <w:rPr>
                <w:spacing w:val="-2"/>
                <w:lang w:eastAsia="en-US"/>
              </w:rPr>
            </w:pPr>
            <w:r>
              <w:rPr>
                <w:spacing w:val="-2"/>
                <w:lang w:eastAsia="en-US"/>
              </w:rPr>
              <w:t xml:space="preserve">Ceny zemědělské výroby (včetně ryb) ve 3. čtvrtletí meziročně klesly o 3,2 % a v poklesu setrvaly čtvrtý kvartál v řadě. Snižovaly se ceny rostlinné (–1,2 %) i živočišné (–5,9 %) výroby. Pokles cen rostlinné výroby se v průběhu 2. i 3. čtvrtletí zmírňoval, především pod vlivem obilovin (–1,4 % ve 3. čtvrtletí, z toho ceny váhově nejvýznamnější pšenice rostly o 0,2 %, naopak u žita, ječmene a ovsa dále klesaly). Ceny průmyslových plodin se po třech kvartálech propadů zvýšily o 5,2 % (z toho olejniny o 4,4 %, ostatní průmyslové plodiny [chmel] o 9,3 %). Ceny brambor ve 3. čtvrtletí opět výrazně meziročně klesly (–27,6 %), stále se ale drží nad úrovní let 2018 i 2019. Pokles cen živočišné výroby se ve srovnání s předchozím čtvrtletím výrazně prohloubil, především pod vlivem cen hospodářských zvířat (meziroční propad o 8,5 %). Poprvé od 1. čtvrtletí </w:t>
            </w:r>
            <w:r>
              <w:rPr>
                <w:spacing w:val="-2"/>
                <w:lang w:eastAsia="en-US"/>
              </w:rPr>
              <w:lastRenderedPageBreak/>
              <w:t xml:space="preserve">2019 se snížily ceny prasat a selat (–13,8 %), klesly i ceny skotu (–4,9 %) a drůbeže </w:t>
            </w:r>
            <w:r>
              <w:rPr>
                <w:spacing w:val="-2"/>
                <w:lang w:eastAsia="en-US"/>
              </w:rPr>
              <w:br/>
              <w:t>(–2,4 %). Ceny mléka klesly o 4,4 % a ceny vajec naopak výrazně vzrostly (7,6 %).</w:t>
            </w:r>
          </w:p>
        </w:tc>
      </w:tr>
      <w:tr w:rsidR="00682110" w14:paraId="360340AF" w14:textId="77777777" w:rsidTr="00361FB7">
        <w:trPr>
          <w:trHeight w:val="145"/>
        </w:trPr>
        <w:tc>
          <w:tcPr>
            <w:tcW w:w="1805" w:type="dxa"/>
          </w:tcPr>
          <w:p w14:paraId="4E811876" w14:textId="77777777" w:rsidR="00682110" w:rsidRDefault="00682110" w:rsidP="00361FB7">
            <w:pPr>
              <w:pStyle w:val="Marginlie"/>
              <w:rPr>
                <w:spacing w:val="0"/>
                <w:lang w:eastAsia="en-US"/>
              </w:rPr>
            </w:pPr>
            <w:r>
              <w:rPr>
                <w:spacing w:val="0"/>
                <w:lang w:eastAsia="en-US"/>
              </w:rPr>
              <w:lastRenderedPageBreak/>
              <w:t>Ceny vývozu meziročně vzrostly. Výrazně je ale ovlivnilo oslabení kurzu koruny.</w:t>
            </w:r>
          </w:p>
        </w:tc>
        <w:tc>
          <w:tcPr>
            <w:tcW w:w="224" w:type="dxa"/>
          </w:tcPr>
          <w:p w14:paraId="499433E5" w14:textId="77777777" w:rsidR="00682110" w:rsidRDefault="00682110" w:rsidP="00361FB7">
            <w:pPr>
              <w:pStyle w:val="Textpoznpodarou1"/>
              <w:jc w:val="both"/>
              <w:rPr>
                <w:lang w:eastAsia="en-US"/>
              </w:rPr>
            </w:pPr>
          </w:p>
        </w:tc>
        <w:tc>
          <w:tcPr>
            <w:tcW w:w="7610" w:type="dxa"/>
            <w:hideMark/>
          </w:tcPr>
          <w:p w14:paraId="5597A78A" w14:textId="77777777" w:rsidR="00682110" w:rsidRDefault="00682110" w:rsidP="00361FB7">
            <w:pPr>
              <w:rPr>
                <w:lang w:eastAsia="en-US"/>
              </w:rPr>
            </w:pPr>
            <w:r>
              <w:rPr>
                <w:lang w:eastAsia="en-US"/>
              </w:rPr>
              <w:t xml:space="preserve">Ceny exportu ve 3. čtvrtletí meziročně stouply o 0,5 %. Nejvíce rostly ceny nápojů a tabáku (5,2 %), potravin a živých zvířat (3,1 %) a strojů a dopravních prostředků (2,6 %). Naopak trval hluboký meziroční pokles cen minerálních paliv a maziv </w:t>
            </w:r>
            <w:r>
              <w:rPr>
                <w:lang w:eastAsia="en-US"/>
              </w:rPr>
              <w:br/>
              <w:t>(–14,6 %), ostatních surovin</w:t>
            </w:r>
            <w:r>
              <w:rPr>
                <w:rStyle w:val="Znakapoznpodarou"/>
                <w:lang w:eastAsia="en-US"/>
              </w:rPr>
              <w:footnoteReference w:id="37"/>
            </w:r>
            <w:r>
              <w:rPr>
                <w:lang w:eastAsia="en-US"/>
              </w:rPr>
              <w:t xml:space="preserve"> (–6,2 %) a chemikálií a příbuzných výrobků (–4,5 %). Ceny dovozu ve 3. čtvrtletí meziročně klesly o 1,9 %. Propad pokračoval u minerálních paliv a maziv (–26,7 %), výrazně se prohloubil u ostatních surovin (–8,3 %) a klesly i ceny importovaných chemikálií a příbuzných výrobků (–2,6 %). Na rozdíl od exportu klesaly ceny dovezených nápojů a tabáku (–1,6 %). Naopak se meziročně zvyšovaly ceny importu potravin a živých zvířat (2,4 %), strojů a dopravních prostředků (1,5 %) a průmyslového spotřebního zboží (1,4 %). Velký vliv na vývoj cen zahraničního obchodu mělo přitom meziroční oslabení kurzu koruny vůči euru. To působilo ve směru růstu cen vývozu i dovozu a největší dopad mělo na ceny strojů a dopravních prostředků.</w:t>
            </w:r>
          </w:p>
        </w:tc>
      </w:tr>
      <w:tr w:rsidR="00682110" w14:paraId="730D0F82" w14:textId="77777777" w:rsidTr="00361FB7">
        <w:trPr>
          <w:trHeight w:val="145"/>
        </w:trPr>
        <w:tc>
          <w:tcPr>
            <w:tcW w:w="1805" w:type="dxa"/>
          </w:tcPr>
          <w:p w14:paraId="35D55477" w14:textId="77777777" w:rsidR="00682110" w:rsidRDefault="00682110" w:rsidP="00361FB7">
            <w:pPr>
              <w:pStyle w:val="Marginlie"/>
              <w:rPr>
                <w:spacing w:val="0"/>
                <w:lang w:eastAsia="en-US"/>
              </w:rPr>
            </w:pPr>
            <w:r>
              <w:rPr>
                <w:spacing w:val="0"/>
                <w:lang w:eastAsia="en-US"/>
              </w:rPr>
              <w:t>Směnné relace byly ve 3. čtvrtletí kladné.</w:t>
            </w:r>
          </w:p>
        </w:tc>
        <w:tc>
          <w:tcPr>
            <w:tcW w:w="224" w:type="dxa"/>
          </w:tcPr>
          <w:p w14:paraId="5416195E" w14:textId="77777777" w:rsidR="00682110" w:rsidRDefault="00682110" w:rsidP="00361FB7">
            <w:pPr>
              <w:pStyle w:val="Textpoznpodarou1"/>
              <w:jc w:val="both"/>
              <w:rPr>
                <w:lang w:eastAsia="en-US"/>
              </w:rPr>
            </w:pPr>
          </w:p>
        </w:tc>
        <w:tc>
          <w:tcPr>
            <w:tcW w:w="7610" w:type="dxa"/>
          </w:tcPr>
          <w:p w14:paraId="6ED81791" w14:textId="77777777" w:rsidR="00682110" w:rsidRDefault="00682110" w:rsidP="00361FB7">
            <w:pPr>
              <w:rPr>
                <w:lang w:eastAsia="en-US"/>
              </w:rPr>
            </w:pPr>
            <w:r>
              <w:rPr>
                <w:lang w:eastAsia="en-US"/>
              </w:rPr>
              <w:t>Směnné relace byly ve 3. čtvrtletí kladné a dosáhly 102,4 %. Výrazně pozitivní byly směnné relace obchodu s minerálními palivy a mazivy (116,5 %) a nápoji a tabákem (106,9 %). Pozitivní byly také směnné relace u ostatních surovin (102,3 %), strojů a dopravních prostředků (101,1 %), potravin a živých zvířat (100,7 %), průmyslového spotřebního zboží (100,3 %) a polotovarů</w:t>
            </w:r>
            <w:r>
              <w:rPr>
                <w:rStyle w:val="Znakapoznpodarou"/>
              </w:rPr>
              <w:footnoteReference w:id="38"/>
            </w:r>
            <w:r>
              <w:rPr>
                <w:lang w:eastAsia="en-US"/>
              </w:rPr>
              <w:t xml:space="preserve"> (100,1 %). Záporné byly směnné relace obchodu s chemikáliemi a příbuznými výrobky (98,0 %).</w:t>
            </w:r>
          </w:p>
        </w:tc>
      </w:tr>
    </w:tbl>
    <w:p w14:paraId="5718D58D" w14:textId="77777777" w:rsidR="00682110" w:rsidRDefault="00682110" w:rsidP="00682110">
      <w:pPr>
        <w:spacing w:after="0" w:line="240" w:lineRule="auto"/>
        <w:jc w:val="left"/>
        <w:rPr>
          <w:b/>
          <w:sz w:val="2"/>
          <w:szCs w:val="2"/>
          <w:highlight w:val="yellow"/>
        </w:rPr>
      </w:pPr>
    </w:p>
    <w:p w14:paraId="6EC56EA4" w14:textId="77777777" w:rsidR="00682110" w:rsidRPr="00E42054" w:rsidRDefault="00682110" w:rsidP="00682110">
      <w:pPr>
        <w:pStyle w:val="Nadpis11"/>
        <w:spacing w:after="0"/>
        <w:rPr>
          <w:b w:val="0"/>
          <w:sz w:val="2"/>
          <w:szCs w:val="2"/>
        </w:rPr>
      </w:pPr>
    </w:p>
    <w:bookmarkEnd w:id="11"/>
    <w:bookmarkEnd w:id="12"/>
    <w:bookmarkEnd w:id="13"/>
    <w:p w14:paraId="14635A3A" w14:textId="77777777" w:rsidR="00A96422" w:rsidRDefault="00A96422" w:rsidP="00A96422">
      <w:pPr>
        <w:pStyle w:val="Nadpis11"/>
        <w:sectPr w:rsidR="00A96422" w:rsidSect="00A03B10">
          <w:headerReference w:type="even" r:id="rId20"/>
          <w:headerReference w:type="default" r:id="rId21"/>
          <w:footerReference w:type="even" r:id="rId22"/>
          <w:footerReference w:type="default" r:id="rId23"/>
          <w:pgSz w:w="11906" w:h="16838" w:code="9"/>
          <w:pgMar w:top="1134" w:right="1134" w:bottom="1418" w:left="1134" w:header="680" w:footer="737" w:gutter="0"/>
          <w:cols w:space="708"/>
          <w:docGrid w:linePitch="360"/>
        </w:sectPr>
      </w:pPr>
    </w:p>
    <w:p w14:paraId="5BEFD5EF" w14:textId="77777777" w:rsidR="00100A8B" w:rsidRDefault="00100A8B" w:rsidP="00100A8B">
      <w:pPr>
        <w:spacing w:after="0" w:line="240" w:lineRule="auto"/>
        <w:jc w:val="left"/>
        <w:rPr>
          <w:b/>
          <w:sz w:val="2"/>
          <w:szCs w:val="2"/>
          <w:highlight w:val="yellow"/>
        </w:rPr>
      </w:pPr>
      <w:bookmarkStart w:id="16" w:name="_Toc19090679"/>
      <w:bookmarkEnd w:id="14"/>
    </w:p>
    <w:p w14:paraId="1AEF1A34" w14:textId="77777777" w:rsidR="00100A8B" w:rsidRDefault="00100A8B" w:rsidP="00100A8B">
      <w:pPr>
        <w:pStyle w:val="Nadpis11"/>
      </w:pPr>
      <w:bookmarkStart w:id="17" w:name="_Toc59001055"/>
      <w:r w:rsidRPr="00B43216">
        <w:t>6. Trh práce</w:t>
      </w:r>
      <w:bookmarkEnd w:id="17"/>
    </w:p>
    <w:tbl>
      <w:tblPr>
        <w:tblW w:w="9664" w:type="dxa"/>
        <w:tblInd w:w="-30" w:type="dxa"/>
        <w:tblCellMar>
          <w:left w:w="0" w:type="dxa"/>
          <w:right w:w="0" w:type="dxa"/>
        </w:tblCellMar>
        <w:tblLook w:val="00A0" w:firstRow="1" w:lastRow="0" w:firstColumn="1" w:lastColumn="0" w:noHBand="0" w:noVBand="0"/>
      </w:tblPr>
      <w:tblGrid>
        <w:gridCol w:w="1792"/>
        <w:gridCol w:w="216"/>
        <w:gridCol w:w="7656"/>
      </w:tblGrid>
      <w:tr w:rsidR="00100A8B" w:rsidRPr="0029490A" w14:paraId="0B517013" w14:textId="77777777" w:rsidTr="005820CD">
        <w:trPr>
          <w:trHeight w:val="155"/>
        </w:trPr>
        <w:tc>
          <w:tcPr>
            <w:tcW w:w="1792" w:type="dxa"/>
            <w:shd w:val="clear" w:color="auto" w:fill="auto"/>
            <w:tcMar>
              <w:left w:w="0" w:type="dxa"/>
            </w:tcMar>
          </w:tcPr>
          <w:p w14:paraId="61CCF157" w14:textId="77777777" w:rsidR="00100A8B" w:rsidRPr="0029490A" w:rsidRDefault="00100A8B" w:rsidP="005820CD">
            <w:pPr>
              <w:pStyle w:val="Marginlie"/>
              <w:rPr>
                <w:spacing w:val="-6"/>
              </w:rPr>
            </w:pPr>
            <w:r w:rsidRPr="0029490A">
              <w:rPr>
                <w:spacing w:val="-6"/>
              </w:rPr>
              <w:t>Situace na trhu práce v Česku se během letního období do značné míry zklidnila.</w:t>
            </w:r>
          </w:p>
        </w:tc>
        <w:tc>
          <w:tcPr>
            <w:tcW w:w="216" w:type="dxa"/>
            <w:shd w:val="clear" w:color="auto" w:fill="auto"/>
            <w:tcMar>
              <w:left w:w="0" w:type="dxa"/>
            </w:tcMar>
          </w:tcPr>
          <w:p w14:paraId="0E537624"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32E80D42" w14:textId="77777777" w:rsidR="00100A8B" w:rsidRPr="0029490A" w:rsidRDefault="00100A8B" w:rsidP="005820CD">
            <w:pPr>
              <w:spacing w:after="200"/>
              <w:rPr>
                <w:rFonts w:cs="Arial"/>
                <w:bCs/>
                <w:color w:val="000000"/>
                <w:spacing w:val="-6"/>
                <w:szCs w:val="20"/>
              </w:rPr>
            </w:pPr>
            <w:r w:rsidRPr="0029490A">
              <w:rPr>
                <w:rFonts w:cs="Arial"/>
                <w:bCs/>
                <w:color w:val="000000"/>
                <w:spacing w:val="-6"/>
                <w:szCs w:val="20"/>
              </w:rPr>
              <w:t>Situace na tuzemském pracovním trhu se po jarním šoku, který byl spojen zejména s dubnovým zmrazením pracovní aktivity v řadě odvětví tržních služeb i v některých nosných oborech průmyslu, v letních měsících z velké části stabilizovala. Mezičtvrtletní pokles celkové zaměstnanosti se zastavil. Poptávka po zahraničních pracovnících působících zejména v primárním a sekundárním sektoru ekonomiky zůstala vysoká</w:t>
            </w:r>
            <w:r w:rsidRPr="0029490A">
              <w:rPr>
                <w:rStyle w:val="Znakapoznpodarou"/>
                <w:bCs/>
                <w:color w:val="000000"/>
                <w:spacing w:val="-6"/>
                <w:szCs w:val="20"/>
              </w:rPr>
              <w:footnoteReference w:id="39"/>
            </w:r>
            <w:r w:rsidRPr="0029490A">
              <w:rPr>
                <w:rFonts w:cs="Arial"/>
                <w:bCs/>
                <w:color w:val="000000"/>
                <w:spacing w:val="-6"/>
                <w:szCs w:val="20"/>
              </w:rPr>
              <w:t>. Na druhé straně krátkodobá očekávání podniků v oblasti celkové zaměstnanosti setrvala ve většině hlavních odvětví v negativním pásmu, byť se pesimismus mezi 2. a 3. čtvrtletím postupně lehce tlumil. Většina lidí, kteří opustili pracovní trh, posílila řady ekonomicky neaktivních. Nezaměstnanost tak i díky vládním stabilizačním programům zaznamenala dosud jen mírný růst. Ochlazení na trhu práce se odrazilo v dynamice průměrných mezd ve většině tržních odvětví</w:t>
            </w:r>
            <w:r w:rsidRPr="0029490A">
              <w:rPr>
                <w:rFonts w:cs="Arial"/>
                <w:bCs/>
                <w:color w:val="0D0D0D" w:themeColor="text1" w:themeTint="F2"/>
                <w:spacing w:val="-6"/>
                <w:szCs w:val="20"/>
              </w:rPr>
              <w:t xml:space="preserve">. Přestože odpracovaná doba se v nich po uvolnění restrikcí vrátila k normálu, růstové tempo průměrných nominálních mezd zůstalo ve 3. čtvrtletí zřetelně pod úrovní počátku roku. </w:t>
            </w:r>
            <w:r w:rsidRPr="0029490A">
              <w:rPr>
                <w:rFonts w:cs="Arial"/>
                <w:bCs/>
                <w:color w:val="000000"/>
                <w:spacing w:val="-6"/>
                <w:szCs w:val="20"/>
              </w:rPr>
              <w:t>Nápadně rozrůzněná dynamika mezd dle odvětví podtrhovala diferencovaný dopad „jarního šoku“ na jednotlivé zaměstnanecké skupiny.</w:t>
            </w:r>
          </w:p>
        </w:tc>
      </w:tr>
      <w:tr w:rsidR="00100A8B" w:rsidRPr="0029490A" w14:paraId="6CA2177E" w14:textId="77777777" w:rsidTr="005820CD">
        <w:trPr>
          <w:trHeight w:val="155"/>
        </w:trPr>
        <w:tc>
          <w:tcPr>
            <w:tcW w:w="1792" w:type="dxa"/>
            <w:shd w:val="clear" w:color="auto" w:fill="auto"/>
            <w:tcMar>
              <w:left w:w="0" w:type="dxa"/>
            </w:tcMar>
          </w:tcPr>
          <w:p w14:paraId="4E454D3D" w14:textId="77777777" w:rsidR="00100A8B" w:rsidRPr="0029490A" w:rsidRDefault="00100A8B" w:rsidP="005820CD">
            <w:pPr>
              <w:pStyle w:val="Marginlie"/>
              <w:rPr>
                <w:spacing w:val="-6"/>
              </w:rPr>
            </w:pPr>
            <w:r w:rsidRPr="0029490A">
              <w:rPr>
                <w:spacing w:val="-6"/>
              </w:rPr>
              <w:t>Celková zaměstnanost se po rekordním poklesu během 2. čtvrtletí v následujícím kvartálu stabilizovala.</w:t>
            </w:r>
          </w:p>
          <w:p w14:paraId="53B0E9D0" w14:textId="77777777" w:rsidR="00100A8B" w:rsidRPr="0029490A" w:rsidRDefault="00100A8B" w:rsidP="005820CD">
            <w:pPr>
              <w:pStyle w:val="Marginlie"/>
              <w:rPr>
                <w:spacing w:val="-6"/>
              </w:rPr>
            </w:pPr>
          </w:p>
          <w:p w14:paraId="4506A36F" w14:textId="77777777" w:rsidR="00100A8B" w:rsidRPr="0029490A" w:rsidRDefault="00100A8B" w:rsidP="005820CD">
            <w:pPr>
              <w:pStyle w:val="Marginlie"/>
              <w:rPr>
                <w:spacing w:val="-6"/>
              </w:rPr>
            </w:pPr>
          </w:p>
          <w:p w14:paraId="2AB8AF1E" w14:textId="77777777" w:rsidR="00100A8B" w:rsidRPr="0029490A" w:rsidRDefault="00100A8B" w:rsidP="005820CD">
            <w:pPr>
              <w:pStyle w:val="Marginlie"/>
              <w:rPr>
                <w:spacing w:val="-6"/>
              </w:rPr>
            </w:pPr>
          </w:p>
          <w:p w14:paraId="0A22EAEB" w14:textId="77777777" w:rsidR="00100A8B" w:rsidRPr="0029490A" w:rsidRDefault="00100A8B" w:rsidP="005820CD">
            <w:pPr>
              <w:pStyle w:val="Marginlie"/>
              <w:rPr>
                <w:spacing w:val="-6"/>
              </w:rPr>
            </w:pPr>
            <w:r w:rsidRPr="0029490A">
              <w:rPr>
                <w:spacing w:val="-6"/>
              </w:rPr>
              <w:t>Vývoj zaměstnanosti byl v jednotlivých odvětvích velmi různorodý.</w:t>
            </w:r>
          </w:p>
          <w:p w14:paraId="789AE4C0" w14:textId="77777777" w:rsidR="00100A8B" w:rsidRPr="0029490A" w:rsidRDefault="00100A8B" w:rsidP="005820CD">
            <w:pPr>
              <w:pStyle w:val="Marginlie"/>
              <w:rPr>
                <w:spacing w:val="-6"/>
              </w:rPr>
            </w:pPr>
          </w:p>
          <w:p w14:paraId="6946A078" w14:textId="77777777" w:rsidR="00100A8B" w:rsidRPr="0029490A" w:rsidRDefault="00100A8B" w:rsidP="005820CD">
            <w:pPr>
              <w:pStyle w:val="Marginlie"/>
              <w:rPr>
                <w:spacing w:val="-6"/>
              </w:rPr>
            </w:pPr>
          </w:p>
          <w:p w14:paraId="55870C36" w14:textId="77777777" w:rsidR="00100A8B" w:rsidRPr="0029490A" w:rsidRDefault="00100A8B" w:rsidP="005820CD">
            <w:pPr>
              <w:pStyle w:val="Marginlie"/>
              <w:rPr>
                <w:spacing w:val="-6"/>
              </w:rPr>
            </w:pPr>
          </w:p>
          <w:p w14:paraId="38EC4DAF" w14:textId="4C8715F9" w:rsidR="00100A8B" w:rsidRPr="0029490A" w:rsidRDefault="00100A8B" w:rsidP="005820CD">
            <w:pPr>
              <w:pStyle w:val="Marginlie"/>
              <w:rPr>
                <w:spacing w:val="-6"/>
              </w:rPr>
            </w:pPr>
            <w:r w:rsidRPr="0029490A">
              <w:rPr>
                <w:spacing w:val="-6"/>
              </w:rPr>
              <w:t xml:space="preserve">K největšímu poklesu došlo v průmyslu a v odvětvích s vazbou na cestovní </w:t>
            </w:r>
            <w:r w:rsidR="00B53639">
              <w:rPr>
                <w:spacing w:val="-6"/>
              </w:rPr>
              <w:t>ruch. Naopak dlouhodobě rostou informační a komunikační činnosti a též veřejné služby</w:t>
            </w:r>
            <w:r w:rsidRPr="0029490A">
              <w:rPr>
                <w:spacing w:val="-6"/>
              </w:rPr>
              <w:t>.</w:t>
            </w:r>
          </w:p>
        </w:tc>
        <w:tc>
          <w:tcPr>
            <w:tcW w:w="216" w:type="dxa"/>
            <w:shd w:val="clear" w:color="auto" w:fill="auto"/>
            <w:tcMar>
              <w:left w:w="0" w:type="dxa"/>
            </w:tcMar>
          </w:tcPr>
          <w:p w14:paraId="5C6CF2C9"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5AAAFC68" w14:textId="4F3898B8" w:rsidR="00100A8B" w:rsidRPr="0029490A" w:rsidRDefault="00100A8B" w:rsidP="005820CD">
            <w:pPr>
              <w:spacing w:after="200"/>
              <w:rPr>
                <w:rFonts w:cs="Arial"/>
                <w:bCs/>
                <w:color w:val="000000"/>
                <w:spacing w:val="-6"/>
                <w:szCs w:val="20"/>
              </w:rPr>
            </w:pPr>
            <w:r w:rsidRPr="0029490A">
              <w:rPr>
                <w:rFonts w:cs="Arial"/>
                <w:bCs/>
                <w:color w:val="000000"/>
                <w:spacing w:val="-6"/>
                <w:szCs w:val="20"/>
              </w:rPr>
              <w:t>Během 2. čtvrtletí 2020 se celková zaměstnanost</w:t>
            </w:r>
            <w:r w:rsidRPr="0029490A">
              <w:rPr>
                <w:spacing w:val="-6"/>
                <w:vertAlign w:val="superscript"/>
              </w:rPr>
              <w:footnoteReference w:id="40"/>
            </w:r>
            <w:r w:rsidRPr="0029490A">
              <w:rPr>
                <w:rFonts w:cs="Arial"/>
                <w:bCs/>
                <w:color w:val="000000"/>
                <w:spacing w:val="-6"/>
                <w:szCs w:val="20"/>
              </w:rPr>
              <w:t xml:space="preserve"> snížila o 1,7 %, což byl nejhlubší </w:t>
            </w:r>
            <w:proofErr w:type="spellStart"/>
            <w:r w:rsidRPr="0029490A">
              <w:rPr>
                <w:rFonts w:cs="Arial"/>
                <w:bCs/>
                <w:color w:val="000000"/>
                <w:spacing w:val="-6"/>
                <w:szCs w:val="20"/>
              </w:rPr>
              <w:t>mezikvartální</w:t>
            </w:r>
            <w:proofErr w:type="spellEnd"/>
            <w:r w:rsidRPr="0029490A">
              <w:rPr>
                <w:rFonts w:cs="Arial"/>
                <w:bCs/>
                <w:color w:val="000000"/>
                <w:spacing w:val="-6"/>
                <w:szCs w:val="20"/>
              </w:rPr>
              <w:t xml:space="preserve"> útlum v dostupné řadě počínaje rokem 1995. V následujícím čtvrtletí se ale pokles zastavil (+0,2 %). Určitou stabilizaci naznačil i meziroční vývoj, když se úbytky počtu pracovníků tlumily (z –2,2 % ve 2. čtvrtletí na –1,7 % ve 3. čtvrtletí). K poklesu přispěli zaměstnanci i podnikající osoby. Tempo meziročních úbytků za celé 1. až 3. čtvrtletí bylo u </w:t>
            </w:r>
            <w:proofErr w:type="spellStart"/>
            <w:r w:rsidRPr="0029490A">
              <w:rPr>
                <w:rFonts w:cs="Arial"/>
                <w:bCs/>
                <w:color w:val="000000"/>
                <w:spacing w:val="-6"/>
                <w:szCs w:val="20"/>
              </w:rPr>
              <w:t>sebezaměstnaných</w:t>
            </w:r>
            <w:proofErr w:type="spellEnd"/>
            <w:r w:rsidRPr="0029490A">
              <w:rPr>
                <w:rFonts w:cs="Arial"/>
                <w:bCs/>
                <w:color w:val="000000"/>
                <w:spacing w:val="-6"/>
                <w:szCs w:val="20"/>
              </w:rPr>
              <w:t xml:space="preserve"> osob (–1,5 %) i zaměstnanců (–1,4 %) srovnatelné. Jestliže po většinu loňského roku působil ve směru redukce celkové zaměstnanosti nejvíce zpracovatelský průmysl, v průběhu roku 2020 se stále více prosazovalo také uskupení obchod, doprava, ubytování a pohostinství, silně zasažené dopady </w:t>
            </w:r>
            <w:proofErr w:type="spellStart"/>
            <w:r w:rsidRPr="0029490A">
              <w:rPr>
                <w:rFonts w:cs="Arial"/>
                <w:bCs/>
                <w:color w:val="000000"/>
                <w:spacing w:val="-6"/>
                <w:szCs w:val="20"/>
              </w:rPr>
              <w:t>protipandemických</w:t>
            </w:r>
            <w:proofErr w:type="spellEnd"/>
            <w:r w:rsidRPr="0029490A">
              <w:rPr>
                <w:rFonts w:cs="Arial"/>
                <w:bCs/>
                <w:color w:val="000000"/>
                <w:spacing w:val="-6"/>
                <w:szCs w:val="20"/>
              </w:rPr>
              <w:t xml:space="preserve"> opatření. Za tři letošní čtvrtletí se v tomto uskupení počet pracovníků meziročně snížil o 30 tis., v celém průmyslu o 52 tis. Silně zasaženo bylo též uskupení profesní, vědecké, technické, administrativní a podpůrné činnosti (–23 tis.), relativně zde činil úbytek zaměstnaných téměř 5 %. S tím kontrastoval vývoj v dlouhodobě se rozvíjejících informačních a komunikačních činnostech, v nichž k letošnímu 3,7% růstu významně přispěl i vyš</w:t>
            </w:r>
            <w:r w:rsidR="00B53639">
              <w:rPr>
                <w:rFonts w:cs="Arial"/>
                <w:bCs/>
                <w:color w:val="000000"/>
                <w:spacing w:val="-6"/>
                <w:szCs w:val="20"/>
              </w:rPr>
              <w:t xml:space="preserve">ší počet </w:t>
            </w:r>
            <w:proofErr w:type="spellStart"/>
            <w:r w:rsidR="00B53639">
              <w:rPr>
                <w:rFonts w:cs="Arial"/>
                <w:bCs/>
                <w:color w:val="000000"/>
                <w:spacing w:val="-6"/>
                <w:szCs w:val="20"/>
              </w:rPr>
              <w:t>sebezaměstnaných</w:t>
            </w:r>
            <w:proofErr w:type="spellEnd"/>
            <w:r w:rsidR="00B53639">
              <w:rPr>
                <w:rFonts w:cs="Arial"/>
                <w:bCs/>
                <w:color w:val="000000"/>
                <w:spacing w:val="-6"/>
                <w:szCs w:val="20"/>
              </w:rPr>
              <w:t>. Ti mě</w:t>
            </w:r>
            <w:r w:rsidRPr="0029490A">
              <w:rPr>
                <w:rFonts w:cs="Arial"/>
                <w:bCs/>
                <w:color w:val="000000"/>
                <w:spacing w:val="-6"/>
                <w:szCs w:val="20"/>
              </w:rPr>
              <w:t xml:space="preserve">li rozhodující </w:t>
            </w:r>
            <w:r w:rsidR="00B53639">
              <w:rPr>
                <w:rFonts w:cs="Arial"/>
                <w:bCs/>
                <w:color w:val="000000"/>
                <w:spacing w:val="-6"/>
                <w:szCs w:val="20"/>
              </w:rPr>
              <w:t xml:space="preserve">roli </w:t>
            </w:r>
            <w:r w:rsidRPr="0029490A">
              <w:rPr>
                <w:rFonts w:cs="Arial"/>
                <w:bCs/>
                <w:color w:val="000000"/>
                <w:spacing w:val="-6"/>
                <w:szCs w:val="20"/>
              </w:rPr>
              <w:t>pro navýšení stavu pracovníků i ve stavebnictví, neboť počet samotných zaměstnanců zde meziročně stagnoval. Ve směru růstu počtu pracovníků v celé ekonomice působilo letos (obdobně jako v letech 2017 až 2019) nejvíce uskupení veřejná správa, obrana, vzdělávání, zdravotní a sociální péče (růst o 2,0 %, příspěvek +0,4 p. b.). Projevil se zde trend posilování ve vzdělávání, mj. vlivem vyššího počtu žáků v základním školství.</w:t>
            </w:r>
          </w:p>
        </w:tc>
      </w:tr>
      <w:tr w:rsidR="00100A8B" w:rsidRPr="0029490A" w14:paraId="26757D8E" w14:textId="77777777" w:rsidTr="005820CD">
        <w:trPr>
          <w:trHeight w:val="155"/>
        </w:trPr>
        <w:tc>
          <w:tcPr>
            <w:tcW w:w="1792" w:type="dxa"/>
            <w:shd w:val="clear" w:color="auto" w:fill="auto"/>
            <w:tcMar>
              <w:left w:w="0" w:type="dxa"/>
            </w:tcMar>
          </w:tcPr>
          <w:p w14:paraId="216C2454" w14:textId="77777777" w:rsidR="00100A8B" w:rsidRPr="0029490A" w:rsidRDefault="00100A8B" w:rsidP="005820CD">
            <w:pPr>
              <w:pStyle w:val="Marginlie"/>
              <w:rPr>
                <w:spacing w:val="-6"/>
              </w:rPr>
            </w:pPr>
            <w:r w:rsidRPr="0029490A">
              <w:rPr>
                <w:spacing w:val="-6"/>
              </w:rPr>
              <w:t xml:space="preserve">Pokles počtu odpracovaných hodin v ekonomice se v letních měsících zastavil. Vnímání negativních ekonomických dopadů </w:t>
            </w:r>
            <w:proofErr w:type="spellStart"/>
            <w:r w:rsidRPr="0029490A">
              <w:rPr>
                <w:spacing w:val="-6"/>
              </w:rPr>
              <w:t>koronavirové</w:t>
            </w:r>
            <w:proofErr w:type="spellEnd"/>
            <w:r w:rsidRPr="0029490A">
              <w:rPr>
                <w:spacing w:val="-6"/>
              </w:rPr>
              <w:t xml:space="preserve"> krize se snížilo.</w:t>
            </w:r>
          </w:p>
        </w:tc>
        <w:tc>
          <w:tcPr>
            <w:tcW w:w="216" w:type="dxa"/>
            <w:shd w:val="clear" w:color="auto" w:fill="auto"/>
            <w:tcMar>
              <w:left w:w="0" w:type="dxa"/>
            </w:tcMar>
          </w:tcPr>
          <w:p w14:paraId="4CBA5F31"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24E2A8E1" w14:textId="77777777" w:rsidR="00100A8B" w:rsidRPr="0029490A" w:rsidRDefault="00100A8B" w:rsidP="005820CD">
            <w:pPr>
              <w:spacing w:after="0"/>
              <w:rPr>
                <w:rFonts w:cs="Arial"/>
                <w:bCs/>
                <w:color w:val="000000"/>
                <w:spacing w:val="-6"/>
                <w:szCs w:val="20"/>
              </w:rPr>
            </w:pPr>
            <w:r w:rsidRPr="0029490A">
              <w:rPr>
                <w:rFonts w:cs="Arial"/>
                <w:bCs/>
                <w:color w:val="000000"/>
                <w:spacing w:val="-6"/>
                <w:szCs w:val="20"/>
              </w:rPr>
              <w:t>Letní návrat k běžným hodnotám pracovní aktivity se v celé ekonomice projevil v průměrném týdenním počtu skutečně odpracovaných hodin (v hlavním zaměstnání). Ten ve 3. čtvrtletí 2020 u zaměstnanců meziročně mírně vzrostl (+1,8 %), u podnikajících osob se téměř nezměnil (–0,5 %)</w:t>
            </w:r>
            <w:r w:rsidRPr="0029490A">
              <w:rPr>
                <w:rStyle w:val="Znakapoznpodarou"/>
                <w:bCs/>
                <w:color w:val="000000"/>
                <w:spacing w:val="-6"/>
                <w:szCs w:val="20"/>
              </w:rPr>
              <w:footnoteReference w:id="41"/>
            </w:r>
            <w:r w:rsidRPr="0029490A">
              <w:rPr>
                <w:rFonts w:cs="Arial"/>
                <w:bCs/>
                <w:color w:val="000000"/>
                <w:spacing w:val="-6"/>
                <w:szCs w:val="20"/>
              </w:rPr>
              <w:t xml:space="preserve">. K posunu došlo dle údajů VŠPS i v subjektivním vnímání hlavních aktérů na trhu práce. Ve 2. čtvrtletí pociťovalo u svého zaměstnavatele negativní dopady </w:t>
            </w:r>
            <w:proofErr w:type="spellStart"/>
            <w:r w:rsidRPr="0029490A">
              <w:rPr>
                <w:rFonts w:cs="Arial"/>
                <w:bCs/>
                <w:color w:val="000000"/>
                <w:spacing w:val="-6"/>
                <w:szCs w:val="20"/>
              </w:rPr>
              <w:t>koronavirové</w:t>
            </w:r>
            <w:proofErr w:type="spellEnd"/>
            <w:r w:rsidRPr="0029490A">
              <w:rPr>
                <w:rFonts w:cs="Arial"/>
                <w:bCs/>
                <w:color w:val="000000"/>
                <w:spacing w:val="-6"/>
                <w:szCs w:val="20"/>
              </w:rPr>
              <w:t xml:space="preserve"> krize 43 % zaměstnanců, v následujícím kvartálu „jen“ 29 %. Podobně i podíl osob vnímajících negativní dopady ve svém drobném podnikání klesl ze 60 na 45 %. V obou uvedených kategoriích byla percepce nejvíce negativních dopadů soustředěna v ubytování, stravování a pohostinství a v kulturních, zábavních a rekreačních činnostech</w:t>
            </w:r>
            <w:r w:rsidRPr="0029490A">
              <w:rPr>
                <w:rStyle w:val="Znakapoznpodarou"/>
                <w:bCs/>
                <w:color w:val="000000"/>
                <w:spacing w:val="-6"/>
                <w:szCs w:val="20"/>
              </w:rPr>
              <w:footnoteReference w:id="42"/>
            </w:r>
            <w:r w:rsidRPr="0029490A">
              <w:rPr>
                <w:rFonts w:cs="Arial"/>
                <w:bCs/>
                <w:color w:val="000000"/>
                <w:spacing w:val="-6"/>
                <w:szCs w:val="20"/>
              </w:rPr>
              <w:t>.</w:t>
            </w:r>
          </w:p>
        </w:tc>
      </w:tr>
      <w:tr w:rsidR="00100A8B" w:rsidRPr="0029490A" w14:paraId="04A69887" w14:textId="77777777" w:rsidTr="005820CD">
        <w:trPr>
          <w:trHeight w:val="155"/>
        </w:trPr>
        <w:tc>
          <w:tcPr>
            <w:tcW w:w="1792" w:type="dxa"/>
            <w:shd w:val="clear" w:color="auto" w:fill="auto"/>
            <w:tcMar>
              <w:left w:w="0" w:type="dxa"/>
            </w:tcMar>
          </w:tcPr>
          <w:p w14:paraId="045E84CF" w14:textId="77777777" w:rsidR="00100A8B" w:rsidRPr="0029490A" w:rsidRDefault="00100A8B" w:rsidP="005820CD">
            <w:pPr>
              <w:pStyle w:val="Marginlie"/>
              <w:rPr>
                <w:spacing w:val="-6"/>
              </w:rPr>
            </w:pPr>
            <w:r w:rsidRPr="0029490A">
              <w:rPr>
                <w:spacing w:val="-6"/>
              </w:rPr>
              <w:lastRenderedPageBreak/>
              <w:t>Negativní očekávání zaměstnanosti se během 3. čtvrtletí tlumila. V následujícím období ale došlo opět ke zhoršení, zejména ve vybraných službách.</w:t>
            </w:r>
          </w:p>
        </w:tc>
        <w:tc>
          <w:tcPr>
            <w:tcW w:w="216" w:type="dxa"/>
            <w:shd w:val="clear" w:color="auto" w:fill="auto"/>
            <w:tcMar>
              <w:left w:w="0" w:type="dxa"/>
            </w:tcMar>
          </w:tcPr>
          <w:p w14:paraId="3919B2F8"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29F3AFA8" w14:textId="77777777" w:rsidR="00100A8B" w:rsidRPr="0029490A" w:rsidRDefault="00100A8B" w:rsidP="005820CD">
            <w:pPr>
              <w:spacing w:after="200"/>
              <w:rPr>
                <w:rFonts w:cs="Arial"/>
                <w:bCs/>
                <w:color w:val="000000"/>
                <w:spacing w:val="-6"/>
                <w:szCs w:val="20"/>
              </w:rPr>
            </w:pPr>
            <w:r w:rsidRPr="0029490A">
              <w:rPr>
                <w:rFonts w:cs="Arial"/>
                <w:bCs/>
                <w:color w:val="000000"/>
                <w:spacing w:val="-6"/>
                <w:szCs w:val="20"/>
              </w:rPr>
              <w:t>Během podzimních měsíců došlo k výraznému zhoršení epidemiologické situace, což mělo dopady i na pracovní trh. Počet odpracovaných hodin za týden klesl v říjnu u zaměstnanců meziročně o 5,9 %, u podnikajících osob o 10,8 %. Z dalších dosud známých ukazatelů tento posun nejlépe vystihují konjunkturální statistiky. Krátkodobá očekávání podniků v oblasti zaměstnanosti se v listopadu 2020 meziměsíčně zhoršila. To platilo zejména pro vybrané služby</w:t>
            </w:r>
            <w:r w:rsidRPr="0029490A">
              <w:rPr>
                <w:rStyle w:val="Znakapoznpodarou"/>
                <w:bCs/>
                <w:color w:val="000000"/>
                <w:spacing w:val="-6"/>
                <w:szCs w:val="20"/>
              </w:rPr>
              <w:footnoteReference w:id="43"/>
            </w:r>
            <w:r w:rsidRPr="0029490A">
              <w:rPr>
                <w:rFonts w:cs="Arial"/>
                <w:bCs/>
                <w:color w:val="000000"/>
                <w:spacing w:val="-6"/>
                <w:szCs w:val="20"/>
              </w:rPr>
              <w:t>, u nichž saldo kleslo z –16 na –27 bodů</w:t>
            </w:r>
            <w:r w:rsidRPr="0029490A">
              <w:rPr>
                <w:rStyle w:val="Znakapoznpodarou"/>
                <w:bCs/>
                <w:color w:val="000000"/>
                <w:spacing w:val="-6"/>
                <w:szCs w:val="20"/>
              </w:rPr>
              <w:footnoteReference w:id="44"/>
            </w:r>
            <w:r w:rsidRPr="0029490A">
              <w:rPr>
                <w:rFonts w:cs="Arial"/>
                <w:bCs/>
                <w:color w:val="000000"/>
                <w:spacing w:val="-6"/>
                <w:szCs w:val="20"/>
              </w:rPr>
              <w:t>. I přesto bylo listopadové saldo ve všech hlavních odvětvích příznivější než za vrcholu jarní krize (nejvíce v průmyslu, kterého se podzimní řízený útlum aktivit přímo nedotkl). Propouštění na přelomu let 2020 a 2021 očekávalo dle listopadového šetření 33 % podniků ve vybraných službách, 16 % podniků ve stavebnictví a 15 % podniků v průmyslu (kde byl současně i nezanedbatelný podíl podniků očekávajících růst: 12 %)</w:t>
            </w:r>
            <w:r w:rsidRPr="0029490A">
              <w:rPr>
                <w:rStyle w:val="Znakapoznpodarou"/>
                <w:bCs/>
                <w:color w:val="000000"/>
                <w:spacing w:val="-6"/>
                <w:szCs w:val="20"/>
              </w:rPr>
              <w:footnoteReference w:id="45"/>
            </w:r>
            <w:r w:rsidRPr="0029490A">
              <w:rPr>
                <w:rFonts w:cs="Arial"/>
                <w:bCs/>
                <w:color w:val="000000"/>
                <w:spacing w:val="-6"/>
                <w:szCs w:val="20"/>
              </w:rPr>
              <w:t>.</w:t>
            </w:r>
          </w:p>
        </w:tc>
      </w:tr>
      <w:tr w:rsidR="00100A8B" w:rsidRPr="0029490A" w14:paraId="1051821E" w14:textId="77777777" w:rsidTr="005820CD">
        <w:trPr>
          <w:trHeight w:val="155"/>
        </w:trPr>
        <w:tc>
          <w:tcPr>
            <w:tcW w:w="1792" w:type="dxa"/>
            <w:vMerge w:val="restart"/>
            <w:shd w:val="clear" w:color="auto" w:fill="auto"/>
            <w:tcMar>
              <w:left w:w="0" w:type="dxa"/>
            </w:tcMar>
          </w:tcPr>
          <w:p w14:paraId="06361404" w14:textId="77777777" w:rsidR="00100A8B" w:rsidRPr="0029490A" w:rsidRDefault="00100A8B" w:rsidP="005820CD">
            <w:pPr>
              <w:pStyle w:val="Marginlie"/>
              <w:rPr>
                <w:spacing w:val="-6"/>
              </w:rPr>
            </w:pPr>
          </w:p>
        </w:tc>
        <w:tc>
          <w:tcPr>
            <w:tcW w:w="216" w:type="dxa"/>
            <w:vMerge w:val="restart"/>
            <w:shd w:val="clear" w:color="auto" w:fill="auto"/>
            <w:tcMar>
              <w:left w:w="0" w:type="dxa"/>
            </w:tcMar>
          </w:tcPr>
          <w:p w14:paraId="63AA8DEE"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2113D14F" w14:textId="53546BD3" w:rsidR="00100A8B" w:rsidRPr="0029490A" w:rsidRDefault="00142B29" w:rsidP="005820CD">
            <w:pPr>
              <w:spacing w:after="0"/>
              <w:rPr>
                <w:spacing w:val="-6"/>
              </w:rPr>
            </w:pPr>
            <w:r>
              <w:rPr>
                <w:rFonts w:cs="Arial"/>
                <w:b/>
                <w:bCs/>
                <w:color w:val="000000"/>
                <w:spacing w:val="-6"/>
                <w:szCs w:val="20"/>
              </w:rPr>
              <w:t>Graf č. 12</w:t>
            </w:r>
            <w:r w:rsidR="00100A8B" w:rsidRPr="0029490A">
              <w:rPr>
                <w:rFonts w:cs="Arial"/>
                <w:b/>
                <w:bCs/>
                <w:color w:val="000000"/>
                <w:spacing w:val="-6"/>
                <w:sz w:val="18"/>
                <w:szCs w:val="18"/>
              </w:rPr>
              <w:t xml:space="preserve">  </w:t>
            </w:r>
            <w:r w:rsidR="00100A8B" w:rsidRPr="0029490A">
              <w:rPr>
                <w:b/>
                <w:bCs/>
                <w:spacing w:val="-6"/>
                <w:lang w:eastAsia="en-US"/>
              </w:rPr>
              <w:t xml:space="preserve">Celková zaměstnanost </w:t>
            </w:r>
            <w:r w:rsidR="00100A8B" w:rsidRPr="0029490A">
              <w:rPr>
                <w:spacing w:val="-6"/>
                <w:lang w:eastAsia="en-US"/>
              </w:rPr>
              <w:t>(</w:t>
            </w:r>
            <w:r w:rsidR="00100A8B" w:rsidRPr="0029490A">
              <w:rPr>
                <w:spacing w:val="-6"/>
              </w:rPr>
              <w:t>meziročně v %)</w:t>
            </w:r>
            <w:r w:rsidR="00100A8B" w:rsidRPr="0029490A">
              <w:rPr>
                <w:b/>
                <w:bCs/>
                <w:spacing w:val="-6"/>
              </w:rPr>
              <w:t xml:space="preserve">, příspěvky odvětví k meziroční změně zaměstnanosti </w:t>
            </w:r>
            <w:r w:rsidR="00100A8B" w:rsidRPr="0029490A">
              <w:rPr>
                <w:spacing w:val="-6"/>
              </w:rPr>
              <w:t>(v p. b.)</w:t>
            </w:r>
            <w:r w:rsidR="00100A8B" w:rsidRPr="0029490A">
              <w:rPr>
                <w:b/>
                <w:bCs/>
                <w:spacing w:val="-6"/>
              </w:rPr>
              <w:t xml:space="preserve"> a očekávání vývoje zaměstnanosti </w:t>
            </w:r>
            <w:r w:rsidR="00100A8B" w:rsidRPr="0029490A">
              <w:rPr>
                <w:spacing w:val="-6"/>
              </w:rPr>
              <w:t>(saldo v p. b.)</w:t>
            </w:r>
          </w:p>
        </w:tc>
      </w:tr>
      <w:tr w:rsidR="00100A8B" w:rsidRPr="0029490A" w14:paraId="35A48976" w14:textId="77777777" w:rsidTr="00A419FF">
        <w:tblPrEx>
          <w:tblCellMar>
            <w:left w:w="70" w:type="dxa"/>
            <w:right w:w="70" w:type="dxa"/>
          </w:tblCellMar>
        </w:tblPrEx>
        <w:trPr>
          <w:trHeight w:val="155"/>
        </w:trPr>
        <w:tc>
          <w:tcPr>
            <w:tcW w:w="1792" w:type="dxa"/>
            <w:vMerge/>
            <w:shd w:val="clear" w:color="auto" w:fill="auto"/>
          </w:tcPr>
          <w:p w14:paraId="21F97824" w14:textId="77777777" w:rsidR="00100A8B" w:rsidRPr="0029490A" w:rsidRDefault="00100A8B" w:rsidP="005820CD">
            <w:pPr>
              <w:pStyle w:val="Marginlie"/>
              <w:rPr>
                <w:spacing w:val="-6"/>
              </w:rPr>
            </w:pPr>
          </w:p>
        </w:tc>
        <w:tc>
          <w:tcPr>
            <w:tcW w:w="216" w:type="dxa"/>
            <w:vMerge/>
            <w:shd w:val="clear" w:color="auto" w:fill="auto"/>
          </w:tcPr>
          <w:p w14:paraId="7A82BC3D" w14:textId="77777777" w:rsidR="00100A8B" w:rsidRPr="0029490A" w:rsidRDefault="00100A8B" w:rsidP="005820CD">
            <w:pPr>
              <w:pStyle w:val="Textpoznpodarou"/>
              <w:jc w:val="both"/>
              <w:rPr>
                <w:spacing w:val="-6"/>
              </w:rPr>
            </w:pPr>
          </w:p>
        </w:tc>
        <w:tc>
          <w:tcPr>
            <w:tcW w:w="7656" w:type="dxa"/>
            <w:shd w:val="clear" w:color="auto" w:fill="auto"/>
          </w:tcPr>
          <w:p w14:paraId="047C7516" w14:textId="24C7E162" w:rsidR="00100A8B" w:rsidRPr="0029490A" w:rsidRDefault="00A419FF" w:rsidP="005820CD">
            <w:pPr>
              <w:spacing w:after="0"/>
              <w:rPr>
                <w:spacing w:val="-6"/>
              </w:rPr>
            </w:pPr>
            <w:r>
              <w:rPr>
                <w:noProof/>
              </w:rPr>
              <w:drawing>
                <wp:inline distT="0" distB="0" distL="0" distR="0" wp14:anchorId="231E26F9" wp14:editId="1B0097AC">
                  <wp:extent cx="4715093" cy="3618306"/>
                  <wp:effectExtent l="0" t="0" r="0" b="127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100A8B" w:rsidRPr="0029490A" w14:paraId="215A065F" w14:textId="77777777" w:rsidTr="005820CD">
        <w:trPr>
          <w:trHeight w:val="671"/>
        </w:trPr>
        <w:tc>
          <w:tcPr>
            <w:tcW w:w="1792" w:type="dxa"/>
            <w:vMerge/>
            <w:shd w:val="clear" w:color="auto" w:fill="auto"/>
            <w:tcMar>
              <w:left w:w="0" w:type="dxa"/>
            </w:tcMar>
          </w:tcPr>
          <w:p w14:paraId="043A3DC0" w14:textId="77777777" w:rsidR="00100A8B" w:rsidRPr="0029490A" w:rsidRDefault="00100A8B" w:rsidP="005820CD">
            <w:pPr>
              <w:pStyle w:val="Marginlie"/>
              <w:rPr>
                <w:spacing w:val="-6"/>
              </w:rPr>
            </w:pPr>
          </w:p>
        </w:tc>
        <w:tc>
          <w:tcPr>
            <w:tcW w:w="216" w:type="dxa"/>
            <w:vMerge/>
            <w:shd w:val="clear" w:color="auto" w:fill="auto"/>
            <w:tcMar>
              <w:left w:w="0" w:type="dxa"/>
            </w:tcMar>
          </w:tcPr>
          <w:p w14:paraId="495FA5F9"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756F1646" w14:textId="77777777" w:rsidR="00100A8B" w:rsidRPr="0029490A" w:rsidRDefault="00100A8B" w:rsidP="005820CD">
            <w:pPr>
              <w:spacing w:after="0" w:line="240" w:lineRule="auto"/>
              <w:rPr>
                <w:rFonts w:cs="Arial"/>
                <w:spacing w:val="-6"/>
                <w:sz w:val="14"/>
                <w:szCs w:val="14"/>
              </w:rPr>
            </w:pPr>
            <w:r w:rsidRPr="0029490A">
              <w:rPr>
                <w:rFonts w:cs="Arial"/>
                <w:color w:val="0D0D0D" w:themeColor="text1" w:themeTint="F2"/>
                <w:spacing w:val="-6"/>
                <w:sz w:val="14"/>
                <w:szCs w:val="14"/>
              </w:rPr>
              <w:t>*</w:t>
            </w:r>
            <w:r w:rsidRPr="0029490A">
              <w:rPr>
                <w:rFonts w:cs="Arial"/>
                <w:spacing w:val="-6"/>
                <w:sz w:val="14"/>
                <w:szCs w:val="14"/>
              </w:rPr>
              <w:t xml:space="preserve"> Těžba a energetika; Peněžnictví a pojišťovnictví; Činnosti v oblasti nemovitostí; Kulturní, zábavní a</w:t>
            </w:r>
            <w:r w:rsidRPr="0029490A">
              <w:rPr>
                <w:spacing w:val="-6"/>
                <w:sz w:val="14"/>
                <w:szCs w:val="14"/>
              </w:rPr>
              <w:t> </w:t>
            </w:r>
            <w:r w:rsidRPr="0029490A">
              <w:rPr>
                <w:rFonts w:cs="Arial"/>
                <w:spacing w:val="-6"/>
                <w:sz w:val="14"/>
                <w:szCs w:val="14"/>
              </w:rPr>
              <w:t>rekreační činnosti.</w:t>
            </w:r>
          </w:p>
          <w:p w14:paraId="41B66CF2" w14:textId="77777777" w:rsidR="00100A8B" w:rsidRPr="0029490A" w:rsidRDefault="00100A8B" w:rsidP="005820CD">
            <w:pPr>
              <w:spacing w:after="0" w:line="240" w:lineRule="auto"/>
              <w:rPr>
                <w:rFonts w:cs="Arial"/>
                <w:spacing w:val="-6"/>
                <w:sz w:val="14"/>
                <w:szCs w:val="14"/>
              </w:rPr>
            </w:pPr>
            <w:r w:rsidRPr="0029490A">
              <w:rPr>
                <w:rFonts w:cs="Arial"/>
                <w:spacing w:val="-6"/>
                <w:sz w:val="14"/>
                <w:szCs w:val="14"/>
              </w:rPr>
              <w:t xml:space="preserve">Poznámka: Saldo </w:t>
            </w:r>
            <w:r w:rsidRPr="0029490A">
              <w:rPr>
                <w:rFonts w:cs="Arial"/>
                <w:color w:val="0D0D0D" w:themeColor="text1" w:themeTint="F2"/>
                <w:spacing w:val="-6"/>
                <w:sz w:val="14"/>
                <w:szCs w:val="14"/>
              </w:rPr>
              <w:t>očekávání vyjadřuje rozdíl v p. b. mezi kategoriemi růst versus pokles zaměstnanosti v nejbližších třech měsících. Údaje jsou sezónně očištěny a vztahují se k druhému měsíci daného čtvrtletí.</w:t>
            </w:r>
          </w:p>
          <w:p w14:paraId="0E7E60F3" w14:textId="77777777" w:rsidR="00100A8B" w:rsidRPr="0029490A" w:rsidRDefault="00100A8B" w:rsidP="005820CD">
            <w:pPr>
              <w:spacing w:after="220" w:line="240" w:lineRule="auto"/>
              <w:rPr>
                <w:rFonts w:cs="Arial"/>
                <w:color w:val="0D0D0D" w:themeColor="text1" w:themeTint="F2"/>
                <w:spacing w:val="-6"/>
                <w:sz w:val="14"/>
                <w:szCs w:val="14"/>
              </w:rPr>
            </w:pPr>
            <w:r w:rsidRPr="0029490A">
              <w:rPr>
                <w:rFonts w:cs="Arial"/>
                <w:spacing w:val="-6"/>
                <w:sz w:val="14"/>
                <w:szCs w:val="14"/>
              </w:rPr>
              <w:t>Zdroj: ČSÚ (národní účty, konjunkturální průzkumy)</w:t>
            </w:r>
          </w:p>
        </w:tc>
      </w:tr>
      <w:tr w:rsidR="00100A8B" w:rsidRPr="0029490A" w14:paraId="39B80F2D" w14:textId="77777777" w:rsidTr="005820CD">
        <w:trPr>
          <w:trHeight w:val="145"/>
        </w:trPr>
        <w:tc>
          <w:tcPr>
            <w:tcW w:w="1792" w:type="dxa"/>
            <w:shd w:val="clear" w:color="auto" w:fill="auto"/>
            <w:tcMar>
              <w:left w:w="0" w:type="dxa"/>
            </w:tcMar>
          </w:tcPr>
          <w:p w14:paraId="15B337EA" w14:textId="77777777" w:rsidR="00100A8B" w:rsidRPr="0029490A" w:rsidRDefault="00100A8B" w:rsidP="005820CD">
            <w:pPr>
              <w:pStyle w:val="Marginlie"/>
              <w:rPr>
                <w:spacing w:val="-6"/>
              </w:rPr>
            </w:pPr>
            <w:r w:rsidRPr="0029490A">
              <w:rPr>
                <w:spacing w:val="-6"/>
              </w:rPr>
              <w:t>Počet ekonomicky neaktivních se zvyšoval hlavně ve 2. čtvrtletí. I v následném období byl ale přírůstek významný.</w:t>
            </w:r>
          </w:p>
          <w:p w14:paraId="1774D7D7" w14:textId="77777777" w:rsidR="00100A8B" w:rsidRPr="0029490A" w:rsidRDefault="00100A8B" w:rsidP="005820CD">
            <w:pPr>
              <w:pStyle w:val="Marginlie"/>
              <w:rPr>
                <w:spacing w:val="-6"/>
              </w:rPr>
            </w:pPr>
          </w:p>
          <w:p w14:paraId="7888FFAF" w14:textId="77777777" w:rsidR="00100A8B" w:rsidRPr="0029490A" w:rsidRDefault="00100A8B" w:rsidP="005820CD">
            <w:pPr>
              <w:pStyle w:val="Marginlie"/>
              <w:rPr>
                <w:spacing w:val="-6"/>
              </w:rPr>
            </w:pPr>
          </w:p>
          <w:p w14:paraId="3AC5DFB3" w14:textId="77777777" w:rsidR="00100A8B" w:rsidRPr="0029490A" w:rsidRDefault="00100A8B" w:rsidP="005820CD">
            <w:pPr>
              <w:pStyle w:val="Marginlie"/>
              <w:rPr>
                <w:spacing w:val="-6"/>
              </w:rPr>
            </w:pPr>
            <w:r w:rsidRPr="0029490A">
              <w:rPr>
                <w:spacing w:val="-6"/>
              </w:rPr>
              <w:t>Trend snižování potenciálního rezervoáru pracovních sil z tuzemska se patrně zastavil.</w:t>
            </w:r>
          </w:p>
        </w:tc>
        <w:tc>
          <w:tcPr>
            <w:tcW w:w="216" w:type="dxa"/>
            <w:shd w:val="clear" w:color="auto" w:fill="auto"/>
            <w:tcMar>
              <w:left w:w="0" w:type="dxa"/>
            </w:tcMar>
          </w:tcPr>
          <w:p w14:paraId="5423AB12"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7766B198" w14:textId="77777777" w:rsidR="00100A8B" w:rsidRPr="0029490A" w:rsidRDefault="00100A8B" w:rsidP="005820CD">
            <w:pPr>
              <w:spacing w:after="220"/>
              <w:rPr>
                <w:spacing w:val="-6"/>
              </w:rPr>
            </w:pPr>
            <w:r w:rsidRPr="0029490A">
              <w:rPr>
                <w:rFonts w:cs="Arial"/>
                <w:bCs/>
                <w:color w:val="000000"/>
                <w:spacing w:val="-6"/>
                <w:szCs w:val="20"/>
              </w:rPr>
              <w:t xml:space="preserve">Změny na trhu práce v 1. až 3. čtvrtletí 2020 se spíše než v nezaměstnanosti odrazily v posílení počtu </w:t>
            </w:r>
            <w:r w:rsidRPr="0029490A">
              <w:rPr>
                <w:rFonts w:cs="Arial"/>
                <w:bCs/>
                <w:color w:val="0D0D0D" w:themeColor="text1" w:themeTint="F2"/>
                <w:spacing w:val="-6"/>
                <w:szCs w:val="20"/>
              </w:rPr>
              <w:t xml:space="preserve">ekonomicky neaktivních. </w:t>
            </w:r>
            <w:r w:rsidRPr="0029490A">
              <w:rPr>
                <w:rFonts w:cs="Arial"/>
                <w:bCs/>
                <w:color w:val="000000"/>
                <w:spacing w:val="-6"/>
                <w:szCs w:val="20"/>
              </w:rPr>
              <w:t>Byť se tento počet zvyšoval i po většinu loňského roku, k významnému zrychlení meziročního tempa došlo až letos. Na počátku roku činil nárůst 59 tis. osob, ve 2. čtvrtletí již 86 tis. (nejvíce v historii ČR), ve 3. čtvrtletí pak 55 tis. Více přibývalo neaktivních žen, zejména ve věku do 45 let. U mužů šlo primárně o osoby nad 60 let. Pro tyto skupiny je typické mimo jiné častější využívání zkrácených úvazků a práce na dobu určitou. Nelze vyloučit, že část těchto osob se z pracovního trhu stáhla jen dočasně. Počet ekonomicky neaktivních uvádějících záměr pracovat byl ve 2. i 3. čtvrtletí 2020 meziročně mírně vyšší. Více než čtyři roky trvající trend redukce této potenciální pracovní mezery se tak patrně zastavil.</w:t>
            </w:r>
          </w:p>
        </w:tc>
      </w:tr>
      <w:tr w:rsidR="00100A8B" w:rsidRPr="0029490A" w14:paraId="5B3F936C" w14:textId="77777777" w:rsidTr="005820CD">
        <w:trPr>
          <w:trHeight w:val="145"/>
        </w:trPr>
        <w:tc>
          <w:tcPr>
            <w:tcW w:w="1792" w:type="dxa"/>
            <w:shd w:val="clear" w:color="auto" w:fill="auto"/>
            <w:tcMar>
              <w:left w:w="0" w:type="dxa"/>
            </w:tcMar>
          </w:tcPr>
          <w:p w14:paraId="652B0E08" w14:textId="77777777" w:rsidR="00100A8B" w:rsidRPr="0029490A" w:rsidRDefault="00100A8B" w:rsidP="005820CD">
            <w:pPr>
              <w:pStyle w:val="Marginlie"/>
              <w:rPr>
                <w:spacing w:val="-6"/>
              </w:rPr>
            </w:pPr>
            <w:r w:rsidRPr="0029490A">
              <w:rPr>
                <w:spacing w:val="-6"/>
              </w:rPr>
              <w:lastRenderedPageBreak/>
              <w:t>Obecná míra nezaměstnanosti vzrostla ve 2. čtvrtletí mírně, ve 3. čtvrtletí stagnovala.</w:t>
            </w:r>
          </w:p>
          <w:p w14:paraId="3FC63D32" w14:textId="77777777" w:rsidR="00100A8B" w:rsidRPr="0029490A" w:rsidRDefault="00100A8B" w:rsidP="005820CD">
            <w:pPr>
              <w:pStyle w:val="Marginlie"/>
              <w:rPr>
                <w:spacing w:val="-6"/>
              </w:rPr>
            </w:pPr>
          </w:p>
          <w:p w14:paraId="33267D68" w14:textId="77777777" w:rsidR="00100A8B" w:rsidRPr="0029490A" w:rsidRDefault="00100A8B" w:rsidP="005820CD">
            <w:pPr>
              <w:pStyle w:val="Marginlie"/>
              <w:rPr>
                <w:spacing w:val="-6"/>
              </w:rPr>
            </w:pPr>
          </w:p>
          <w:p w14:paraId="66A5DB3E" w14:textId="77777777" w:rsidR="00100A8B" w:rsidRPr="0029490A" w:rsidRDefault="00100A8B" w:rsidP="005820CD">
            <w:pPr>
              <w:pStyle w:val="Marginlie"/>
              <w:rPr>
                <w:spacing w:val="-6"/>
              </w:rPr>
            </w:pPr>
          </w:p>
          <w:p w14:paraId="03D8B8E9" w14:textId="77777777" w:rsidR="00100A8B" w:rsidRPr="0029490A" w:rsidRDefault="00100A8B" w:rsidP="005820CD">
            <w:pPr>
              <w:pStyle w:val="Marginlie"/>
              <w:rPr>
                <w:spacing w:val="-6"/>
              </w:rPr>
            </w:pPr>
            <w:r w:rsidRPr="0029490A">
              <w:rPr>
                <w:spacing w:val="-6"/>
              </w:rPr>
              <w:t>Proti citelnějšímu růstu nezaměstnanosti působilo letní oživení průmyslu i vládní stabilizační programy.</w:t>
            </w:r>
          </w:p>
        </w:tc>
        <w:tc>
          <w:tcPr>
            <w:tcW w:w="216" w:type="dxa"/>
            <w:shd w:val="clear" w:color="auto" w:fill="auto"/>
            <w:tcMar>
              <w:left w:w="0" w:type="dxa"/>
            </w:tcMar>
          </w:tcPr>
          <w:p w14:paraId="2C3A7EE3"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5B22A5CD" w14:textId="77777777" w:rsidR="00100A8B" w:rsidRPr="0029490A" w:rsidRDefault="00100A8B" w:rsidP="005820CD">
            <w:pPr>
              <w:spacing w:after="220"/>
              <w:rPr>
                <w:color w:val="0D0D0D" w:themeColor="text1" w:themeTint="F2"/>
                <w:spacing w:val="-6"/>
              </w:rPr>
            </w:pPr>
            <w:r w:rsidRPr="0029490A">
              <w:rPr>
                <w:color w:val="0D0D0D" w:themeColor="text1" w:themeTint="F2"/>
                <w:spacing w:val="-6"/>
              </w:rPr>
              <w:t>Obecná míra nezaměstnanosti</w:t>
            </w:r>
            <w:r w:rsidRPr="0029490A">
              <w:rPr>
                <w:rStyle w:val="Znakapoznpodarou"/>
                <w:color w:val="0D0D0D" w:themeColor="text1" w:themeTint="F2"/>
                <w:spacing w:val="-6"/>
              </w:rPr>
              <w:footnoteReference w:id="46"/>
            </w:r>
            <w:r w:rsidRPr="0029490A">
              <w:rPr>
                <w:color w:val="0D0D0D" w:themeColor="text1" w:themeTint="F2"/>
                <w:spacing w:val="-6"/>
              </w:rPr>
              <w:t xml:space="preserve"> v 1. pololetí 2020 mírně vzrostla. Jestliže v únoru činila 2,0 % a setrvávala blízko historického minima, do června vystoupala na 2,7 %. Během letního období nedoznala významnějších změn</w:t>
            </w:r>
            <w:r w:rsidRPr="0029490A">
              <w:rPr>
                <w:rStyle w:val="Znakapoznpodarou"/>
                <w:color w:val="0D0D0D" w:themeColor="text1" w:themeTint="F2"/>
                <w:spacing w:val="-6"/>
              </w:rPr>
              <w:footnoteReference w:id="47"/>
            </w:r>
            <w:r w:rsidRPr="0029490A">
              <w:rPr>
                <w:color w:val="0D0D0D" w:themeColor="text1" w:themeTint="F2"/>
                <w:spacing w:val="-6"/>
              </w:rPr>
              <w:t>. V září tak bylo bez práce 2,5 % ekonomicky aktivních mužů a 3,2 % žen. Ve srovnání s koncem roku 2019 se nezaměstnanost navýšila u mužů o 0,7 p. b., u žen o 0,9 p. b. Proti citelnějšímu růstu působily zejména vládní stabilizační programy (Antivirus</w:t>
            </w:r>
            <w:r w:rsidRPr="0029490A">
              <w:rPr>
                <w:rStyle w:val="Znakapoznpodarou"/>
                <w:color w:val="0D0D0D" w:themeColor="text1" w:themeTint="F2"/>
                <w:spacing w:val="-6"/>
              </w:rPr>
              <w:footnoteReference w:id="48"/>
            </w:r>
            <w:r w:rsidRPr="0029490A">
              <w:rPr>
                <w:color w:val="0D0D0D" w:themeColor="text1" w:themeTint="F2"/>
                <w:spacing w:val="-6"/>
              </w:rPr>
              <w:t>, ošetřovné</w:t>
            </w:r>
            <w:r w:rsidRPr="0029490A">
              <w:rPr>
                <w:rStyle w:val="Znakapoznpodarou"/>
                <w:color w:val="0D0D0D" w:themeColor="text1" w:themeTint="F2"/>
                <w:spacing w:val="-6"/>
              </w:rPr>
              <w:footnoteReference w:id="49"/>
            </w:r>
            <w:r w:rsidRPr="0029490A">
              <w:rPr>
                <w:color w:val="0D0D0D" w:themeColor="text1" w:themeTint="F2"/>
                <w:spacing w:val="-6"/>
              </w:rPr>
              <w:t xml:space="preserve">). Roli sehrálo také postupné oživení ekonomické aktivity, zejména v průmyslu. </w:t>
            </w:r>
            <w:r w:rsidRPr="0029490A">
              <w:rPr>
                <w:spacing w:val="-6"/>
              </w:rPr>
              <w:t>Pozitivní bylo, že práci stále nacházeli i dlouhodobě nezaměstnaní. Jejich počet meziročně stagnoval a v relaci k celkovému počtu nezaměstnaných (154 tis.) sestoupil k 20 % </w:t>
            </w:r>
            <w:r w:rsidRPr="0029490A">
              <w:rPr>
                <w:rFonts w:cs="Arial"/>
                <w:bCs/>
                <w:color w:val="000000"/>
                <w:spacing w:val="-6"/>
                <w:szCs w:val="20"/>
              </w:rPr>
              <w:t>–</w:t>
            </w:r>
            <w:r w:rsidRPr="0029490A">
              <w:rPr>
                <w:spacing w:val="-6"/>
              </w:rPr>
              <w:t xml:space="preserve"> nejníže od poloviny 90. let. S mírným posílením reálné nezaměstnanosti ostře kontrastovaly obavy domácností z růstu nezaměstnanosti. Ty dosáhly v listopadu</w:t>
            </w:r>
            <w:r w:rsidRPr="0029490A">
              <w:rPr>
                <w:rStyle w:val="Znakapoznpodarou"/>
                <w:spacing w:val="-6"/>
              </w:rPr>
              <w:footnoteReference w:id="50"/>
            </w:r>
            <w:r w:rsidRPr="0029490A">
              <w:rPr>
                <w:spacing w:val="-6"/>
              </w:rPr>
              <w:t xml:space="preserve"> nejvyšší úrovně od počátku roku 2009.</w:t>
            </w:r>
          </w:p>
        </w:tc>
      </w:tr>
      <w:tr w:rsidR="00100A8B" w:rsidRPr="0029490A" w14:paraId="50189358" w14:textId="77777777" w:rsidTr="005820CD">
        <w:trPr>
          <w:trHeight w:val="155"/>
        </w:trPr>
        <w:tc>
          <w:tcPr>
            <w:tcW w:w="1792" w:type="dxa"/>
            <w:vMerge w:val="restart"/>
            <w:shd w:val="clear" w:color="auto" w:fill="auto"/>
            <w:tcMar>
              <w:left w:w="0" w:type="dxa"/>
            </w:tcMar>
          </w:tcPr>
          <w:p w14:paraId="310769EE" w14:textId="77777777" w:rsidR="00100A8B" w:rsidRPr="0029490A" w:rsidRDefault="00100A8B" w:rsidP="005820CD">
            <w:pPr>
              <w:pStyle w:val="Marginlie"/>
              <w:rPr>
                <w:spacing w:val="-6"/>
              </w:rPr>
            </w:pPr>
          </w:p>
        </w:tc>
        <w:tc>
          <w:tcPr>
            <w:tcW w:w="216" w:type="dxa"/>
            <w:vMerge w:val="restart"/>
            <w:shd w:val="clear" w:color="auto" w:fill="auto"/>
            <w:tcMar>
              <w:left w:w="0" w:type="dxa"/>
            </w:tcMar>
          </w:tcPr>
          <w:p w14:paraId="0477A52F"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7D08A7C1" w14:textId="3C1AF952" w:rsidR="00100A8B" w:rsidRPr="0029490A" w:rsidRDefault="00142B29" w:rsidP="005820CD">
            <w:pPr>
              <w:spacing w:after="0"/>
              <w:rPr>
                <w:b/>
                <w:spacing w:val="-6"/>
              </w:rPr>
            </w:pPr>
            <w:r>
              <w:rPr>
                <w:b/>
                <w:spacing w:val="-6"/>
              </w:rPr>
              <w:t>Graf č. 13</w:t>
            </w:r>
            <w:r w:rsidR="00100A8B" w:rsidRPr="0029490A">
              <w:rPr>
                <w:b/>
                <w:spacing w:val="-6"/>
              </w:rPr>
              <w:t xml:space="preserve">  </w:t>
            </w:r>
            <w:r w:rsidR="00100A8B" w:rsidRPr="0029490A">
              <w:rPr>
                <w:rFonts w:cs="Arial"/>
                <w:b/>
                <w:spacing w:val="-6"/>
              </w:rPr>
              <w:t xml:space="preserve">Obecná míra nezaměstnanosti </w:t>
            </w:r>
            <w:r w:rsidR="00100A8B" w:rsidRPr="0029490A">
              <w:rPr>
                <w:rFonts w:cs="Arial"/>
                <w:bCs/>
                <w:spacing w:val="-6"/>
              </w:rPr>
              <w:t>(v %)</w:t>
            </w:r>
            <w:r w:rsidR="00100A8B" w:rsidRPr="0029490A">
              <w:rPr>
                <w:rFonts w:cs="Arial"/>
                <w:b/>
                <w:spacing w:val="-6"/>
              </w:rPr>
              <w:t xml:space="preserve">, podíl dlouhodobě nezaměstnaných a osob ve věku 50 a více let mezi nezaměstnanými </w:t>
            </w:r>
            <w:r w:rsidR="00100A8B" w:rsidRPr="0029490A">
              <w:rPr>
                <w:rFonts w:cs="Arial"/>
                <w:bCs/>
                <w:spacing w:val="-6"/>
              </w:rPr>
              <w:t>(v %)</w:t>
            </w:r>
            <w:r w:rsidR="00100A8B" w:rsidRPr="0029490A">
              <w:rPr>
                <w:rFonts w:cs="Arial"/>
                <w:b/>
                <w:spacing w:val="-6"/>
              </w:rPr>
              <w:t xml:space="preserve">, ekonomicky neaktivní chtějící pracovat </w:t>
            </w:r>
            <w:r w:rsidR="00100A8B" w:rsidRPr="0029490A">
              <w:rPr>
                <w:rFonts w:cs="Arial"/>
                <w:bCs/>
                <w:spacing w:val="-6"/>
              </w:rPr>
              <w:t xml:space="preserve">(v tis.)* </w:t>
            </w:r>
            <w:r w:rsidR="00100A8B" w:rsidRPr="0029490A">
              <w:rPr>
                <w:rFonts w:cs="Arial"/>
                <w:b/>
                <w:bCs/>
                <w:spacing w:val="-6"/>
              </w:rPr>
              <w:t>a očekávání nezaměstnanosti u domácností</w:t>
            </w:r>
            <w:r w:rsidR="00100A8B" w:rsidRPr="0029490A">
              <w:rPr>
                <w:rFonts w:cs="Arial"/>
                <w:bCs/>
                <w:spacing w:val="-6"/>
              </w:rPr>
              <w:t xml:space="preserve"> (v %)**</w:t>
            </w:r>
          </w:p>
        </w:tc>
      </w:tr>
      <w:tr w:rsidR="00100A8B" w:rsidRPr="0029490A" w14:paraId="3B3578AD" w14:textId="77777777" w:rsidTr="005820CD">
        <w:tblPrEx>
          <w:tblCellMar>
            <w:left w:w="70" w:type="dxa"/>
            <w:right w:w="70" w:type="dxa"/>
          </w:tblCellMar>
        </w:tblPrEx>
        <w:trPr>
          <w:trHeight w:val="155"/>
        </w:trPr>
        <w:tc>
          <w:tcPr>
            <w:tcW w:w="1792" w:type="dxa"/>
            <w:vMerge/>
            <w:shd w:val="clear" w:color="auto" w:fill="auto"/>
          </w:tcPr>
          <w:p w14:paraId="59D9771A" w14:textId="77777777" w:rsidR="00100A8B" w:rsidRPr="0029490A" w:rsidRDefault="00100A8B" w:rsidP="005820CD">
            <w:pPr>
              <w:pStyle w:val="Marginlie"/>
              <w:rPr>
                <w:spacing w:val="-6"/>
              </w:rPr>
            </w:pPr>
          </w:p>
        </w:tc>
        <w:tc>
          <w:tcPr>
            <w:tcW w:w="216" w:type="dxa"/>
            <w:vMerge/>
            <w:shd w:val="clear" w:color="auto" w:fill="auto"/>
          </w:tcPr>
          <w:p w14:paraId="06BAFC03" w14:textId="77777777" w:rsidR="00100A8B" w:rsidRPr="0029490A" w:rsidRDefault="00100A8B" w:rsidP="005820CD">
            <w:pPr>
              <w:pStyle w:val="Textpoznpodarou"/>
              <w:jc w:val="both"/>
              <w:rPr>
                <w:spacing w:val="-6"/>
              </w:rPr>
            </w:pPr>
          </w:p>
        </w:tc>
        <w:tc>
          <w:tcPr>
            <w:tcW w:w="7656" w:type="dxa"/>
            <w:shd w:val="clear" w:color="auto" w:fill="auto"/>
          </w:tcPr>
          <w:p w14:paraId="4E62B137" w14:textId="77777777" w:rsidR="00100A8B" w:rsidRPr="0029490A" w:rsidRDefault="00100A8B" w:rsidP="005820CD">
            <w:pPr>
              <w:spacing w:after="0"/>
              <w:rPr>
                <w:spacing w:val="-6"/>
              </w:rPr>
            </w:pPr>
            <w:r w:rsidRPr="0029490A">
              <w:rPr>
                <w:noProof/>
                <w:spacing w:val="-6"/>
              </w:rPr>
              <w:drawing>
                <wp:inline distT="0" distB="0" distL="0" distR="0" wp14:anchorId="52E9C16D" wp14:editId="6CAE6114">
                  <wp:extent cx="4726940" cy="341194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100A8B" w:rsidRPr="0029490A" w14:paraId="6DA85841" w14:textId="77777777" w:rsidTr="005820CD">
        <w:trPr>
          <w:trHeight w:val="671"/>
        </w:trPr>
        <w:tc>
          <w:tcPr>
            <w:tcW w:w="1792" w:type="dxa"/>
            <w:vMerge/>
            <w:shd w:val="clear" w:color="auto" w:fill="auto"/>
            <w:tcMar>
              <w:left w:w="0" w:type="dxa"/>
            </w:tcMar>
          </w:tcPr>
          <w:p w14:paraId="0D635BB1" w14:textId="77777777" w:rsidR="00100A8B" w:rsidRPr="0029490A" w:rsidRDefault="00100A8B" w:rsidP="005820CD">
            <w:pPr>
              <w:pStyle w:val="Marginlie"/>
              <w:rPr>
                <w:spacing w:val="-6"/>
              </w:rPr>
            </w:pPr>
          </w:p>
        </w:tc>
        <w:tc>
          <w:tcPr>
            <w:tcW w:w="216" w:type="dxa"/>
            <w:vMerge/>
            <w:shd w:val="clear" w:color="auto" w:fill="auto"/>
            <w:tcMar>
              <w:left w:w="0" w:type="dxa"/>
            </w:tcMar>
          </w:tcPr>
          <w:p w14:paraId="37C15CC8"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10114970" w14:textId="77777777" w:rsidR="00100A8B" w:rsidRPr="0029490A" w:rsidRDefault="00100A8B" w:rsidP="005820CD">
            <w:pPr>
              <w:spacing w:after="0" w:line="240" w:lineRule="auto"/>
              <w:rPr>
                <w:rFonts w:cs="Arial"/>
                <w:color w:val="0D0D0D" w:themeColor="text1" w:themeTint="F2"/>
                <w:spacing w:val="-6"/>
                <w:sz w:val="14"/>
                <w:szCs w:val="14"/>
              </w:rPr>
            </w:pPr>
            <w:r w:rsidRPr="0029490A">
              <w:rPr>
                <w:rFonts w:cs="Arial"/>
                <w:color w:val="0D0D0D" w:themeColor="text1" w:themeTint="F2"/>
                <w:spacing w:val="-6"/>
                <w:sz w:val="14"/>
                <w:szCs w:val="14"/>
              </w:rPr>
              <w:t>Pozn.: Údaje o míře nezaměstnanosti jsou po sezónním očištění, ostatní ukazatele nikoliv.</w:t>
            </w:r>
          </w:p>
          <w:p w14:paraId="023B0CEE" w14:textId="77777777" w:rsidR="00100A8B" w:rsidRPr="0029490A" w:rsidRDefault="00100A8B" w:rsidP="005820CD">
            <w:pPr>
              <w:spacing w:after="0" w:line="240" w:lineRule="auto"/>
              <w:rPr>
                <w:rFonts w:cs="Arial"/>
                <w:color w:val="0D0D0D" w:themeColor="text1" w:themeTint="F2"/>
                <w:spacing w:val="-6"/>
                <w:sz w:val="14"/>
                <w:szCs w:val="14"/>
              </w:rPr>
            </w:pPr>
            <w:r w:rsidRPr="0029490A">
              <w:rPr>
                <w:rFonts w:cs="Arial"/>
                <w:bCs/>
                <w:color w:val="0D0D0D" w:themeColor="text1" w:themeTint="F2"/>
                <w:spacing w:val="-6"/>
                <w:sz w:val="14"/>
                <w:szCs w:val="14"/>
              </w:rPr>
              <w:t>*Jde o osoby, které nepracují, aktivně práci nehledají,</w:t>
            </w:r>
            <w:r w:rsidRPr="0029490A">
              <w:rPr>
                <w:rFonts w:cs="Arial"/>
                <w:color w:val="0D0D0D" w:themeColor="text1" w:themeTint="F2"/>
                <w:spacing w:val="-6"/>
                <w:sz w:val="14"/>
                <w:szCs w:val="14"/>
              </w:rPr>
              <w:t xml:space="preserve"> ale přitom uvádějí, že by chtěly pracovat.</w:t>
            </w:r>
          </w:p>
          <w:p w14:paraId="2E6BC5A0" w14:textId="77777777" w:rsidR="00100A8B" w:rsidRPr="0029490A" w:rsidRDefault="00100A8B" w:rsidP="005820CD">
            <w:pPr>
              <w:spacing w:after="0" w:line="240" w:lineRule="auto"/>
              <w:rPr>
                <w:rFonts w:cs="Arial"/>
                <w:color w:val="0D0D0D" w:themeColor="text1" w:themeTint="F2"/>
                <w:spacing w:val="-6"/>
                <w:sz w:val="14"/>
                <w:szCs w:val="14"/>
              </w:rPr>
            </w:pPr>
            <w:r w:rsidRPr="0029490A">
              <w:rPr>
                <w:rFonts w:cs="Arial"/>
                <w:color w:val="0D0D0D" w:themeColor="text1" w:themeTint="F2"/>
                <w:spacing w:val="-6"/>
                <w:sz w:val="14"/>
                <w:szCs w:val="14"/>
              </w:rPr>
              <w:t>**Sezónně očištěné saldo očekávání nezaměstnanosti v nejbližších 12 měsících (rozdíl mezi procentuální četností odpovědí domácností „růst“ a „pokles“ vyjádřený v procentních bodech). Údaje se vztahují k prostřednímu měsíci daného čtvrtletí.</w:t>
            </w:r>
          </w:p>
          <w:p w14:paraId="778969AF" w14:textId="77777777" w:rsidR="00100A8B" w:rsidRPr="0029490A" w:rsidRDefault="00100A8B" w:rsidP="005820CD">
            <w:pPr>
              <w:spacing w:after="200" w:line="240" w:lineRule="auto"/>
              <w:rPr>
                <w:rFonts w:cs="Arial"/>
                <w:color w:val="0D0D0D" w:themeColor="text1" w:themeTint="F2"/>
                <w:spacing w:val="-6"/>
                <w:sz w:val="14"/>
                <w:szCs w:val="14"/>
              </w:rPr>
            </w:pPr>
            <w:r w:rsidRPr="0029490A">
              <w:rPr>
                <w:rFonts w:cs="Arial"/>
                <w:color w:val="0D0D0D" w:themeColor="text1" w:themeTint="F2"/>
                <w:spacing w:val="-6"/>
                <w:sz w:val="14"/>
                <w:szCs w:val="14"/>
              </w:rPr>
              <w:t>Zdroj: ČSÚ (VŠPS, konjunkturální průzkum)</w:t>
            </w:r>
          </w:p>
        </w:tc>
      </w:tr>
      <w:tr w:rsidR="00100A8B" w:rsidRPr="0029490A" w14:paraId="76EBD8D1" w14:textId="77777777" w:rsidTr="005820CD">
        <w:trPr>
          <w:trHeight w:val="145"/>
        </w:trPr>
        <w:tc>
          <w:tcPr>
            <w:tcW w:w="1792" w:type="dxa"/>
            <w:shd w:val="clear" w:color="auto" w:fill="auto"/>
            <w:tcMar>
              <w:left w:w="0" w:type="dxa"/>
            </w:tcMar>
          </w:tcPr>
          <w:p w14:paraId="6E4EB537" w14:textId="77777777" w:rsidR="00100A8B" w:rsidRPr="0029490A" w:rsidRDefault="00100A8B" w:rsidP="005820CD">
            <w:pPr>
              <w:pStyle w:val="Marginlie"/>
              <w:rPr>
                <w:spacing w:val="-6"/>
              </w:rPr>
            </w:pPr>
            <w:r w:rsidRPr="0029490A">
              <w:rPr>
                <w:spacing w:val="-6"/>
              </w:rPr>
              <w:t>Počet volných pracovních míst se na přelomu 3. a 4. čtvrtletí výrazněji snížil. Přesto byl stále vyšší než počet uchazečů o práci.</w:t>
            </w:r>
          </w:p>
        </w:tc>
        <w:tc>
          <w:tcPr>
            <w:tcW w:w="216" w:type="dxa"/>
            <w:shd w:val="clear" w:color="auto" w:fill="auto"/>
            <w:tcMar>
              <w:left w:w="0" w:type="dxa"/>
            </w:tcMar>
          </w:tcPr>
          <w:p w14:paraId="5C8AE5B5"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579B2BCA" w14:textId="77777777" w:rsidR="00100A8B" w:rsidRPr="0029490A" w:rsidRDefault="00100A8B" w:rsidP="005820CD">
            <w:pPr>
              <w:spacing w:after="160"/>
              <w:rPr>
                <w:spacing w:val="-6"/>
              </w:rPr>
            </w:pPr>
            <w:r w:rsidRPr="0029490A">
              <w:rPr>
                <w:color w:val="0D0D0D" w:themeColor="text1" w:themeTint="F2"/>
                <w:spacing w:val="-6"/>
              </w:rPr>
              <w:t xml:space="preserve">Počet volných pracovních míst v nabídce </w:t>
            </w:r>
            <w:r w:rsidRPr="0029490A">
              <w:rPr>
                <w:spacing w:val="-6"/>
              </w:rPr>
              <w:t xml:space="preserve">úřadů práce se po dosažení absolutního maxima z února 2020 (352 tis.) snižoval. Větší úbytek byl hlášen zejména během září a října. Na konci října bylo nabízeno 311 tis. míst, nejméně za posledních 27 měsíců. Meziročně se celková nabídka snížila o 8 %, z toho v kategorii míst pro osoby s nižším středním odborným vzděláním a vyučené o 23 %. Pozic ale ubylo i pro uchazeče s ostatními stupni vzdělání. Pokles počtu míst byl v zásadě plošný také u hlavních tříd zaměstnání. Ve váhově dominantní kategorii – obsluha strojů a zařízení – činil 14 %. Přibyla místa jen pro kvalifikované </w:t>
            </w:r>
            <w:r w:rsidRPr="0029490A">
              <w:rPr>
                <w:spacing w:val="-6"/>
              </w:rPr>
              <w:lastRenderedPageBreak/>
              <w:t>pracovníky v zemědělství a lesnictví. Počet všech nabízených míst stále mírně převyšoval počet registrovaných uchazečů (272 tis.)</w:t>
            </w:r>
            <w:r w:rsidRPr="0029490A">
              <w:rPr>
                <w:rStyle w:val="Znakapoznpodarou"/>
                <w:spacing w:val="-6"/>
              </w:rPr>
              <w:footnoteReference w:id="51"/>
            </w:r>
            <w:r w:rsidRPr="0029490A">
              <w:rPr>
                <w:spacing w:val="-6"/>
              </w:rPr>
              <w:t>.</w:t>
            </w:r>
          </w:p>
        </w:tc>
      </w:tr>
      <w:tr w:rsidR="00100A8B" w:rsidRPr="0029490A" w14:paraId="0B548949" w14:textId="77777777" w:rsidTr="005820CD">
        <w:trPr>
          <w:trHeight w:val="145"/>
        </w:trPr>
        <w:tc>
          <w:tcPr>
            <w:tcW w:w="1792" w:type="dxa"/>
            <w:shd w:val="clear" w:color="auto" w:fill="auto"/>
            <w:tcMar>
              <w:left w:w="0" w:type="dxa"/>
            </w:tcMar>
          </w:tcPr>
          <w:p w14:paraId="50E9D478" w14:textId="77777777" w:rsidR="00100A8B" w:rsidRPr="0029490A" w:rsidRDefault="00100A8B" w:rsidP="005820CD">
            <w:pPr>
              <w:pStyle w:val="Marginlie"/>
              <w:rPr>
                <w:spacing w:val="-6"/>
              </w:rPr>
            </w:pPr>
            <w:r w:rsidRPr="0029490A">
              <w:rPr>
                <w:spacing w:val="-6"/>
              </w:rPr>
              <w:lastRenderedPageBreak/>
              <w:t>Celková míra nezaměstnanosti se za tři čtvrtletí 2020 ve většině států EU zvýšila jen mírně. Svižněji posílila u lidí do 25 let.</w:t>
            </w:r>
          </w:p>
          <w:p w14:paraId="3588D3E4" w14:textId="77777777" w:rsidR="00100A8B" w:rsidRPr="0029490A" w:rsidRDefault="00100A8B" w:rsidP="005820CD">
            <w:pPr>
              <w:pStyle w:val="Marginlie"/>
              <w:rPr>
                <w:spacing w:val="-6"/>
              </w:rPr>
            </w:pPr>
          </w:p>
          <w:p w14:paraId="5D359291" w14:textId="77777777" w:rsidR="00100A8B" w:rsidRPr="0029490A" w:rsidRDefault="00100A8B" w:rsidP="005820CD">
            <w:pPr>
              <w:pStyle w:val="Marginlie"/>
              <w:rPr>
                <w:spacing w:val="-6"/>
              </w:rPr>
            </w:pPr>
          </w:p>
          <w:p w14:paraId="6B449C1D" w14:textId="77777777" w:rsidR="00100A8B" w:rsidRPr="0029490A" w:rsidRDefault="00100A8B" w:rsidP="005820CD">
            <w:pPr>
              <w:pStyle w:val="Marginlie"/>
              <w:rPr>
                <w:spacing w:val="-6"/>
              </w:rPr>
            </w:pPr>
          </w:p>
          <w:p w14:paraId="422603C3" w14:textId="77777777" w:rsidR="00100A8B" w:rsidRPr="0029490A" w:rsidRDefault="00100A8B" w:rsidP="005820CD">
            <w:pPr>
              <w:pStyle w:val="Marginlie"/>
              <w:rPr>
                <w:spacing w:val="-6"/>
              </w:rPr>
            </w:pPr>
          </w:p>
          <w:p w14:paraId="476B3A2A" w14:textId="77777777" w:rsidR="00100A8B" w:rsidRPr="0029490A" w:rsidRDefault="00100A8B" w:rsidP="005820CD">
            <w:pPr>
              <w:pStyle w:val="Marginlie"/>
              <w:rPr>
                <w:spacing w:val="-6"/>
              </w:rPr>
            </w:pPr>
          </w:p>
          <w:p w14:paraId="77A32D6E" w14:textId="77777777" w:rsidR="00100A8B" w:rsidRPr="0029490A" w:rsidRDefault="00100A8B" w:rsidP="005820CD">
            <w:pPr>
              <w:pStyle w:val="Marginlie"/>
              <w:rPr>
                <w:spacing w:val="-6"/>
              </w:rPr>
            </w:pPr>
          </w:p>
          <w:p w14:paraId="4A12BC70" w14:textId="77777777" w:rsidR="00100A8B" w:rsidRPr="0029490A" w:rsidRDefault="00100A8B" w:rsidP="005820CD">
            <w:pPr>
              <w:pStyle w:val="Marginlie"/>
              <w:rPr>
                <w:spacing w:val="-6"/>
              </w:rPr>
            </w:pPr>
          </w:p>
          <w:p w14:paraId="4BD3E8AF" w14:textId="77777777" w:rsidR="00100A8B" w:rsidRPr="0029490A" w:rsidRDefault="00100A8B" w:rsidP="005820CD">
            <w:pPr>
              <w:pStyle w:val="Marginlie"/>
              <w:rPr>
                <w:spacing w:val="-6"/>
              </w:rPr>
            </w:pPr>
          </w:p>
          <w:p w14:paraId="1B924CCE" w14:textId="77777777" w:rsidR="00100A8B" w:rsidRPr="0029490A" w:rsidRDefault="00100A8B" w:rsidP="005820CD">
            <w:pPr>
              <w:pStyle w:val="Marginlie"/>
              <w:rPr>
                <w:spacing w:val="-6"/>
              </w:rPr>
            </w:pPr>
          </w:p>
          <w:p w14:paraId="56993C66" w14:textId="77777777" w:rsidR="00100A8B" w:rsidRPr="0029490A" w:rsidRDefault="00100A8B" w:rsidP="005820CD">
            <w:pPr>
              <w:pStyle w:val="Marginlie"/>
              <w:rPr>
                <w:spacing w:val="-6"/>
              </w:rPr>
            </w:pPr>
            <w:r w:rsidRPr="0029490A">
              <w:rPr>
                <w:spacing w:val="-6"/>
              </w:rPr>
              <w:t>Reakce pracovního trhu v USA na pandemický šok byla ve srovnání s EU silná.</w:t>
            </w:r>
          </w:p>
        </w:tc>
        <w:tc>
          <w:tcPr>
            <w:tcW w:w="216" w:type="dxa"/>
            <w:shd w:val="clear" w:color="auto" w:fill="auto"/>
            <w:tcMar>
              <w:left w:w="0" w:type="dxa"/>
            </w:tcMar>
          </w:tcPr>
          <w:p w14:paraId="4FAEEC6C"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04B0BD23" w14:textId="77777777" w:rsidR="00100A8B" w:rsidRPr="0029490A" w:rsidRDefault="00100A8B" w:rsidP="005820CD">
            <w:pPr>
              <w:spacing w:after="160"/>
              <w:rPr>
                <w:spacing w:val="-6"/>
              </w:rPr>
            </w:pPr>
            <w:r w:rsidRPr="0029490A">
              <w:rPr>
                <w:spacing w:val="-6"/>
              </w:rPr>
              <w:t>Míra obecné nezaměstnanosti</w:t>
            </w:r>
            <w:r w:rsidRPr="0029490A">
              <w:rPr>
                <w:rStyle w:val="Znakapoznpodarou"/>
                <w:color w:val="0D0D0D" w:themeColor="text1" w:themeTint="F2"/>
                <w:spacing w:val="-6"/>
              </w:rPr>
              <w:footnoteReference w:id="52"/>
            </w:r>
            <w:r w:rsidRPr="0029490A">
              <w:rPr>
                <w:spacing w:val="-6"/>
              </w:rPr>
              <w:t xml:space="preserve"> vzrostla mezi prosincem 2019 a zářím 2020 v drtivé většině zemí EU jen mírně (v celé Unii o 1,0 p. b., v ČR o 0,8). Nárůst o více než 3 p. b. zaznamenaly jen Estonsko a Litva. Shodně jako v Česku, i v celé EU sílila rychleji míra nezaměstnanosti žen (ze 6,8 % na 7,9 %) než mužů (ze 6,3 % na 7,1 %). Míra nezaměstnanosti mužů i žen v ČR se i v září nacházela v rámci států Unie na minimu. Na opačné straně spektra figurovalo Španělsko (14,6 %, muži), resp. Řecko (20,2 %, ženy). Silněji byli letos zasaženi nejmladší pracovníci. Míra nezaměstnanosti osob do 25 let vzrostla v EU za tři čtvrtletí 2020 o 2,3 p. b. (na 17,1 %), v ČR o 3,2 p. b. (na 8,1 %). K růstu o více než 10 p. b. došlo v Litvě, Estonsku a také ve Španělsku, kde bylo v září v této skupině bez práce 40 % lidí. Rozdíly mezi státy EU v dosavadních dopadech šoku na pracovní trh byly ovlivněny rychlostí i intenzitou přijatých </w:t>
            </w:r>
            <w:proofErr w:type="spellStart"/>
            <w:r w:rsidRPr="0029490A">
              <w:rPr>
                <w:spacing w:val="-6"/>
              </w:rPr>
              <w:t>protipandemických</w:t>
            </w:r>
            <w:proofErr w:type="spellEnd"/>
            <w:r w:rsidRPr="0029490A">
              <w:rPr>
                <w:spacing w:val="-6"/>
              </w:rPr>
              <w:t xml:space="preserve"> opatření, odvětvovou skladbou ekonomiky i rozsahem </w:t>
            </w:r>
            <w:r w:rsidRPr="0029490A">
              <w:rPr>
                <w:spacing w:val="-6"/>
                <w:szCs w:val="20"/>
              </w:rPr>
              <w:t>vládních stabilizačních opatření cílených na zaměstnavatele i drobné podnikatele. Odlišně reagoval na „pandemický šok“ flexibilnější pracovní trh v USA. Zatímco v březnu zde míra nezaměstnanosti dosahovala 4,4 %, v dubnu stoupla na 14,7 %. V dalších měsících již setrvale klesala. V září činila 7,9 %, a byla tak o 2 p. b. nižší než za vrcholu recese v roce 2009.</w:t>
            </w:r>
          </w:p>
        </w:tc>
      </w:tr>
      <w:tr w:rsidR="00100A8B" w:rsidRPr="0029490A" w14:paraId="514EA796" w14:textId="77777777" w:rsidTr="005820CD">
        <w:trPr>
          <w:trHeight w:val="145"/>
        </w:trPr>
        <w:tc>
          <w:tcPr>
            <w:tcW w:w="1792" w:type="dxa"/>
            <w:shd w:val="clear" w:color="auto" w:fill="auto"/>
            <w:tcMar>
              <w:left w:w="0" w:type="dxa"/>
            </w:tcMar>
          </w:tcPr>
          <w:p w14:paraId="45237762" w14:textId="77777777" w:rsidR="00100A8B" w:rsidRPr="0029490A" w:rsidRDefault="00100A8B" w:rsidP="005820CD">
            <w:pPr>
              <w:pStyle w:val="Marginlie"/>
              <w:rPr>
                <w:spacing w:val="-6"/>
              </w:rPr>
            </w:pPr>
            <w:r w:rsidRPr="0029490A">
              <w:rPr>
                <w:spacing w:val="-6"/>
              </w:rPr>
              <w:t>Meziroční růst průměrných mezd v ekonomice se v letním období vrátil k tempu z počátku roku. To ale neplatilo pro většinu tržních odvětví, kde trend oslabování mezd pokračoval.</w:t>
            </w:r>
          </w:p>
        </w:tc>
        <w:tc>
          <w:tcPr>
            <w:tcW w:w="216" w:type="dxa"/>
            <w:shd w:val="clear" w:color="auto" w:fill="auto"/>
            <w:tcMar>
              <w:left w:w="0" w:type="dxa"/>
            </w:tcMar>
          </w:tcPr>
          <w:p w14:paraId="7CA7B77A"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4936AB19" w14:textId="77777777" w:rsidR="00100A8B" w:rsidRPr="0029490A" w:rsidRDefault="00100A8B" w:rsidP="005820CD">
            <w:pPr>
              <w:spacing w:after="200"/>
              <w:rPr>
                <w:spacing w:val="-6"/>
              </w:rPr>
            </w:pPr>
            <w:r w:rsidRPr="0029490A">
              <w:rPr>
                <w:spacing w:val="-6"/>
              </w:rPr>
              <w:t>Průměrná hrubá měsíční nominální mzda zaměstnance ve 3. čtvrtletí 2020 dosáhla 35,4 tis. korun a meziročně vzrostla o 5,1 %. Proti předchozímu čtvrtletí se navýšila o 5,8 %. Tehdy však byly mzdy výrazně ovlivněny bezprecedentním poklesem počtu odpracovaných hodin. Z důvodu karanténních opatření i dlouhodobějšího poklesu poptávky došlo k omezení činnosti či dočasnému uzavření části provozoven hlavně v oblasti tržních služeb či zpracovatelského průmyslu</w:t>
            </w:r>
            <w:r w:rsidRPr="0029490A">
              <w:rPr>
                <w:rStyle w:val="Znakapoznpodarou"/>
                <w:color w:val="0D0D0D" w:themeColor="text1" w:themeTint="F2"/>
                <w:spacing w:val="-6"/>
              </w:rPr>
              <w:footnoteReference w:id="53"/>
            </w:r>
            <w:r w:rsidRPr="0029490A">
              <w:rPr>
                <w:spacing w:val="-6"/>
              </w:rPr>
              <w:t>. Důvody pro výše uvedené krácení mezd ve 3. čtvrtletí z velké části pominuly. Meziroční růst mezd v celé ekonomice se tak sice vrátil k tempu z 1. čtvrtletí (5,1 %), bylo to však téměř výhradně zásluhou jeho akcelerace v oblasti veřejných služeb, neboť v drtivé většině tržních odvětví (zejména v průmyslu či obchodu) pokračoval dlouhodobější trend oslabování mzdové dynamiky (patrný již během roku 2019). Na druhé straně proti hlubší redukci výše výdělků působily administrativní vlivy (navýšení minimální mzdy i pásem zaručených mezd) i napjatý stav na pracovním trhu na počátku roku (vyznačující se mimo jiné nedostatkem pracovní síly). Ten v některých odvětvích zčásti přetrvával i v letním období. Roli sehrála i rigidita mezd (uzavírání dlouhodobějších vnitropodnikových dohod o růstu mezd či tarifní systém v rozpočtové sféře).</w:t>
            </w:r>
          </w:p>
        </w:tc>
      </w:tr>
      <w:tr w:rsidR="00100A8B" w:rsidRPr="0029490A" w14:paraId="66A302B8" w14:textId="77777777" w:rsidTr="005820CD">
        <w:trPr>
          <w:trHeight w:val="145"/>
        </w:trPr>
        <w:tc>
          <w:tcPr>
            <w:tcW w:w="1792" w:type="dxa"/>
            <w:shd w:val="clear" w:color="auto" w:fill="auto"/>
            <w:tcMar>
              <w:left w:w="0" w:type="dxa"/>
            </w:tcMar>
          </w:tcPr>
          <w:p w14:paraId="51800699" w14:textId="77777777" w:rsidR="00100A8B" w:rsidRPr="0029490A" w:rsidRDefault="00100A8B" w:rsidP="005820CD">
            <w:pPr>
              <w:pStyle w:val="Marginlie"/>
              <w:rPr>
                <w:spacing w:val="-6"/>
              </w:rPr>
            </w:pPr>
            <w:r w:rsidRPr="0029490A">
              <w:rPr>
                <w:spacing w:val="-6"/>
              </w:rPr>
              <w:t>Mzdový růst ve zdravotní a sociální péči zrychlil na nejvyšší tempo od počátku roku 2003.</w:t>
            </w:r>
          </w:p>
          <w:p w14:paraId="378A0502" w14:textId="77777777" w:rsidR="00100A8B" w:rsidRPr="0029490A" w:rsidRDefault="00100A8B" w:rsidP="005820CD">
            <w:pPr>
              <w:pStyle w:val="Marginlie"/>
              <w:rPr>
                <w:spacing w:val="-6"/>
              </w:rPr>
            </w:pPr>
          </w:p>
          <w:p w14:paraId="44EEE702" w14:textId="77777777" w:rsidR="00100A8B" w:rsidRPr="0029490A" w:rsidRDefault="00100A8B" w:rsidP="005820CD">
            <w:pPr>
              <w:pStyle w:val="Marginlie"/>
              <w:rPr>
                <w:spacing w:val="-6"/>
              </w:rPr>
            </w:pPr>
          </w:p>
          <w:p w14:paraId="1C2103EE" w14:textId="77777777" w:rsidR="00100A8B" w:rsidRPr="0029490A" w:rsidRDefault="00100A8B" w:rsidP="005820CD">
            <w:pPr>
              <w:pStyle w:val="Marginlie"/>
              <w:rPr>
                <w:spacing w:val="-6"/>
              </w:rPr>
            </w:pPr>
          </w:p>
          <w:p w14:paraId="39A090E3" w14:textId="77777777" w:rsidR="00100A8B" w:rsidRPr="0029490A" w:rsidRDefault="00100A8B" w:rsidP="005820CD">
            <w:pPr>
              <w:pStyle w:val="Marginlie"/>
              <w:rPr>
                <w:spacing w:val="-6"/>
              </w:rPr>
            </w:pPr>
          </w:p>
          <w:p w14:paraId="5FE31C9F" w14:textId="77777777" w:rsidR="00100A8B" w:rsidRPr="0029490A" w:rsidRDefault="00100A8B" w:rsidP="005820CD">
            <w:pPr>
              <w:pStyle w:val="Marginlie"/>
              <w:rPr>
                <w:spacing w:val="-6"/>
              </w:rPr>
            </w:pPr>
          </w:p>
          <w:p w14:paraId="26CDD688" w14:textId="77777777" w:rsidR="00100A8B" w:rsidRPr="0029490A" w:rsidRDefault="00100A8B" w:rsidP="005820CD">
            <w:pPr>
              <w:pStyle w:val="Marginlie"/>
              <w:rPr>
                <w:spacing w:val="-6"/>
              </w:rPr>
            </w:pPr>
            <w:r w:rsidRPr="0029490A">
              <w:rPr>
                <w:spacing w:val="-6"/>
              </w:rPr>
              <w:t xml:space="preserve">Růst průměrných mezd v administrativních a podpůrných činnostech byl patrně ovlivněn větším propouštěním </w:t>
            </w:r>
            <w:proofErr w:type="spellStart"/>
            <w:r w:rsidRPr="0029490A">
              <w:rPr>
                <w:spacing w:val="-6"/>
              </w:rPr>
              <w:t>nízkovýdělkových</w:t>
            </w:r>
            <w:proofErr w:type="spellEnd"/>
            <w:r w:rsidRPr="0029490A">
              <w:rPr>
                <w:spacing w:val="-6"/>
              </w:rPr>
              <w:t xml:space="preserve"> agenturních pracovníků.</w:t>
            </w:r>
          </w:p>
          <w:p w14:paraId="41ABDFEB" w14:textId="77777777" w:rsidR="00100A8B" w:rsidRPr="0029490A" w:rsidRDefault="00100A8B" w:rsidP="005820CD">
            <w:pPr>
              <w:pStyle w:val="Marginlie"/>
              <w:rPr>
                <w:spacing w:val="-6"/>
              </w:rPr>
            </w:pPr>
          </w:p>
          <w:p w14:paraId="79BA2344" w14:textId="77777777" w:rsidR="00100A8B" w:rsidRPr="0029490A" w:rsidRDefault="00100A8B" w:rsidP="005820CD">
            <w:pPr>
              <w:pStyle w:val="Marginlie"/>
              <w:rPr>
                <w:spacing w:val="-6"/>
              </w:rPr>
            </w:pPr>
          </w:p>
          <w:p w14:paraId="74E7F34B" w14:textId="77777777" w:rsidR="00100A8B" w:rsidRPr="0029490A" w:rsidRDefault="00100A8B" w:rsidP="005820CD">
            <w:pPr>
              <w:pStyle w:val="Marginlie"/>
              <w:rPr>
                <w:spacing w:val="-6"/>
              </w:rPr>
            </w:pPr>
            <w:r w:rsidRPr="0029490A">
              <w:rPr>
                <w:spacing w:val="-6"/>
              </w:rPr>
              <w:t>Objem vyplacených mezd v ubytování, stravování a pohostinství propadl meziročně o sedminu. Mírněji se snížil také ve většině odvětví průmyslu.</w:t>
            </w:r>
          </w:p>
          <w:p w14:paraId="016D6D60" w14:textId="77777777" w:rsidR="00100A8B" w:rsidRPr="0029490A" w:rsidRDefault="00100A8B" w:rsidP="005820CD">
            <w:pPr>
              <w:pStyle w:val="Marginlie"/>
              <w:rPr>
                <w:spacing w:val="-6"/>
              </w:rPr>
            </w:pPr>
          </w:p>
          <w:p w14:paraId="5E09A95B" w14:textId="77777777" w:rsidR="00100A8B" w:rsidRPr="0029490A" w:rsidRDefault="00100A8B" w:rsidP="005820CD">
            <w:pPr>
              <w:pStyle w:val="Marginlie"/>
              <w:rPr>
                <w:spacing w:val="-6"/>
              </w:rPr>
            </w:pPr>
          </w:p>
          <w:p w14:paraId="33B2EBB7" w14:textId="77777777" w:rsidR="00100A8B" w:rsidRPr="0029490A" w:rsidRDefault="00100A8B" w:rsidP="005820CD">
            <w:pPr>
              <w:pStyle w:val="Marginlie"/>
              <w:rPr>
                <w:spacing w:val="-6"/>
              </w:rPr>
            </w:pPr>
          </w:p>
          <w:p w14:paraId="7209A0BF" w14:textId="77777777" w:rsidR="00100A8B" w:rsidRPr="0029490A" w:rsidRDefault="00100A8B" w:rsidP="005820CD">
            <w:pPr>
              <w:pStyle w:val="Marginlie"/>
              <w:rPr>
                <w:spacing w:val="-6"/>
              </w:rPr>
            </w:pPr>
          </w:p>
          <w:p w14:paraId="7668B459" w14:textId="77777777" w:rsidR="00100A8B" w:rsidRPr="0029490A" w:rsidRDefault="00100A8B" w:rsidP="005820CD">
            <w:pPr>
              <w:pStyle w:val="Marginlie"/>
              <w:rPr>
                <w:spacing w:val="-6"/>
              </w:rPr>
            </w:pPr>
          </w:p>
          <w:p w14:paraId="29DBA901" w14:textId="77777777" w:rsidR="00100A8B" w:rsidRPr="0029490A" w:rsidRDefault="00100A8B" w:rsidP="005820CD">
            <w:pPr>
              <w:pStyle w:val="Marginlie"/>
              <w:rPr>
                <w:spacing w:val="-6"/>
              </w:rPr>
            </w:pPr>
            <w:r w:rsidRPr="0029490A">
              <w:rPr>
                <w:spacing w:val="-6"/>
              </w:rPr>
              <w:t>Průměrná měsíční mzda v informačních a komunikačních činnostech ve 3. čtvrtletí přesála 60 tis. korun.</w:t>
            </w:r>
          </w:p>
        </w:tc>
        <w:tc>
          <w:tcPr>
            <w:tcW w:w="216" w:type="dxa"/>
            <w:shd w:val="clear" w:color="auto" w:fill="auto"/>
            <w:tcMar>
              <w:left w:w="0" w:type="dxa"/>
            </w:tcMar>
          </w:tcPr>
          <w:p w14:paraId="6AEF49C7"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78EE3CE5" w14:textId="77777777" w:rsidR="00100A8B" w:rsidRPr="0029490A" w:rsidRDefault="00100A8B" w:rsidP="005820CD">
            <w:pPr>
              <w:spacing w:after="180"/>
              <w:rPr>
                <w:spacing w:val="-6"/>
              </w:rPr>
            </w:pPr>
            <w:r w:rsidRPr="0029490A">
              <w:rPr>
                <w:spacing w:val="-6"/>
                <w:szCs w:val="20"/>
              </w:rPr>
              <w:t xml:space="preserve">Výrazně nerovnoměrný dopad </w:t>
            </w:r>
            <w:proofErr w:type="spellStart"/>
            <w:r w:rsidRPr="0029490A">
              <w:rPr>
                <w:spacing w:val="-6"/>
                <w:szCs w:val="20"/>
              </w:rPr>
              <w:t>protipandemických</w:t>
            </w:r>
            <w:proofErr w:type="spellEnd"/>
            <w:r w:rsidRPr="0029490A">
              <w:rPr>
                <w:spacing w:val="-6"/>
                <w:szCs w:val="20"/>
              </w:rPr>
              <w:t xml:space="preserve"> opatření i odlišná pružnost různých segmentů pracovního trhu (například vazba objemu výdělků na počet odpracovaných hodin) se promítly ve značně diferencovaném vývoji mezd na úrovni jednotlivých odvětví. Ve 3. čtvrtletí 2020 rostly průměrné mzdy relativně nejvíce ve zdravotní a sociální péči (+11,8 %). Vyšší meziroční tempo zde bylo zaznamenáno naposledy na počátku roku 2003. Mzdová úroveň tak dosáhla 40,9 tis. korun měsíčně a byla nejvyšší ze všech odvětví s převahou veřejných služeb. Přispěl k tomu i vyšší počet odpracovaných hodin. V ostatních odvětvích veřejných služeb byl mzdový růst vyrovnaný (7–8 %). I zde se zčásti promítly vyšší pracovní nároky některých složek státu během pandemie (policie, armáda, hygienické stanice). Z tržních odvětví si nejvíce polepšily administrativní a podpůrné činnosti, v nichž byl ovšem silný mzdový růst (+11,6 %) doprovázen hlubokým meziročním poklesem evidenčního počtu zaměstnanců (–14,8 %). Mzdový vývoj zde pravděpodobně ovlivnilo to, že byli ve větší míře propouštěni agenturní pracovníci s nízkou úrovní mezd. Výše mezd zůstala v tomto odvětví </w:t>
            </w:r>
            <w:r w:rsidRPr="0029490A">
              <w:rPr>
                <w:spacing w:val="-6"/>
                <w:szCs w:val="20"/>
              </w:rPr>
              <w:lastRenderedPageBreak/>
              <w:t>i tak velmi podprůměrná (25,1 tis. měsíčně). Méně pobírali jen zaměstnanci v ubytování, stravování a pohostinství (20,7 tis.), při růstu mzdy jen o 1,1 %. Zásadní dopad „pandemické krize“ na toto odvětví se odrazil v 15% propadu počtu zaměstnanců. Výrazně podprůměrným tempem se zvyšovaly i mzdy v průmyslu (+2,4 %). Ve většině oborů navíc citelně klesly stavy zaměstnanců (vedle těžebního průmyslu například i ve strojírenství či elektrotechnice). Objem vyplacených mezd tak z hlavních oborů rostl jen v energetice, vodním hospodářství a potravinářství. S vývojem v průmyslu souznělo i odvětví dopravy a skladování. Nepatrně lépe se dařilo obchodu, kde sice průměrná mzda vzrostla jen polovičním tempem oproti celé ekonomice (+2,6 %), nedocházelo však k většímu úbytku zaměstnaneckých míst (–1,3 %). To platilo také pro stavebnictví či odvětví zemědělství, lesnictví a rybářství, v nichž ovšem mzdový růst i dosažená úroveň za celou ekonomikou ve 3. čtvrtletí zaostávaly. Příznivá situace dále přetrvávala v informačních a komunikačních činnostech. Při mírném růstu zaměstnanosti zde průměrná měsíční mzda vzrostla o 5,3 % a její úroveň přesáhla hranici 60 tis. korun. V peněžnictví a pojišťovnictví průměrné výdělky jako v jediném z hlavních odvětví klesly (–0,9 %), což bylo ovlivněno i vysokou loňskou základnou</w:t>
            </w:r>
            <w:r w:rsidRPr="0029490A">
              <w:rPr>
                <w:rStyle w:val="Znakapoznpodarou"/>
                <w:spacing w:val="-6"/>
                <w:szCs w:val="20"/>
              </w:rPr>
              <w:footnoteReference w:id="54"/>
            </w:r>
            <w:r w:rsidRPr="0029490A">
              <w:rPr>
                <w:spacing w:val="-6"/>
                <w:szCs w:val="20"/>
              </w:rPr>
              <w:t>. Vedle toho zde, shodně jako v oblasti ICT, hrají větší roli i nemzdové zaměstnanecké benefity.</w:t>
            </w:r>
          </w:p>
        </w:tc>
      </w:tr>
      <w:tr w:rsidR="00100A8B" w:rsidRPr="0029490A" w14:paraId="2F13C1FF" w14:textId="77777777" w:rsidTr="005820CD">
        <w:trPr>
          <w:trHeight w:val="145"/>
        </w:trPr>
        <w:tc>
          <w:tcPr>
            <w:tcW w:w="1792" w:type="dxa"/>
            <w:shd w:val="clear" w:color="auto" w:fill="auto"/>
            <w:tcMar>
              <w:left w:w="0" w:type="dxa"/>
            </w:tcMar>
          </w:tcPr>
          <w:p w14:paraId="16AC2B7B" w14:textId="77777777" w:rsidR="00100A8B" w:rsidRPr="0029490A" w:rsidRDefault="00100A8B" w:rsidP="005820CD">
            <w:pPr>
              <w:pStyle w:val="Marginlie"/>
              <w:rPr>
                <w:spacing w:val="-6"/>
              </w:rPr>
            </w:pPr>
          </w:p>
        </w:tc>
        <w:tc>
          <w:tcPr>
            <w:tcW w:w="216" w:type="dxa"/>
            <w:shd w:val="clear" w:color="auto" w:fill="auto"/>
            <w:tcMar>
              <w:left w:w="0" w:type="dxa"/>
            </w:tcMar>
          </w:tcPr>
          <w:p w14:paraId="660CD0F8"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14B99848" w14:textId="1D0D3198" w:rsidR="00100A8B" w:rsidRPr="0029490A" w:rsidRDefault="00142B29" w:rsidP="005820CD">
            <w:pPr>
              <w:spacing w:after="0"/>
              <w:rPr>
                <w:spacing w:val="-6"/>
              </w:rPr>
            </w:pPr>
            <w:r>
              <w:rPr>
                <w:b/>
                <w:spacing w:val="-6"/>
              </w:rPr>
              <w:t>Graf č. 14</w:t>
            </w:r>
            <w:r w:rsidR="00100A8B" w:rsidRPr="0029490A">
              <w:rPr>
                <w:b/>
                <w:spacing w:val="-6"/>
              </w:rPr>
              <w:t xml:space="preserve">  Průměrná nominální a reálná mzda a mzdový medián</w:t>
            </w:r>
            <w:r w:rsidR="00100A8B" w:rsidRPr="0029490A">
              <w:rPr>
                <w:spacing w:val="-6"/>
              </w:rPr>
              <w:t xml:space="preserve"> (meziročně, v %)</w:t>
            </w:r>
          </w:p>
        </w:tc>
      </w:tr>
      <w:tr w:rsidR="00100A8B" w:rsidRPr="0029490A" w14:paraId="786A95D6" w14:textId="77777777" w:rsidTr="005820CD">
        <w:tblPrEx>
          <w:tblCellMar>
            <w:left w:w="70" w:type="dxa"/>
            <w:right w:w="70" w:type="dxa"/>
          </w:tblCellMar>
        </w:tblPrEx>
        <w:trPr>
          <w:trHeight w:val="145"/>
        </w:trPr>
        <w:tc>
          <w:tcPr>
            <w:tcW w:w="1792" w:type="dxa"/>
            <w:shd w:val="clear" w:color="auto" w:fill="auto"/>
          </w:tcPr>
          <w:p w14:paraId="24062430" w14:textId="77777777" w:rsidR="00100A8B" w:rsidRPr="0029490A" w:rsidRDefault="00100A8B" w:rsidP="005820CD">
            <w:pPr>
              <w:pStyle w:val="Marginlie"/>
              <w:rPr>
                <w:spacing w:val="-6"/>
              </w:rPr>
            </w:pPr>
          </w:p>
        </w:tc>
        <w:tc>
          <w:tcPr>
            <w:tcW w:w="216" w:type="dxa"/>
            <w:shd w:val="clear" w:color="auto" w:fill="auto"/>
          </w:tcPr>
          <w:p w14:paraId="1AA70308" w14:textId="77777777" w:rsidR="00100A8B" w:rsidRPr="0029490A" w:rsidRDefault="00100A8B" w:rsidP="005820CD">
            <w:pPr>
              <w:pStyle w:val="Textpoznpodarou"/>
              <w:jc w:val="both"/>
              <w:rPr>
                <w:spacing w:val="-6"/>
              </w:rPr>
            </w:pPr>
          </w:p>
        </w:tc>
        <w:tc>
          <w:tcPr>
            <w:tcW w:w="7656" w:type="dxa"/>
            <w:shd w:val="clear" w:color="auto" w:fill="auto"/>
          </w:tcPr>
          <w:p w14:paraId="142C0939" w14:textId="77777777" w:rsidR="00100A8B" w:rsidRPr="0029490A" w:rsidRDefault="00100A8B" w:rsidP="005820CD">
            <w:pPr>
              <w:spacing w:after="0"/>
              <w:rPr>
                <w:b/>
                <w:spacing w:val="-6"/>
              </w:rPr>
            </w:pPr>
            <w:r w:rsidRPr="0029490A">
              <w:rPr>
                <w:noProof/>
                <w:spacing w:val="-6"/>
              </w:rPr>
              <w:drawing>
                <wp:inline distT="0" distB="0" distL="0" distR="0" wp14:anchorId="78CF22C4" wp14:editId="3D75A5A0">
                  <wp:extent cx="4759960" cy="3390900"/>
                  <wp:effectExtent l="0" t="0" r="254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100A8B" w:rsidRPr="0029490A" w14:paraId="18034F80" w14:textId="77777777" w:rsidTr="005820CD">
        <w:trPr>
          <w:trHeight w:val="145"/>
        </w:trPr>
        <w:tc>
          <w:tcPr>
            <w:tcW w:w="1792" w:type="dxa"/>
            <w:shd w:val="clear" w:color="auto" w:fill="auto"/>
            <w:tcMar>
              <w:left w:w="0" w:type="dxa"/>
            </w:tcMar>
          </w:tcPr>
          <w:p w14:paraId="2C03338C" w14:textId="77777777" w:rsidR="00100A8B" w:rsidRPr="0029490A" w:rsidRDefault="00100A8B" w:rsidP="005820CD">
            <w:pPr>
              <w:pStyle w:val="Marginlie"/>
              <w:rPr>
                <w:spacing w:val="-6"/>
              </w:rPr>
            </w:pPr>
          </w:p>
        </w:tc>
        <w:tc>
          <w:tcPr>
            <w:tcW w:w="216" w:type="dxa"/>
            <w:shd w:val="clear" w:color="auto" w:fill="auto"/>
            <w:tcMar>
              <w:left w:w="0" w:type="dxa"/>
            </w:tcMar>
          </w:tcPr>
          <w:p w14:paraId="11DD3EA1"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6FB865E0" w14:textId="77777777" w:rsidR="00100A8B" w:rsidRPr="0029490A" w:rsidRDefault="00100A8B" w:rsidP="005820CD">
            <w:pPr>
              <w:spacing w:after="0"/>
              <w:rPr>
                <w:spacing w:val="-6"/>
                <w:sz w:val="14"/>
                <w:szCs w:val="14"/>
              </w:rPr>
            </w:pPr>
            <w:r w:rsidRPr="0029490A">
              <w:rPr>
                <w:spacing w:val="-6"/>
                <w:sz w:val="14"/>
                <w:szCs w:val="14"/>
              </w:rPr>
              <w:t>*Zahrnuje odvětví: Veř. správa, obrana, soc. zabezpečení; Vzdělávání; Zdravotní a soc. péče; Kulturní, zábavní a rekreační činnosti.</w:t>
            </w:r>
          </w:p>
          <w:p w14:paraId="102935D8" w14:textId="77777777" w:rsidR="00100A8B" w:rsidRPr="0029490A" w:rsidRDefault="00100A8B" w:rsidP="005820CD">
            <w:pPr>
              <w:spacing w:after="200"/>
              <w:rPr>
                <w:noProof/>
                <w:spacing w:val="-6"/>
              </w:rPr>
            </w:pPr>
            <w:r w:rsidRPr="0029490A">
              <w:rPr>
                <w:spacing w:val="-6"/>
                <w:sz w:val="14"/>
                <w:szCs w:val="14"/>
              </w:rPr>
              <w:t>Zdroj: ČSÚ</w:t>
            </w:r>
          </w:p>
        </w:tc>
      </w:tr>
      <w:tr w:rsidR="00100A8B" w:rsidRPr="0029490A" w14:paraId="597B3116" w14:textId="77777777" w:rsidTr="005820CD">
        <w:trPr>
          <w:trHeight w:val="145"/>
        </w:trPr>
        <w:tc>
          <w:tcPr>
            <w:tcW w:w="1792" w:type="dxa"/>
            <w:shd w:val="clear" w:color="auto" w:fill="auto"/>
            <w:tcMar>
              <w:left w:w="0" w:type="dxa"/>
            </w:tcMar>
          </w:tcPr>
          <w:p w14:paraId="520DA589" w14:textId="77777777" w:rsidR="00100A8B" w:rsidRPr="0029490A" w:rsidRDefault="00100A8B" w:rsidP="005820CD">
            <w:pPr>
              <w:pStyle w:val="Marginlie"/>
              <w:rPr>
                <w:spacing w:val="-6"/>
              </w:rPr>
            </w:pPr>
            <w:r w:rsidRPr="0029490A">
              <w:rPr>
                <w:spacing w:val="-6"/>
              </w:rPr>
              <w:t>Průměrná mzda vzrostla za tři čtvrtletí meziročně o 3,6 %. Reálný mzdový růst se prakticky zastavil.</w:t>
            </w:r>
          </w:p>
        </w:tc>
        <w:tc>
          <w:tcPr>
            <w:tcW w:w="216" w:type="dxa"/>
            <w:shd w:val="clear" w:color="auto" w:fill="auto"/>
            <w:tcMar>
              <w:left w:w="0" w:type="dxa"/>
            </w:tcMar>
          </w:tcPr>
          <w:p w14:paraId="70944FE9"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04CA8101" w14:textId="77777777" w:rsidR="00100A8B" w:rsidRPr="0029490A" w:rsidRDefault="00100A8B" w:rsidP="005820CD">
            <w:pPr>
              <w:spacing w:after="0"/>
              <w:rPr>
                <w:spacing w:val="-6"/>
                <w:szCs w:val="20"/>
              </w:rPr>
            </w:pPr>
            <w:r w:rsidRPr="0029490A">
              <w:rPr>
                <w:spacing w:val="-6"/>
                <w:szCs w:val="20"/>
              </w:rPr>
              <w:t>Za 1. až 3. čtvrtletí průměrné mzdy v ekonomice meziročně posílily o 3,6 %. Pokles mzdy postihl ubytování, stravování a pohostinství (–2,2 %), oblast nemovitostí (–3,3 %), ale i výrobu motorových vozidel (–1,7 %), kde se projevilo dubnové uzavření části velkých provozoven. S problémy se potýkaly i kulturní, zábavní a rekreační činnosti (zpomalení růstu na 0,9 %). Tempo růstu spotřebitelských cen na rozdíl od mezd nezpomalovalo. Kupní síla zaměstnaneckých výdělků byla za tři čtvrtletí meziročně vyšší jen o 0,3 %. Méně příznivý vývoj reálných mezd byl za stejné období roku naposledy zaznamenán před sedmi lety.</w:t>
            </w:r>
          </w:p>
          <w:p w14:paraId="67C3B171" w14:textId="77777777" w:rsidR="00100A8B" w:rsidRPr="0029490A" w:rsidRDefault="00100A8B" w:rsidP="005820CD">
            <w:pPr>
              <w:spacing w:after="0"/>
              <w:rPr>
                <w:spacing w:val="-6"/>
                <w:sz w:val="14"/>
                <w:szCs w:val="14"/>
              </w:rPr>
            </w:pPr>
          </w:p>
        </w:tc>
      </w:tr>
      <w:tr w:rsidR="00100A8B" w:rsidRPr="0029490A" w14:paraId="28314CC9" w14:textId="77777777" w:rsidTr="005820CD">
        <w:trPr>
          <w:trHeight w:val="145"/>
        </w:trPr>
        <w:tc>
          <w:tcPr>
            <w:tcW w:w="1792" w:type="dxa"/>
            <w:shd w:val="clear" w:color="auto" w:fill="auto"/>
            <w:tcMar>
              <w:left w:w="0" w:type="dxa"/>
            </w:tcMar>
          </w:tcPr>
          <w:p w14:paraId="66170E8D" w14:textId="77777777" w:rsidR="00100A8B" w:rsidRPr="0029490A" w:rsidRDefault="00100A8B" w:rsidP="005820CD">
            <w:pPr>
              <w:pStyle w:val="Marginlie"/>
              <w:rPr>
                <w:spacing w:val="-6"/>
              </w:rPr>
            </w:pPr>
            <w:r w:rsidRPr="0029490A">
              <w:rPr>
                <w:spacing w:val="-6"/>
              </w:rPr>
              <w:t>Celkové mzdové diference se ve 3. čtvrtletí snižovaly.</w:t>
            </w:r>
          </w:p>
        </w:tc>
        <w:tc>
          <w:tcPr>
            <w:tcW w:w="216" w:type="dxa"/>
            <w:shd w:val="clear" w:color="auto" w:fill="auto"/>
            <w:tcMar>
              <w:left w:w="0" w:type="dxa"/>
            </w:tcMar>
          </w:tcPr>
          <w:p w14:paraId="1D963734" w14:textId="77777777" w:rsidR="00100A8B" w:rsidRPr="0029490A" w:rsidRDefault="00100A8B" w:rsidP="005820CD">
            <w:pPr>
              <w:pStyle w:val="Textpoznpodarou"/>
              <w:jc w:val="both"/>
              <w:rPr>
                <w:spacing w:val="-6"/>
              </w:rPr>
            </w:pPr>
          </w:p>
        </w:tc>
        <w:tc>
          <w:tcPr>
            <w:tcW w:w="7656" w:type="dxa"/>
            <w:shd w:val="clear" w:color="auto" w:fill="auto"/>
            <w:tcMar>
              <w:left w:w="0" w:type="dxa"/>
            </w:tcMar>
          </w:tcPr>
          <w:p w14:paraId="26D082A9" w14:textId="77777777" w:rsidR="00100A8B" w:rsidRPr="0029490A" w:rsidRDefault="00100A8B" w:rsidP="005820CD">
            <w:pPr>
              <w:spacing w:after="0"/>
              <w:rPr>
                <w:spacing w:val="-6"/>
                <w:szCs w:val="20"/>
              </w:rPr>
            </w:pPr>
            <w:r w:rsidRPr="0029490A">
              <w:rPr>
                <w:spacing w:val="-6"/>
                <w:szCs w:val="20"/>
              </w:rPr>
              <w:t>Medián mezd se ve 3. čtvrtletí meziročně zvýšil o 5,1 % (na 31,2 tis. korun měsíčně). Podobně jako v</w:t>
            </w:r>
            <w:r w:rsidRPr="0029490A">
              <w:rPr>
                <w:spacing w:val="-6"/>
              </w:rPr>
              <w:t> </w:t>
            </w:r>
            <w:r w:rsidRPr="0029490A">
              <w:rPr>
                <w:spacing w:val="-6"/>
                <w:szCs w:val="20"/>
              </w:rPr>
              <w:t>předchozích šesti čtvrtletích se rychleji zvyšoval u žen (6,7 %) než u mužů (3,7 %). Celkové mzdové diference u zaměstnanců se ve 3. čtvrtletí snižovaly, dolní mzdový decil vzrostl více (+10,6 %) než horní (+4,1 %). V předchozím kvartálu tomu bylo naopak.</w:t>
            </w:r>
          </w:p>
        </w:tc>
      </w:tr>
    </w:tbl>
    <w:p w14:paraId="065B8820" w14:textId="77777777" w:rsidR="00100A8B" w:rsidRPr="0029490A" w:rsidRDefault="00100A8B" w:rsidP="00100A8B">
      <w:pPr>
        <w:spacing w:after="0"/>
        <w:jc w:val="left"/>
        <w:rPr>
          <w:b/>
          <w:color w:val="0D0D0D" w:themeColor="text1" w:themeTint="F2"/>
          <w:spacing w:val="-6"/>
          <w:sz w:val="2"/>
          <w:szCs w:val="2"/>
        </w:rPr>
      </w:pPr>
    </w:p>
    <w:p w14:paraId="74E69533" w14:textId="77777777" w:rsidR="003815D4" w:rsidRDefault="003815D4" w:rsidP="003815D4">
      <w:pPr>
        <w:pStyle w:val="Nadpis11"/>
      </w:pPr>
      <w:bookmarkStart w:id="18" w:name="_Toc59001056"/>
      <w:bookmarkEnd w:id="16"/>
      <w:r>
        <w:lastRenderedPageBreak/>
        <w:t>7. Měnové podmínky</w:t>
      </w:r>
      <w:bookmarkEnd w:id="18"/>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3815D4" w14:paraId="6E0B5F8D" w14:textId="77777777" w:rsidTr="00361FB7">
        <w:trPr>
          <w:trHeight w:val="145"/>
        </w:trPr>
        <w:tc>
          <w:tcPr>
            <w:tcW w:w="1802" w:type="dxa"/>
          </w:tcPr>
          <w:p w14:paraId="4CF6BE29" w14:textId="77777777" w:rsidR="003815D4" w:rsidRDefault="003815D4" w:rsidP="00361FB7">
            <w:pPr>
              <w:pStyle w:val="Marginlie"/>
              <w:rPr>
                <w:lang w:eastAsia="en-US"/>
              </w:rPr>
            </w:pPr>
            <w:r>
              <w:rPr>
                <w:lang w:eastAsia="en-US"/>
              </w:rPr>
              <w:t>Základní úrokové sazby ČNB se ve 3. čtvrtletí neměnily.</w:t>
            </w:r>
          </w:p>
        </w:tc>
        <w:tc>
          <w:tcPr>
            <w:tcW w:w="229" w:type="dxa"/>
          </w:tcPr>
          <w:p w14:paraId="30EA15D2" w14:textId="77777777" w:rsidR="003815D4" w:rsidRDefault="003815D4" w:rsidP="00361FB7">
            <w:pPr>
              <w:pStyle w:val="Textpoznpodarou"/>
              <w:jc w:val="both"/>
              <w:rPr>
                <w:spacing w:val="-4"/>
                <w:lang w:eastAsia="en-US"/>
              </w:rPr>
            </w:pPr>
          </w:p>
        </w:tc>
        <w:tc>
          <w:tcPr>
            <w:tcW w:w="7610" w:type="dxa"/>
            <w:hideMark/>
          </w:tcPr>
          <w:p w14:paraId="1F53D47C" w14:textId="77777777" w:rsidR="003815D4" w:rsidRDefault="003815D4" w:rsidP="00361FB7">
            <w:pPr>
              <w:rPr>
                <w:spacing w:val="-2"/>
                <w:lang w:eastAsia="en-US"/>
              </w:rPr>
            </w:pPr>
            <w:r>
              <w:rPr>
                <w:spacing w:val="-2"/>
                <w:lang w:eastAsia="en-US"/>
              </w:rPr>
              <w:t xml:space="preserve">Nastavení základních </w:t>
            </w:r>
            <w:proofErr w:type="spellStart"/>
            <w:r>
              <w:rPr>
                <w:spacing w:val="-2"/>
                <w:lang w:eastAsia="en-US"/>
              </w:rPr>
              <w:t>měnověpolitických</w:t>
            </w:r>
            <w:proofErr w:type="spellEnd"/>
            <w:r>
              <w:rPr>
                <w:spacing w:val="-2"/>
                <w:lang w:eastAsia="en-US"/>
              </w:rPr>
              <w:t xml:space="preserve"> sazeb se ve 3. čtvrtletí neměnilo. Od květnového snížení dvoutýdenní </w:t>
            </w:r>
            <w:proofErr w:type="spellStart"/>
            <w:r>
              <w:rPr>
                <w:spacing w:val="-2"/>
                <w:lang w:eastAsia="en-US"/>
              </w:rPr>
              <w:t>repo</w:t>
            </w:r>
            <w:proofErr w:type="spellEnd"/>
            <w:r>
              <w:rPr>
                <w:spacing w:val="-2"/>
                <w:lang w:eastAsia="en-US"/>
              </w:rPr>
              <w:t xml:space="preserve"> sazby na 0,25 %</w:t>
            </w:r>
            <w:r>
              <w:rPr>
                <w:rStyle w:val="Znakapoznpodarou"/>
                <w:spacing w:val="-2"/>
                <w:lang w:eastAsia="en-US"/>
              </w:rPr>
              <w:footnoteReference w:id="55"/>
            </w:r>
            <w:r>
              <w:rPr>
                <w:spacing w:val="-2"/>
                <w:lang w:eastAsia="en-US"/>
              </w:rPr>
              <w:t xml:space="preserve"> (lombardní sazba byla snížená na 1,00 %, 0,05 % u diskontní sazby se neměnilo) tak zůstávají úrokové míry na stálé úrovni. Během letních měsíců, kdy se průběh epidemie do značné míry uklidnil, došlo i k posílení kurzu koruny vůči euru i dolaru. Čtvrtletí zahájila koruna na 26,67 CZK/EUR a 23,81 CZK/USD. Posílení vůči euru bylo mírné, do konce srpna se kurz posunul na 26,21 CZK/EUR. Poměrně silně naopak upevnil kurz vůči dolaru (21,95 CZK/USD). Jasný zlom ve vývoji byl vidět na přelomu srpna a září. Kurz vůči euru během září veškeré letní zisky smazal a na konci měsíce činil 27,21 koruny. Rovněž kurz vůči dolaru výrazně oslabil a čtvrtletí zakončil na 23,24 koruny. To, že koruna vůči euru v létě posilovala jen velmi mírně, znamenalo, že ve srovnání se stejným obdobím roku 2019 kurz zůstal slabší. To přineslo tlak na meziroční růst cen zahraničního obchodu vedeného v eurech. Naopak dolarový kurz byl meziročně mírně silnější, což vedlo k prohloubení poklesu zejména u cen surovin obchodovaných v dolarech.</w:t>
            </w:r>
          </w:p>
        </w:tc>
      </w:tr>
      <w:tr w:rsidR="003815D4" w14:paraId="7AAD61D1" w14:textId="77777777" w:rsidTr="00361FB7">
        <w:trPr>
          <w:trHeight w:val="145"/>
        </w:trPr>
        <w:tc>
          <w:tcPr>
            <w:tcW w:w="1802" w:type="dxa"/>
            <w:hideMark/>
          </w:tcPr>
          <w:p w14:paraId="455DA181" w14:textId="77777777" w:rsidR="003815D4" w:rsidRDefault="003815D4" w:rsidP="00361FB7">
            <w:pPr>
              <w:pStyle w:val="Marginlie"/>
              <w:rPr>
                <w:lang w:eastAsia="en-US"/>
              </w:rPr>
            </w:pPr>
            <w:r>
              <w:rPr>
                <w:lang w:eastAsia="en-US"/>
              </w:rPr>
              <w:t>To zastavilo i pohyb úrokových sazeb na mezibankovním trhu. Sazby krátkodobých a střednědobých vládních dluhopisů klesly.</w:t>
            </w:r>
          </w:p>
        </w:tc>
        <w:tc>
          <w:tcPr>
            <w:tcW w:w="229" w:type="dxa"/>
          </w:tcPr>
          <w:p w14:paraId="3409A050" w14:textId="77777777" w:rsidR="003815D4" w:rsidRDefault="003815D4" w:rsidP="00361FB7">
            <w:pPr>
              <w:pStyle w:val="Textpoznpodarou"/>
              <w:jc w:val="both"/>
              <w:rPr>
                <w:spacing w:val="-4"/>
                <w:lang w:eastAsia="en-US"/>
              </w:rPr>
            </w:pPr>
          </w:p>
        </w:tc>
        <w:tc>
          <w:tcPr>
            <w:tcW w:w="7610" w:type="dxa"/>
          </w:tcPr>
          <w:p w14:paraId="7057FDB8" w14:textId="77777777" w:rsidR="003815D4" w:rsidRDefault="003815D4" w:rsidP="00361FB7">
            <w:pPr>
              <w:rPr>
                <w:spacing w:val="-1"/>
                <w:lang w:eastAsia="en-US"/>
              </w:rPr>
            </w:pPr>
            <w:r>
              <w:rPr>
                <w:spacing w:val="-1"/>
                <w:lang w:eastAsia="en-US"/>
              </w:rPr>
              <w:t xml:space="preserve">Úrokové sazby na mezibankovním trhu se v květnu přizpůsobily novému nastavení </w:t>
            </w:r>
            <w:proofErr w:type="spellStart"/>
            <w:r>
              <w:rPr>
                <w:spacing w:val="-1"/>
                <w:lang w:eastAsia="en-US"/>
              </w:rPr>
              <w:t>měnověpolitických</w:t>
            </w:r>
            <w:proofErr w:type="spellEnd"/>
            <w:r>
              <w:rPr>
                <w:spacing w:val="-1"/>
                <w:lang w:eastAsia="en-US"/>
              </w:rPr>
              <w:t xml:space="preserve"> sazeb a v dalších měsících se neměnily. Tříměsíční sazba PRIBOR tak po celé třetí čtvrtletí setrvala na 0,34 %. Výrazněji se nehýbaly ani sazby na krátkodobých a střednědobých vládních dluhopisech. Ty se splatností do dvou let se držely blízko nulového úročení (0,05 % ke konci září). U střednědobých dluhopisů se úroková sazba posunula z 0,52 % na konci června na 0,58 % ke konci září. Dlouhodobé dluhopisy začaly čtvrtletí na 0,86 %, v průběhu srpna jejich úročení vyskočilo vzhůru a na konci září činilo 0,98 %.</w:t>
            </w:r>
          </w:p>
        </w:tc>
      </w:tr>
      <w:tr w:rsidR="003815D4" w14:paraId="1E0BAF71" w14:textId="77777777" w:rsidTr="00361FB7">
        <w:trPr>
          <w:trHeight w:val="145"/>
        </w:trPr>
        <w:tc>
          <w:tcPr>
            <w:tcW w:w="1802" w:type="dxa"/>
            <w:hideMark/>
          </w:tcPr>
          <w:p w14:paraId="688E975E" w14:textId="77777777" w:rsidR="003815D4" w:rsidRDefault="003815D4" w:rsidP="00361FB7">
            <w:pPr>
              <w:pStyle w:val="Marginlie"/>
              <w:rPr>
                <w:lang w:eastAsia="en-US"/>
              </w:rPr>
            </w:pPr>
            <w:r>
              <w:rPr>
                <w:lang w:eastAsia="en-US"/>
              </w:rPr>
              <w:t>Klientské sazby zamířily opět dolů. Dále se tak snižoval objem peněžních prostředků na termínovaných vkladech.</w:t>
            </w:r>
          </w:p>
        </w:tc>
        <w:tc>
          <w:tcPr>
            <w:tcW w:w="229" w:type="dxa"/>
          </w:tcPr>
          <w:p w14:paraId="4151E882" w14:textId="77777777" w:rsidR="003815D4" w:rsidRDefault="003815D4" w:rsidP="00361FB7">
            <w:pPr>
              <w:pStyle w:val="Textpoznpodarou"/>
              <w:jc w:val="both"/>
              <w:rPr>
                <w:spacing w:val="-4"/>
                <w:lang w:eastAsia="en-US"/>
              </w:rPr>
            </w:pPr>
          </w:p>
        </w:tc>
        <w:tc>
          <w:tcPr>
            <w:tcW w:w="7610" w:type="dxa"/>
          </w:tcPr>
          <w:p w14:paraId="7E51AAA0" w14:textId="77777777" w:rsidR="003815D4" w:rsidRDefault="003815D4" w:rsidP="00361FB7">
            <w:pPr>
              <w:rPr>
                <w:spacing w:val="-3"/>
                <w:lang w:eastAsia="en-US"/>
              </w:rPr>
            </w:pPr>
            <w:r>
              <w:rPr>
                <w:spacing w:val="-3"/>
                <w:lang w:eastAsia="en-US"/>
              </w:rPr>
              <w:t>Úrokové sazby na běžných účtech domácností se nadále držely na úrovni technické nuly (0,03 %). Během 3. čtvrtletí pokračoval pokles úrokových sazeb na vkladech domácností s dohodnutou splatností (0,45 % ke konci září, pokles během čtvrtletí o 0,15 p. b.). Jde o nejnižší úroveň od 3. čtvrtletí 2017. I v případě nefinančních podniků se úročení běžných účtů drželo téměř na nule (0,03 %). Úroky na vkladech s dohodnutou splatností pro nefinanční podniky prudce klesly již ve 2. čtvrtletí (o více než 1 p. b.) a ke konci září činily 0,13 %. V letech 2018 a 2019 mohutně narůstal objem prostředků na termínovaných vkladech. Tento proces trval ještě v letošním 1. čtvrtletí (meziroční nárůst o 14,9 %). Propad úrokových sazeb ve 2. i 3. kvartálu ale vedl k posilování netermínovaných vkladů (meziroční nárůst o 13,3 % a 18,5 % v jednotlivých čtvrtletích).</w:t>
            </w:r>
          </w:p>
        </w:tc>
      </w:tr>
      <w:tr w:rsidR="003815D4" w14:paraId="046A7804" w14:textId="77777777" w:rsidTr="00361FB7">
        <w:trPr>
          <w:trHeight w:val="145"/>
        </w:trPr>
        <w:tc>
          <w:tcPr>
            <w:tcW w:w="1802" w:type="dxa"/>
          </w:tcPr>
          <w:p w14:paraId="41564A82" w14:textId="77777777" w:rsidR="003815D4" w:rsidRDefault="003815D4" w:rsidP="00361FB7">
            <w:pPr>
              <w:pStyle w:val="Marginlie"/>
              <w:rPr>
                <w:lang w:eastAsia="en-US"/>
              </w:rPr>
            </w:pPr>
            <w:r>
              <w:rPr>
                <w:lang w:eastAsia="en-US"/>
              </w:rPr>
              <w:t>Domácnostem zlevnilo úvěrové financování.</w:t>
            </w:r>
          </w:p>
        </w:tc>
        <w:tc>
          <w:tcPr>
            <w:tcW w:w="229" w:type="dxa"/>
          </w:tcPr>
          <w:p w14:paraId="26752981" w14:textId="77777777" w:rsidR="003815D4" w:rsidRDefault="003815D4" w:rsidP="00361FB7">
            <w:pPr>
              <w:pStyle w:val="Textpoznpodarou"/>
              <w:jc w:val="both"/>
              <w:rPr>
                <w:spacing w:val="-4"/>
                <w:lang w:eastAsia="en-US"/>
              </w:rPr>
            </w:pPr>
          </w:p>
        </w:tc>
        <w:tc>
          <w:tcPr>
            <w:tcW w:w="7610" w:type="dxa"/>
          </w:tcPr>
          <w:p w14:paraId="77C61041" w14:textId="77777777" w:rsidR="003815D4" w:rsidRDefault="003815D4" w:rsidP="00361FB7">
            <w:pPr>
              <w:rPr>
                <w:lang w:eastAsia="en-US"/>
              </w:rPr>
            </w:pPr>
            <w:r>
              <w:rPr>
                <w:lang w:eastAsia="en-US"/>
              </w:rPr>
              <w:t xml:space="preserve">Domácnostem úvěrové financování v průměru zlevňovalo. Průměrná sazba úvěrů na spotřebu poprvé klesla pod 8% hranici a ke konci září dosahovala 7,97 %. Jde o pokračování dlouhodobého trendu. Roli mohl hrát také momentální nižší zájem o spotřebitelské úvěry daný nejistotou domácností. Meziroční nárůst objemu poskytnutých úvěrů na spotřebu totiž ve 3. čtvrtletí klesl na 4,1 % (nejméně za posledních pět let) a výrazně zpomalil i růst celkového zadlužení domácností na spotřebu (1,3 %). Také průměrná úroková sazba úvěrů na nákup bytové nemovitosti opět klesla (2,24 % ke konci září). Na rozdíl od úvěrů na spotřebu se ale dynamika úvěrů na bydlení ani v současné situaci neměnila. Ve 3. čtvrtletí došlo k nárůstu poskytnutých úvěrů na bydlení o 7,5 %. Zadlužení domácností na bydlení vzrostlo rovněž o 7,5 %. Specifickým jevem, který souvisel s aktuální situací, jsou odklady splátek hypotečních úvěrů. Ty se zejména ve 2. čtvrtletí projevily prudkým navýšením počtu nových hypotečních smluv i jejich objemu. U bytových nemovitostí ve 2. čtvrtletí počet smluv meziročně vzrostl o 68,7 tisíce, u nebytových o 17,4 tisíce. Pro srovnání – </w:t>
            </w:r>
            <w:r>
              <w:rPr>
                <w:lang w:eastAsia="en-US"/>
              </w:rPr>
              <w:lastRenderedPageBreak/>
              <w:t>ve 4. čtvrtletí 2019 (poslední bez vlivu odkladů) počet smluv u bytových nemovitostí vzrostl o 2,6 tisíce.</w:t>
            </w:r>
          </w:p>
        </w:tc>
      </w:tr>
      <w:tr w:rsidR="003815D4" w14:paraId="4C2C5CF3" w14:textId="77777777" w:rsidTr="00361FB7">
        <w:trPr>
          <w:trHeight w:val="145"/>
        </w:trPr>
        <w:tc>
          <w:tcPr>
            <w:tcW w:w="1802" w:type="dxa"/>
          </w:tcPr>
          <w:p w14:paraId="038AE23C" w14:textId="77777777" w:rsidR="003815D4" w:rsidRDefault="003815D4" w:rsidP="00361FB7">
            <w:pPr>
              <w:pStyle w:val="Marginlie"/>
              <w:rPr>
                <w:lang w:eastAsia="en-US"/>
              </w:rPr>
            </w:pPr>
            <w:r>
              <w:rPr>
                <w:lang w:eastAsia="en-US"/>
              </w:rPr>
              <w:lastRenderedPageBreak/>
              <w:t>I pro podniky se úvěry zlevnily. Zároveň ale bylo možné pozorovat ochlazení dynamiky růstu objemu poskytnutých půjček.</w:t>
            </w:r>
          </w:p>
        </w:tc>
        <w:tc>
          <w:tcPr>
            <w:tcW w:w="229" w:type="dxa"/>
          </w:tcPr>
          <w:p w14:paraId="0215D4CB" w14:textId="77777777" w:rsidR="003815D4" w:rsidRDefault="003815D4" w:rsidP="00361FB7">
            <w:pPr>
              <w:pStyle w:val="Textpoznpodarou"/>
              <w:jc w:val="both"/>
              <w:rPr>
                <w:spacing w:val="-4"/>
                <w:lang w:eastAsia="en-US"/>
              </w:rPr>
            </w:pPr>
          </w:p>
        </w:tc>
        <w:tc>
          <w:tcPr>
            <w:tcW w:w="7610" w:type="dxa"/>
          </w:tcPr>
          <w:p w14:paraId="1A911DAE" w14:textId="77777777" w:rsidR="003815D4" w:rsidRDefault="003815D4" w:rsidP="00361FB7">
            <w:pPr>
              <w:rPr>
                <w:lang w:eastAsia="en-US"/>
              </w:rPr>
            </w:pPr>
            <w:r>
              <w:rPr>
                <w:lang w:eastAsia="en-US"/>
              </w:rPr>
              <w:t>Úrokové sazby pro nefinanční podniky razantně klesly v případě úvěrů s největším objemem (nad 30 milionů korun). Na konci září činilo průměrné úročení 1,15 % (na konci června to bylo 2,13 %). Kleslo rovněž úročení úvěrů mezi 7,5 a 30 miliony korun (o 0,24 p. b. na 2,3 %). Kategorie nejmenších úvěrů se po poklesu v průběhu 2. čtvrtletí prakticky držela na stejné úrovni (pokles ve 3. čtvrtletí o 0,06 p. b. na 3,72 %). Celkový objem úvěrů a pohledávek nefinančních podniků ve 3. čtvrtletí meziročně vzrostl o 2,3 %, což je výrazně méně než v předchozím kvartálu. Meziročně klesl objem krátkodobých úvěrů a pohledávek (–3,8 %). Ty střednědobé i dlouhodobé se navyšovaly, ale i u nich je patrné zvolnění tempa. Růst objemu úvěrů a pohledávek přitom táhly výhradně úvěry v cizí měně (12,3 %), ty korunové klesaly (–2,6 %). Ve 3. čtvrtletí se meziročně zvyšovaly zejména půjčky v ubytování, stravování a pohostinství (12,9 %, výrazná dynamika je patrná od začátku roku), ve veřejné správě a obraně, povinném sociálním zabezpečení, vzdělávání a zdravotní a sociální péči (10,7 %) a v dopravě a skladování (8,8 %). Ve srovnání s 1. a 2. kvartálem značně zpomalilo tempo u činností v oblasti nemovitostí (6,1 %). Postupné zmírnění růstu objemu půjček se týkalo i zpracovatelského průmyslu (5,9 %, 3,5 % a 2,2 % v 1., 2. a 3. čtvrtletí). Propad půjček již pátým čtvrtletím pokračuje v informačních a komunikačních činnostech a ve 3. čtvrtletí se výrazně prohloubil (–11,9 %). Poklesly i půjčky v profesních, vědeckých, technických a administrativních činnostech.</w:t>
            </w:r>
          </w:p>
        </w:tc>
      </w:tr>
      <w:tr w:rsidR="003815D4" w14:paraId="7C4A43F2" w14:textId="77777777" w:rsidTr="00361FB7">
        <w:trPr>
          <w:trHeight w:val="304"/>
        </w:trPr>
        <w:tc>
          <w:tcPr>
            <w:tcW w:w="1802" w:type="dxa"/>
            <w:vMerge w:val="restart"/>
          </w:tcPr>
          <w:p w14:paraId="5CF6C4B8" w14:textId="77777777" w:rsidR="003815D4" w:rsidRDefault="003815D4" w:rsidP="00361FB7">
            <w:pPr>
              <w:pStyle w:val="Marginlie"/>
              <w:rPr>
                <w:lang w:eastAsia="en-US"/>
              </w:rPr>
            </w:pPr>
          </w:p>
        </w:tc>
        <w:tc>
          <w:tcPr>
            <w:tcW w:w="229" w:type="dxa"/>
            <w:vMerge w:val="restart"/>
          </w:tcPr>
          <w:p w14:paraId="01E5BD03" w14:textId="77777777" w:rsidR="003815D4" w:rsidRDefault="003815D4" w:rsidP="00361FB7">
            <w:pPr>
              <w:pStyle w:val="Textpoznpodarou"/>
              <w:jc w:val="both"/>
              <w:rPr>
                <w:spacing w:val="-4"/>
                <w:lang w:eastAsia="en-US"/>
              </w:rPr>
            </w:pPr>
          </w:p>
        </w:tc>
        <w:tc>
          <w:tcPr>
            <w:tcW w:w="7610" w:type="dxa"/>
            <w:hideMark/>
          </w:tcPr>
          <w:p w14:paraId="6590BA5C" w14:textId="77777777" w:rsidR="003815D4" w:rsidRDefault="003815D4" w:rsidP="00361FB7">
            <w:pPr>
              <w:spacing w:after="0"/>
              <w:rPr>
                <w:lang w:eastAsia="en-US"/>
              </w:rPr>
            </w:pPr>
            <w:r>
              <w:rPr>
                <w:rFonts w:cs="Arial"/>
                <w:b/>
                <w:bCs/>
                <w:color w:val="000000"/>
                <w:sz w:val="18"/>
                <w:szCs w:val="18"/>
                <w:lang w:eastAsia="en-US"/>
              </w:rPr>
              <w:t xml:space="preserve">Graf č. 15  </w:t>
            </w:r>
            <w:r>
              <w:rPr>
                <w:b/>
                <w:spacing w:val="-4"/>
                <w:sz w:val="18"/>
                <w:szCs w:val="18"/>
                <w:lang w:eastAsia="en-US"/>
              </w:rPr>
              <w:t xml:space="preserve">Tržní úrokové sazby </w:t>
            </w:r>
            <w:r>
              <w:rPr>
                <w:bCs/>
                <w:spacing w:val="-4"/>
                <w:sz w:val="18"/>
                <w:szCs w:val="18"/>
                <w:lang w:eastAsia="en-US"/>
              </w:rPr>
              <w:t>(v %)</w:t>
            </w:r>
          </w:p>
        </w:tc>
      </w:tr>
      <w:tr w:rsidR="003815D4" w14:paraId="7C273BDB" w14:textId="77777777" w:rsidTr="00361FB7">
        <w:tblPrEx>
          <w:tblCellMar>
            <w:left w:w="70" w:type="dxa"/>
            <w:right w:w="70" w:type="dxa"/>
          </w:tblCellMar>
        </w:tblPrEx>
        <w:trPr>
          <w:trHeight w:val="170"/>
        </w:trPr>
        <w:tc>
          <w:tcPr>
            <w:tcW w:w="1802" w:type="dxa"/>
            <w:vMerge/>
            <w:vAlign w:val="center"/>
            <w:hideMark/>
          </w:tcPr>
          <w:p w14:paraId="481D9AAB" w14:textId="77777777" w:rsidR="003815D4" w:rsidRDefault="003815D4" w:rsidP="00361FB7">
            <w:pPr>
              <w:spacing w:after="0" w:line="240" w:lineRule="auto"/>
              <w:jc w:val="left"/>
              <w:rPr>
                <w:spacing w:val="-2"/>
                <w:sz w:val="16"/>
                <w:szCs w:val="16"/>
                <w:lang w:eastAsia="en-US"/>
              </w:rPr>
            </w:pPr>
          </w:p>
        </w:tc>
        <w:tc>
          <w:tcPr>
            <w:tcW w:w="229" w:type="dxa"/>
            <w:vMerge/>
            <w:vAlign w:val="center"/>
            <w:hideMark/>
          </w:tcPr>
          <w:p w14:paraId="32C3606C" w14:textId="77777777" w:rsidR="003815D4" w:rsidRDefault="003815D4" w:rsidP="00361FB7">
            <w:pPr>
              <w:spacing w:after="0" w:line="240" w:lineRule="auto"/>
              <w:jc w:val="left"/>
              <w:rPr>
                <w:rFonts w:eastAsia="Calibri"/>
                <w:spacing w:val="-4"/>
                <w:szCs w:val="20"/>
                <w:lang w:eastAsia="en-US"/>
              </w:rPr>
            </w:pPr>
          </w:p>
        </w:tc>
        <w:tc>
          <w:tcPr>
            <w:tcW w:w="7610" w:type="dxa"/>
            <w:hideMark/>
          </w:tcPr>
          <w:p w14:paraId="0C56E1F5" w14:textId="77777777" w:rsidR="003815D4" w:rsidRDefault="003815D4" w:rsidP="00361FB7">
            <w:pPr>
              <w:spacing w:after="0"/>
              <w:rPr>
                <w:sz w:val="14"/>
                <w:szCs w:val="14"/>
                <w:lang w:eastAsia="en-US"/>
              </w:rPr>
            </w:pPr>
            <w:r>
              <w:rPr>
                <w:noProof/>
              </w:rPr>
              <w:drawing>
                <wp:inline distT="0" distB="0" distL="0" distR="0" wp14:anchorId="039B0A40" wp14:editId="6DE4FEA2">
                  <wp:extent cx="4737600" cy="3432550"/>
                  <wp:effectExtent l="0" t="0" r="6350" b="0"/>
                  <wp:docPr id="16" name="Graf 16">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3815D4" w14:paraId="597FAF43" w14:textId="77777777" w:rsidTr="00361FB7">
        <w:trPr>
          <w:trHeight w:val="170"/>
        </w:trPr>
        <w:tc>
          <w:tcPr>
            <w:tcW w:w="0" w:type="auto"/>
            <w:vMerge/>
            <w:vAlign w:val="center"/>
            <w:hideMark/>
          </w:tcPr>
          <w:p w14:paraId="0830482F" w14:textId="77777777" w:rsidR="003815D4" w:rsidRDefault="003815D4" w:rsidP="00361FB7">
            <w:pPr>
              <w:spacing w:after="0" w:line="240" w:lineRule="auto"/>
              <w:jc w:val="left"/>
              <w:rPr>
                <w:spacing w:val="-2"/>
                <w:sz w:val="16"/>
                <w:szCs w:val="16"/>
                <w:lang w:eastAsia="en-US"/>
              </w:rPr>
            </w:pPr>
          </w:p>
        </w:tc>
        <w:tc>
          <w:tcPr>
            <w:tcW w:w="0" w:type="auto"/>
            <w:vMerge/>
            <w:vAlign w:val="center"/>
            <w:hideMark/>
          </w:tcPr>
          <w:p w14:paraId="3F4DDDDC" w14:textId="77777777" w:rsidR="003815D4" w:rsidRDefault="003815D4" w:rsidP="00361FB7">
            <w:pPr>
              <w:spacing w:after="0" w:line="240" w:lineRule="auto"/>
              <w:jc w:val="left"/>
              <w:rPr>
                <w:rFonts w:eastAsia="Calibri"/>
                <w:spacing w:val="-4"/>
                <w:szCs w:val="20"/>
                <w:lang w:eastAsia="en-US"/>
              </w:rPr>
            </w:pPr>
          </w:p>
        </w:tc>
        <w:tc>
          <w:tcPr>
            <w:tcW w:w="7610" w:type="dxa"/>
            <w:hideMark/>
          </w:tcPr>
          <w:p w14:paraId="29450FE6" w14:textId="77777777" w:rsidR="003815D4" w:rsidRDefault="003815D4" w:rsidP="00361FB7">
            <w:pPr>
              <w:spacing w:after="0"/>
              <w:rPr>
                <w:sz w:val="14"/>
                <w:szCs w:val="14"/>
                <w:lang w:eastAsia="en-US"/>
              </w:rPr>
            </w:pPr>
            <w:r>
              <w:rPr>
                <w:sz w:val="14"/>
                <w:szCs w:val="14"/>
                <w:lang w:eastAsia="en-US"/>
              </w:rPr>
              <w:t>Zdroj: ČNB</w:t>
            </w:r>
          </w:p>
        </w:tc>
      </w:tr>
    </w:tbl>
    <w:p w14:paraId="12738CD6" w14:textId="77777777" w:rsidR="003815D4" w:rsidRDefault="003815D4" w:rsidP="003815D4">
      <w:pPr>
        <w:pStyle w:val="Nadpis11"/>
        <w:rPr>
          <w:b w:val="0"/>
          <w:sz w:val="2"/>
          <w:szCs w:val="2"/>
          <w:highlight w:val="yellow"/>
        </w:rPr>
      </w:pPr>
    </w:p>
    <w:p w14:paraId="75EEAC01" w14:textId="77777777" w:rsidR="003815D4" w:rsidRDefault="003815D4" w:rsidP="003815D4">
      <w:pPr>
        <w:spacing w:after="0" w:line="240" w:lineRule="auto"/>
        <w:jc w:val="left"/>
        <w:rPr>
          <w:b/>
          <w:sz w:val="2"/>
          <w:szCs w:val="2"/>
          <w:highlight w:val="yellow"/>
        </w:rPr>
      </w:pPr>
    </w:p>
    <w:p w14:paraId="6049A064" w14:textId="77777777" w:rsidR="003815D4" w:rsidRPr="00E42054" w:rsidRDefault="003815D4" w:rsidP="003815D4">
      <w:pPr>
        <w:pStyle w:val="Nadpis11"/>
        <w:spacing w:after="0"/>
        <w:rPr>
          <w:b w:val="0"/>
          <w:sz w:val="2"/>
          <w:szCs w:val="2"/>
        </w:rPr>
      </w:pPr>
    </w:p>
    <w:p w14:paraId="6DDA2A55" w14:textId="77777777" w:rsidR="00AB75C5" w:rsidRDefault="00AB75C5" w:rsidP="00AB75C5">
      <w:pPr>
        <w:pStyle w:val="Nadpis11"/>
        <w:rPr>
          <w:b w:val="0"/>
          <w:sz w:val="2"/>
          <w:szCs w:val="2"/>
          <w:highlight w:val="yellow"/>
        </w:rPr>
      </w:pPr>
    </w:p>
    <w:p w14:paraId="6596F830" w14:textId="77777777" w:rsidR="00AB75C5" w:rsidRDefault="00AB75C5" w:rsidP="00AB75C5">
      <w:pPr>
        <w:spacing w:after="0" w:line="240" w:lineRule="auto"/>
        <w:jc w:val="left"/>
        <w:rPr>
          <w:b/>
          <w:sz w:val="2"/>
          <w:szCs w:val="2"/>
          <w:highlight w:val="yellow"/>
        </w:rPr>
      </w:pPr>
    </w:p>
    <w:p w14:paraId="3A42B37E" w14:textId="77777777" w:rsidR="003815D4" w:rsidRDefault="003815D4">
      <w:pPr>
        <w:spacing w:after="0" w:line="240" w:lineRule="auto"/>
        <w:jc w:val="left"/>
        <w:rPr>
          <w:rFonts w:eastAsia="MS Gothic"/>
          <w:b/>
          <w:bCs/>
          <w:color w:val="71818C"/>
          <w:sz w:val="32"/>
          <w:szCs w:val="28"/>
        </w:rPr>
      </w:pPr>
      <w:bookmarkStart w:id="19" w:name="_Toc26865023"/>
      <w:r>
        <w:br w:type="page"/>
      </w:r>
    </w:p>
    <w:p w14:paraId="0C32797D" w14:textId="77777777" w:rsidR="000663F0" w:rsidRDefault="000663F0" w:rsidP="000663F0">
      <w:pPr>
        <w:pStyle w:val="Nadpis11"/>
      </w:pPr>
      <w:bookmarkStart w:id="20" w:name="_Toc59001057"/>
      <w:r w:rsidRPr="00787441">
        <w:rPr>
          <w:szCs w:val="32"/>
        </w:rPr>
        <w:lastRenderedPageBreak/>
        <w:t>8</w:t>
      </w:r>
      <w:r>
        <w:t>. </w:t>
      </w:r>
      <w:r w:rsidRPr="009110F7">
        <w:t>Státní rozpočet</w:t>
      </w:r>
      <w:bookmarkEnd w:id="20"/>
    </w:p>
    <w:tbl>
      <w:tblPr>
        <w:tblW w:w="9669" w:type="dxa"/>
        <w:tblInd w:w="-20" w:type="dxa"/>
        <w:tblCellMar>
          <w:left w:w="0" w:type="dxa"/>
          <w:right w:w="0" w:type="dxa"/>
        </w:tblCellMar>
        <w:tblLook w:val="00A0" w:firstRow="1" w:lastRow="0" w:firstColumn="1" w:lastColumn="0" w:noHBand="0" w:noVBand="0"/>
      </w:tblPr>
      <w:tblGrid>
        <w:gridCol w:w="1732"/>
        <w:gridCol w:w="217"/>
        <w:gridCol w:w="7720"/>
      </w:tblGrid>
      <w:tr w:rsidR="000663F0" w:rsidRPr="003C07E6" w14:paraId="4F83966D" w14:textId="77777777" w:rsidTr="00361FB7">
        <w:trPr>
          <w:trHeight w:val="145"/>
        </w:trPr>
        <w:tc>
          <w:tcPr>
            <w:tcW w:w="1732" w:type="dxa"/>
            <w:shd w:val="clear" w:color="auto" w:fill="auto"/>
            <w:tcMar>
              <w:left w:w="0" w:type="dxa"/>
            </w:tcMar>
          </w:tcPr>
          <w:p w14:paraId="076B63AA" w14:textId="77777777" w:rsidR="000663F0" w:rsidRDefault="000663F0" w:rsidP="00361FB7">
            <w:pPr>
              <w:pStyle w:val="Marginlie"/>
            </w:pPr>
            <w:r>
              <w:t>Hospodaření státního rozpočtu se především vlivem vývoje ve 2. čtvrtletí propadlo k nejhlubšímu deficitu v novodobé historii ČR.</w:t>
            </w:r>
          </w:p>
        </w:tc>
        <w:tc>
          <w:tcPr>
            <w:tcW w:w="217" w:type="dxa"/>
            <w:shd w:val="clear" w:color="auto" w:fill="auto"/>
            <w:tcMar>
              <w:left w:w="0" w:type="dxa"/>
            </w:tcMar>
          </w:tcPr>
          <w:p w14:paraId="3DDB2D86" w14:textId="77777777" w:rsidR="000663F0" w:rsidRDefault="000663F0" w:rsidP="00361FB7">
            <w:pPr>
              <w:pStyle w:val="Textpoznpodarou"/>
              <w:jc w:val="both"/>
              <w:rPr>
                <w:spacing w:val="-4"/>
              </w:rPr>
            </w:pPr>
          </w:p>
        </w:tc>
        <w:tc>
          <w:tcPr>
            <w:tcW w:w="7720" w:type="dxa"/>
            <w:shd w:val="clear" w:color="auto" w:fill="auto"/>
            <w:tcMar>
              <w:left w:w="0" w:type="dxa"/>
            </w:tcMar>
          </w:tcPr>
          <w:p w14:paraId="1C6E536F" w14:textId="77777777" w:rsidR="000663F0" w:rsidRPr="00347DD9" w:rsidRDefault="000663F0" w:rsidP="00361FB7">
            <w:pPr>
              <w:spacing w:after="200"/>
              <w:rPr>
                <w:spacing w:val="-4"/>
              </w:rPr>
            </w:pPr>
            <w:r w:rsidRPr="00347DD9">
              <w:rPr>
                <w:spacing w:val="-4"/>
              </w:rPr>
              <w:t>Za 1</w:t>
            </w:r>
            <w:r>
              <w:rPr>
                <w:spacing w:val="-4"/>
              </w:rPr>
              <w:t>. </w:t>
            </w:r>
            <w:r w:rsidRPr="00347DD9">
              <w:rPr>
                <w:spacing w:val="-4"/>
              </w:rPr>
              <w:t>až 3.</w:t>
            </w:r>
            <w:r>
              <w:rPr>
                <w:spacing w:val="-4"/>
              </w:rPr>
              <w:t> čtvrtlet</w:t>
            </w:r>
            <w:r w:rsidRPr="00347DD9">
              <w:rPr>
                <w:spacing w:val="-4"/>
              </w:rPr>
              <w:t>í se hospodaření státního rozpočtu (SR)</w:t>
            </w:r>
            <w:r w:rsidRPr="00347DD9">
              <w:rPr>
                <w:rStyle w:val="Znakapoznpodarou"/>
                <w:spacing w:val="-4"/>
              </w:rPr>
              <w:footnoteReference w:id="56"/>
            </w:r>
            <w:r>
              <w:rPr>
                <w:spacing w:val="-4"/>
              </w:rPr>
              <w:t xml:space="preserve"> </w:t>
            </w:r>
            <w:r w:rsidRPr="00347DD9">
              <w:rPr>
                <w:spacing w:val="-4"/>
              </w:rPr>
              <w:t>propadlo k historickému deficitu 252,7</w:t>
            </w:r>
            <w:r>
              <w:rPr>
                <w:spacing w:val="-4"/>
              </w:rPr>
              <w:t> mld.</w:t>
            </w:r>
            <w:r w:rsidRPr="00347DD9">
              <w:rPr>
                <w:spacing w:val="-4"/>
              </w:rPr>
              <w:t xml:space="preserve"> korun. </w:t>
            </w:r>
            <w:r>
              <w:rPr>
                <w:spacing w:val="-4"/>
              </w:rPr>
              <w:t>Více než polovina z této částky souvisela s opatřeními přijatými</w:t>
            </w:r>
            <w:r w:rsidRPr="007265C7">
              <w:rPr>
                <w:spacing w:val="-4"/>
              </w:rPr>
              <w:t xml:space="preserve"> na podporu občanů a</w:t>
            </w:r>
            <w:r>
              <w:rPr>
                <w:spacing w:val="-4"/>
              </w:rPr>
              <w:t> </w:t>
            </w:r>
            <w:r w:rsidRPr="007265C7">
              <w:rPr>
                <w:spacing w:val="-4"/>
              </w:rPr>
              <w:t>firem v</w:t>
            </w:r>
            <w:r>
              <w:rPr>
                <w:spacing w:val="-4"/>
              </w:rPr>
              <w:t> </w:t>
            </w:r>
            <w:r w:rsidRPr="007265C7">
              <w:rPr>
                <w:spacing w:val="-4"/>
              </w:rPr>
              <w:t>souvislosti s</w:t>
            </w:r>
            <w:r>
              <w:rPr>
                <w:spacing w:val="-4"/>
              </w:rPr>
              <w:t> pandemií covidu</w:t>
            </w:r>
            <w:r w:rsidRPr="007265C7">
              <w:rPr>
                <w:spacing w:val="-4"/>
              </w:rPr>
              <w:t>-19</w:t>
            </w:r>
            <w:r>
              <w:rPr>
                <w:spacing w:val="-4"/>
              </w:rPr>
              <w:t>, která měla dopad na příjmovou i</w:t>
            </w:r>
            <w:r w:rsidRPr="00E92521">
              <w:rPr>
                <w:spacing w:val="-4"/>
              </w:rPr>
              <w:t> </w:t>
            </w:r>
            <w:r>
              <w:rPr>
                <w:spacing w:val="-4"/>
              </w:rPr>
              <w:t>výdajovou stranu SR</w:t>
            </w:r>
            <w:r>
              <w:rPr>
                <w:rStyle w:val="Znakapoznpodarou"/>
                <w:spacing w:val="-4"/>
              </w:rPr>
              <w:footnoteReference w:id="57"/>
            </w:r>
            <w:r>
              <w:rPr>
                <w:spacing w:val="-4"/>
              </w:rPr>
              <w:t>.</w:t>
            </w:r>
            <w:r w:rsidRPr="007265C7">
              <w:rPr>
                <w:spacing w:val="-4"/>
              </w:rPr>
              <w:t xml:space="preserve"> </w:t>
            </w:r>
            <w:r w:rsidRPr="00347DD9">
              <w:rPr>
                <w:spacing w:val="-4"/>
              </w:rPr>
              <w:t xml:space="preserve">Dosud nejvyšší schodek v tomto období roku, který z velké části reflektoval dopady </w:t>
            </w:r>
            <w:r>
              <w:rPr>
                <w:spacing w:val="-4"/>
              </w:rPr>
              <w:t xml:space="preserve">předchozí </w:t>
            </w:r>
            <w:r w:rsidRPr="00347DD9">
              <w:rPr>
                <w:spacing w:val="-4"/>
              </w:rPr>
              <w:t>hluboké hospodářské recese, byl zaznamenán v roce 2011 (105,1</w:t>
            </w:r>
            <w:r>
              <w:rPr>
                <w:spacing w:val="-4"/>
              </w:rPr>
              <w:t> mld.</w:t>
            </w:r>
            <w:r w:rsidRPr="00347DD9">
              <w:rPr>
                <w:spacing w:val="-4"/>
              </w:rPr>
              <w:t>).</w:t>
            </w:r>
            <w:r>
              <w:rPr>
                <w:spacing w:val="-4"/>
              </w:rPr>
              <w:t xml:space="preserve"> K letošnímu výsledku nejvíce přispěl výrazný deficit ve 2. čtvrtletí (150,5 mld.), v němž citelný útlum ekonomické aktivity v některých odvětvích doprovázený úlevami </w:t>
            </w:r>
            <w:r w:rsidRPr="00EA32C7">
              <w:rPr>
                <w:spacing w:val="-4"/>
              </w:rPr>
              <w:t>podnikatelským subjektům</w:t>
            </w:r>
            <w:r>
              <w:rPr>
                <w:spacing w:val="-4"/>
              </w:rPr>
              <w:t xml:space="preserve"> vyústil v propad daňového inkasa. Zároveň vznikla akutní potřeba posílení výdajových transferů (nákup zdravotnického materiálu či programy na stabilizaci zaměstnanosti). Se schodkovým hospodařením se však SR potýkal ve všech dosavadních měsících roku. Tento neočekávaný vývoj </w:t>
            </w:r>
            <w:r>
              <w:rPr>
                <w:spacing w:val="-2"/>
              </w:rPr>
              <w:t>nevyhnutelně přinesl potřebu zásadní revize původně schváleného celoročního rozpočtového deficitu</w:t>
            </w:r>
            <w:r w:rsidRPr="00333835">
              <w:rPr>
                <w:rStyle w:val="Znakapoznpodarou"/>
                <w:spacing w:val="-2"/>
              </w:rPr>
              <w:footnoteReference w:id="58"/>
            </w:r>
            <w:r>
              <w:rPr>
                <w:spacing w:val="-2"/>
              </w:rPr>
              <w:t>.</w:t>
            </w:r>
          </w:p>
        </w:tc>
      </w:tr>
      <w:tr w:rsidR="000663F0" w:rsidRPr="003C07E6" w14:paraId="04E36543" w14:textId="77777777" w:rsidTr="00361FB7">
        <w:trPr>
          <w:trHeight w:val="145"/>
        </w:trPr>
        <w:tc>
          <w:tcPr>
            <w:tcW w:w="1732" w:type="dxa"/>
            <w:shd w:val="clear" w:color="auto" w:fill="auto"/>
            <w:tcMar>
              <w:left w:w="0" w:type="dxa"/>
            </w:tcMar>
          </w:tcPr>
          <w:p w14:paraId="062EA9EB" w14:textId="77777777" w:rsidR="000663F0" w:rsidRDefault="000663F0" w:rsidP="00361FB7">
            <w:pPr>
              <w:pStyle w:val="Marginlie"/>
            </w:pPr>
            <w:r>
              <w:t>Propad celkových daňových příjmů byl jen částečně tlumen sílícím přílivem prostředků z rozpočtu EU.</w:t>
            </w:r>
          </w:p>
        </w:tc>
        <w:tc>
          <w:tcPr>
            <w:tcW w:w="217" w:type="dxa"/>
            <w:shd w:val="clear" w:color="auto" w:fill="auto"/>
            <w:tcMar>
              <w:left w:w="0" w:type="dxa"/>
            </w:tcMar>
          </w:tcPr>
          <w:p w14:paraId="47395970" w14:textId="77777777" w:rsidR="000663F0" w:rsidRDefault="000663F0" w:rsidP="00361FB7">
            <w:pPr>
              <w:pStyle w:val="Textpoznpodarou"/>
              <w:jc w:val="both"/>
              <w:rPr>
                <w:spacing w:val="-4"/>
              </w:rPr>
            </w:pPr>
          </w:p>
        </w:tc>
        <w:tc>
          <w:tcPr>
            <w:tcW w:w="7720" w:type="dxa"/>
            <w:shd w:val="clear" w:color="auto" w:fill="auto"/>
            <w:tcMar>
              <w:left w:w="0" w:type="dxa"/>
            </w:tcMar>
          </w:tcPr>
          <w:p w14:paraId="7E28F8F2" w14:textId="77777777" w:rsidR="000663F0" w:rsidRPr="00E92521" w:rsidRDefault="000663F0" w:rsidP="00361FB7">
            <w:pPr>
              <w:spacing w:after="200"/>
              <w:rPr>
                <w:spacing w:val="-4"/>
              </w:rPr>
            </w:pPr>
            <w:r w:rsidRPr="00E92521">
              <w:rPr>
                <w:spacing w:val="-4"/>
              </w:rPr>
              <w:t>Celkové příjmy SR se letos za tři čtvrtletí meziročně snížily o 4,1 %, resp. 45 mld. korun.</w:t>
            </w:r>
            <w:r>
              <w:rPr>
                <w:spacing w:val="-4"/>
              </w:rPr>
              <w:t xml:space="preserve"> Projevil se</w:t>
            </w:r>
            <w:r w:rsidRPr="00E92521">
              <w:rPr>
                <w:spacing w:val="-4"/>
              </w:rPr>
              <w:t xml:space="preserve"> citelný výpadek celkových daňových příjmů (v</w:t>
            </w:r>
            <w:r>
              <w:rPr>
                <w:spacing w:val="-4"/>
              </w:rPr>
              <w:t xml:space="preserve">četně </w:t>
            </w:r>
            <w:r w:rsidRPr="00E92521">
              <w:rPr>
                <w:spacing w:val="-4"/>
              </w:rPr>
              <w:t>pojistného) ve výši 62,4</w:t>
            </w:r>
            <w:r>
              <w:rPr>
                <w:spacing w:val="-4"/>
              </w:rPr>
              <w:t> mld.</w:t>
            </w:r>
            <w:r w:rsidRPr="00E92521">
              <w:rPr>
                <w:spacing w:val="-4"/>
              </w:rPr>
              <w:t xml:space="preserve"> korun. Zatímco v 1.</w:t>
            </w:r>
            <w:r>
              <w:rPr>
                <w:spacing w:val="-4"/>
              </w:rPr>
              <w:t> čtvrtlet</w:t>
            </w:r>
            <w:r w:rsidRPr="00E92521">
              <w:rPr>
                <w:spacing w:val="-4"/>
              </w:rPr>
              <w:t>í 2020 daňové příjmy SR meziročně ještě rostly (+4</w:t>
            </w:r>
            <w:r>
              <w:rPr>
                <w:spacing w:val="-4"/>
              </w:rPr>
              <w:t>,6 %), ve 2.</w:t>
            </w:r>
            <w:r w:rsidRPr="00E92521">
              <w:rPr>
                <w:spacing w:val="-4"/>
              </w:rPr>
              <w:t> čtvrtletí nastal propad (</w:t>
            </w:r>
            <w:r>
              <w:rPr>
                <w:spacing w:val="-4"/>
              </w:rPr>
              <w:t>–</w:t>
            </w:r>
            <w:r w:rsidRPr="00E92521">
              <w:rPr>
                <w:spacing w:val="-4"/>
              </w:rPr>
              <w:t>19,4</w:t>
            </w:r>
            <w:r>
              <w:rPr>
                <w:spacing w:val="-4"/>
              </w:rPr>
              <w:t> %</w:t>
            </w:r>
            <w:r w:rsidRPr="00E92521">
              <w:rPr>
                <w:spacing w:val="-4"/>
              </w:rPr>
              <w:t>). V následujícím kvartál</w:t>
            </w:r>
            <w:r>
              <w:rPr>
                <w:spacing w:val="-4"/>
              </w:rPr>
              <w:t>u</w:t>
            </w:r>
            <w:r w:rsidRPr="00E92521">
              <w:rPr>
                <w:spacing w:val="-4"/>
              </w:rPr>
              <w:t xml:space="preserve"> došlo k určit</w:t>
            </w:r>
            <w:r>
              <w:rPr>
                <w:spacing w:val="-4"/>
              </w:rPr>
              <w:t>é</w:t>
            </w:r>
            <w:r w:rsidRPr="00E92521">
              <w:rPr>
                <w:spacing w:val="-4"/>
              </w:rPr>
              <w:t xml:space="preserve"> stabilizaci </w:t>
            </w:r>
            <w:r>
              <w:rPr>
                <w:spacing w:val="-4"/>
              </w:rPr>
              <w:br/>
            </w:r>
            <w:r w:rsidRPr="00E92521">
              <w:rPr>
                <w:spacing w:val="-4"/>
              </w:rPr>
              <w:t>(</w:t>
            </w:r>
            <w:r>
              <w:rPr>
                <w:spacing w:val="-4"/>
              </w:rPr>
              <w:t>–</w:t>
            </w:r>
            <w:r w:rsidRPr="00E92521">
              <w:rPr>
                <w:spacing w:val="-4"/>
              </w:rPr>
              <w:t>3,5</w:t>
            </w:r>
            <w:r>
              <w:rPr>
                <w:spacing w:val="-4"/>
              </w:rPr>
              <w:t> %</w:t>
            </w:r>
            <w:r w:rsidRPr="00E92521">
              <w:rPr>
                <w:spacing w:val="-4"/>
              </w:rPr>
              <w:t xml:space="preserve">), neboť většina významných </w:t>
            </w:r>
            <w:proofErr w:type="spellStart"/>
            <w:r w:rsidRPr="00E92521">
              <w:rPr>
                <w:spacing w:val="-4"/>
              </w:rPr>
              <w:t>protipandemických</w:t>
            </w:r>
            <w:proofErr w:type="spellEnd"/>
            <w:r w:rsidRPr="00E92521">
              <w:rPr>
                <w:spacing w:val="-4"/>
              </w:rPr>
              <w:t xml:space="preserve"> restrikcí </w:t>
            </w:r>
            <w:r>
              <w:rPr>
                <w:spacing w:val="-4"/>
              </w:rPr>
              <w:t>byla zrušena</w:t>
            </w:r>
            <w:r w:rsidRPr="00E92521">
              <w:rPr>
                <w:spacing w:val="-4"/>
              </w:rPr>
              <w:t>.</w:t>
            </w:r>
            <w:r>
              <w:rPr>
                <w:spacing w:val="-4"/>
              </w:rPr>
              <w:t xml:space="preserve"> Souhrnné celostátní inkaso daní (bez pojistného) se na úrovni všech veřejných rozpočtů v 1. až 3.</w:t>
            </w:r>
            <w:r w:rsidRPr="00E92521">
              <w:rPr>
                <w:spacing w:val="-4"/>
              </w:rPr>
              <w:t> </w:t>
            </w:r>
            <w:r>
              <w:rPr>
                <w:spacing w:val="-4"/>
              </w:rPr>
              <w:t>čtvrtletí meziročně snížilo o 7,8 %. K poklesu došlo naposledy ve shodném období roku 2009, tehdy ale byla jeho hloubka takřka dvojnásobná (–13,1 %).</w:t>
            </w:r>
            <w:r>
              <w:rPr>
                <w:spacing w:val="-2"/>
              </w:rPr>
              <w:t xml:space="preserve"> Redukce celkových příjmů SR byla tlumena sílícím přílivem prostředků z rozpočtu EU a finančních mechanismů, které byly meziročně vyšší téměř o</w:t>
            </w:r>
            <w:r>
              <w:rPr>
                <w:spacing w:val="-4"/>
              </w:rPr>
              <w:t> </w:t>
            </w:r>
            <w:r>
              <w:rPr>
                <w:spacing w:val="-2"/>
              </w:rPr>
              <w:t>čtvrtinu (resp. 19 mld. korun). Podobně jako vloni, byť v mírně nižším objemu, podpořil příjmy SR převod prostředků z privatizačního účtu (+13 mld. korun).</w:t>
            </w:r>
          </w:p>
        </w:tc>
      </w:tr>
      <w:tr w:rsidR="000663F0" w:rsidRPr="003C07E6" w14:paraId="26B5886A" w14:textId="77777777" w:rsidTr="00361FB7">
        <w:trPr>
          <w:trHeight w:val="145"/>
        </w:trPr>
        <w:tc>
          <w:tcPr>
            <w:tcW w:w="1732" w:type="dxa"/>
            <w:shd w:val="clear" w:color="auto" w:fill="auto"/>
            <w:tcMar>
              <w:left w:w="0" w:type="dxa"/>
            </w:tcMar>
          </w:tcPr>
          <w:p w14:paraId="22B06CDF" w14:textId="77777777" w:rsidR="000663F0" w:rsidRDefault="000663F0" w:rsidP="00361FB7">
            <w:pPr>
              <w:pStyle w:val="Marginlie"/>
            </w:pPr>
            <w:r>
              <w:t>Celostátní výběr daně z příjmů právnických osob byl nejslabší za posledních pět let.</w:t>
            </w:r>
          </w:p>
        </w:tc>
        <w:tc>
          <w:tcPr>
            <w:tcW w:w="217" w:type="dxa"/>
            <w:shd w:val="clear" w:color="auto" w:fill="auto"/>
            <w:tcMar>
              <w:left w:w="0" w:type="dxa"/>
            </w:tcMar>
          </w:tcPr>
          <w:p w14:paraId="654D5CF5" w14:textId="77777777" w:rsidR="000663F0" w:rsidRDefault="000663F0" w:rsidP="00361FB7">
            <w:pPr>
              <w:pStyle w:val="Textpoznpodarou"/>
              <w:jc w:val="both"/>
              <w:rPr>
                <w:spacing w:val="-4"/>
              </w:rPr>
            </w:pPr>
          </w:p>
        </w:tc>
        <w:tc>
          <w:tcPr>
            <w:tcW w:w="7720" w:type="dxa"/>
            <w:shd w:val="clear" w:color="auto" w:fill="auto"/>
            <w:tcMar>
              <w:left w:w="0" w:type="dxa"/>
            </w:tcMar>
          </w:tcPr>
          <w:p w14:paraId="63F41AD0" w14:textId="77777777" w:rsidR="000663F0" w:rsidRPr="006A0205" w:rsidRDefault="000663F0" w:rsidP="00361FB7">
            <w:pPr>
              <w:spacing w:after="200"/>
              <w:rPr>
                <w:spacing w:val="-3"/>
              </w:rPr>
            </w:pPr>
            <w:r w:rsidRPr="00835DD5">
              <w:rPr>
                <w:spacing w:val="-3"/>
              </w:rPr>
              <w:t>K</w:t>
            </w:r>
            <w:r>
              <w:rPr>
                <w:spacing w:val="-3"/>
              </w:rPr>
              <w:t> poklesu</w:t>
            </w:r>
            <w:r w:rsidRPr="00835DD5">
              <w:rPr>
                <w:spacing w:val="-3"/>
              </w:rPr>
              <w:t xml:space="preserve"> daňových příjmů SR </w:t>
            </w:r>
            <w:r>
              <w:rPr>
                <w:spacing w:val="-3"/>
              </w:rPr>
              <w:t xml:space="preserve">za tři čtvrtletí </w:t>
            </w:r>
            <w:r w:rsidRPr="00835DD5">
              <w:rPr>
                <w:spacing w:val="-3"/>
              </w:rPr>
              <w:t>nejvíce přispěl výběr korporátní daně, jenž byl meziročně o</w:t>
            </w:r>
            <w:r>
              <w:rPr>
                <w:spacing w:val="-3"/>
              </w:rPr>
              <w:t xml:space="preserve"> pětinu </w:t>
            </w:r>
            <w:r w:rsidRPr="00835DD5">
              <w:rPr>
                <w:spacing w:val="-3"/>
              </w:rPr>
              <w:t>nižší</w:t>
            </w:r>
            <w:r>
              <w:rPr>
                <w:spacing w:val="-3"/>
              </w:rPr>
              <w:t xml:space="preserve"> (resp. o 19,3 mld. korun). Celostátní inkaso této daně bylo nejslabší za posledních pět let. Vedle nižší ekonomické aktivity i klesající míry zisku podniků se projevil i vliv </w:t>
            </w:r>
            <w:r>
              <w:t xml:space="preserve">prominutí červnové zálohy na daň z příjmů právnických osob (dopad </w:t>
            </w:r>
            <w:r>
              <w:br/>
              <w:t>–13,5 mld.). Negativní vliv na výběr daně měla i další opatření na podporu podniků (možnost individuálního stanovení odlišných záloh daně, zpětné uplatnění daňové ztráty</w:t>
            </w:r>
            <w:r>
              <w:rPr>
                <w:rStyle w:val="Znakapoznpodarou"/>
              </w:rPr>
              <w:footnoteReference w:id="59"/>
            </w:r>
            <w:r>
              <w:t>) s negativním dopadem na SR ve výši 5,1 mld. korun.</w:t>
            </w:r>
          </w:p>
        </w:tc>
      </w:tr>
      <w:tr w:rsidR="000663F0" w:rsidRPr="003C07E6" w14:paraId="6684338C" w14:textId="77777777" w:rsidTr="00361FB7">
        <w:trPr>
          <w:trHeight w:val="145"/>
        </w:trPr>
        <w:tc>
          <w:tcPr>
            <w:tcW w:w="1732" w:type="dxa"/>
            <w:shd w:val="clear" w:color="auto" w:fill="auto"/>
            <w:tcMar>
              <w:left w:w="0" w:type="dxa"/>
            </w:tcMar>
          </w:tcPr>
          <w:p w14:paraId="1D3EFEBC" w14:textId="77777777" w:rsidR="000663F0" w:rsidRDefault="000663F0" w:rsidP="00361FB7">
            <w:pPr>
              <w:pStyle w:val="Marginlie"/>
            </w:pPr>
            <w:r>
              <w:t>Silný pokles výběru daně z příjmu fyzických osob byl zásadně ovlivněn vyplacenými kompenzačními bonusy, prominutím části záloh daně či možností jejich snížení.</w:t>
            </w:r>
          </w:p>
        </w:tc>
        <w:tc>
          <w:tcPr>
            <w:tcW w:w="217" w:type="dxa"/>
            <w:shd w:val="clear" w:color="auto" w:fill="auto"/>
            <w:tcMar>
              <w:left w:w="0" w:type="dxa"/>
            </w:tcMar>
          </w:tcPr>
          <w:p w14:paraId="14BF3CEE" w14:textId="77777777" w:rsidR="000663F0" w:rsidRDefault="000663F0" w:rsidP="00361FB7">
            <w:pPr>
              <w:pStyle w:val="Textpoznpodarou"/>
              <w:jc w:val="both"/>
              <w:rPr>
                <w:spacing w:val="-4"/>
              </w:rPr>
            </w:pPr>
          </w:p>
        </w:tc>
        <w:tc>
          <w:tcPr>
            <w:tcW w:w="7720" w:type="dxa"/>
            <w:shd w:val="clear" w:color="auto" w:fill="auto"/>
            <w:tcMar>
              <w:left w:w="0" w:type="dxa"/>
            </w:tcMar>
          </w:tcPr>
          <w:p w14:paraId="079126A5" w14:textId="77777777" w:rsidR="000663F0" w:rsidRPr="00333835" w:rsidRDefault="000663F0" w:rsidP="00361FB7">
            <w:pPr>
              <w:spacing w:after="200"/>
              <w:rPr>
                <w:spacing w:val="-2"/>
              </w:rPr>
            </w:pPr>
            <w:r>
              <w:rPr>
                <w:spacing w:val="-3"/>
              </w:rPr>
              <w:t>Na dani z příjmu fyzických osob (FO) placené plátci získal SR meziročně o 8,7 % (resp. 9 mld. korun) méně. Obdobným tempem se snížilo i celostátní inkaso této daně, a překonalo tak dosud nejhlubší pokles v současném miléniu</w:t>
            </w:r>
            <w:r>
              <w:rPr>
                <w:rStyle w:val="Znakapoznpodarou"/>
                <w:spacing w:val="-3"/>
              </w:rPr>
              <w:footnoteReference w:id="60"/>
            </w:r>
            <w:r>
              <w:rPr>
                <w:spacing w:val="-3"/>
              </w:rPr>
              <w:t>. Nižší příjem z této daně byl zásadně ovlivněn přímou podporou formou vyplácení kompenzačních bonusů zejména OSVČ (ve výši 14,5 mld. korun</w:t>
            </w:r>
            <w:r>
              <w:rPr>
                <w:rStyle w:val="Znakapoznpodarou"/>
                <w:spacing w:val="-3"/>
              </w:rPr>
              <w:footnoteReference w:id="61"/>
            </w:r>
            <w:r>
              <w:rPr>
                <w:spacing w:val="-3"/>
              </w:rPr>
              <w:t xml:space="preserve">), projevil se rovněž vyšší počet </w:t>
            </w:r>
            <w:r w:rsidRPr="004A62DC">
              <w:t xml:space="preserve">osob pečujících </w:t>
            </w:r>
            <w:r>
              <w:t>o dítě v období uzavření škol, pokles zaměstnanosti i </w:t>
            </w:r>
            <w:r w:rsidRPr="004A62DC">
              <w:t xml:space="preserve">nižší dynamika růstu průměrných </w:t>
            </w:r>
            <w:r>
              <w:t xml:space="preserve">mezd v ekonomice. Stabilizace během 3. čtvrtletí 2020 se promítla růstem výběru výše uvedené daně (+3,9 %). Bezmála o pětinu klesl za tři čtvrtletí meziročně příjem SR z ostatních daní od FO. Zatímco inkaso daně vybírané srážkou stagnovalo, u daně </w:t>
            </w:r>
            <w:r>
              <w:lastRenderedPageBreak/>
              <w:t>placené</w:t>
            </w:r>
            <w:r w:rsidRPr="00B12AA9">
              <w:t xml:space="preserve"> poplatníky</w:t>
            </w:r>
            <w:r>
              <w:t xml:space="preserve"> došlo k poklesu o 3 mld. korun (zejména vlivem prominutí části záloh daně, popřípadě jejich snížením).</w:t>
            </w:r>
          </w:p>
        </w:tc>
      </w:tr>
      <w:tr w:rsidR="000663F0" w:rsidRPr="003C07E6" w14:paraId="06B593D7" w14:textId="77777777" w:rsidTr="00361FB7">
        <w:trPr>
          <w:trHeight w:val="145"/>
        </w:trPr>
        <w:tc>
          <w:tcPr>
            <w:tcW w:w="1732" w:type="dxa"/>
            <w:shd w:val="clear" w:color="auto" w:fill="auto"/>
            <w:tcMar>
              <w:left w:w="0" w:type="dxa"/>
            </w:tcMar>
          </w:tcPr>
          <w:p w14:paraId="78BA771E" w14:textId="77777777" w:rsidR="000663F0" w:rsidRPr="001D644C" w:rsidRDefault="000663F0" w:rsidP="00361FB7">
            <w:pPr>
              <w:pStyle w:val="Marginlie"/>
              <w:rPr>
                <w:spacing w:val="-4"/>
              </w:rPr>
            </w:pPr>
            <w:r>
              <w:lastRenderedPageBreak/>
              <w:t xml:space="preserve">Inkaso DPH bylo </w:t>
            </w:r>
            <w:r w:rsidRPr="001D644C">
              <w:rPr>
                <w:spacing w:val="-4"/>
              </w:rPr>
              <w:t>ovlivněno jarním propadem maloobchodních tržeb. Ve 3.</w:t>
            </w:r>
            <w:r>
              <w:rPr>
                <w:spacing w:val="-4"/>
              </w:rPr>
              <w:t> čtvrtlet</w:t>
            </w:r>
            <w:r w:rsidRPr="001D644C">
              <w:rPr>
                <w:spacing w:val="-4"/>
              </w:rPr>
              <w:t xml:space="preserve">í </w:t>
            </w:r>
            <w:r>
              <w:rPr>
                <w:spacing w:val="-4"/>
              </w:rPr>
              <w:t xml:space="preserve">ale </w:t>
            </w:r>
            <w:r w:rsidRPr="001D644C">
              <w:rPr>
                <w:spacing w:val="-4"/>
              </w:rPr>
              <w:t>výběr mírně rostl.</w:t>
            </w:r>
          </w:p>
          <w:p w14:paraId="2478C45E" w14:textId="77777777" w:rsidR="000663F0" w:rsidRPr="001D644C" w:rsidRDefault="000663F0" w:rsidP="00361FB7">
            <w:pPr>
              <w:pStyle w:val="Marginlie"/>
              <w:rPr>
                <w:spacing w:val="-4"/>
              </w:rPr>
            </w:pPr>
          </w:p>
          <w:p w14:paraId="48121766" w14:textId="77777777" w:rsidR="000663F0" w:rsidRPr="001D644C" w:rsidRDefault="000663F0" w:rsidP="00361FB7">
            <w:pPr>
              <w:pStyle w:val="Marginlie"/>
              <w:rPr>
                <w:spacing w:val="-4"/>
              </w:rPr>
            </w:pPr>
          </w:p>
          <w:p w14:paraId="7918884E" w14:textId="77777777" w:rsidR="000663F0" w:rsidRPr="001D644C" w:rsidRDefault="000663F0" w:rsidP="00361FB7">
            <w:pPr>
              <w:pStyle w:val="Marginlie"/>
              <w:rPr>
                <w:spacing w:val="-4"/>
              </w:rPr>
            </w:pPr>
          </w:p>
          <w:p w14:paraId="3D3219E3" w14:textId="77777777" w:rsidR="000663F0" w:rsidRPr="00560761" w:rsidRDefault="000663F0" w:rsidP="00361FB7">
            <w:pPr>
              <w:pStyle w:val="Marginlie"/>
              <w:rPr>
                <w:spacing w:val="-4"/>
              </w:rPr>
            </w:pPr>
            <w:r w:rsidRPr="001D644C">
              <w:rPr>
                <w:spacing w:val="-4"/>
              </w:rPr>
              <w:t>Nižší přepravní výkony i pokračující útlum příjezdového cestovního ruchu poznamenaly výběr daně z minerálních olejů i</w:t>
            </w:r>
            <w:r>
              <w:rPr>
                <w:spacing w:val="-4"/>
              </w:rPr>
              <w:t> </w:t>
            </w:r>
            <w:r w:rsidRPr="001D644C">
              <w:rPr>
                <w:spacing w:val="-4"/>
              </w:rPr>
              <w:t>alkoholických produktů.</w:t>
            </w:r>
          </w:p>
        </w:tc>
        <w:tc>
          <w:tcPr>
            <w:tcW w:w="217" w:type="dxa"/>
            <w:shd w:val="clear" w:color="auto" w:fill="auto"/>
            <w:tcMar>
              <w:left w:w="0" w:type="dxa"/>
            </w:tcMar>
          </w:tcPr>
          <w:p w14:paraId="4617F58D" w14:textId="77777777" w:rsidR="000663F0" w:rsidRDefault="000663F0" w:rsidP="00361FB7">
            <w:pPr>
              <w:pStyle w:val="Textpoznpodarou"/>
              <w:jc w:val="both"/>
              <w:rPr>
                <w:spacing w:val="-4"/>
              </w:rPr>
            </w:pPr>
          </w:p>
        </w:tc>
        <w:tc>
          <w:tcPr>
            <w:tcW w:w="7720" w:type="dxa"/>
            <w:shd w:val="clear" w:color="auto" w:fill="auto"/>
            <w:tcMar>
              <w:left w:w="0" w:type="dxa"/>
            </w:tcMar>
          </w:tcPr>
          <w:p w14:paraId="20340521" w14:textId="77777777" w:rsidR="000663F0" w:rsidRDefault="000663F0" w:rsidP="00361FB7">
            <w:pPr>
              <w:spacing w:after="200"/>
              <w:rPr>
                <w:spacing w:val="-3"/>
              </w:rPr>
            </w:pPr>
            <w:r>
              <w:rPr>
                <w:spacing w:val="-3"/>
              </w:rPr>
              <w:t xml:space="preserve">Vliv </w:t>
            </w:r>
            <w:r w:rsidRPr="00E9550D">
              <w:rPr>
                <w:color w:val="0D0D0D" w:themeColor="text1" w:themeTint="F2"/>
                <w:spacing w:val="-3"/>
              </w:rPr>
              <w:t xml:space="preserve">nepřímých daní </w:t>
            </w:r>
            <w:r>
              <w:rPr>
                <w:spacing w:val="-3"/>
              </w:rPr>
              <w:t xml:space="preserve">na pokles celkového inkasa SR byl řádově menší. </w:t>
            </w:r>
            <w:r>
              <w:rPr>
                <w:spacing w:val="-2"/>
              </w:rPr>
              <w:t>Z </w:t>
            </w:r>
            <w:r>
              <w:rPr>
                <w:spacing w:val="-6"/>
              </w:rPr>
              <w:t>váhově dominantní daně – DPH – plynulo v 1. až 3. čtvrtletí do SR meziročně o 1,8 % (resp. o 3,7 mld. korun) méně. K poklesu výběru daně došlo letos poprvé za posledních osm let. Přispěl k tomu vývoj ve 2. čtvrtletí 2020, kdy inkaso meziročně kleslo o šestinu, naopak v 1. i 3. čtvrtletí byl zaznamenán shodně 6% růst</w:t>
            </w:r>
            <w:r>
              <w:rPr>
                <w:rStyle w:val="Znakapoznpodarou"/>
                <w:spacing w:val="-6"/>
              </w:rPr>
              <w:footnoteReference w:id="62"/>
            </w:r>
            <w:r>
              <w:rPr>
                <w:spacing w:val="-6"/>
              </w:rPr>
              <w:t xml:space="preserve">. </w:t>
            </w:r>
            <w:r w:rsidRPr="00ED3827">
              <w:rPr>
                <w:spacing w:val="-4"/>
              </w:rPr>
              <w:t>Celkové inkaso</w:t>
            </w:r>
            <w:r>
              <w:rPr>
                <w:spacing w:val="-4"/>
              </w:rPr>
              <w:t xml:space="preserve"> </w:t>
            </w:r>
            <w:r w:rsidRPr="00ED3827">
              <w:rPr>
                <w:spacing w:val="-4"/>
              </w:rPr>
              <w:t xml:space="preserve">SR </w:t>
            </w:r>
            <w:r w:rsidRPr="00ED3827">
              <w:rPr>
                <w:color w:val="0D0D0D" w:themeColor="text1" w:themeTint="F2"/>
                <w:spacing w:val="-4"/>
              </w:rPr>
              <w:t>ze spotřebních daní</w:t>
            </w:r>
            <w:r>
              <w:rPr>
                <w:color w:val="0D0D0D" w:themeColor="text1" w:themeTint="F2"/>
                <w:spacing w:val="-4"/>
              </w:rPr>
              <w:t xml:space="preserve"> (včetně energetických daní) se v 1. až 3. čtvrtletí snížilo o 2,3 % (resp. o 2,6 mld. korun). </w:t>
            </w:r>
            <w:r w:rsidRPr="00ED3827">
              <w:rPr>
                <w:spacing w:val="-4"/>
              </w:rPr>
              <w:t xml:space="preserve">Projevil se zejména výpadek inkasa </w:t>
            </w:r>
            <w:r>
              <w:rPr>
                <w:spacing w:val="-4"/>
              </w:rPr>
              <w:t>klíčové daně z minerálních olejů (–9,2 %</w:t>
            </w:r>
            <w:r w:rsidRPr="00ED3827">
              <w:rPr>
                <w:spacing w:val="-4"/>
              </w:rPr>
              <w:t>)</w:t>
            </w:r>
            <w:r>
              <w:rPr>
                <w:spacing w:val="-4"/>
              </w:rPr>
              <w:t xml:space="preserve"> vlivem citelné redukce pře</w:t>
            </w:r>
            <w:r w:rsidRPr="00ED3827">
              <w:rPr>
                <w:spacing w:val="-4"/>
              </w:rPr>
              <w:t>pravních výkonů (v</w:t>
            </w:r>
            <w:r>
              <w:rPr>
                <w:spacing w:val="-4"/>
              </w:rPr>
              <w:t xml:space="preserve">četně </w:t>
            </w:r>
            <w:r w:rsidRPr="00ED3827">
              <w:rPr>
                <w:spacing w:val="-4"/>
              </w:rPr>
              <w:t>tranzitní dopravy). Z podrobnějších údajů ČSÚ o spotřebě ro</w:t>
            </w:r>
            <w:r>
              <w:rPr>
                <w:spacing w:val="-4"/>
              </w:rPr>
              <w:t>pných produktů vyplývá, že pokles pokračoval i v letních měsících</w:t>
            </w:r>
            <w:r w:rsidRPr="00ED3827">
              <w:rPr>
                <w:rStyle w:val="Znakapoznpodarou"/>
                <w:spacing w:val="-4"/>
              </w:rPr>
              <w:footnoteReference w:id="63"/>
            </w:r>
            <w:r w:rsidRPr="00ED3827">
              <w:rPr>
                <w:spacing w:val="-4"/>
              </w:rPr>
              <w:t>.</w:t>
            </w:r>
            <w:r>
              <w:rPr>
                <w:spacing w:val="-4"/>
              </w:rPr>
              <w:t xml:space="preserve"> Uzavření pohostinských zařízení v jarních měsících, stejně jako utlumený příjezdový cestovní ruch pokračující i v letním období se podepsaly na mírném poklesu výběru daně z alkoholických produktů (pivo, líh). Inkaso daně z tabákových výrobků výhradně vlivem zvýšení sazby daně od počátku roku naopak rostlo (+8,0 %), zůstalo však za rozpočtovým očekáváním </w:t>
            </w:r>
            <w:r w:rsidRPr="00ED3827">
              <w:rPr>
                <w:spacing w:val="-4"/>
              </w:rPr>
              <w:t>(mj.</w:t>
            </w:r>
            <w:r>
              <w:rPr>
                <w:spacing w:val="-4"/>
              </w:rPr>
              <w:t> </w:t>
            </w:r>
            <w:r w:rsidRPr="00ED3827">
              <w:rPr>
                <w:spacing w:val="-4"/>
              </w:rPr>
              <w:t>i</w:t>
            </w:r>
            <w:r>
              <w:rPr>
                <w:spacing w:val="-4"/>
              </w:rPr>
              <w:t> vinou</w:t>
            </w:r>
            <w:r w:rsidRPr="00ED3827">
              <w:rPr>
                <w:spacing w:val="-4"/>
              </w:rPr>
              <w:t xml:space="preserve"> útlumu přeshraničních nákupů z Německa a</w:t>
            </w:r>
            <w:r>
              <w:rPr>
                <w:spacing w:val="-4"/>
              </w:rPr>
              <w:t> </w:t>
            </w:r>
            <w:r w:rsidRPr="00ED3827">
              <w:rPr>
                <w:spacing w:val="-4"/>
              </w:rPr>
              <w:t>Rakouska).</w:t>
            </w:r>
          </w:p>
        </w:tc>
      </w:tr>
      <w:tr w:rsidR="000663F0" w:rsidRPr="00F704D2" w14:paraId="75D08F5D" w14:textId="77777777" w:rsidTr="00361FB7">
        <w:trPr>
          <w:trHeight w:val="170"/>
        </w:trPr>
        <w:tc>
          <w:tcPr>
            <w:tcW w:w="1732" w:type="dxa"/>
            <w:vMerge w:val="restart"/>
            <w:shd w:val="clear" w:color="auto" w:fill="auto"/>
            <w:tcMar>
              <w:left w:w="0" w:type="dxa"/>
            </w:tcMar>
          </w:tcPr>
          <w:p w14:paraId="7EF55234" w14:textId="77777777" w:rsidR="000663F0" w:rsidRDefault="000663F0" w:rsidP="00361FB7">
            <w:pPr>
              <w:pStyle w:val="Marginlie"/>
            </w:pPr>
          </w:p>
        </w:tc>
        <w:tc>
          <w:tcPr>
            <w:tcW w:w="217" w:type="dxa"/>
            <w:vMerge w:val="restart"/>
            <w:shd w:val="clear" w:color="auto" w:fill="auto"/>
            <w:tcMar>
              <w:left w:w="0" w:type="dxa"/>
            </w:tcMar>
          </w:tcPr>
          <w:p w14:paraId="245F9073" w14:textId="77777777" w:rsidR="000663F0" w:rsidRDefault="000663F0" w:rsidP="00361FB7">
            <w:pPr>
              <w:pStyle w:val="Textpoznpodarou"/>
              <w:jc w:val="both"/>
              <w:rPr>
                <w:spacing w:val="-4"/>
              </w:rPr>
            </w:pPr>
          </w:p>
        </w:tc>
        <w:tc>
          <w:tcPr>
            <w:tcW w:w="7720" w:type="dxa"/>
            <w:shd w:val="clear" w:color="auto" w:fill="auto"/>
            <w:tcMar>
              <w:left w:w="0" w:type="dxa"/>
            </w:tcMar>
          </w:tcPr>
          <w:p w14:paraId="0135537D" w14:textId="77777777" w:rsidR="000663F0" w:rsidRPr="00B80CE9" w:rsidRDefault="000663F0" w:rsidP="00361FB7">
            <w:pPr>
              <w:spacing w:after="0" w:line="240" w:lineRule="auto"/>
              <w:rPr>
                <w:rFonts w:cs="Arial"/>
                <w:bCs/>
              </w:rPr>
            </w:pPr>
            <w:r w:rsidRPr="00B80CE9">
              <w:rPr>
                <w:rFonts w:cs="Arial"/>
                <w:b/>
                <w:bCs/>
                <w:color w:val="000000"/>
                <w:szCs w:val="20"/>
              </w:rPr>
              <w:t>Graf č. 16</w:t>
            </w:r>
            <w:r w:rsidRPr="00B80CE9">
              <w:rPr>
                <w:rFonts w:cs="Arial"/>
                <w:b/>
                <w:bCs/>
                <w:color w:val="000000"/>
                <w:sz w:val="18"/>
                <w:szCs w:val="18"/>
              </w:rPr>
              <w:t xml:space="preserve">  </w:t>
            </w:r>
            <w:r w:rsidRPr="00B80CE9">
              <w:rPr>
                <w:rFonts w:cs="Arial"/>
                <w:b/>
                <w:bCs/>
              </w:rPr>
              <w:t xml:space="preserve">Celostátní inkasa vybraných daňových příjmů </w:t>
            </w:r>
            <w:r w:rsidRPr="00B80CE9">
              <w:rPr>
                <w:rFonts w:cs="Arial"/>
                <w:bCs/>
              </w:rPr>
              <w:t>(</w:t>
            </w:r>
            <w:r w:rsidRPr="00B80CE9">
              <w:t>meziročně</w:t>
            </w:r>
            <w:r w:rsidRPr="00B80CE9">
              <w:rPr>
                <w:bCs/>
              </w:rPr>
              <w:t xml:space="preserve"> v %)</w:t>
            </w:r>
            <w:r w:rsidRPr="00B80CE9">
              <w:rPr>
                <w:bCs/>
              </w:rPr>
              <w:br/>
            </w:r>
            <w:r w:rsidRPr="00B80CE9">
              <w:rPr>
                <w:rFonts w:cs="Arial"/>
                <w:b/>
                <w:bCs/>
              </w:rPr>
              <w:t>a saldo státního rozpočtu</w:t>
            </w:r>
            <w:r w:rsidRPr="00B80CE9">
              <w:t xml:space="preserve"> </w:t>
            </w:r>
            <w:r>
              <w:rPr>
                <w:rFonts w:cs="Arial"/>
                <w:bCs/>
              </w:rPr>
              <w:t>(v mld. korun, pravá osa</w:t>
            </w:r>
            <w:r w:rsidRPr="00B80CE9">
              <w:rPr>
                <w:rFonts w:cs="Arial"/>
                <w:bCs/>
              </w:rPr>
              <w:t>)</w:t>
            </w:r>
            <w:r>
              <w:rPr>
                <w:rFonts w:cs="Arial"/>
                <w:bCs/>
              </w:rPr>
              <w:t xml:space="preserve"> </w:t>
            </w:r>
            <w:r>
              <w:rPr>
                <w:rFonts w:cs="Arial"/>
                <w:b/>
                <w:bCs/>
              </w:rPr>
              <w:t>v kumulaci za 1. až 3. čtvrtletí</w:t>
            </w:r>
          </w:p>
        </w:tc>
      </w:tr>
      <w:tr w:rsidR="000663F0" w14:paraId="35C5EDF9" w14:textId="77777777" w:rsidTr="00361FB7">
        <w:tblPrEx>
          <w:tblCellMar>
            <w:left w:w="70" w:type="dxa"/>
            <w:right w:w="70" w:type="dxa"/>
          </w:tblCellMar>
        </w:tblPrEx>
        <w:trPr>
          <w:trHeight w:val="170"/>
        </w:trPr>
        <w:tc>
          <w:tcPr>
            <w:tcW w:w="1732" w:type="dxa"/>
            <w:vMerge/>
            <w:shd w:val="clear" w:color="auto" w:fill="auto"/>
          </w:tcPr>
          <w:p w14:paraId="5D18E263" w14:textId="77777777" w:rsidR="000663F0" w:rsidRDefault="000663F0" w:rsidP="00361FB7">
            <w:pPr>
              <w:pStyle w:val="Marginlie"/>
            </w:pPr>
          </w:p>
        </w:tc>
        <w:tc>
          <w:tcPr>
            <w:tcW w:w="217" w:type="dxa"/>
            <w:vMerge/>
            <w:shd w:val="clear" w:color="auto" w:fill="auto"/>
          </w:tcPr>
          <w:p w14:paraId="1EB1E23C" w14:textId="77777777" w:rsidR="000663F0" w:rsidRDefault="000663F0" w:rsidP="00361FB7">
            <w:pPr>
              <w:pStyle w:val="Textpoznpodarou"/>
              <w:jc w:val="both"/>
              <w:rPr>
                <w:spacing w:val="-4"/>
              </w:rPr>
            </w:pPr>
          </w:p>
        </w:tc>
        <w:tc>
          <w:tcPr>
            <w:tcW w:w="7720" w:type="dxa"/>
            <w:shd w:val="clear" w:color="auto" w:fill="auto"/>
          </w:tcPr>
          <w:p w14:paraId="2940CB59" w14:textId="77777777" w:rsidR="000663F0" w:rsidRPr="0067514E" w:rsidRDefault="000663F0" w:rsidP="00361FB7">
            <w:pPr>
              <w:spacing w:after="0"/>
              <w:rPr>
                <w:spacing w:val="-6"/>
              </w:rPr>
            </w:pPr>
            <w:r>
              <w:rPr>
                <w:noProof/>
              </w:rPr>
              <w:drawing>
                <wp:inline distT="0" distB="0" distL="0" distR="0" wp14:anchorId="4CC0D9C0" wp14:editId="1D6E8826">
                  <wp:extent cx="4741545" cy="3528574"/>
                  <wp:effectExtent l="0" t="0" r="1905"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0663F0" w:rsidRPr="007B3A78" w14:paraId="36C2823D" w14:textId="77777777" w:rsidTr="00361FB7">
        <w:trPr>
          <w:trHeight w:val="170"/>
        </w:trPr>
        <w:tc>
          <w:tcPr>
            <w:tcW w:w="1732" w:type="dxa"/>
            <w:vMerge/>
            <w:shd w:val="clear" w:color="auto" w:fill="auto"/>
            <w:tcMar>
              <w:left w:w="0" w:type="dxa"/>
            </w:tcMar>
          </w:tcPr>
          <w:p w14:paraId="05473EBB" w14:textId="77777777" w:rsidR="000663F0" w:rsidRDefault="000663F0" w:rsidP="00361FB7">
            <w:pPr>
              <w:pStyle w:val="Marginlie"/>
            </w:pPr>
          </w:p>
        </w:tc>
        <w:tc>
          <w:tcPr>
            <w:tcW w:w="217" w:type="dxa"/>
            <w:vMerge/>
            <w:shd w:val="clear" w:color="auto" w:fill="auto"/>
            <w:tcMar>
              <w:left w:w="0" w:type="dxa"/>
            </w:tcMar>
          </w:tcPr>
          <w:p w14:paraId="193E342C" w14:textId="77777777" w:rsidR="000663F0" w:rsidRDefault="000663F0" w:rsidP="00361FB7">
            <w:pPr>
              <w:pStyle w:val="Textpoznpodarou"/>
              <w:jc w:val="both"/>
              <w:rPr>
                <w:spacing w:val="-4"/>
              </w:rPr>
            </w:pPr>
          </w:p>
        </w:tc>
        <w:tc>
          <w:tcPr>
            <w:tcW w:w="7720" w:type="dxa"/>
            <w:shd w:val="clear" w:color="auto" w:fill="auto"/>
            <w:tcMar>
              <w:left w:w="0" w:type="dxa"/>
            </w:tcMar>
          </w:tcPr>
          <w:p w14:paraId="02644438" w14:textId="77777777" w:rsidR="000663F0" w:rsidRDefault="000663F0" w:rsidP="00361FB7">
            <w:pPr>
              <w:spacing w:after="0" w:line="240" w:lineRule="auto"/>
              <w:jc w:val="left"/>
              <w:rPr>
                <w:spacing w:val="-2"/>
                <w:sz w:val="14"/>
                <w:szCs w:val="14"/>
              </w:rPr>
            </w:pPr>
            <w:r w:rsidRPr="00E52D45">
              <w:rPr>
                <w:spacing w:val="-2"/>
                <w:sz w:val="14"/>
                <w:szCs w:val="14"/>
              </w:rPr>
              <w:t>*Saldo očištěné o prostředky na programy a projekty z rozpočtu EU (vč</w:t>
            </w:r>
            <w:r>
              <w:rPr>
                <w:spacing w:val="-2"/>
                <w:sz w:val="14"/>
                <w:szCs w:val="14"/>
              </w:rPr>
              <w:t xml:space="preserve">etně </w:t>
            </w:r>
            <w:r w:rsidRPr="00E52D45">
              <w:rPr>
                <w:spacing w:val="-2"/>
                <w:sz w:val="14"/>
                <w:szCs w:val="14"/>
              </w:rPr>
              <w:t>finančních mechanismů), které byly předfinancovány ze SR a následně jsou propláceny z rozpočtů EU a FM. Údaje jsou k dispozici počín</w:t>
            </w:r>
            <w:r>
              <w:rPr>
                <w:spacing w:val="-2"/>
                <w:sz w:val="14"/>
                <w:szCs w:val="14"/>
              </w:rPr>
              <w:t>aje rokem 2013.</w:t>
            </w:r>
          </w:p>
          <w:p w14:paraId="5B99CFB7" w14:textId="77777777" w:rsidR="000663F0" w:rsidRPr="00E52D45" w:rsidRDefault="000663F0" w:rsidP="00361FB7">
            <w:pPr>
              <w:spacing w:after="200" w:line="240" w:lineRule="auto"/>
              <w:jc w:val="left"/>
              <w:rPr>
                <w:spacing w:val="-2"/>
                <w:sz w:val="14"/>
                <w:szCs w:val="14"/>
              </w:rPr>
            </w:pPr>
            <w:r w:rsidRPr="00E52D45">
              <w:rPr>
                <w:spacing w:val="-2"/>
                <w:sz w:val="14"/>
                <w:szCs w:val="14"/>
              </w:rPr>
              <w:t>Zdroj: MF ČR</w:t>
            </w:r>
          </w:p>
        </w:tc>
      </w:tr>
      <w:tr w:rsidR="000663F0" w:rsidRPr="008266F0" w14:paraId="127D5C48" w14:textId="77777777" w:rsidTr="00361FB7">
        <w:trPr>
          <w:trHeight w:val="145"/>
        </w:trPr>
        <w:tc>
          <w:tcPr>
            <w:tcW w:w="1732" w:type="dxa"/>
            <w:shd w:val="clear" w:color="auto" w:fill="auto"/>
            <w:tcMar>
              <w:left w:w="0" w:type="dxa"/>
            </w:tcMar>
          </w:tcPr>
          <w:p w14:paraId="5F0B3813" w14:textId="77777777" w:rsidR="000663F0" w:rsidRDefault="000663F0" w:rsidP="00361FB7">
            <w:pPr>
              <w:pStyle w:val="Marginlie"/>
            </w:pPr>
            <w:r>
              <w:t>Běžné výdaje SR rostly rekordním 16% tempem. Polovina navýšení šla na vrub neplánovaných výdajů v souvislosti s pandemií covidu-19.</w:t>
            </w:r>
          </w:p>
          <w:p w14:paraId="4C73098B" w14:textId="77777777" w:rsidR="000663F0" w:rsidRDefault="000663F0" w:rsidP="00361FB7">
            <w:pPr>
              <w:pStyle w:val="Marginlie"/>
            </w:pPr>
          </w:p>
          <w:p w14:paraId="7441EEC3" w14:textId="77777777" w:rsidR="000663F0" w:rsidRDefault="000663F0" w:rsidP="00361FB7">
            <w:pPr>
              <w:pStyle w:val="Marginlie"/>
              <w:rPr>
                <w:spacing w:val="0"/>
              </w:rPr>
            </w:pPr>
            <w:r w:rsidRPr="00B63DED">
              <w:rPr>
                <w:spacing w:val="0"/>
              </w:rPr>
              <w:lastRenderedPageBreak/>
              <w:t xml:space="preserve">Běžné transfery podnikatelským subjektům vzrostly </w:t>
            </w:r>
            <w:r>
              <w:rPr>
                <w:spacing w:val="0"/>
              </w:rPr>
              <w:t>o</w:t>
            </w:r>
            <w:r>
              <w:t> </w:t>
            </w:r>
            <w:r>
              <w:rPr>
                <w:spacing w:val="0"/>
              </w:rPr>
              <w:t>78</w:t>
            </w:r>
            <w:r>
              <w:t> </w:t>
            </w:r>
            <w:r w:rsidRPr="00B63DED">
              <w:rPr>
                <w:spacing w:val="0"/>
              </w:rPr>
              <w:t>%.</w:t>
            </w:r>
          </w:p>
          <w:p w14:paraId="2071A3CE" w14:textId="77777777" w:rsidR="000663F0" w:rsidRDefault="000663F0" w:rsidP="00361FB7">
            <w:pPr>
              <w:pStyle w:val="Marginlie"/>
              <w:rPr>
                <w:spacing w:val="0"/>
              </w:rPr>
            </w:pPr>
          </w:p>
          <w:p w14:paraId="42A5DE24" w14:textId="77777777" w:rsidR="000663F0" w:rsidRDefault="000663F0" w:rsidP="00361FB7">
            <w:pPr>
              <w:pStyle w:val="Marginlie"/>
              <w:rPr>
                <w:spacing w:val="0"/>
              </w:rPr>
            </w:pPr>
          </w:p>
          <w:p w14:paraId="7047EFC7" w14:textId="77777777" w:rsidR="000663F0" w:rsidRDefault="000663F0" w:rsidP="00361FB7">
            <w:pPr>
              <w:pStyle w:val="Marginlie"/>
              <w:rPr>
                <w:spacing w:val="0"/>
              </w:rPr>
            </w:pPr>
          </w:p>
          <w:p w14:paraId="12C6AA4B" w14:textId="77777777" w:rsidR="000663F0" w:rsidRDefault="000663F0" w:rsidP="00361FB7">
            <w:pPr>
              <w:pStyle w:val="Marginlie"/>
              <w:rPr>
                <w:spacing w:val="0"/>
              </w:rPr>
            </w:pPr>
          </w:p>
          <w:p w14:paraId="6A7FC29B" w14:textId="77777777" w:rsidR="000663F0" w:rsidRDefault="000663F0" w:rsidP="00361FB7">
            <w:pPr>
              <w:pStyle w:val="Marginlie"/>
              <w:rPr>
                <w:spacing w:val="0"/>
              </w:rPr>
            </w:pPr>
          </w:p>
          <w:p w14:paraId="42599976" w14:textId="77777777" w:rsidR="000663F0" w:rsidRDefault="000663F0" w:rsidP="00361FB7">
            <w:pPr>
              <w:pStyle w:val="Marginlie"/>
              <w:rPr>
                <w:spacing w:val="0"/>
              </w:rPr>
            </w:pPr>
          </w:p>
          <w:p w14:paraId="026125F4" w14:textId="77777777" w:rsidR="000663F0" w:rsidRDefault="000663F0" w:rsidP="00361FB7">
            <w:pPr>
              <w:pStyle w:val="Marginlie"/>
              <w:rPr>
                <w:spacing w:val="0"/>
              </w:rPr>
            </w:pPr>
          </w:p>
          <w:p w14:paraId="63F9AC33" w14:textId="77777777" w:rsidR="000663F0" w:rsidRDefault="000663F0" w:rsidP="00361FB7">
            <w:pPr>
              <w:pStyle w:val="Marginlie"/>
              <w:rPr>
                <w:spacing w:val="0"/>
              </w:rPr>
            </w:pPr>
          </w:p>
          <w:p w14:paraId="7C5000F6" w14:textId="77777777" w:rsidR="000663F0" w:rsidRDefault="000663F0" w:rsidP="00361FB7">
            <w:pPr>
              <w:pStyle w:val="Marginlie"/>
              <w:rPr>
                <w:spacing w:val="0"/>
              </w:rPr>
            </w:pPr>
          </w:p>
          <w:p w14:paraId="2441C572" w14:textId="77777777" w:rsidR="000663F0" w:rsidRDefault="000663F0" w:rsidP="00361FB7">
            <w:pPr>
              <w:pStyle w:val="Marginlie"/>
              <w:rPr>
                <w:spacing w:val="0"/>
              </w:rPr>
            </w:pPr>
          </w:p>
          <w:p w14:paraId="0A40656F" w14:textId="77777777" w:rsidR="000663F0" w:rsidRPr="00B63DED" w:rsidRDefault="000663F0" w:rsidP="00361FB7">
            <w:pPr>
              <w:pStyle w:val="Marginlie"/>
              <w:rPr>
                <w:spacing w:val="0"/>
              </w:rPr>
            </w:pPr>
            <w:r>
              <w:rPr>
                <w:spacing w:val="0"/>
              </w:rPr>
              <w:t>Svižný růst výdajů na platy pokračoval zejména v oblasti vzdělávání a sociální péče.</w:t>
            </w:r>
          </w:p>
        </w:tc>
        <w:tc>
          <w:tcPr>
            <w:tcW w:w="217" w:type="dxa"/>
            <w:shd w:val="clear" w:color="auto" w:fill="auto"/>
            <w:tcMar>
              <w:left w:w="0" w:type="dxa"/>
            </w:tcMar>
          </w:tcPr>
          <w:p w14:paraId="637FFD95" w14:textId="77777777" w:rsidR="000663F0" w:rsidRDefault="000663F0" w:rsidP="00361FB7">
            <w:pPr>
              <w:pStyle w:val="Textpoznpodarou"/>
              <w:jc w:val="both"/>
              <w:rPr>
                <w:spacing w:val="-4"/>
              </w:rPr>
            </w:pPr>
          </w:p>
        </w:tc>
        <w:tc>
          <w:tcPr>
            <w:tcW w:w="7720" w:type="dxa"/>
            <w:shd w:val="clear" w:color="auto" w:fill="auto"/>
            <w:tcMar>
              <w:left w:w="0" w:type="dxa"/>
            </w:tcMar>
          </w:tcPr>
          <w:p w14:paraId="4030280D" w14:textId="77777777" w:rsidR="000663F0" w:rsidRPr="00251B78" w:rsidRDefault="000663F0" w:rsidP="00361FB7">
            <w:pPr>
              <w:spacing w:after="220"/>
              <w:rPr>
                <w:spacing w:val="-4"/>
              </w:rPr>
            </w:pPr>
            <w:r w:rsidRPr="00251B78">
              <w:rPr>
                <w:spacing w:val="-4"/>
              </w:rPr>
              <w:t>Celkové výdaje SR za tři čtvrtletí meziročně vzrostly o 16,6 %, resp. 187 mld. korun. Ani v samotném 3.</w:t>
            </w:r>
            <w:r>
              <w:rPr>
                <w:spacing w:val="-4"/>
              </w:rPr>
              <w:t> čtvrtlet</w:t>
            </w:r>
            <w:r w:rsidRPr="00251B78">
              <w:rPr>
                <w:spacing w:val="-4"/>
              </w:rPr>
              <w:t xml:space="preserve">í silné růstové </w:t>
            </w:r>
            <w:r>
              <w:rPr>
                <w:spacing w:val="-4"/>
              </w:rPr>
              <w:t>tempo výdajů výrazněji nepolevil</w:t>
            </w:r>
            <w:r w:rsidRPr="00251B78">
              <w:rPr>
                <w:spacing w:val="-4"/>
              </w:rPr>
              <w:t xml:space="preserve">o. Proti původně schválenému rozpočtu (z konce roku 2019) bylo dosažené tempo více než čtyřnásobné. K růstu přispěly hlavně běžné výdaje (+16,0 %, +166 mld.), celá polovina z jejich přírůstku </w:t>
            </w:r>
            <w:r w:rsidRPr="00251B78">
              <w:rPr>
                <w:spacing w:val="-4"/>
              </w:rPr>
              <w:lastRenderedPageBreak/>
              <w:t>šla na vrub výdajů spojených s </w:t>
            </w:r>
            <w:proofErr w:type="spellStart"/>
            <w:r w:rsidRPr="00251B78">
              <w:rPr>
                <w:spacing w:val="-4"/>
              </w:rPr>
              <w:t>protipandemickými</w:t>
            </w:r>
            <w:proofErr w:type="spellEnd"/>
            <w:r w:rsidRPr="00251B78">
              <w:rPr>
                <w:spacing w:val="-4"/>
              </w:rPr>
              <w:t xml:space="preserve"> opatřeními</w:t>
            </w:r>
            <w:r w:rsidRPr="00251B78">
              <w:rPr>
                <w:rStyle w:val="Znakapoznpodarou"/>
                <w:spacing w:val="-4"/>
              </w:rPr>
              <w:footnoteReference w:id="64"/>
            </w:r>
            <w:r w:rsidRPr="00251B78">
              <w:rPr>
                <w:spacing w:val="-4"/>
              </w:rPr>
              <w:t xml:space="preserve">. Letošní tempo růstu běžných výdajů bylo v současném miléniu </w:t>
            </w:r>
            <w:r>
              <w:rPr>
                <w:spacing w:val="-4"/>
              </w:rPr>
              <w:t xml:space="preserve">dosud </w:t>
            </w:r>
            <w:r w:rsidRPr="00251B78">
              <w:rPr>
                <w:spacing w:val="-4"/>
              </w:rPr>
              <w:t>nejvyšší, když překonalo rekor</w:t>
            </w:r>
            <w:r>
              <w:rPr>
                <w:spacing w:val="-4"/>
              </w:rPr>
              <w:t>dní hodnotu z </w:t>
            </w:r>
            <w:r w:rsidRPr="00251B78">
              <w:rPr>
                <w:spacing w:val="-4"/>
              </w:rPr>
              <w:t>roku</w:t>
            </w:r>
            <w:r>
              <w:rPr>
                <w:spacing w:val="-4"/>
              </w:rPr>
              <w:t xml:space="preserve"> 2019</w:t>
            </w:r>
            <w:r w:rsidRPr="00251B78">
              <w:rPr>
                <w:spacing w:val="-4"/>
              </w:rPr>
              <w:t xml:space="preserve"> (+9,8</w:t>
            </w:r>
            <w:r>
              <w:rPr>
                <w:spacing w:val="-4"/>
              </w:rPr>
              <w:t> %</w:t>
            </w:r>
            <w:r w:rsidRPr="00251B78">
              <w:rPr>
                <w:spacing w:val="-4"/>
              </w:rPr>
              <w:t>). Z běžných výdajů za tři čtvrtletí nejvíce akcelerovaly neinvestiční transfery podnikatelským subjektům (+78</w:t>
            </w:r>
            <w:r>
              <w:rPr>
                <w:spacing w:val="-4"/>
              </w:rPr>
              <w:t> %</w:t>
            </w:r>
            <w:r w:rsidRPr="00251B78">
              <w:rPr>
                <w:spacing w:val="-4"/>
              </w:rPr>
              <w:t xml:space="preserve">), v nichž se soustřeďovala významná část </w:t>
            </w:r>
            <w:proofErr w:type="spellStart"/>
            <w:r w:rsidRPr="00251B78">
              <w:rPr>
                <w:spacing w:val="-4"/>
              </w:rPr>
              <w:t>protipandemických</w:t>
            </w:r>
            <w:proofErr w:type="spellEnd"/>
            <w:r w:rsidRPr="00251B78">
              <w:rPr>
                <w:spacing w:val="-4"/>
              </w:rPr>
              <w:t xml:space="preserve"> podpůrných opatření (26</w:t>
            </w:r>
            <w:r>
              <w:rPr>
                <w:spacing w:val="-4"/>
              </w:rPr>
              <w:t> mld.</w:t>
            </w:r>
            <w:r w:rsidRPr="00251B78">
              <w:rPr>
                <w:spacing w:val="-4"/>
              </w:rPr>
              <w:t xml:space="preserve"> korun), zejména náhrada části mezd zaměstnanců v rámci programu Antivirus. Roli zde sehrály také vyšší výdaje na projekty operačního programu Podnikání a</w:t>
            </w:r>
            <w:r>
              <w:rPr>
                <w:spacing w:val="-4"/>
              </w:rPr>
              <w:t> </w:t>
            </w:r>
            <w:r w:rsidRPr="00251B78">
              <w:rPr>
                <w:spacing w:val="-4"/>
              </w:rPr>
              <w:t>inovace pro konkurenceschopnost (6</w:t>
            </w:r>
            <w:r>
              <w:rPr>
                <w:spacing w:val="-4"/>
              </w:rPr>
              <w:t> mld.</w:t>
            </w:r>
            <w:r w:rsidRPr="00251B78">
              <w:rPr>
                <w:spacing w:val="-4"/>
              </w:rPr>
              <w:t>). Silně posílily i</w:t>
            </w:r>
            <w:r>
              <w:rPr>
                <w:spacing w:val="-4"/>
              </w:rPr>
              <w:t> </w:t>
            </w:r>
            <w:r w:rsidRPr="00251B78">
              <w:rPr>
                <w:spacing w:val="-4"/>
              </w:rPr>
              <w:t>výdaje SR na neinvestiční transfery fondům sociálního a</w:t>
            </w:r>
            <w:r>
              <w:rPr>
                <w:spacing w:val="-4"/>
              </w:rPr>
              <w:t> </w:t>
            </w:r>
            <w:r w:rsidRPr="00251B78">
              <w:rPr>
                <w:spacing w:val="-4"/>
              </w:rPr>
              <w:t>veřejného zdravotního pojištění (28 %), zejména zásluhou vyšší</w:t>
            </w:r>
            <w:r>
              <w:rPr>
                <w:spacing w:val="-4"/>
              </w:rPr>
              <w:t>ch</w:t>
            </w:r>
            <w:r w:rsidRPr="00251B78">
              <w:rPr>
                <w:spacing w:val="-4"/>
              </w:rPr>
              <w:t xml:space="preserve"> plateb za tzv.</w:t>
            </w:r>
            <w:r>
              <w:rPr>
                <w:spacing w:val="-4"/>
              </w:rPr>
              <w:t> </w:t>
            </w:r>
            <w:r w:rsidRPr="00251B78">
              <w:rPr>
                <w:spacing w:val="-4"/>
              </w:rPr>
              <w:t xml:space="preserve">státní pojištěnce. </w:t>
            </w:r>
            <w:proofErr w:type="spellStart"/>
            <w:r w:rsidRPr="00251B78">
              <w:rPr>
                <w:spacing w:val="-4"/>
              </w:rPr>
              <w:t>Protipandemická</w:t>
            </w:r>
            <w:proofErr w:type="spellEnd"/>
            <w:r w:rsidRPr="00251B78">
              <w:rPr>
                <w:spacing w:val="-4"/>
              </w:rPr>
              <w:t xml:space="preserve"> opatření ovlivnila i</w:t>
            </w:r>
            <w:r>
              <w:rPr>
                <w:spacing w:val="-4"/>
              </w:rPr>
              <w:t> </w:t>
            </w:r>
            <w:r w:rsidRPr="00251B78">
              <w:rPr>
                <w:spacing w:val="-4"/>
              </w:rPr>
              <w:t>další výdaje. Téměř o</w:t>
            </w:r>
            <w:r>
              <w:rPr>
                <w:spacing w:val="-4"/>
              </w:rPr>
              <w:t> </w:t>
            </w:r>
            <w:r w:rsidRPr="00251B78">
              <w:rPr>
                <w:spacing w:val="-4"/>
              </w:rPr>
              <w:t>šestinu vzrostly jak běžné transfery příspěvkovým organizacím (primárně vlivem oddlužení vybraných nemocnic), tak transfery neziskovým organizacím (zčásti v důsledku posílení provozních výdajů na sociální služby). Posílení výdajů na neinvestiční nákupy (+17</w:t>
            </w:r>
            <w:r>
              <w:rPr>
                <w:spacing w:val="-4"/>
              </w:rPr>
              <w:t> %</w:t>
            </w:r>
            <w:r w:rsidRPr="00251B78">
              <w:rPr>
                <w:spacing w:val="-4"/>
              </w:rPr>
              <w:t>) z velké části odráželo nákup ochranných prostředků a</w:t>
            </w:r>
            <w:r>
              <w:rPr>
                <w:spacing w:val="-4"/>
              </w:rPr>
              <w:t xml:space="preserve"> výdaje </w:t>
            </w:r>
            <w:r w:rsidRPr="00251B78">
              <w:rPr>
                <w:spacing w:val="-4"/>
              </w:rPr>
              <w:t>související s</w:t>
            </w:r>
            <w:r>
              <w:rPr>
                <w:spacing w:val="-4"/>
              </w:rPr>
              <w:t> covidem</w:t>
            </w:r>
            <w:r w:rsidRPr="00251B78">
              <w:rPr>
                <w:spacing w:val="-4"/>
              </w:rPr>
              <w:t>-19 (9</w:t>
            </w:r>
            <w:r>
              <w:rPr>
                <w:spacing w:val="-4"/>
              </w:rPr>
              <w:t> mld.</w:t>
            </w:r>
            <w:r w:rsidRPr="00251B78">
              <w:rPr>
                <w:spacing w:val="-4"/>
              </w:rPr>
              <w:t xml:space="preserve"> korun). Na růstu objemově významných neinvestičních transferů územním rozpočtům (+23</w:t>
            </w:r>
            <w:r>
              <w:rPr>
                <w:spacing w:val="-4"/>
              </w:rPr>
              <w:t> %</w:t>
            </w:r>
            <w:r w:rsidRPr="00251B78">
              <w:rPr>
                <w:spacing w:val="-4"/>
              </w:rPr>
              <w:t>, resp. 35</w:t>
            </w:r>
            <w:r>
              <w:rPr>
                <w:spacing w:val="-4"/>
              </w:rPr>
              <w:t> mld.</w:t>
            </w:r>
            <w:r w:rsidRPr="00251B78">
              <w:rPr>
                <w:spacing w:val="-4"/>
              </w:rPr>
              <w:t xml:space="preserve"> korun) se významně podílel mimořádný srpnový příspěvek obcím na zmírnění dopadů poklesu daňových příjmů.</w:t>
            </w:r>
            <w:r>
              <w:rPr>
                <w:spacing w:val="-4"/>
              </w:rPr>
              <w:t xml:space="preserve"> Klíčové však bylo navýšení</w:t>
            </w:r>
            <w:r w:rsidRPr="00251B78">
              <w:rPr>
                <w:spacing w:val="-4"/>
              </w:rPr>
              <w:t xml:space="preserve"> výdajů na platy pracovníků základního a</w:t>
            </w:r>
            <w:r>
              <w:rPr>
                <w:spacing w:val="-4"/>
              </w:rPr>
              <w:t> </w:t>
            </w:r>
            <w:r w:rsidRPr="00251B78">
              <w:rPr>
                <w:spacing w:val="-4"/>
              </w:rPr>
              <w:t>středního školství (+17 mld.) a</w:t>
            </w:r>
            <w:r>
              <w:rPr>
                <w:spacing w:val="-4"/>
              </w:rPr>
              <w:t> </w:t>
            </w:r>
            <w:r w:rsidRPr="00251B78">
              <w:rPr>
                <w:spacing w:val="-4"/>
              </w:rPr>
              <w:t>v oblasti sociální péče. Výdaje na platy v ústředních orgánech státní správy byly vyšší o</w:t>
            </w:r>
            <w:r>
              <w:rPr>
                <w:spacing w:val="-4"/>
              </w:rPr>
              <w:t> </w:t>
            </w:r>
            <w:r w:rsidRPr="00251B78">
              <w:rPr>
                <w:spacing w:val="-4"/>
              </w:rPr>
              <w:t>5</w:t>
            </w:r>
            <w:r>
              <w:rPr>
                <w:spacing w:val="-4"/>
              </w:rPr>
              <w:t> %</w:t>
            </w:r>
            <w:r w:rsidRPr="00251B78">
              <w:rPr>
                <w:spacing w:val="-4"/>
              </w:rPr>
              <w:t>, necelá čtvrtina nárůstu souvisela s vyššími pracovními výkony ve vybraných oblastech (policie, armáda, hygienické stanice).</w:t>
            </w:r>
          </w:p>
        </w:tc>
      </w:tr>
      <w:tr w:rsidR="000663F0" w:rsidRPr="008266F0" w14:paraId="64E4DA99" w14:textId="77777777" w:rsidTr="00361FB7">
        <w:trPr>
          <w:trHeight w:val="145"/>
        </w:trPr>
        <w:tc>
          <w:tcPr>
            <w:tcW w:w="1732" w:type="dxa"/>
            <w:shd w:val="clear" w:color="auto" w:fill="auto"/>
            <w:tcMar>
              <w:left w:w="0" w:type="dxa"/>
            </w:tcMar>
          </w:tcPr>
          <w:p w14:paraId="6E49FCA9" w14:textId="77777777" w:rsidR="000663F0" w:rsidRDefault="000663F0" w:rsidP="00361FB7">
            <w:pPr>
              <w:pStyle w:val="Marginlie"/>
            </w:pPr>
            <w:r>
              <w:lastRenderedPageBreak/>
              <w:t>Tempo růstu výdajů na sociální dávky zrychlovalo, jejich podíl na všech výdajích SR ale dále klesal.</w:t>
            </w:r>
          </w:p>
          <w:p w14:paraId="276EDCAD" w14:textId="77777777" w:rsidR="000663F0" w:rsidRDefault="000663F0" w:rsidP="00361FB7">
            <w:pPr>
              <w:pStyle w:val="Marginlie"/>
            </w:pPr>
          </w:p>
          <w:p w14:paraId="6314A74C" w14:textId="77777777" w:rsidR="000663F0" w:rsidRDefault="000663F0" w:rsidP="00361FB7">
            <w:pPr>
              <w:pStyle w:val="Marginlie"/>
            </w:pPr>
          </w:p>
          <w:p w14:paraId="2A62EF45" w14:textId="77777777" w:rsidR="000663F0" w:rsidRDefault="000663F0" w:rsidP="00361FB7">
            <w:pPr>
              <w:pStyle w:val="Marginlie"/>
            </w:pPr>
          </w:p>
          <w:p w14:paraId="3081E9AF" w14:textId="77777777" w:rsidR="000663F0" w:rsidRDefault="000663F0" w:rsidP="00361FB7">
            <w:pPr>
              <w:pStyle w:val="Marginlie"/>
            </w:pPr>
            <w:r>
              <w:t>Nedůchodové sociální dávky táhl hlavně silný růst čerpání nemocenského pojištění i zákonné zvýšení rodičovského příspěvku.</w:t>
            </w:r>
          </w:p>
          <w:p w14:paraId="02EE9A39" w14:textId="77777777" w:rsidR="000663F0" w:rsidRDefault="000663F0" w:rsidP="00361FB7">
            <w:pPr>
              <w:pStyle w:val="Marginlie"/>
            </w:pPr>
          </w:p>
          <w:p w14:paraId="169F204D" w14:textId="77777777" w:rsidR="000663F0" w:rsidRDefault="000663F0" w:rsidP="00361FB7">
            <w:pPr>
              <w:pStyle w:val="Marginlie"/>
            </w:pPr>
          </w:p>
          <w:p w14:paraId="71A6E82A" w14:textId="77777777" w:rsidR="000663F0" w:rsidRDefault="000663F0" w:rsidP="00361FB7">
            <w:pPr>
              <w:pStyle w:val="Marginlie"/>
            </w:pPr>
          </w:p>
          <w:p w14:paraId="2B257AF6" w14:textId="77777777" w:rsidR="000663F0" w:rsidRDefault="000663F0" w:rsidP="00361FB7">
            <w:pPr>
              <w:pStyle w:val="Marginlie"/>
            </w:pPr>
            <w:r>
              <w:t>Dlouhodobější pokles vyplacených dávek hmotné nouze se zastavil.</w:t>
            </w:r>
          </w:p>
        </w:tc>
        <w:tc>
          <w:tcPr>
            <w:tcW w:w="217" w:type="dxa"/>
            <w:shd w:val="clear" w:color="auto" w:fill="auto"/>
            <w:tcMar>
              <w:left w:w="0" w:type="dxa"/>
            </w:tcMar>
          </w:tcPr>
          <w:p w14:paraId="57EAF1D4" w14:textId="77777777" w:rsidR="000663F0" w:rsidRDefault="000663F0" w:rsidP="00361FB7">
            <w:pPr>
              <w:pStyle w:val="Textpoznpodarou"/>
              <w:jc w:val="both"/>
              <w:rPr>
                <w:spacing w:val="-4"/>
              </w:rPr>
            </w:pPr>
          </w:p>
        </w:tc>
        <w:tc>
          <w:tcPr>
            <w:tcW w:w="7720" w:type="dxa"/>
            <w:shd w:val="clear" w:color="auto" w:fill="auto"/>
            <w:tcMar>
              <w:left w:w="0" w:type="dxa"/>
            </w:tcMar>
          </w:tcPr>
          <w:p w14:paraId="6B4C3046" w14:textId="77777777" w:rsidR="000663F0" w:rsidRPr="00251B78" w:rsidRDefault="000663F0" w:rsidP="00361FB7">
            <w:pPr>
              <w:spacing w:after="200"/>
              <w:rPr>
                <w:spacing w:val="-4"/>
              </w:rPr>
            </w:pPr>
            <w:r w:rsidRPr="00251B78">
              <w:rPr>
                <w:spacing w:val="-4"/>
              </w:rPr>
              <w:t>K</w:t>
            </w:r>
            <w:r>
              <w:rPr>
                <w:spacing w:val="-4"/>
              </w:rPr>
              <w:t> </w:t>
            </w:r>
            <w:r w:rsidRPr="00251B78">
              <w:rPr>
                <w:spacing w:val="-4"/>
              </w:rPr>
              <w:t>růstu běžných výdajů SR tradičně významně přispěly sociální dávky. Za tři čtvrtletí na ně SR vydal meziročně o</w:t>
            </w:r>
            <w:r>
              <w:rPr>
                <w:spacing w:val="-4"/>
              </w:rPr>
              <w:t> </w:t>
            </w:r>
            <w:r w:rsidRPr="00251B78">
              <w:rPr>
                <w:spacing w:val="-4"/>
              </w:rPr>
              <w:t>57</w:t>
            </w:r>
            <w:r>
              <w:rPr>
                <w:spacing w:val="-4"/>
              </w:rPr>
              <w:t> mld.</w:t>
            </w:r>
            <w:r w:rsidRPr="00251B78">
              <w:rPr>
                <w:spacing w:val="-4"/>
              </w:rPr>
              <w:t xml:space="preserve"> korun více. Přestože meziroční tempo výdajů na sociální dávky vzrostlo o 12,7 % a proti tempu z 1</w:t>
            </w:r>
            <w:r>
              <w:rPr>
                <w:spacing w:val="-4"/>
              </w:rPr>
              <w:t>. </w:t>
            </w:r>
            <w:r w:rsidRPr="00251B78">
              <w:rPr>
                <w:spacing w:val="-4"/>
              </w:rPr>
              <w:t>až 3.</w:t>
            </w:r>
            <w:r>
              <w:rPr>
                <w:spacing w:val="-4"/>
              </w:rPr>
              <w:t> čtvrtlet</w:t>
            </w:r>
            <w:r w:rsidRPr="00251B78">
              <w:rPr>
                <w:spacing w:val="-4"/>
              </w:rPr>
              <w:t>í roku 2019 zesílilo o více než polovinu, podíl dávek na všech výdajích SR klesl již čtvrtým rokem (na 38,6 %). Poprvé za posledních sedm let byl růst sociálních transferů tažen primárně nedůchodovými dávkami, které meziročně vzrostly téměř o třetinu (na 127,3 mld. korun). Nejvíce se projevil vliv akcelerace dávek nemocenského pojištění. Ty vzrostly takřka o</w:t>
            </w:r>
            <w:r>
              <w:rPr>
                <w:spacing w:val="-4"/>
              </w:rPr>
              <w:t> </w:t>
            </w:r>
            <w:r w:rsidRPr="00251B78">
              <w:rPr>
                <w:spacing w:val="-4"/>
              </w:rPr>
              <w:t>polovinu (na 43,2</w:t>
            </w:r>
            <w:r>
              <w:rPr>
                <w:spacing w:val="-4"/>
              </w:rPr>
              <w:t> mld.</w:t>
            </w:r>
            <w:r w:rsidRPr="00251B78">
              <w:rPr>
                <w:spacing w:val="-4"/>
              </w:rPr>
              <w:t xml:space="preserve"> korun)</w:t>
            </w:r>
            <w:r w:rsidRPr="00251B78">
              <w:rPr>
                <w:rStyle w:val="Znakapoznpodarou"/>
                <w:spacing w:val="-4"/>
              </w:rPr>
              <w:footnoteReference w:id="65"/>
            </w:r>
            <w:r w:rsidRPr="00251B78">
              <w:rPr>
                <w:spacing w:val="-4"/>
              </w:rPr>
              <w:t>. K růstu zde zhruba ze dvou třetin přispěla výplata ošetřovného poskytovaného z důvodu uzavření škol a jiných zařízení. Projevil se ale i nárůst celkové nemocnosti</w:t>
            </w:r>
            <w:r w:rsidRPr="00251B78">
              <w:rPr>
                <w:rStyle w:val="Znakapoznpodarou"/>
                <w:spacing w:val="-4"/>
              </w:rPr>
              <w:footnoteReference w:id="66"/>
            </w:r>
            <w:r w:rsidRPr="00251B78">
              <w:rPr>
                <w:spacing w:val="-4"/>
              </w:rPr>
              <w:t>, vyšší počet proplacených dnů vlivem zrušení karenční doby, mírně vyšší bylo i čerpání peněžité pomoci v mateřství. O</w:t>
            </w:r>
            <w:r>
              <w:rPr>
                <w:spacing w:val="-4"/>
              </w:rPr>
              <w:t> </w:t>
            </w:r>
            <w:r w:rsidRPr="00251B78">
              <w:rPr>
                <w:spacing w:val="-4"/>
              </w:rPr>
              <w:t>více než třetinu posílily výdaje na státní sociální podporu (na 38,7</w:t>
            </w:r>
            <w:r>
              <w:rPr>
                <w:spacing w:val="-4"/>
              </w:rPr>
              <w:t> mld.</w:t>
            </w:r>
            <w:r w:rsidRPr="00251B78">
              <w:rPr>
                <w:spacing w:val="-4"/>
              </w:rPr>
              <w:t xml:space="preserve"> korun), a</w:t>
            </w:r>
            <w:r>
              <w:rPr>
                <w:spacing w:val="-4"/>
              </w:rPr>
              <w:t> </w:t>
            </w:r>
            <w:r w:rsidRPr="00251B78">
              <w:rPr>
                <w:spacing w:val="-4"/>
              </w:rPr>
              <w:t>to takřka výhradně vlivem zákonného navýšení rodičovského příspěvku, neboť čerpání příjmově testovaných dávek (přídavky na děti, příspěvek na bydlení) dále kleslo. Došlo i ke zrychlení dlouhodobě rostoucího příspěvku na péči (o sedminu, resp. 3,1 mld.). Druhým rokem v řadě vydal stát více na podporách v nezaměstnanosti. Objem vyplacených dávek začal od počátku května 2020 výrazněji růst, v úhrnu od ledna do září vzrostl meziročně o</w:t>
            </w:r>
            <w:r>
              <w:rPr>
                <w:spacing w:val="-4"/>
              </w:rPr>
              <w:t> </w:t>
            </w:r>
            <w:r w:rsidRPr="00251B78">
              <w:rPr>
                <w:spacing w:val="-4"/>
              </w:rPr>
              <w:t>1,8</w:t>
            </w:r>
            <w:r>
              <w:rPr>
                <w:spacing w:val="-4"/>
              </w:rPr>
              <w:t> </w:t>
            </w:r>
            <w:r w:rsidRPr="00251B78">
              <w:rPr>
                <w:spacing w:val="-4"/>
              </w:rPr>
              <w:t>mld</w:t>
            </w:r>
            <w:r>
              <w:rPr>
                <w:spacing w:val="-4"/>
              </w:rPr>
              <w:t>.</w:t>
            </w:r>
            <w:r w:rsidRPr="00251B78">
              <w:rPr>
                <w:rStyle w:val="Znakapoznpodarou"/>
                <w:spacing w:val="-4"/>
              </w:rPr>
              <w:footnoteReference w:id="67"/>
            </w:r>
            <w:r w:rsidRPr="00251B78">
              <w:rPr>
                <w:spacing w:val="-4"/>
              </w:rPr>
              <w:t xml:space="preserve"> Vyšší přírůstek byl naposledy registrován v</w:t>
            </w:r>
            <w:r>
              <w:rPr>
                <w:spacing w:val="-4"/>
              </w:rPr>
              <w:t> </w:t>
            </w:r>
            <w:r w:rsidRPr="00251B78">
              <w:rPr>
                <w:spacing w:val="-4"/>
              </w:rPr>
              <w:t xml:space="preserve">roce 2009. Počínající </w:t>
            </w:r>
            <w:r w:rsidRPr="00251B78">
              <w:rPr>
                <w:spacing w:val="-6"/>
              </w:rPr>
              <w:t>zhoršování finanční situace domácností dokládá i</w:t>
            </w:r>
            <w:r>
              <w:rPr>
                <w:spacing w:val="-6"/>
              </w:rPr>
              <w:t> </w:t>
            </w:r>
            <w:r w:rsidRPr="00251B78">
              <w:rPr>
                <w:spacing w:val="-6"/>
              </w:rPr>
              <w:t>čerpání dávek hmotné nouze</w:t>
            </w:r>
            <w:r>
              <w:rPr>
                <w:spacing w:val="-6"/>
              </w:rPr>
              <w:t> </w:t>
            </w:r>
            <w:r w:rsidRPr="00251B78">
              <w:rPr>
                <w:spacing w:val="-6"/>
              </w:rPr>
              <w:t>– pět let trvající citelný pokles objemu dávek se letos zastavil (za tři čtvrtletí +4</w:t>
            </w:r>
            <w:r>
              <w:rPr>
                <w:spacing w:val="-6"/>
              </w:rPr>
              <w:t> %</w:t>
            </w:r>
            <w:r w:rsidRPr="00251B78">
              <w:rPr>
                <w:spacing w:val="-6"/>
              </w:rPr>
              <w:t>, ve 3.</w:t>
            </w:r>
            <w:r>
              <w:rPr>
                <w:spacing w:val="-6"/>
              </w:rPr>
              <w:t> čtvrtlet</w:t>
            </w:r>
            <w:r w:rsidRPr="00251B78">
              <w:rPr>
                <w:spacing w:val="-6"/>
              </w:rPr>
              <w:t>í +18</w:t>
            </w:r>
            <w:r>
              <w:rPr>
                <w:spacing w:val="-6"/>
              </w:rPr>
              <w:t> %</w:t>
            </w:r>
            <w:r w:rsidRPr="00251B78">
              <w:rPr>
                <w:spacing w:val="-6"/>
              </w:rPr>
              <w:t>).</w:t>
            </w:r>
          </w:p>
        </w:tc>
      </w:tr>
      <w:tr w:rsidR="000663F0" w:rsidRPr="008266F0" w14:paraId="0A93D762" w14:textId="77777777" w:rsidTr="00361FB7">
        <w:trPr>
          <w:trHeight w:val="145"/>
        </w:trPr>
        <w:tc>
          <w:tcPr>
            <w:tcW w:w="1732" w:type="dxa"/>
            <w:shd w:val="clear" w:color="auto" w:fill="auto"/>
            <w:tcMar>
              <w:left w:w="0" w:type="dxa"/>
            </w:tcMar>
          </w:tcPr>
          <w:p w14:paraId="3AA31273" w14:textId="77777777" w:rsidR="000663F0" w:rsidRDefault="000663F0" w:rsidP="00361FB7">
            <w:pPr>
              <w:pStyle w:val="Marginlie"/>
            </w:pPr>
            <w:r>
              <w:t>Výše vybraného pojistného na sociální zabezpečení meziročně propadla o rekordní 4,4 %.</w:t>
            </w:r>
          </w:p>
          <w:p w14:paraId="1D078AB7" w14:textId="77777777" w:rsidR="000663F0" w:rsidRDefault="000663F0" w:rsidP="00361FB7">
            <w:pPr>
              <w:pStyle w:val="Marginlie"/>
            </w:pPr>
          </w:p>
          <w:p w14:paraId="45614627" w14:textId="77777777" w:rsidR="000663F0" w:rsidRDefault="000663F0" w:rsidP="00361FB7">
            <w:pPr>
              <w:pStyle w:val="Marginlie"/>
            </w:pPr>
            <w:r>
              <w:t>Deficit důchodového účtu byl nejhlubší za posledních šest let.</w:t>
            </w:r>
          </w:p>
          <w:p w14:paraId="3FCD1E6F" w14:textId="77777777" w:rsidR="000663F0" w:rsidRDefault="000663F0" w:rsidP="00361FB7">
            <w:pPr>
              <w:pStyle w:val="Marginlie"/>
            </w:pPr>
          </w:p>
        </w:tc>
        <w:tc>
          <w:tcPr>
            <w:tcW w:w="217" w:type="dxa"/>
            <w:shd w:val="clear" w:color="auto" w:fill="auto"/>
            <w:tcMar>
              <w:left w:w="0" w:type="dxa"/>
            </w:tcMar>
          </w:tcPr>
          <w:p w14:paraId="3B15611D" w14:textId="77777777" w:rsidR="000663F0" w:rsidRDefault="000663F0" w:rsidP="00361FB7">
            <w:pPr>
              <w:pStyle w:val="Textpoznpodarou"/>
              <w:jc w:val="both"/>
              <w:rPr>
                <w:spacing w:val="-4"/>
              </w:rPr>
            </w:pPr>
          </w:p>
        </w:tc>
        <w:tc>
          <w:tcPr>
            <w:tcW w:w="7720" w:type="dxa"/>
            <w:shd w:val="clear" w:color="auto" w:fill="auto"/>
            <w:tcMar>
              <w:left w:w="0" w:type="dxa"/>
            </w:tcMar>
          </w:tcPr>
          <w:p w14:paraId="3E3B78BE" w14:textId="77777777" w:rsidR="000663F0" w:rsidRPr="00EA32C7" w:rsidRDefault="000663F0" w:rsidP="00361FB7">
            <w:pPr>
              <w:spacing w:after="220"/>
              <w:rPr>
                <w:spacing w:val="-4"/>
              </w:rPr>
            </w:pPr>
            <w:r>
              <w:rPr>
                <w:spacing w:val="-6"/>
              </w:rPr>
              <w:t xml:space="preserve">Meziroční růst výdajů na důchody dosáhl v 1. až 3. čtvrtletí 7,6 % a jen mírně zaostal za loňským tempem (8,7 %), jež ale bylo nejvyšší po roce 2009. Při minimální změně celkového počtu osob </w:t>
            </w:r>
            <w:r w:rsidRPr="0067514E">
              <w:rPr>
                <w:rFonts w:cs="Arial"/>
                <w:color w:val="0D0D0D" w:themeColor="text1" w:themeTint="F2"/>
                <w:spacing w:val="-6"/>
              </w:rPr>
              <w:t>pobírajících důchod</w:t>
            </w:r>
            <w:r>
              <w:rPr>
                <w:rFonts w:cs="Arial"/>
                <w:color w:val="0D0D0D" w:themeColor="text1" w:themeTint="F2"/>
                <w:spacing w:val="-6"/>
              </w:rPr>
              <w:t xml:space="preserve"> (–0,3 %) byla rozhodujícím faktorem letošního růstu zákonná</w:t>
            </w:r>
            <w:r w:rsidRPr="0067514E">
              <w:rPr>
                <w:rFonts w:cs="Arial"/>
                <w:color w:val="0D0D0D" w:themeColor="text1" w:themeTint="F2"/>
                <w:spacing w:val="-6"/>
              </w:rPr>
              <w:t xml:space="preserve"> </w:t>
            </w:r>
            <w:r w:rsidRPr="0067514E">
              <w:rPr>
                <w:rFonts w:cs="Arial"/>
                <w:color w:val="0D0D0D" w:themeColor="text1" w:themeTint="F2"/>
                <w:spacing w:val="-6"/>
              </w:rPr>
              <w:lastRenderedPageBreak/>
              <w:t>úprav</w:t>
            </w:r>
            <w:r>
              <w:rPr>
                <w:rFonts w:cs="Arial"/>
                <w:color w:val="0D0D0D" w:themeColor="text1" w:themeTint="F2"/>
                <w:spacing w:val="-6"/>
              </w:rPr>
              <w:t>a důchodů</w:t>
            </w:r>
            <w:r w:rsidRPr="0067514E">
              <w:rPr>
                <w:rStyle w:val="Znakapoznpodarou"/>
                <w:spacing w:val="-6"/>
              </w:rPr>
              <w:footnoteReference w:id="68"/>
            </w:r>
            <w:r>
              <w:rPr>
                <w:rFonts w:cs="Arial"/>
                <w:color w:val="0D0D0D" w:themeColor="text1" w:themeTint="F2"/>
                <w:spacing w:val="-6"/>
              </w:rPr>
              <w:t>. Příjmy důchodového pojištění poprvé po roce 2013 nerostly. Hloubka poklesu překonala dosud rekordní hodnotu z roku 2009 více než dvojnásobně (–4,4 %). Zásadní roli zde sehrála opatření na podporu drobných podnikatelů i zaměstnavatelů</w:t>
            </w:r>
            <w:r w:rsidRPr="0067514E">
              <w:rPr>
                <w:rStyle w:val="Znakapoznpodarou"/>
                <w:color w:val="0D0D0D" w:themeColor="text1" w:themeTint="F2"/>
                <w:spacing w:val="-6"/>
              </w:rPr>
              <w:footnoteReference w:id="69"/>
            </w:r>
            <w:r>
              <w:rPr>
                <w:rFonts w:cs="Arial"/>
                <w:color w:val="0D0D0D" w:themeColor="text1" w:themeTint="F2"/>
                <w:spacing w:val="-6"/>
              </w:rPr>
              <w:t>. Projevila se rovněž zhoršená situace na trhu práce (snížení zaměstnanosti, zvolnění růstu průměrných mezd).</w:t>
            </w:r>
            <w:r w:rsidRPr="0067514E">
              <w:rPr>
                <w:rFonts w:cs="Arial"/>
                <w:color w:val="0D0D0D" w:themeColor="text1" w:themeTint="F2"/>
                <w:spacing w:val="-6"/>
              </w:rPr>
              <w:t xml:space="preserve"> Saldo důchodového účtu</w:t>
            </w:r>
            <w:r w:rsidRPr="0067514E">
              <w:rPr>
                <w:rStyle w:val="Znakapoznpodarou"/>
                <w:color w:val="0D0D0D" w:themeColor="text1" w:themeTint="F2"/>
                <w:spacing w:val="-6"/>
              </w:rPr>
              <w:footnoteReference w:id="70"/>
            </w:r>
            <w:r>
              <w:rPr>
                <w:rFonts w:cs="Arial"/>
                <w:color w:val="0D0D0D" w:themeColor="text1" w:themeTint="F2"/>
                <w:spacing w:val="-6"/>
              </w:rPr>
              <w:t xml:space="preserve"> se tak po dvou přebytkových letech vrátilo k deficitu. Ten v 1. čtvrtletí čítal –27,3 mld. korun, což bylo nejvíce za posledních šest let.</w:t>
            </w:r>
          </w:p>
        </w:tc>
      </w:tr>
      <w:tr w:rsidR="000663F0" w:rsidRPr="008266F0" w14:paraId="0D5B3C30" w14:textId="77777777" w:rsidTr="00361FB7">
        <w:trPr>
          <w:trHeight w:val="145"/>
        </w:trPr>
        <w:tc>
          <w:tcPr>
            <w:tcW w:w="1732" w:type="dxa"/>
            <w:shd w:val="clear" w:color="auto" w:fill="auto"/>
            <w:tcMar>
              <w:left w:w="0" w:type="dxa"/>
            </w:tcMar>
          </w:tcPr>
          <w:p w14:paraId="64BA9394" w14:textId="77777777" w:rsidR="000663F0" w:rsidRDefault="000663F0" w:rsidP="00361FB7">
            <w:pPr>
              <w:pStyle w:val="Marginlie"/>
            </w:pPr>
            <w:r>
              <w:lastRenderedPageBreak/>
              <w:t>Výše investic ze SR vzrostla o čtvrtinu, zejména díky vývoji v 1. pololetí, resp. vyšším výdajům na dopravní infrastrukturu.</w:t>
            </w:r>
          </w:p>
        </w:tc>
        <w:tc>
          <w:tcPr>
            <w:tcW w:w="217" w:type="dxa"/>
            <w:shd w:val="clear" w:color="auto" w:fill="auto"/>
            <w:tcMar>
              <w:left w:w="0" w:type="dxa"/>
            </w:tcMar>
          </w:tcPr>
          <w:p w14:paraId="64BC91D2" w14:textId="77777777" w:rsidR="000663F0" w:rsidRDefault="000663F0" w:rsidP="00361FB7">
            <w:pPr>
              <w:pStyle w:val="Textpoznpodarou"/>
              <w:jc w:val="both"/>
              <w:rPr>
                <w:spacing w:val="-4"/>
              </w:rPr>
            </w:pPr>
          </w:p>
        </w:tc>
        <w:tc>
          <w:tcPr>
            <w:tcW w:w="7720" w:type="dxa"/>
            <w:shd w:val="clear" w:color="auto" w:fill="auto"/>
            <w:tcMar>
              <w:left w:w="0" w:type="dxa"/>
            </w:tcMar>
          </w:tcPr>
          <w:p w14:paraId="31330533" w14:textId="77777777" w:rsidR="000663F0" w:rsidRDefault="000663F0" w:rsidP="00361FB7">
            <w:pPr>
              <w:spacing w:after="180"/>
              <w:rPr>
                <w:spacing w:val="-6"/>
              </w:rPr>
            </w:pPr>
            <w:r>
              <w:rPr>
                <w:spacing w:val="-6"/>
              </w:rPr>
              <w:t>Celkové kapitálové výdaje SR čítaly za tři letošní čtvrtletí 105,9 mld. korun, meziročně vzrostly skoro o čtvrtinu (v samotném 3. čtvrtletí dynamika růstu zpomalila na 5 %)</w:t>
            </w:r>
            <w:r>
              <w:rPr>
                <w:rStyle w:val="Znakapoznpodarou"/>
                <w:spacing w:val="-6"/>
              </w:rPr>
              <w:footnoteReference w:id="71"/>
            </w:r>
            <w:r>
              <w:rPr>
                <w:spacing w:val="-6"/>
              </w:rPr>
              <w:t>. Na letošním růstu se podílely zejména investice pocházející výhradně z národních zdrojů (+12,6 mld.). I tak stále tvořily v celkovém objemu investic převažující část (55 %) prostředky na společné programy ČR a EU, jež vzrostly o 7,9 mld. korun. Šlo primárně o výdaje na operační program Doprava a </w:t>
            </w:r>
            <w:r w:rsidRPr="00093C3B">
              <w:rPr>
                <w:spacing w:val="-6"/>
              </w:rPr>
              <w:t>Integrovaný regionální operační program.</w:t>
            </w:r>
            <w:r>
              <w:rPr>
                <w:spacing w:val="-6"/>
              </w:rPr>
              <w:t xml:space="preserve"> </w:t>
            </w:r>
            <w:r w:rsidRPr="0067514E">
              <w:rPr>
                <w:spacing w:val="-6"/>
              </w:rPr>
              <w:t>Podíl investic na všec</w:t>
            </w:r>
            <w:r>
              <w:rPr>
                <w:spacing w:val="-6"/>
              </w:rPr>
              <w:t>h výdajích SR se zvyšoval třetím rokem v řadě a dosáhl 8,1 %, což bylo nejvíce za posledních pět let.</w:t>
            </w:r>
          </w:p>
        </w:tc>
      </w:tr>
      <w:tr w:rsidR="000663F0" w:rsidRPr="00F704D2" w14:paraId="0EB79C5B" w14:textId="77777777" w:rsidTr="00361FB7">
        <w:trPr>
          <w:trHeight w:val="170"/>
        </w:trPr>
        <w:tc>
          <w:tcPr>
            <w:tcW w:w="1732" w:type="dxa"/>
            <w:vMerge w:val="restart"/>
            <w:shd w:val="clear" w:color="auto" w:fill="auto"/>
            <w:tcMar>
              <w:left w:w="0" w:type="dxa"/>
            </w:tcMar>
          </w:tcPr>
          <w:p w14:paraId="0020BBEF" w14:textId="77777777" w:rsidR="000663F0" w:rsidRDefault="000663F0" w:rsidP="00361FB7">
            <w:pPr>
              <w:pStyle w:val="Marginlie"/>
            </w:pPr>
          </w:p>
        </w:tc>
        <w:tc>
          <w:tcPr>
            <w:tcW w:w="217" w:type="dxa"/>
            <w:vMerge w:val="restart"/>
            <w:shd w:val="clear" w:color="auto" w:fill="auto"/>
            <w:tcMar>
              <w:left w:w="0" w:type="dxa"/>
            </w:tcMar>
          </w:tcPr>
          <w:p w14:paraId="02D65FAC" w14:textId="77777777" w:rsidR="000663F0" w:rsidRDefault="000663F0" w:rsidP="00361FB7">
            <w:pPr>
              <w:pStyle w:val="Textpoznpodarou"/>
              <w:jc w:val="both"/>
              <w:rPr>
                <w:spacing w:val="-4"/>
              </w:rPr>
            </w:pPr>
          </w:p>
        </w:tc>
        <w:tc>
          <w:tcPr>
            <w:tcW w:w="7720" w:type="dxa"/>
            <w:shd w:val="clear" w:color="auto" w:fill="auto"/>
            <w:tcMar>
              <w:left w:w="0" w:type="dxa"/>
            </w:tcMar>
          </w:tcPr>
          <w:p w14:paraId="75210487" w14:textId="77777777" w:rsidR="000663F0" w:rsidRPr="00D232BB" w:rsidRDefault="000663F0" w:rsidP="00361FB7">
            <w:pPr>
              <w:spacing w:after="40" w:line="240" w:lineRule="auto"/>
              <w:jc w:val="left"/>
              <w:rPr>
                <w:rFonts w:cs="Arial"/>
                <w:bCs/>
              </w:rPr>
            </w:pPr>
            <w:r w:rsidRPr="00D232BB">
              <w:rPr>
                <w:b/>
              </w:rPr>
              <w:t xml:space="preserve">Graf č. 17  </w:t>
            </w:r>
            <w:r w:rsidRPr="00D232BB">
              <w:rPr>
                <w:rFonts w:cs="Arial"/>
                <w:b/>
                <w:bCs/>
              </w:rPr>
              <w:t>Vybrané výdaje státního rozpočtu</w:t>
            </w:r>
            <w:r w:rsidRPr="00D232BB">
              <w:rPr>
                <w:rFonts w:cs="Arial"/>
                <w:bCs/>
              </w:rPr>
              <w:t xml:space="preserve"> </w:t>
            </w:r>
            <w:r w:rsidRPr="00D232BB">
              <w:rPr>
                <w:rFonts w:cs="Arial"/>
                <w:b/>
                <w:bCs/>
              </w:rPr>
              <w:t>za 1. až 3.</w:t>
            </w:r>
            <w:r>
              <w:rPr>
                <w:rFonts w:cs="Arial"/>
                <w:b/>
                <w:bCs/>
              </w:rPr>
              <w:t> čtvrtlet</w:t>
            </w:r>
            <w:r w:rsidRPr="00D232BB">
              <w:rPr>
                <w:rFonts w:cs="Arial"/>
                <w:b/>
                <w:bCs/>
              </w:rPr>
              <w:t>í</w:t>
            </w:r>
            <w:r w:rsidRPr="00D232BB">
              <w:rPr>
                <w:rFonts w:cs="Arial"/>
                <w:bCs/>
              </w:rPr>
              <w:t xml:space="preserve"> (v mld. korun)</w:t>
            </w:r>
          </w:p>
        </w:tc>
      </w:tr>
      <w:tr w:rsidR="000663F0" w14:paraId="34DC724E" w14:textId="77777777" w:rsidTr="00361FB7">
        <w:tblPrEx>
          <w:tblCellMar>
            <w:left w:w="70" w:type="dxa"/>
            <w:right w:w="70" w:type="dxa"/>
          </w:tblCellMar>
        </w:tblPrEx>
        <w:trPr>
          <w:trHeight w:val="170"/>
        </w:trPr>
        <w:tc>
          <w:tcPr>
            <w:tcW w:w="1732" w:type="dxa"/>
            <w:vMerge/>
            <w:shd w:val="clear" w:color="auto" w:fill="auto"/>
          </w:tcPr>
          <w:p w14:paraId="34F60349" w14:textId="77777777" w:rsidR="000663F0" w:rsidRDefault="000663F0" w:rsidP="00361FB7">
            <w:pPr>
              <w:pStyle w:val="Marginlie"/>
            </w:pPr>
          </w:p>
        </w:tc>
        <w:tc>
          <w:tcPr>
            <w:tcW w:w="217" w:type="dxa"/>
            <w:vMerge/>
            <w:shd w:val="clear" w:color="auto" w:fill="auto"/>
          </w:tcPr>
          <w:p w14:paraId="5CE8D226" w14:textId="77777777" w:rsidR="000663F0" w:rsidRDefault="000663F0" w:rsidP="00361FB7">
            <w:pPr>
              <w:pStyle w:val="Textpoznpodarou"/>
              <w:jc w:val="both"/>
              <w:rPr>
                <w:spacing w:val="-4"/>
              </w:rPr>
            </w:pPr>
          </w:p>
        </w:tc>
        <w:tc>
          <w:tcPr>
            <w:tcW w:w="7720" w:type="dxa"/>
            <w:shd w:val="clear" w:color="auto" w:fill="auto"/>
          </w:tcPr>
          <w:p w14:paraId="6AD2D258" w14:textId="77777777" w:rsidR="000663F0" w:rsidRPr="0067514E" w:rsidRDefault="000663F0" w:rsidP="00361FB7">
            <w:pPr>
              <w:spacing w:after="0"/>
              <w:rPr>
                <w:spacing w:val="-6"/>
              </w:rPr>
            </w:pPr>
            <w:r>
              <w:rPr>
                <w:noProof/>
              </w:rPr>
              <w:drawing>
                <wp:inline distT="0" distB="0" distL="0" distR="0" wp14:anchorId="3469D4C6" wp14:editId="5B1487E5">
                  <wp:extent cx="4769485" cy="3483695"/>
                  <wp:effectExtent l="0" t="0" r="0" b="254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0663F0" w:rsidRPr="00343AC1" w14:paraId="0EC709D7" w14:textId="77777777" w:rsidTr="00361FB7">
        <w:trPr>
          <w:trHeight w:val="170"/>
        </w:trPr>
        <w:tc>
          <w:tcPr>
            <w:tcW w:w="1732" w:type="dxa"/>
            <w:vMerge/>
            <w:shd w:val="clear" w:color="auto" w:fill="auto"/>
            <w:tcMar>
              <w:left w:w="0" w:type="dxa"/>
            </w:tcMar>
          </w:tcPr>
          <w:p w14:paraId="0819E964" w14:textId="77777777" w:rsidR="000663F0" w:rsidRDefault="000663F0" w:rsidP="00361FB7">
            <w:pPr>
              <w:pStyle w:val="Marginlie"/>
            </w:pPr>
          </w:p>
        </w:tc>
        <w:tc>
          <w:tcPr>
            <w:tcW w:w="217" w:type="dxa"/>
            <w:vMerge/>
            <w:shd w:val="clear" w:color="auto" w:fill="auto"/>
            <w:tcMar>
              <w:left w:w="0" w:type="dxa"/>
            </w:tcMar>
          </w:tcPr>
          <w:p w14:paraId="651B46A4" w14:textId="77777777" w:rsidR="000663F0" w:rsidRDefault="000663F0" w:rsidP="00361FB7">
            <w:pPr>
              <w:pStyle w:val="Textpoznpodarou"/>
              <w:jc w:val="both"/>
              <w:rPr>
                <w:spacing w:val="-4"/>
              </w:rPr>
            </w:pPr>
          </w:p>
        </w:tc>
        <w:tc>
          <w:tcPr>
            <w:tcW w:w="7720" w:type="dxa"/>
            <w:shd w:val="clear" w:color="auto" w:fill="auto"/>
            <w:tcMar>
              <w:left w:w="0" w:type="dxa"/>
            </w:tcMar>
          </w:tcPr>
          <w:p w14:paraId="6271ECF3" w14:textId="77777777" w:rsidR="000663F0" w:rsidRPr="0050778D" w:rsidRDefault="000663F0" w:rsidP="00361FB7">
            <w:pPr>
              <w:pStyle w:val="Textpoznpodarou"/>
              <w:rPr>
                <w:spacing w:val="-2"/>
                <w:sz w:val="14"/>
                <w:szCs w:val="14"/>
              </w:rPr>
            </w:pPr>
            <w:r w:rsidRPr="0050778D">
              <w:rPr>
                <w:spacing w:val="-2"/>
                <w:sz w:val="14"/>
                <w:szCs w:val="14"/>
              </w:rPr>
              <w:t>*Pokrývají výdaje na platy v ústředních orgánech státní správy. Nezahrnují například mzdové výdaje na regionální školství.</w:t>
            </w:r>
          </w:p>
          <w:p w14:paraId="479C0B48" w14:textId="77777777" w:rsidR="000663F0" w:rsidRPr="0050778D" w:rsidRDefault="000663F0" w:rsidP="00361FB7">
            <w:pPr>
              <w:pStyle w:val="Textpoznpodarou"/>
              <w:rPr>
                <w:spacing w:val="-2"/>
                <w:sz w:val="14"/>
                <w:szCs w:val="14"/>
              </w:rPr>
            </w:pPr>
            <w:r w:rsidRPr="0050778D">
              <w:rPr>
                <w:spacing w:val="-2"/>
                <w:sz w:val="14"/>
                <w:szCs w:val="14"/>
              </w:rPr>
              <w:t>**Zahrnuje i dávky pěstounské péče.</w:t>
            </w:r>
          </w:p>
          <w:p w14:paraId="48699D4D" w14:textId="77777777" w:rsidR="000663F0" w:rsidRPr="0050778D" w:rsidRDefault="000663F0" w:rsidP="00361FB7">
            <w:pPr>
              <w:pStyle w:val="Textpoznpodarou"/>
              <w:rPr>
                <w:spacing w:val="-2"/>
                <w:sz w:val="14"/>
                <w:szCs w:val="14"/>
              </w:rPr>
            </w:pPr>
            <w:r w:rsidRPr="0050778D">
              <w:rPr>
                <w:spacing w:val="-2"/>
                <w:sz w:val="14"/>
                <w:szCs w:val="14"/>
              </w:rPr>
              <w:t>***Zahrnují dávky pomoci v hmotné nouzi, dávky osobám se zdravotním postižením, příspěvek na péči dle zákona o sociálních službách.</w:t>
            </w:r>
          </w:p>
          <w:p w14:paraId="16C46C24" w14:textId="77777777" w:rsidR="000663F0" w:rsidRPr="0050778D" w:rsidRDefault="000663F0" w:rsidP="00361FB7">
            <w:pPr>
              <w:pStyle w:val="Textpoznpodarou"/>
              <w:rPr>
                <w:spacing w:val="-2"/>
                <w:sz w:val="14"/>
                <w:szCs w:val="14"/>
              </w:rPr>
            </w:pPr>
            <w:r w:rsidRPr="0050778D">
              <w:rPr>
                <w:spacing w:val="-2"/>
                <w:sz w:val="14"/>
                <w:szCs w:val="14"/>
              </w:rPr>
              <w:t>****Obsahují zejména výdaje na nákup služeb, materiálu, energií či ostatních služeb (například výdaje na opravy a udržování).</w:t>
            </w:r>
          </w:p>
          <w:p w14:paraId="08755A67" w14:textId="77777777" w:rsidR="000663F0" w:rsidRDefault="000663F0" w:rsidP="00361FB7">
            <w:pPr>
              <w:pStyle w:val="Textpoznpodarou"/>
              <w:rPr>
                <w:spacing w:val="-2"/>
                <w:sz w:val="14"/>
                <w:szCs w:val="14"/>
              </w:rPr>
            </w:pPr>
            <w:r w:rsidRPr="0050778D">
              <w:rPr>
                <w:spacing w:val="-2"/>
                <w:sz w:val="14"/>
                <w:szCs w:val="14"/>
              </w:rPr>
              <w:t>*****Odpovídá saldu rozpočtové kapitoly Státní dluh.</w:t>
            </w:r>
          </w:p>
          <w:p w14:paraId="1919D32C" w14:textId="77777777" w:rsidR="000663F0" w:rsidRPr="0050778D" w:rsidRDefault="000663F0" w:rsidP="00361FB7">
            <w:pPr>
              <w:pStyle w:val="Textpoznpodarou"/>
              <w:spacing w:after="200"/>
              <w:rPr>
                <w:spacing w:val="-2"/>
                <w:sz w:val="14"/>
                <w:szCs w:val="14"/>
              </w:rPr>
            </w:pPr>
            <w:r w:rsidRPr="0050778D">
              <w:rPr>
                <w:spacing w:val="-2"/>
                <w:sz w:val="14"/>
                <w:szCs w:val="14"/>
              </w:rPr>
              <w:t>Zdroj: MF ČR, MPSV</w:t>
            </w:r>
          </w:p>
        </w:tc>
      </w:tr>
      <w:tr w:rsidR="000663F0" w:rsidRPr="00343AC1" w14:paraId="6A143628" w14:textId="77777777" w:rsidTr="00361FB7">
        <w:trPr>
          <w:trHeight w:val="170"/>
        </w:trPr>
        <w:tc>
          <w:tcPr>
            <w:tcW w:w="1732" w:type="dxa"/>
            <w:shd w:val="clear" w:color="auto" w:fill="auto"/>
            <w:tcMar>
              <w:left w:w="0" w:type="dxa"/>
            </w:tcMar>
          </w:tcPr>
          <w:p w14:paraId="04D14231" w14:textId="77777777" w:rsidR="000663F0" w:rsidRDefault="000663F0" w:rsidP="00361FB7">
            <w:pPr>
              <w:pStyle w:val="Marginlie"/>
            </w:pPr>
            <w:r>
              <w:t>Výše státního dluhu vzrostla meziročně téměř o čtvrtinu. Stála za tím rekordní emise státních dluhopisů během 1. pololetí.</w:t>
            </w:r>
          </w:p>
        </w:tc>
        <w:tc>
          <w:tcPr>
            <w:tcW w:w="217" w:type="dxa"/>
            <w:shd w:val="clear" w:color="auto" w:fill="auto"/>
            <w:tcMar>
              <w:left w:w="0" w:type="dxa"/>
            </w:tcMar>
          </w:tcPr>
          <w:p w14:paraId="6AE51768" w14:textId="77777777" w:rsidR="000663F0" w:rsidRDefault="000663F0" w:rsidP="00361FB7">
            <w:pPr>
              <w:pStyle w:val="Textpoznpodarou"/>
              <w:jc w:val="both"/>
              <w:rPr>
                <w:spacing w:val="-4"/>
              </w:rPr>
            </w:pPr>
          </w:p>
        </w:tc>
        <w:tc>
          <w:tcPr>
            <w:tcW w:w="7720" w:type="dxa"/>
            <w:shd w:val="clear" w:color="auto" w:fill="auto"/>
            <w:tcMar>
              <w:left w:w="0" w:type="dxa"/>
            </w:tcMar>
          </w:tcPr>
          <w:p w14:paraId="71BFE72A" w14:textId="77777777" w:rsidR="000663F0" w:rsidRPr="00464AB2" w:rsidRDefault="000663F0" w:rsidP="00361FB7">
            <w:pPr>
              <w:rPr>
                <w:spacing w:val="-3"/>
              </w:rPr>
            </w:pPr>
            <w:r w:rsidRPr="009733B3">
              <w:rPr>
                <w:spacing w:val="-3"/>
              </w:rPr>
              <w:t>Výše státního dluhu činila na konci 3.</w:t>
            </w:r>
            <w:r>
              <w:rPr>
                <w:spacing w:val="-3"/>
              </w:rPr>
              <w:t> čtvrtlet</w:t>
            </w:r>
            <w:r w:rsidRPr="009733B3">
              <w:rPr>
                <w:spacing w:val="-3"/>
              </w:rPr>
              <w:t>í 2 072</w:t>
            </w:r>
            <w:r>
              <w:rPr>
                <w:spacing w:val="-3"/>
              </w:rPr>
              <w:t> mld.</w:t>
            </w:r>
            <w:r w:rsidRPr="009733B3">
              <w:rPr>
                <w:spacing w:val="-3"/>
              </w:rPr>
              <w:t xml:space="preserve"> korun, což bylo meziročně o</w:t>
            </w:r>
            <w:r>
              <w:rPr>
                <w:spacing w:val="-3"/>
              </w:rPr>
              <w:t> </w:t>
            </w:r>
            <w:r w:rsidRPr="009733B3">
              <w:rPr>
                <w:spacing w:val="-3"/>
              </w:rPr>
              <w:t>23</w:t>
            </w:r>
            <w:r>
              <w:rPr>
                <w:spacing w:val="-3"/>
              </w:rPr>
              <w:t> </w:t>
            </w:r>
            <w:r w:rsidRPr="009733B3">
              <w:rPr>
                <w:spacing w:val="-3"/>
              </w:rPr>
              <w:t>%</w:t>
            </w:r>
            <w:r>
              <w:rPr>
                <w:spacing w:val="-3"/>
              </w:rPr>
              <w:t xml:space="preserve"> </w:t>
            </w:r>
            <w:r w:rsidRPr="009733B3">
              <w:rPr>
                <w:spacing w:val="-3"/>
              </w:rPr>
              <w:t>více. K eskalaci dluhu došlo během 1</w:t>
            </w:r>
            <w:r>
              <w:rPr>
                <w:spacing w:val="-3"/>
              </w:rPr>
              <w:t>. </w:t>
            </w:r>
            <w:r w:rsidRPr="009733B3">
              <w:rPr>
                <w:spacing w:val="-3"/>
              </w:rPr>
              <w:t>poloviny roku 2020</w:t>
            </w:r>
            <w:r>
              <w:rPr>
                <w:spacing w:val="-3"/>
              </w:rPr>
              <w:t> </w:t>
            </w:r>
            <w:r w:rsidRPr="009733B3">
              <w:rPr>
                <w:spacing w:val="-3"/>
              </w:rPr>
              <w:t xml:space="preserve">– </w:t>
            </w:r>
            <w:r>
              <w:rPr>
                <w:spacing w:val="-3"/>
              </w:rPr>
              <w:t>v </w:t>
            </w:r>
            <w:r w:rsidRPr="009733B3">
              <w:rPr>
                <w:spacing w:val="-3"/>
              </w:rPr>
              <w:t>1.</w:t>
            </w:r>
            <w:r>
              <w:rPr>
                <w:spacing w:val="-3"/>
              </w:rPr>
              <w:t> čtvrtlet</w:t>
            </w:r>
            <w:r w:rsidRPr="009733B3">
              <w:rPr>
                <w:spacing w:val="-3"/>
              </w:rPr>
              <w:t>í dluh vzrostl o 133 mld. korun, ve 2.</w:t>
            </w:r>
            <w:r>
              <w:rPr>
                <w:spacing w:val="-3"/>
              </w:rPr>
              <w:t> čtvrtlet</w:t>
            </w:r>
            <w:r w:rsidRPr="009733B3">
              <w:rPr>
                <w:spacing w:val="-3"/>
              </w:rPr>
              <w:t>í o</w:t>
            </w:r>
            <w:r>
              <w:rPr>
                <w:spacing w:val="-3"/>
              </w:rPr>
              <w:t> </w:t>
            </w:r>
            <w:r w:rsidRPr="009733B3">
              <w:rPr>
                <w:spacing w:val="-3"/>
              </w:rPr>
              <w:t>rekordních 384</w:t>
            </w:r>
            <w:r>
              <w:rPr>
                <w:spacing w:val="-3"/>
              </w:rPr>
              <w:t> mld.</w:t>
            </w:r>
            <w:r w:rsidRPr="009733B3">
              <w:rPr>
                <w:spacing w:val="-3"/>
              </w:rPr>
              <w:t xml:space="preserve"> Ke krytí letošního krizového schodku SR, plánovaných splátek dluhu (soustředěných zejména do druhé půle roku 2020) i posílení likvidních rezerv byl během 1</w:t>
            </w:r>
            <w:r>
              <w:rPr>
                <w:spacing w:val="-3"/>
              </w:rPr>
              <w:t>. </w:t>
            </w:r>
            <w:r w:rsidRPr="009733B3">
              <w:rPr>
                <w:spacing w:val="-3"/>
              </w:rPr>
              <w:t>až 3.</w:t>
            </w:r>
            <w:r>
              <w:rPr>
                <w:spacing w:val="-3"/>
              </w:rPr>
              <w:t> čtvrtlet</w:t>
            </w:r>
            <w:r w:rsidRPr="009733B3">
              <w:rPr>
                <w:spacing w:val="-3"/>
              </w:rPr>
              <w:t>í vydán rekordní objem státních dluhopisů (562 mld. korun)</w:t>
            </w:r>
            <w:r w:rsidRPr="009733B3">
              <w:rPr>
                <w:rStyle w:val="Znakapoznpodarou"/>
                <w:spacing w:val="-3"/>
              </w:rPr>
              <w:footnoteReference w:id="72"/>
            </w:r>
            <w:r w:rsidRPr="009733B3">
              <w:rPr>
                <w:spacing w:val="-3"/>
              </w:rPr>
              <w:t xml:space="preserve">. Podobně jako v předešlých letech se výpůjční aktivita soustředila </w:t>
            </w:r>
            <w:r w:rsidRPr="009733B3">
              <w:rPr>
                <w:spacing w:val="-3"/>
              </w:rPr>
              <w:lastRenderedPageBreak/>
              <w:t>z velké části na domácí trh. Korunová hodnota vnějšího dluhu se tak dále snižovala, na konci 3.</w:t>
            </w:r>
            <w:r>
              <w:rPr>
                <w:spacing w:val="-3"/>
              </w:rPr>
              <w:t> čtvrtlet</w:t>
            </w:r>
            <w:r w:rsidRPr="009733B3">
              <w:rPr>
                <w:spacing w:val="-3"/>
              </w:rPr>
              <w:t>í byla meziročně nižší o 11 %.</w:t>
            </w:r>
            <w:r w:rsidRPr="009733B3">
              <w:rPr>
                <w:rFonts w:cs="Arial"/>
                <w:color w:val="0D0D0D" w:themeColor="text1" w:themeTint="F2"/>
                <w:spacing w:val="-3"/>
              </w:rPr>
              <w:t xml:space="preserve"> Vnější dluh tvořil</w:t>
            </w:r>
            <w:r>
              <w:rPr>
                <w:rFonts w:cs="Arial"/>
                <w:color w:val="0D0D0D" w:themeColor="text1" w:themeTint="F2"/>
                <w:spacing w:val="-3"/>
              </w:rPr>
              <w:t xml:space="preserve"> </w:t>
            </w:r>
            <w:r w:rsidRPr="009733B3">
              <w:rPr>
                <w:rFonts w:cs="Arial"/>
                <w:color w:val="0D0D0D" w:themeColor="text1" w:themeTint="F2"/>
                <w:spacing w:val="-3"/>
              </w:rPr>
              <w:t>jen 8,6</w:t>
            </w:r>
            <w:r>
              <w:rPr>
                <w:rFonts w:cs="Arial"/>
                <w:color w:val="0D0D0D" w:themeColor="text1" w:themeTint="F2"/>
                <w:spacing w:val="-3"/>
              </w:rPr>
              <w:t> %</w:t>
            </w:r>
            <w:r w:rsidRPr="009733B3">
              <w:rPr>
                <w:rFonts w:cs="Arial"/>
                <w:color w:val="0D0D0D" w:themeColor="text1" w:themeTint="F2"/>
                <w:spacing w:val="-3"/>
              </w:rPr>
              <w:t xml:space="preserve"> celkového státního dluhu, nejméně od počátku roku 2004. Klíčovým držitelem tuzemských státních dluhopisů zůstávají finanční instituce s podílem 61,3</w:t>
            </w:r>
            <w:r>
              <w:rPr>
                <w:rFonts w:cs="Arial"/>
                <w:color w:val="0D0D0D" w:themeColor="text1" w:themeTint="F2"/>
                <w:spacing w:val="-3"/>
              </w:rPr>
              <w:t> </w:t>
            </w:r>
            <w:r w:rsidRPr="009733B3">
              <w:rPr>
                <w:rFonts w:cs="Arial"/>
                <w:color w:val="0D0D0D" w:themeColor="text1" w:themeTint="F2"/>
                <w:spacing w:val="-3"/>
              </w:rPr>
              <w:t>%, nerezidenti vlastnili 34,5 % dluhopisů. V dosavadní části roku 2020 pozice finančních institucí posílila a váha nerezidentů byla jedn</w:t>
            </w:r>
            <w:r>
              <w:rPr>
                <w:rFonts w:cs="Arial"/>
                <w:color w:val="0D0D0D" w:themeColor="text1" w:themeTint="F2"/>
                <w:spacing w:val="-3"/>
              </w:rPr>
              <w:t>ou</w:t>
            </w:r>
            <w:r w:rsidRPr="009733B3">
              <w:rPr>
                <w:rFonts w:cs="Arial"/>
                <w:color w:val="0D0D0D" w:themeColor="text1" w:themeTint="F2"/>
                <w:spacing w:val="-3"/>
              </w:rPr>
              <w:t xml:space="preserve"> z</w:t>
            </w:r>
            <w:r>
              <w:rPr>
                <w:rFonts w:cs="Arial"/>
                <w:color w:val="0D0D0D" w:themeColor="text1" w:themeTint="F2"/>
                <w:spacing w:val="-3"/>
              </w:rPr>
              <w:t> </w:t>
            </w:r>
            <w:r w:rsidRPr="009733B3">
              <w:rPr>
                <w:rFonts w:cs="Arial"/>
                <w:color w:val="0D0D0D" w:themeColor="text1" w:themeTint="F2"/>
                <w:spacing w:val="-3"/>
              </w:rPr>
              <w:t>nejslabšíc</w:t>
            </w:r>
            <w:r>
              <w:rPr>
                <w:rFonts w:cs="Arial"/>
                <w:color w:val="0D0D0D" w:themeColor="text1" w:themeTint="F2"/>
                <w:spacing w:val="-3"/>
              </w:rPr>
              <w:t xml:space="preserve">h od konce roku 2016 (kdy </w:t>
            </w:r>
            <w:r w:rsidRPr="009733B3">
              <w:rPr>
                <w:rFonts w:cs="Arial"/>
                <w:color w:val="0D0D0D" w:themeColor="text1" w:themeTint="F2"/>
                <w:spacing w:val="-3"/>
              </w:rPr>
              <w:t>probíhaly devizové intervence ČNB). Čisté výdaje SR na obsluhu státního dluhu</w:t>
            </w:r>
            <w:r w:rsidRPr="009733B3">
              <w:rPr>
                <w:rStyle w:val="Znakapoznpodarou"/>
                <w:spacing w:val="-3"/>
              </w:rPr>
              <w:footnoteReference w:id="73"/>
            </w:r>
            <w:r w:rsidRPr="009733B3">
              <w:rPr>
                <w:rFonts w:cs="Arial"/>
                <w:color w:val="0D0D0D" w:themeColor="text1" w:themeTint="F2"/>
                <w:spacing w:val="-3"/>
              </w:rPr>
              <w:t xml:space="preserve"> čítaly za tři čtvrtletí 32,1</w:t>
            </w:r>
            <w:r w:rsidRPr="009733B3">
              <w:rPr>
                <w:spacing w:val="-3"/>
              </w:rPr>
              <w:t> </w:t>
            </w:r>
            <w:r w:rsidRPr="009733B3">
              <w:rPr>
                <w:rFonts w:cs="Arial"/>
                <w:color w:val="0D0D0D" w:themeColor="text1" w:themeTint="F2"/>
                <w:spacing w:val="-3"/>
              </w:rPr>
              <w:t xml:space="preserve">mld. korun, podobné výše dosahovaly </w:t>
            </w:r>
            <w:r>
              <w:rPr>
                <w:rFonts w:cs="Arial"/>
                <w:color w:val="0D0D0D" w:themeColor="text1" w:themeTint="F2"/>
                <w:spacing w:val="-3"/>
              </w:rPr>
              <w:t>za stejné</w:t>
            </w:r>
            <w:r w:rsidRPr="009733B3">
              <w:rPr>
                <w:rFonts w:cs="Arial"/>
                <w:color w:val="0D0D0D" w:themeColor="text1" w:themeTint="F2"/>
                <w:spacing w:val="-3"/>
              </w:rPr>
              <w:t xml:space="preserve"> období roku i</w:t>
            </w:r>
            <w:r>
              <w:rPr>
                <w:rFonts w:cs="Arial"/>
                <w:color w:val="0D0D0D" w:themeColor="text1" w:themeTint="F2"/>
                <w:spacing w:val="-3"/>
              </w:rPr>
              <w:t> </w:t>
            </w:r>
            <w:r w:rsidRPr="009733B3">
              <w:rPr>
                <w:rFonts w:cs="Arial"/>
                <w:color w:val="0D0D0D" w:themeColor="text1" w:themeTint="F2"/>
                <w:spacing w:val="-3"/>
              </w:rPr>
              <w:t>v předchozích třech letech</w:t>
            </w:r>
            <w:r>
              <w:rPr>
                <w:rFonts w:cs="Arial"/>
                <w:color w:val="0D0D0D" w:themeColor="text1" w:themeTint="F2"/>
                <w:spacing w:val="-3"/>
              </w:rPr>
              <w:t>.</w:t>
            </w:r>
          </w:p>
        </w:tc>
      </w:tr>
      <w:tr w:rsidR="000663F0" w:rsidRPr="00343AC1" w14:paraId="5F4731C2" w14:textId="77777777" w:rsidTr="00361FB7">
        <w:trPr>
          <w:trHeight w:val="170"/>
        </w:trPr>
        <w:tc>
          <w:tcPr>
            <w:tcW w:w="1732" w:type="dxa"/>
            <w:shd w:val="clear" w:color="auto" w:fill="auto"/>
            <w:tcMar>
              <w:left w:w="0" w:type="dxa"/>
            </w:tcMar>
          </w:tcPr>
          <w:p w14:paraId="246E9F22" w14:textId="77777777" w:rsidR="000663F0" w:rsidRDefault="000663F0" w:rsidP="00361FB7">
            <w:pPr>
              <w:pStyle w:val="Marginlie"/>
            </w:pPr>
            <w:r>
              <w:lastRenderedPageBreak/>
              <w:t>Deficit hospodaření sektoru vládních institucí přesáhl ve 2. čtvrtletí hranici 100 mld. korun.</w:t>
            </w:r>
          </w:p>
        </w:tc>
        <w:tc>
          <w:tcPr>
            <w:tcW w:w="217" w:type="dxa"/>
            <w:shd w:val="clear" w:color="auto" w:fill="auto"/>
            <w:tcMar>
              <w:left w:w="0" w:type="dxa"/>
            </w:tcMar>
          </w:tcPr>
          <w:p w14:paraId="42DBA5D5" w14:textId="77777777" w:rsidR="000663F0" w:rsidRDefault="000663F0" w:rsidP="00361FB7">
            <w:pPr>
              <w:pStyle w:val="Textpoznpodarou"/>
              <w:jc w:val="both"/>
              <w:rPr>
                <w:spacing w:val="-4"/>
              </w:rPr>
            </w:pPr>
          </w:p>
        </w:tc>
        <w:tc>
          <w:tcPr>
            <w:tcW w:w="7720" w:type="dxa"/>
            <w:shd w:val="clear" w:color="auto" w:fill="auto"/>
            <w:tcMar>
              <w:left w:w="0" w:type="dxa"/>
            </w:tcMar>
          </w:tcPr>
          <w:p w14:paraId="7F75A4FB" w14:textId="77777777" w:rsidR="000663F0" w:rsidRPr="008E77E4" w:rsidRDefault="000663F0" w:rsidP="00361FB7">
            <w:pPr>
              <w:pStyle w:val="Textpoznpodarou"/>
              <w:spacing w:after="200" w:line="276" w:lineRule="auto"/>
              <w:jc w:val="both"/>
              <w:rPr>
                <w:rFonts w:cs="Arial"/>
                <w:color w:val="0D0D0D" w:themeColor="text1" w:themeTint="F2"/>
                <w:spacing w:val="-4"/>
              </w:rPr>
            </w:pPr>
            <w:r w:rsidRPr="008E77E4">
              <w:rPr>
                <w:rFonts w:cs="Arial"/>
                <w:color w:val="0D0D0D" w:themeColor="text1" w:themeTint="F2"/>
                <w:spacing w:val="-4"/>
              </w:rPr>
              <w:t>Schodek hospodaření celého sektoru vládních institucí (VI) v ČR se během první poloviny roku 2020 citelně prohloubil. V 1.</w:t>
            </w:r>
            <w:r>
              <w:rPr>
                <w:rFonts w:cs="Arial"/>
                <w:color w:val="0D0D0D" w:themeColor="text1" w:themeTint="F2"/>
                <w:spacing w:val="-4"/>
              </w:rPr>
              <w:t> čtvrtlet</w:t>
            </w:r>
            <w:r w:rsidRPr="008E77E4">
              <w:rPr>
                <w:rFonts w:cs="Arial"/>
                <w:color w:val="0D0D0D" w:themeColor="text1" w:themeTint="F2"/>
                <w:spacing w:val="-4"/>
              </w:rPr>
              <w:t>í dosáhl dle údajů ČSÚ 57,2</w:t>
            </w:r>
            <w:r>
              <w:rPr>
                <w:rFonts w:cs="Arial"/>
                <w:color w:val="0D0D0D" w:themeColor="text1" w:themeTint="F2"/>
                <w:spacing w:val="-4"/>
              </w:rPr>
              <w:t> mld.</w:t>
            </w:r>
            <w:r w:rsidRPr="008E77E4">
              <w:rPr>
                <w:rFonts w:cs="Arial"/>
                <w:color w:val="0D0D0D" w:themeColor="text1" w:themeTint="F2"/>
                <w:spacing w:val="-4"/>
              </w:rPr>
              <w:t xml:space="preserve"> korun, v následujícím</w:t>
            </w:r>
            <w:r>
              <w:rPr>
                <w:rFonts w:cs="Arial"/>
                <w:color w:val="0D0D0D" w:themeColor="text1" w:themeTint="F2"/>
                <w:spacing w:val="-4"/>
              </w:rPr>
              <w:t xml:space="preserve"> kvartálu</w:t>
            </w:r>
            <w:r w:rsidRPr="008E77E4">
              <w:rPr>
                <w:rFonts w:cs="Arial"/>
                <w:color w:val="0D0D0D" w:themeColor="text1" w:themeTint="F2"/>
                <w:spacing w:val="-4"/>
              </w:rPr>
              <w:t xml:space="preserve"> již 100,4</w:t>
            </w:r>
            <w:r>
              <w:rPr>
                <w:rFonts w:cs="Arial"/>
                <w:color w:val="0D0D0D" w:themeColor="text1" w:themeTint="F2"/>
                <w:spacing w:val="-4"/>
              </w:rPr>
              <w:t> mld.</w:t>
            </w:r>
            <w:r w:rsidRPr="008E77E4">
              <w:rPr>
                <w:rFonts w:cs="Arial"/>
                <w:color w:val="0D0D0D" w:themeColor="text1" w:themeTint="F2"/>
                <w:spacing w:val="-4"/>
              </w:rPr>
              <w:t xml:space="preserve"> V</w:t>
            </w:r>
            <w:r>
              <w:rPr>
                <w:rFonts w:cs="Arial"/>
                <w:color w:val="0D0D0D" w:themeColor="text1" w:themeTint="F2"/>
                <w:spacing w:val="-4"/>
              </w:rPr>
              <w:t> </w:t>
            </w:r>
            <w:r w:rsidRPr="008E77E4">
              <w:rPr>
                <w:rFonts w:cs="Arial"/>
                <w:color w:val="0D0D0D" w:themeColor="text1" w:themeTint="F2"/>
                <w:spacing w:val="-4"/>
              </w:rPr>
              <w:t>1.</w:t>
            </w:r>
            <w:r>
              <w:rPr>
                <w:rFonts w:cs="Arial"/>
                <w:color w:val="0D0D0D" w:themeColor="text1" w:themeTint="F2"/>
                <w:spacing w:val="-4"/>
              </w:rPr>
              <w:t> pololet</w:t>
            </w:r>
            <w:r w:rsidRPr="008E77E4">
              <w:rPr>
                <w:rFonts w:cs="Arial"/>
                <w:color w:val="0D0D0D" w:themeColor="text1" w:themeTint="F2"/>
                <w:spacing w:val="-4"/>
              </w:rPr>
              <w:t>í 2019 zůstávalo přitom hospodaření ještě mírně přebytkové (+23,2</w:t>
            </w:r>
            <w:r>
              <w:rPr>
                <w:rFonts w:cs="Arial"/>
                <w:color w:val="0D0D0D" w:themeColor="text1" w:themeTint="F2"/>
                <w:spacing w:val="-4"/>
              </w:rPr>
              <w:t> mld.</w:t>
            </w:r>
            <w:r w:rsidRPr="008E77E4">
              <w:rPr>
                <w:rFonts w:cs="Arial"/>
                <w:color w:val="0D0D0D" w:themeColor="text1" w:themeTint="F2"/>
                <w:spacing w:val="-4"/>
              </w:rPr>
              <w:t xml:space="preserve"> korun). K meziročnímu poklesu salda přispěly zejména ústřední vládní instituce, nepříznivý trend byl ale patrný i</w:t>
            </w:r>
            <w:r>
              <w:rPr>
                <w:rFonts w:cs="Arial"/>
                <w:color w:val="0D0D0D" w:themeColor="text1" w:themeTint="F2"/>
                <w:spacing w:val="-4"/>
              </w:rPr>
              <w:t> </w:t>
            </w:r>
            <w:r w:rsidRPr="008E77E4">
              <w:rPr>
                <w:rFonts w:cs="Arial"/>
                <w:color w:val="0D0D0D" w:themeColor="text1" w:themeTint="F2"/>
                <w:spacing w:val="-4"/>
              </w:rPr>
              <w:t>u</w:t>
            </w:r>
            <w:r>
              <w:rPr>
                <w:rFonts w:cs="Arial"/>
                <w:color w:val="0D0D0D" w:themeColor="text1" w:themeTint="F2"/>
                <w:spacing w:val="-4"/>
              </w:rPr>
              <w:t> </w:t>
            </w:r>
            <w:r w:rsidRPr="008E77E4">
              <w:rPr>
                <w:rFonts w:cs="Arial"/>
                <w:color w:val="0D0D0D" w:themeColor="text1" w:themeTint="F2"/>
                <w:spacing w:val="-4"/>
              </w:rPr>
              <w:t>fondů sociálního zabezpečení, stejně jako místních vládních institucí, které ale udržely přebytkové hospodaření i</w:t>
            </w:r>
            <w:r>
              <w:rPr>
                <w:rFonts w:cs="Arial"/>
                <w:color w:val="0D0D0D" w:themeColor="text1" w:themeTint="F2"/>
                <w:spacing w:val="-4"/>
              </w:rPr>
              <w:t> </w:t>
            </w:r>
            <w:r w:rsidRPr="008E77E4">
              <w:rPr>
                <w:rFonts w:cs="Arial"/>
                <w:color w:val="0D0D0D" w:themeColor="text1" w:themeTint="F2"/>
                <w:spacing w:val="-4"/>
              </w:rPr>
              <w:t>v 1.</w:t>
            </w:r>
            <w:r>
              <w:rPr>
                <w:rFonts w:cs="Arial"/>
                <w:color w:val="0D0D0D" w:themeColor="text1" w:themeTint="F2"/>
                <w:spacing w:val="-4"/>
              </w:rPr>
              <w:t> pololet</w:t>
            </w:r>
            <w:r w:rsidRPr="008E77E4">
              <w:rPr>
                <w:rFonts w:cs="Arial"/>
                <w:color w:val="0D0D0D" w:themeColor="text1" w:themeTint="F2"/>
                <w:spacing w:val="-4"/>
              </w:rPr>
              <w:t>í 2020 (+31,1</w:t>
            </w:r>
            <w:r>
              <w:rPr>
                <w:rFonts w:cs="Arial"/>
                <w:color w:val="0D0D0D" w:themeColor="text1" w:themeTint="F2"/>
                <w:spacing w:val="-4"/>
              </w:rPr>
              <w:t> mld.</w:t>
            </w:r>
            <w:r w:rsidRPr="008E77E4">
              <w:rPr>
                <w:rFonts w:cs="Arial"/>
                <w:color w:val="0D0D0D" w:themeColor="text1" w:themeTint="F2"/>
                <w:spacing w:val="-4"/>
              </w:rPr>
              <w:t xml:space="preserve"> korun).</w:t>
            </w:r>
          </w:p>
        </w:tc>
      </w:tr>
      <w:tr w:rsidR="000663F0" w:rsidRPr="00343AC1" w14:paraId="0DBD986B" w14:textId="77777777" w:rsidTr="00361FB7">
        <w:trPr>
          <w:trHeight w:val="170"/>
        </w:trPr>
        <w:tc>
          <w:tcPr>
            <w:tcW w:w="1732" w:type="dxa"/>
            <w:shd w:val="clear" w:color="auto" w:fill="auto"/>
            <w:tcMar>
              <w:left w:w="0" w:type="dxa"/>
            </w:tcMar>
          </w:tcPr>
          <w:p w14:paraId="494CD3FD" w14:textId="77777777" w:rsidR="000663F0" w:rsidRDefault="000663F0" w:rsidP="00361FB7">
            <w:pPr>
              <w:pStyle w:val="Marginlie"/>
            </w:pPr>
            <w:r>
              <w:t>Celkové příjmy v 1. pololetí meziročně klesly, růst výdajů akceleroval.</w:t>
            </w:r>
          </w:p>
          <w:p w14:paraId="236D7C0F" w14:textId="77777777" w:rsidR="000663F0" w:rsidRDefault="000663F0" w:rsidP="00361FB7">
            <w:pPr>
              <w:pStyle w:val="Marginlie"/>
            </w:pPr>
          </w:p>
          <w:p w14:paraId="3A3D1B8C" w14:textId="77777777" w:rsidR="000663F0" w:rsidRDefault="000663F0" w:rsidP="00361FB7">
            <w:pPr>
              <w:pStyle w:val="Marginlie"/>
            </w:pPr>
          </w:p>
          <w:p w14:paraId="5556AA5E" w14:textId="77777777" w:rsidR="000663F0" w:rsidRDefault="000663F0" w:rsidP="00361FB7">
            <w:pPr>
              <w:pStyle w:val="Marginlie"/>
            </w:pPr>
          </w:p>
          <w:p w14:paraId="78D2B030" w14:textId="77777777" w:rsidR="000663F0" w:rsidRDefault="000663F0" w:rsidP="00361FB7">
            <w:pPr>
              <w:pStyle w:val="Marginlie"/>
            </w:pPr>
            <w:r>
              <w:t xml:space="preserve">Přírůstek míry zadlužení byl během 2. čtvrtletí nejvyšší </w:t>
            </w:r>
            <w:r>
              <w:rPr>
                <w:rFonts w:cs="Arial"/>
                <w:color w:val="0D0D0D" w:themeColor="text1" w:themeTint="F2"/>
                <w:spacing w:val="-4"/>
              </w:rPr>
              <w:t>od začátku</w:t>
            </w:r>
            <w:r>
              <w:t xml:space="preserve"> tisíciletí.</w:t>
            </w:r>
          </w:p>
        </w:tc>
        <w:tc>
          <w:tcPr>
            <w:tcW w:w="217" w:type="dxa"/>
            <w:shd w:val="clear" w:color="auto" w:fill="auto"/>
            <w:tcMar>
              <w:left w:w="0" w:type="dxa"/>
            </w:tcMar>
          </w:tcPr>
          <w:p w14:paraId="45BE0BB0" w14:textId="77777777" w:rsidR="000663F0" w:rsidRDefault="000663F0" w:rsidP="00361FB7">
            <w:pPr>
              <w:pStyle w:val="Textpoznpodarou"/>
              <w:jc w:val="both"/>
              <w:rPr>
                <w:spacing w:val="-4"/>
              </w:rPr>
            </w:pPr>
          </w:p>
        </w:tc>
        <w:tc>
          <w:tcPr>
            <w:tcW w:w="7720" w:type="dxa"/>
            <w:shd w:val="clear" w:color="auto" w:fill="auto"/>
            <w:tcMar>
              <w:left w:w="0" w:type="dxa"/>
            </w:tcMar>
          </w:tcPr>
          <w:p w14:paraId="26D3284B" w14:textId="77777777" w:rsidR="000663F0" w:rsidRPr="008870C0" w:rsidRDefault="000663F0" w:rsidP="00361FB7">
            <w:pPr>
              <w:pStyle w:val="Textpoznpodarou"/>
              <w:spacing w:after="200" w:line="276" w:lineRule="auto"/>
              <w:jc w:val="both"/>
              <w:rPr>
                <w:rFonts w:cs="Arial"/>
                <w:color w:val="0D0D0D" w:themeColor="text1" w:themeTint="F2"/>
                <w:spacing w:val="-4"/>
              </w:rPr>
            </w:pPr>
            <w:r w:rsidRPr="008870C0">
              <w:rPr>
                <w:rFonts w:cs="Arial"/>
                <w:color w:val="0D0D0D" w:themeColor="text1" w:themeTint="F2"/>
                <w:spacing w:val="-4"/>
              </w:rPr>
              <w:t>Ze sezónně a</w:t>
            </w:r>
            <w:r>
              <w:rPr>
                <w:rFonts w:cs="Arial"/>
                <w:color w:val="0D0D0D" w:themeColor="text1" w:themeTint="F2"/>
                <w:spacing w:val="-4"/>
              </w:rPr>
              <w:t> </w:t>
            </w:r>
            <w:r w:rsidRPr="008870C0">
              <w:rPr>
                <w:rFonts w:cs="Arial"/>
                <w:color w:val="0D0D0D" w:themeColor="text1" w:themeTint="F2"/>
                <w:spacing w:val="-4"/>
              </w:rPr>
              <w:t>kalendářně očištěných údajů vyplývá, že nepříznivý trend salda hospodaření sektoru</w:t>
            </w:r>
            <w:r>
              <w:rPr>
                <w:rFonts w:cs="Arial"/>
                <w:color w:val="0D0D0D" w:themeColor="text1" w:themeTint="F2"/>
                <w:spacing w:val="-4"/>
              </w:rPr>
              <w:t> </w:t>
            </w:r>
            <w:r w:rsidRPr="008870C0">
              <w:rPr>
                <w:rFonts w:cs="Arial"/>
                <w:color w:val="0D0D0D" w:themeColor="text1" w:themeTint="F2"/>
                <w:spacing w:val="-4"/>
              </w:rPr>
              <w:t>VI byl v souvislosti s cyklickým zpomalením ekonomiky patrný již ve 2</w:t>
            </w:r>
            <w:r>
              <w:rPr>
                <w:rFonts w:cs="Arial"/>
                <w:color w:val="0D0D0D" w:themeColor="text1" w:themeTint="F2"/>
                <w:spacing w:val="-4"/>
              </w:rPr>
              <w:t>. </w:t>
            </w:r>
            <w:r w:rsidRPr="008870C0">
              <w:rPr>
                <w:rFonts w:cs="Arial"/>
                <w:color w:val="0D0D0D" w:themeColor="text1" w:themeTint="F2"/>
                <w:spacing w:val="-4"/>
              </w:rPr>
              <w:t>polovině roku 2019. Takto vyjádřené saldo dosáhlo ve 2</w:t>
            </w:r>
            <w:r>
              <w:rPr>
                <w:rFonts w:cs="Arial"/>
                <w:color w:val="0D0D0D" w:themeColor="text1" w:themeTint="F2"/>
                <w:spacing w:val="-4"/>
              </w:rPr>
              <w:t xml:space="preserve">. letošním </w:t>
            </w:r>
            <w:r w:rsidRPr="008870C0">
              <w:rPr>
                <w:rFonts w:cs="Arial"/>
                <w:color w:val="0D0D0D" w:themeColor="text1" w:themeTint="F2"/>
                <w:spacing w:val="-4"/>
              </w:rPr>
              <w:t xml:space="preserve">čtvrtletí </w:t>
            </w:r>
            <w:r>
              <w:rPr>
                <w:rFonts w:cs="Arial"/>
                <w:color w:val="0D0D0D" w:themeColor="text1" w:themeTint="F2"/>
                <w:spacing w:val="-4"/>
              </w:rPr>
              <w:t>–</w:t>
            </w:r>
            <w:r w:rsidRPr="008870C0">
              <w:rPr>
                <w:rFonts w:cs="Arial"/>
                <w:color w:val="0D0D0D" w:themeColor="text1" w:themeTint="F2"/>
                <w:spacing w:val="-4"/>
              </w:rPr>
              <w:t>6,3</w:t>
            </w:r>
            <w:r>
              <w:rPr>
                <w:rFonts w:cs="Arial"/>
                <w:color w:val="0D0D0D" w:themeColor="text1" w:themeTint="F2"/>
                <w:spacing w:val="-4"/>
              </w:rPr>
              <w:t> %</w:t>
            </w:r>
            <w:r w:rsidRPr="008870C0">
              <w:rPr>
                <w:rFonts w:cs="Arial"/>
                <w:color w:val="0D0D0D" w:themeColor="text1" w:themeTint="F2"/>
                <w:spacing w:val="-4"/>
              </w:rPr>
              <w:t xml:space="preserve"> HDP, což byl nejhorší výsledek od konce roku 2012. V 1.</w:t>
            </w:r>
            <w:r>
              <w:rPr>
                <w:rFonts w:cs="Arial"/>
                <w:color w:val="0D0D0D" w:themeColor="text1" w:themeTint="F2"/>
                <w:spacing w:val="-4"/>
              </w:rPr>
              <w:t> pololetí</w:t>
            </w:r>
            <w:r w:rsidRPr="008870C0">
              <w:rPr>
                <w:rFonts w:cs="Arial"/>
                <w:color w:val="0D0D0D" w:themeColor="text1" w:themeTint="F2"/>
                <w:spacing w:val="-4"/>
              </w:rPr>
              <w:t xml:space="preserve"> klesly celkové příjmy sektoru</w:t>
            </w:r>
            <w:r>
              <w:rPr>
                <w:rFonts w:cs="Arial"/>
                <w:color w:val="0D0D0D" w:themeColor="text1" w:themeTint="F2"/>
                <w:spacing w:val="-4"/>
              </w:rPr>
              <w:t> </w:t>
            </w:r>
            <w:r w:rsidRPr="008870C0">
              <w:rPr>
                <w:rFonts w:cs="Arial"/>
                <w:color w:val="0D0D0D" w:themeColor="text1" w:themeTint="F2"/>
                <w:spacing w:val="-4"/>
              </w:rPr>
              <w:t>VI meziročně o</w:t>
            </w:r>
            <w:r>
              <w:rPr>
                <w:rFonts w:cs="Arial"/>
                <w:color w:val="0D0D0D" w:themeColor="text1" w:themeTint="F2"/>
                <w:spacing w:val="-4"/>
              </w:rPr>
              <w:t> </w:t>
            </w:r>
            <w:r w:rsidRPr="008870C0">
              <w:rPr>
                <w:rFonts w:cs="Arial"/>
                <w:color w:val="0D0D0D" w:themeColor="text1" w:themeTint="F2"/>
                <w:spacing w:val="-4"/>
              </w:rPr>
              <w:t>3,9</w:t>
            </w:r>
            <w:r>
              <w:rPr>
                <w:rFonts w:cs="Arial"/>
                <w:color w:val="0D0D0D" w:themeColor="text1" w:themeTint="F2"/>
                <w:spacing w:val="-4"/>
              </w:rPr>
              <w:t> </w:t>
            </w:r>
            <w:r w:rsidRPr="008870C0">
              <w:rPr>
                <w:rFonts w:cs="Arial"/>
                <w:color w:val="0D0D0D" w:themeColor="text1" w:themeTint="F2"/>
                <w:spacing w:val="-4"/>
              </w:rPr>
              <w:t xml:space="preserve">%, slabší pololetní tempo bylo naposledy zaznamenáno za hospodářské recese v roce 2009. Negativně letos působil pokles inkasa </w:t>
            </w:r>
            <w:r w:rsidRPr="008870C0">
              <w:rPr>
                <w:spacing w:val="-4"/>
              </w:rPr>
              <w:t>z objemově významných daní. Růst celkových výdajů naopak posílil na 11,8</w:t>
            </w:r>
            <w:r>
              <w:rPr>
                <w:spacing w:val="-4"/>
              </w:rPr>
              <w:t> %</w:t>
            </w:r>
            <w:r w:rsidRPr="008870C0">
              <w:rPr>
                <w:spacing w:val="-4"/>
              </w:rPr>
              <w:t xml:space="preserve"> a</w:t>
            </w:r>
            <w:r>
              <w:rPr>
                <w:spacing w:val="-4"/>
              </w:rPr>
              <w:t> </w:t>
            </w:r>
            <w:r w:rsidRPr="008870C0">
              <w:rPr>
                <w:spacing w:val="-4"/>
              </w:rPr>
              <w:t xml:space="preserve">byl nejvyšší od konce roku 2003. Tato nerovnováha vyústila ve dluhovou akceleraci. </w:t>
            </w:r>
            <w:r w:rsidRPr="008870C0">
              <w:rPr>
                <w:rFonts w:cs="Arial"/>
                <w:color w:val="0D0D0D" w:themeColor="text1" w:themeTint="F2"/>
                <w:spacing w:val="-4"/>
              </w:rPr>
              <w:t>Míra zadlužení sektoru</w:t>
            </w:r>
            <w:r>
              <w:rPr>
                <w:rFonts w:cs="Arial"/>
                <w:color w:val="0D0D0D" w:themeColor="text1" w:themeTint="F2"/>
                <w:spacing w:val="-4"/>
              </w:rPr>
              <w:t> </w:t>
            </w:r>
            <w:r w:rsidRPr="008870C0">
              <w:rPr>
                <w:rFonts w:cs="Arial"/>
                <w:color w:val="0D0D0D" w:themeColor="text1" w:themeTint="F2"/>
                <w:spacing w:val="-4"/>
              </w:rPr>
              <w:t xml:space="preserve">VI vystoupala na konci </w:t>
            </w:r>
            <w:r>
              <w:rPr>
                <w:rFonts w:cs="Arial"/>
                <w:color w:val="0D0D0D" w:themeColor="text1" w:themeTint="F2"/>
                <w:spacing w:val="-4"/>
              </w:rPr>
              <w:t>2. čtvrtletí 2020 na 39,9</w:t>
            </w:r>
            <w:r w:rsidRPr="008870C0">
              <w:rPr>
                <w:rFonts w:cs="Arial"/>
                <w:color w:val="0D0D0D" w:themeColor="text1" w:themeTint="F2"/>
                <w:spacing w:val="-4"/>
              </w:rPr>
              <w:t> % HDP. Mezičtvrtletní nárůst činil 7,2</w:t>
            </w:r>
            <w:r>
              <w:rPr>
                <w:rFonts w:cs="Arial"/>
                <w:color w:val="0D0D0D" w:themeColor="text1" w:themeTint="F2"/>
                <w:spacing w:val="-4"/>
              </w:rPr>
              <w:t> p. b.</w:t>
            </w:r>
            <w:r w:rsidRPr="008870C0">
              <w:rPr>
                <w:rFonts w:cs="Arial"/>
                <w:color w:val="0D0D0D" w:themeColor="text1" w:themeTint="F2"/>
                <w:spacing w:val="-4"/>
              </w:rPr>
              <w:t>, což bylo</w:t>
            </w:r>
            <w:r>
              <w:rPr>
                <w:rFonts w:cs="Arial"/>
                <w:color w:val="0D0D0D" w:themeColor="text1" w:themeTint="F2"/>
                <w:spacing w:val="-4"/>
              </w:rPr>
              <w:t xml:space="preserve"> </w:t>
            </w:r>
            <w:r w:rsidRPr="008870C0">
              <w:rPr>
                <w:rFonts w:cs="Arial"/>
                <w:color w:val="0D0D0D" w:themeColor="text1" w:themeTint="F2"/>
                <w:spacing w:val="-4"/>
              </w:rPr>
              <w:t xml:space="preserve">nejvíce </w:t>
            </w:r>
            <w:r>
              <w:rPr>
                <w:rFonts w:cs="Arial"/>
                <w:color w:val="0D0D0D" w:themeColor="text1" w:themeTint="F2"/>
                <w:spacing w:val="-4"/>
              </w:rPr>
              <w:t>od začátku</w:t>
            </w:r>
            <w:r w:rsidRPr="008870C0">
              <w:rPr>
                <w:rFonts w:cs="Arial"/>
                <w:color w:val="0D0D0D" w:themeColor="text1" w:themeTint="F2"/>
                <w:spacing w:val="-4"/>
              </w:rPr>
              <w:t xml:space="preserve"> tisíciletí. Míra zadlužení se tak po příznivém vývoji v posledních letech vrátila na úroveň roku 2015.</w:t>
            </w:r>
          </w:p>
        </w:tc>
      </w:tr>
      <w:tr w:rsidR="000663F0" w:rsidRPr="00343AC1" w14:paraId="79EAC512" w14:textId="77777777" w:rsidTr="00361FB7">
        <w:trPr>
          <w:trHeight w:val="170"/>
        </w:trPr>
        <w:tc>
          <w:tcPr>
            <w:tcW w:w="1732" w:type="dxa"/>
            <w:shd w:val="clear" w:color="auto" w:fill="auto"/>
            <w:tcMar>
              <w:left w:w="0" w:type="dxa"/>
            </w:tcMar>
          </w:tcPr>
          <w:p w14:paraId="3D8D0C2D" w14:textId="77777777" w:rsidR="000663F0" w:rsidRDefault="000663F0" w:rsidP="00361FB7">
            <w:pPr>
              <w:pStyle w:val="Marginlie"/>
            </w:pPr>
            <w:r>
              <w:t>Deficit hospodaření sektoru vládních institucí byl v celé EU ve 2. čtvrtletí téměř dvakrát hlubší než v Česku.</w:t>
            </w:r>
          </w:p>
          <w:p w14:paraId="6718E2E0" w14:textId="77777777" w:rsidR="000663F0" w:rsidRDefault="000663F0" w:rsidP="00361FB7">
            <w:pPr>
              <w:pStyle w:val="Marginlie"/>
            </w:pPr>
          </w:p>
          <w:p w14:paraId="40C4A4FC" w14:textId="77777777" w:rsidR="000663F0" w:rsidRDefault="000663F0" w:rsidP="00361FB7">
            <w:pPr>
              <w:pStyle w:val="Marginlie"/>
            </w:pPr>
          </w:p>
          <w:p w14:paraId="52FA29D1" w14:textId="77777777" w:rsidR="000663F0" w:rsidRDefault="000663F0" w:rsidP="00361FB7">
            <w:pPr>
              <w:pStyle w:val="Marginlie"/>
            </w:pPr>
          </w:p>
          <w:p w14:paraId="622321B2" w14:textId="77777777" w:rsidR="000663F0" w:rsidRDefault="000663F0" w:rsidP="00361FB7">
            <w:pPr>
              <w:pStyle w:val="Marginlie"/>
            </w:pPr>
          </w:p>
          <w:p w14:paraId="78D0A3A5" w14:textId="77777777" w:rsidR="000663F0" w:rsidRDefault="000663F0" w:rsidP="00361FB7">
            <w:pPr>
              <w:pStyle w:val="Marginlie"/>
            </w:pPr>
          </w:p>
          <w:p w14:paraId="7722E60D" w14:textId="77777777" w:rsidR="000663F0" w:rsidRDefault="000663F0" w:rsidP="00361FB7">
            <w:pPr>
              <w:pStyle w:val="Marginlie"/>
            </w:pPr>
            <w:r>
              <w:t>Míra zadlužení v Unii dosáhla na konci 2. čtvrtletí rekordních 87,8 % HDP. V Česku byla mezi členy Unie pátá nejnižší.</w:t>
            </w:r>
          </w:p>
        </w:tc>
        <w:tc>
          <w:tcPr>
            <w:tcW w:w="217" w:type="dxa"/>
            <w:shd w:val="clear" w:color="auto" w:fill="auto"/>
            <w:tcMar>
              <w:left w:w="0" w:type="dxa"/>
            </w:tcMar>
          </w:tcPr>
          <w:p w14:paraId="10E07D55" w14:textId="77777777" w:rsidR="000663F0" w:rsidRPr="008E181A" w:rsidRDefault="000663F0" w:rsidP="00361FB7">
            <w:pPr>
              <w:pStyle w:val="Textpoznpodarou"/>
              <w:jc w:val="both"/>
              <w:rPr>
                <w:spacing w:val="-6"/>
              </w:rPr>
            </w:pPr>
          </w:p>
        </w:tc>
        <w:tc>
          <w:tcPr>
            <w:tcW w:w="7720" w:type="dxa"/>
            <w:shd w:val="clear" w:color="auto" w:fill="auto"/>
            <w:tcMar>
              <w:left w:w="0" w:type="dxa"/>
            </w:tcMar>
          </w:tcPr>
          <w:p w14:paraId="0F34DC0E" w14:textId="77777777" w:rsidR="000663F0" w:rsidRPr="006C57B3" w:rsidRDefault="000663F0" w:rsidP="00361FB7">
            <w:pPr>
              <w:pStyle w:val="Textpoznpodarou"/>
              <w:spacing w:after="220" w:line="276" w:lineRule="auto"/>
              <w:jc w:val="both"/>
              <w:rPr>
                <w:rFonts w:cs="Arial"/>
                <w:color w:val="0D0D0D" w:themeColor="text1" w:themeTint="F2"/>
                <w:spacing w:val="-2"/>
              </w:rPr>
            </w:pPr>
            <w:r w:rsidRPr="006C57B3">
              <w:rPr>
                <w:rFonts w:cs="Arial"/>
                <w:color w:val="0D0D0D" w:themeColor="text1" w:themeTint="F2"/>
                <w:spacing w:val="-2"/>
              </w:rPr>
              <w:t>Zhoršování stavu veřejných financí se citelněji než v Česku projevilo v EU. Jestliže ve 4. čtvrtletí 2019 bylo sezónně očištěné saldo hospodaření sektoru</w:t>
            </w:r>
            <w:r>
              <w:rPr>
                <w:rFonts w:cs="Arial"/>
                <w:color w:val="0D0D0D" w:themeColor="text1" w:themeTint="F2"/>
                <w:spacing w:val="-2"/>
              </w:rPr>
              <w:t> </w:t>
            </w:r>
            <w:r w:rsidRPr="006C57B3">
              <w:rPr>
                <w:rFonts w:cs="Arial"/>
                <w:color w:val="0D0D0D" w:themeColor="text1" w:themeTint="F2"/>
                <w:spacing w:val="-2"/>
              </w:rPr>
              <w:t>VI stabilizované (</w:t>
            </w:r>
            <w:r>
              <w:rPr>
                <w:rFonts w:cs="Arial"/>
                <w:color w:val="0D0D0D" w:themeColor="text1" w:themeTint="F2"/>
                <w:spacing w:val="-2"/>
              </w:rPr>
              <w:t>–</w:t>
            </w:r>
            <w:r w:rsidRPr="006C57B3">
              <w:rPr>
                <w:rFonts w:cs="Arial"/>
                <w:color w:val="0D0D0D" w:themeColor="text1" w:themeTint="F2"/>
                <w:spacing w:val="-2"/>
              </w:rPr>
              <w:t>0,8</w:t>
            </w:r>
            <w:r>
              <w:rPr>
                <w:rFonts w:cs="Arial"/>
                <w:color w:val="0D0D0D" w:themeColor="text1" w:themeTint="F2"/>
                <w:spacing w:val="-2"/>
              </w:rPr>
              <w:t xml:space="preserve"> % </w:t>
            </w:r>
            <w:r w:rsidRPr="006C57B3">
              <w:rPr>
                <w:rFonts w:cs="Arial"/>
                <w:color w:val="0D0D0D" w:themeColor="text1" w:themeTint="F2"/>
                <w:spacing w:val="-2"/>
              </w:rPr>
              <w:t xml:space="preserve">HDP), v následujícím kvartálu se zhoršilo na </w:t>
            </w:r>
            <w:r>
              <w:rPr>
                <w:rFonts w:cs="Arial"/>
                <w:color w:val="0D0D0D" w:themeColor="text1" w:themeTint="F2"/>
                <w:spacing w:val="-2"/>
              </w:rPr>
              <w:t>–</w:t>
            </w:r>
            <w:r w:rsidRPr="006C57B3">
              <w:rPr>
                <w:rFonts w:cs="Arial"/>
                <w:color w:val="0D0D0D" w:themeColor="text1" w:themeTint="F2"/>
                <w:spacing w:val="-2"/>
              </w:rPr>
              <w:t>2,8</w:t>
            </w:r>
            <w:r>
              <w:rPr>
                <w:rFonts w:cs="Arial"/>
                <w:color w:val="0D0D0D" w:themeColor="text1" w:themeTint="F2"/>
                <w:spacing w:val="-2"/>
              </w:rPr>
              <w:t> %</w:t>
            </w:r>
            <w:r w:rsidRPr="006C57B3">
              <w:rPr>
                <w:rFonts w:cs="Arial"/>
                <w:color w:val="0D0D0D" w:themeColor="text1" w:themeTint="F2"/>
                <w:spacing w:val="-2"/>
              </w:rPr>
              <w:t xml:space="preserve"> HDP a</w:t>
            </w:r>
            <w:r>
              <w:rPr>
                <w:rFonts w:cs="Arial"/>
                <w:color w:val="0D0D0D" w:themeColor="text1" w:themeTint="F2"/>
                <w:spacing w:val="-2"/>
              </w:rPr>
              <w:t> </w:t>
            </w:r>
            <w:r w:rsidRPr="006C57B3">
              <w:rPr>
                <w:rFonts w:cs="Arial"/>
                <w:color w:val="0D0D0D" w:themeColor="text1" w:themeTint="F2"/>
                <w:spacing w:val="-2"/>
              </w:rPr>
              <w:t>ve 2.</w:t>
            </w:r>
            <w:r>
              <w:rPr>
                <w:rFonts w:cs="Arial"/>
                <w:color w:val="0D0D0D" w:themeColor="text1" w:themeTint="F2"/>
                <w:spacing w:val="-2"/>
              </w:rPr>
              <w:t> čtvrtlet</w:t>
            </w:r>
            <w:r w:rsidRPr="006C57B3">
              <w:rPr>
                <w:rFonts w:cs="Arial"/>
                <w:color w:val="0D0D0D" w:themeColor="text1" w:themeTint="F2"/>
                <w:spacing w:val="-2"/>
              </w:rPr>
              <w:t xml:space="preserve">í 2020 propadlo na rekordních </w:t>
            </w:r>
            <w:r>
              <w:rPr>
                <w:rFonts w:cs="Arial"/>
                <w:color w:val="0D0D0D" w:themeColor="text1" w:themeTint="F2"/>
                <w:spacing w:val="-2"/>
              </w:rPr>
              <w:t>–</w:t>
            </w:r>
            <w:r w:rsidRPr="006C57B3">
              <w:rPr>
                <w:rFonts w:cs="Arial"/>
                <w:color w:val="0D0D0D" w:themeColor="text1" w:themeTint="F2"/>
                <w:spacing w:val="-2"/>
              </w:rPr>
              <w:t>11,4</w:t>
            </w:r>
            <w:r>
              <w:rPr>
                <w:rFonts w:cs="Arial"/>
                <w:color w:val="0D0D0D" w:themeColor="text1" w:themeTint="F2"/>
                <w:spacing w:val="-2"/>
              </w:rPr>
              <w:t> %</w:t>
            </w:r>
            <w:r w:rsidRPr="006C57B3">
              <w:rPr>
                <w:rFonts w:cs="Arial"/>
                <w:color w:val="0D0D0D" w:themeColor="text1" w:themeTint="F2"/>
                <w:spacing w:val="-2"/>
              </w:rPr>
              <w:t xml:space="preserve"> HDP. Z dostupných údajů</w:t>
            </w:r>
            <w:r w:rsidRPr="006C57B3">
              <w:rPr>
                <w:rStyle w:val="Znakapoznpodarou"/>
                <w:color w:val="0D0D0D" w:themeColor="text1" w:themeTint="F2"/>
                <w:spacing w:val="-2"/>
              </w:rPr>
              <w:footnoteReference w:id="74"/>
            </w:r>
            <w:r w:rsidRPr="006C57B3">
              <w:rPr>
                <w:rFonts w:cs="Arial"/>
                <w:color w:val="0D0D0D" w:themeColor="text1" w:themeTint="F2"/>
                <w:spacing w:val="-2"/>
              </w:rPr>
              <w:t xml:space="preserve"> za jednotlivé státy EU plyne, že nejhlubších deficitů dosáhly v 1.</w:t>
            </w:r>
            <w:r>
              <w:rPr>
                <w:rFonts w:cs="Arial"/>
                <w:color w:val="0D0D0D" w:themeColor="text1" w:themeTint="F2"/>
                <w:spacing w:val="-2"/>
              </w:rPr>
              <w:t> pololet</w:t>
            </w:r>
            <w:r w:rsidRPr="006C57B3">
              <w:rPr>
                <w:rFonts w:cs="Arial"/>
                <w:color w:val="0D0D0D" w:themeColor="text1" w:themeTint="F2"/>
                <w:spacing w:val="-2"/>
              </w:rPr>
              <w:t>í Polsko (</w:t>
            </w:r>
            <w:r>
              <w:rPr>
                <w:rFonts w:cs="Arial"/>
                <w:color w:val="0D0D0D" w:themeColor="text1" w:themeTint="F2"/>
                <w:spacing w:val="-2"/>
              </w:rPr>
              <w:t>–</w:t>
            </w:r>
            <w:r w:rsidRPr="006C57B3">
              <w:rPr>
                <w:rFonts w:cs="Arial"/>
                <w:color w:val="0D0D0D" w:themeColor="text1" w:themeTint="F2"/>
                <w:spacing w:val="-2"/>
              </w:rPr>
              <w:t>11,9</w:t>
            </w:r>
            <w:r>
              <w:rPr>
                <w:rFonts w:cs="Arial"/>
                <w:color w:val="0D0D0D" w:themeColor="text1" w:themeTint="F2"/>
                <w:spacing w:val="-2"/>
              </w:rPr>
              <w:t> %</w:t>
            </w:r>
            <w:r w:rsidRPr="006C57B3">
              <w:rPr>
                <w:rFonts w:cs="Arial"/>
                <w:color w:val="0D0D0D" w:themeColor="text1" w:themeTint="F2"/>
                <w:spacing w:val="-2"/>
              </w:rPr>
              <w:t xml:space="preserve">) </w:t>
            </w:r>
            <w:r>
              <w:rPr>
                <w:rFonts w:cs="Arial"/>
                <w:color w:val="0D0D0D" w:themeColor="text1" w:themeTint="F2"/>
                <w:spacing w:val="-2"/>
              </w:rPr>
              <w:t>a </w:t>
            </w:r>
            <w:r w:rsidRPr="006C57B3">
              <w:rPr>
                <w:rFonts w:cs="Arial"/>
                <w:color w:val="0D0D0D" w:themeColor="text1" w:themeTint="F2"/>
                <w:spacing w:val="-2"/>
              </w:rPr>
              <w:t>Slovinsko (</w:t>
            </w:r>
            <w:r>
              <w:rPr>
                <w:rFonts w:cs="Arial"/>
                <w:color w:val="0D0D0D" w:themeColor="text1" w:themeTint="F2"/>
                <w:spacing w:val="-2"/>
              </w:rPr>
              <w:t>–</w:t>
            </w:r>
            <w:r w:rsidRPr="006C57B3">
              <w:rPr>
                <w:rFonts w:cs="Arial"/>
                <w:color w:val="0D0D0D" w:themeColor="text1" w:themeTint="F2"/>
                <w:spacing w:val="-2"/>
              </w:rPr>
              <w:t>10,5</w:t>
            </w:r>
            <w:r>
              <w:rPr>
                <w:rFonts w:cs="Arial"/>
                <w:color w:val="0D0D0D" w:themeColor="text1" w:themeTint="F2"/>
                <w:spacing w:val="-2"/>
              </w:rPr>
              <w:t> %</w:t>
            </w:r>
            <w:r w:rsidRPr="006C57B3">
              <w:rPr>
                <w:rFonts w:cs="Arial"/>
                <w:color w:val="0D0D0D" w:themeColor="text1" w:themeTint="F2"/>
                <w:spacing w:val="-2"/>
              </w:rPr>
              <w:t>), nejnižších Dánsko (</w:t>
            </w:r>
            <w:r>
              <w:rPr>
                <w:rFonts w:cs="Arial"/>
                <w:color w:val="0D0D0D" w:themeColor="text1" w:themeTint="F2"/>
                <w:spacing w:val="-2"/>
              </w:rPr>
              <w:t>–</w:t>
            </w:r>
            <w:r w:rsidRPr="006C57B3">
              <w:rPr>
                <w:rFonts w:cs="Arial"/>
                <w:color w:val="0D0D0D" w:themeColor="text1" w:themeTint="F2"/>
                <w:spacing w:val="-2"/>
              </w:rPr>
              <w:t>1,9 %) a</w:t>
            </w:r>
            <w:r>
              <w:rPr>
                <w:rFonts w:cs="Arial"/>
                <w:color w:val="0D0D0D" w:themeColor="text1" w:themeTint="F2"/>
                <w:spacing w:val="-2"/>
              </w:rPr>
              <w:t> </w:t>
            </w:r>
            <w:r w:rsidRPr="006C57B3">
              <w:rPr>
                <w:rFonts w:cs="Arial"/>
                <w:color w:val="0D0D0D" w:themeColor="text1" w:themeTint="F2"/>
                <w:spacing w:val="-2"/>
              </w:rPr>
              <w:t>Bulharsko (</w:t>
            </w:r>
            <w:r>
              <w:rPr>
                <w:rFonts w:cs="Arial"/>
                <w:color w:val="0D0D0D" w:themeColor="text1" w:themeTint="F2"/>
                <w:spacing w:val="-2"/>
              </w:rPr>
              <w:t>–</w:t>
            </w:r>
            <w:r w:rsidRPr="006C57B3">
              <w:rPr>
                <w:rFonts w:cs="Arial"/>
                <w:color w:val="0D0D0D" w:themeColor="text1" w:themeTint="F2"/>
                <w:spacing w:val="-2"/>
              </w:rPr>
              <w:t>3,2</w:t>
            </w:r>
            <w:r>
              <w:rPr>
                <w:rFonts w:cs="Arial"/>
                <w:color w:val="0D0D0D" w:themeColor="text1" w:themeTint="F2"/>
                <w:spacing w:val="-2"/>
              </w:rPr>
              <w:t> %</w:t>
            </w:r>
            <w:r w:rsidRPr="006C57B3">
              <w:rPr>
                <w:rFonts w:cs="Arial"/>
                <w:color w:val="0D0D0D" w:themeColor="text1" w:themeTint="F2"/>
                <w:spacing w:val="-2"/>
              </w:rPr>
              <w:t>). Ze států mimo EU postihl velmi hluboký schodek Velkou Británii (</w:t>
            </w:r>
            <w:r>
              <w:rPr>
                <w:rFonts w:cs="Arial"/>
                <w:color w:val="0D0D0D" w:themeColor="text1" w:themeTint="F2"/>
                <w:spacing w:val="-2"/>
              </w:rPr>
              <w:t>–</w:t>
            </w:r>
            <w:r w:rsidRPr="006C57B3">
              <w:rPr>
                <w:rFonts w:cs="Arial"/>
                <w:color w:val="0D0D0D" w:themeColor="text1" w:themeTint="F2"/>
                <w:spacing w:val="-2"/>
              </w:rPr>
              <w:t>13,4</w:t>
            </w:r>
            <w:r>
              <w:rPr>
                <w:rFonts w:cs="Arial"/>
                <w:color w:val="0D0D0D" w:themeColor="text1" w:themeTint="F2"/>
                <w:spacing w:val="-2"/>
              </w:rPr>
              <w:t> %</w:t>
            </w:r>
            <w:r w:rsidRPr="006C57B3">
              <w:rPr>
                <w:rFonts w:cs="Arial"/>
                <w:color w:val="0D0D0D" w:themeColor="text1" w:themeTint="F2"/>
                <w:spacing w:val="-2"/>
              </w:rPr>
              <w:t>). Tento vývoj se musel podepsat i</w:t>
            </w:r>
            <w:r>
              <w:rPr>
                <w:rFonts w:cs="Arial"/>
                <w:color w:val="0D0D0D" w:themeColor="text1" w:themeTint="F2"/>
                <w:spacing w:val="-2"/>
              </w:rPr>
              <w:t> </w:t>
            </w:r>
            <w:r w:rsidRPr="006C57B3">
              <w:rPr>
                <w:rFonts w:cs="Arial"/>
                <w:color w:val="0D0D0D" w:themeColor="text1" w:themeTint="F2"/>
                <w:spacing w:val="-2"/>
              </w:rPr>
              <w:t>na míře zadlužení. Ta v celé EU akcelerovala ze 79,4 % HDP z konce 1.</w:t>
            </w:r>
            <w:r>
              <w:rPr>
                <w:rFonts w:cs="Arial"/>
                <w:color w:val="0D0D0D" w:themeColor="text1" w:themeTint="F2"/>
                <w:spacing w:val="-2"/>
              </w:rPr>
              <w:t> čtvrtlet</w:t>
            </w:r>
            <w:r w:rsidRPr="006C57B3">
              <w:rPr>
                <w:rFonts w:cs="Arial"/>
                <w:color w:val="0D0D0D" w:themeColor="text1" w:themeTint="F2"/>
                <w:spacing w:val="-2"/>
              </w:rPr>
              <w:t>í 2020 na 87,8</w:t>
            </w:r>
            <w:r>
              <w:rPr>
                <w:rFonts w:cs="Arial"/>
                <w:color w:val="0D0D0D" w:themeColor="text1" w:themeTint="F2"/>
                <w:spacing w:val="-2"/>
              </w:rPr>
              <w:t> %</w:t>
            </w:r>
            <w:r w:rsidRPr="006C57B3">
              <w:rPr>
                <w:rFonts w:cs="Arial"/>
                <w:color w:val="0D0D0D" w:themeColor="text1" w:themeTint="F2"/>
                <w:spacing w:val="-2"/>
              </w:rPr>
              <w:t xml:space="preserve"> HDP v následujícím</w:t>
            </w:r>
            <w:r>
              <w:rPr>
                <w:rFonts w:cs="Arial"/>
                <w:color w:val="0D0D0D" w:themeColor="text1" w:themeTint="F2"/>
                <w:spacing w:val="-2"/>
              </w:rPr>
              <w:t xml:space="preserve"> kvartálu</w:t>
            </w:r>
            <w:r w:rsidRPr="006C57B3">
              <w:rPr>
                <w:rFonts w:cs="Arial"/>
                <w:color w:val="0D0D0D" w:themeColor="text1" w:themeTint="F2"/>
                <w:spacing w:val="-2"/>
              </w:rPr>
              <w:t>. Zadlužení zároveň překonalo dosud rekordní úroveň z roku 2014 (87,5</w:t>
            </w:r>
            <w:r>
              <w:rPr>
                <w:rFonts w:cs="Arial"/>
                <w:color w:val="0D0D0D" w:themeColor="text1" w:themeTint="F2"/>
                <w:spacing w:val="-2"/>
              </w:rPr>
              <w:t> %</w:t>
            </w:r>
            <w:r w:rsidRPr="006C57B3">
              <w:rPr>
                <w:rFonts w:cs="Arial"/>
                <w:color w:val="0D0D0D" w:themeColor="text1" w:themeTint="F2"/>
                <w:spacing w:val="-2"/>
              </w:rPr>
              <w:t xml:space="preserve"> HDP). Během 1.</w:t>
            </w:r>
            <w:r>
              <w:rPr>
                <w:rFonts w:cs="Arial"/>
                <w:color w:val="0D0D0D" w:themeColor="text1" w:themeTint="F2"/>
                <w:spacing w:val="-2"/>
              </w:rPr>
              <w:t> pololet</w:t>
            </w:r>
            <w:r w:rsidRPr="006C57B3">
              <w:rPr>
                <w:rFonts w:cs="Arial"/>
                <w:color w:val="0D0D0D" w:themeColor="text1" w:themeTint="F2"/>
                <w:spacing w:val="-2"/>
              </w:rPr>
              <w:t>í 2020 došlo k nárůstu míry zadlužení ve všech státech Unie</w:t>
            </w:r>
            <w:r>
              <w:rPr>
                <w:rFonts w:cs="Arial"/>
                <w:color w:val="0D0D0D" w:themeColor="text1" w:themeTint="F2"/>
                <w:spacing w:val="-2"/>
              </w:rPr>
              <w:t> </w:t>
            </w:r>
            <w:r w:rsidRPr="006C57B3">
              <w:rPr>
                <w:rFonts w:cs="Arial"/>
                <w:color w:val="0D0D0D" w:themeColor="text1" w:themeTint="F2"/>
                <w:spacing w:val="-2"/>
              </w:rPr>
              <w:t>– bohužel nejvíce v</w:t>
            </w:r>
            <w:r>
              <w:rPr>
                <w:rFonts w:cs="Arial"/>
                <w:color w:val="0D0D0D" w:themeColor="text1" w:themeTint="F2"/>
                <w:spacing w:val="-2"/>
              </w:rPr>
              <w:t> </w:t>
            </w:r>
            <w:r w:rsidRPr="006C57B3">
              <w:rPr>
                <w:rFonts w:cs="Arial"/>
                <w:color w:val="0D0D0D" w:themeColor="text1" w:themeTint="F2"/>
                <w:spacing w:val="-2"/>
              </w:rPr>
              <w:t xml:space="preserve">těch, které se </w:t>
            </w:r>
            <w:r>
              <w:rPr>
                <w:rFonts w:cs="Arial"/>
                <w:color w:val="0D0D0D" w:themeColor="text1" w:themeTint="F2"/>
                <w:spacing w:val="-2"/>
              </w:rPr>
              <w:t>s </w:t>
            </w:r>
            <w:r w:rsidRPr="006C57B3">
              <w:rPr>
                <w:rFonts w:cs="Arial"/>
                <w:color w:val="0D0D0D" w:themeColor="text1" w:themeTint="F2"/>
                <w:spacing w:val="-2"/>
              </w:rPr>
              <w:t>výraznými dluhovými problémy potýkaly ještě před „pandemickou krizí“ (Kypr, Belgie, Francie, Itálie, Španělsko). Nárůst míry zadlužení v Česku (o</w:t>
            </w:r>
            <w:r>
              <w:rPr>
                <w:rFonts w:cs="Arial"/>
                <w:color w:val="0D0D0D" w:themeColor="text1" w:themeTint="F2"/>
                <w:spacing w:val="-2"/>
              </w:rPr>
              <w:t> </w:t>
            </w:r>
            <w:r w:rsidRPr="006C57B3">
              <w:rPr>
                <w:rFonts w:cs="Arial"/>
                <w:color w:val="0D0D0D" w:themeColor="text1" w:themeTint="F2"/>
                <w:spacing w:val="-2"/>
              </w:rPr>
              <w:t>9,7</w:t>
            </w:r>
            <w:r>
              <w:rPr>
                <w:rFonts w:cs="Arial"/>
                <w:color w:val="0D0D0D" w:themeColor="text1" w:themeTint="F2"/>
                <w:spacing w:val="-2"/>
              </w:rPr>
              <w:t> p. b.</w:t>
            </w:r>
            <w:r w:rsidRPr="006C57B3">
              <w:rPr>
                <w:rFonts w:cs="Arial"/>
                <w:color w:val="0D0D0D" w:themeColor="text1" w:themeTint="F2"/>
                <w:spacing w:val="-2"/>
              </w:rPr>
              <w:t xml:space="preserve">) patřil v rámci EU k průměrným. </w:t>
            </w:r>
            <w:r>
              <w:rPr>
                <w:rFonts w:cs="Arial"/>
                <w:color w:val="0D0D0D" w:themeColor="text1" w:themeTint="F2"/>
                <w:spacing w:val="-2"/>
              </w:rPr>
              <w:t>Ze</w:t>
            </w:r>
            <w:r w:rsidRPr="006C57B3">
              <w:rPr>
                <w:rFonts w:cs="Arial"/>
                <w:color w:val="0D0D0D" w:themeColor="text1" w:themeTint="F2"/>
                <w:spacing w:val="-2"/>
              </w:rPr>
              <w:t xml:space="preserve"> států, které se vyznačovaly nízkou mírou zadlužení, byl během 1.</w:t>
            </w:r>
            <w:r>
              <w:rPr>
                <w:rFonts w:cs="Arial"/>
                <w:color w:val="0D0D0D" w:themeColor="text1" w:themeTint="F2"/>
                <w:spacing w:val="-2"/>
              </w:rPr>
              <w:t> pololet</w:t>
            </w:r>
            <w:r w:rsidRPr="006C57B3">
              <w:rPr>
                <w:rFonts w:cs="Arial"/>
                <w:color w:val="0D0D0D" w:themeColor="text1" w:themeTint="F2"/>
                <w:spacing w:val="-2"/>
              </w:rPr>
              <w:t>í 2020 zaznamenán nadprůměrný růst dluhu jen v Estonsku (z</w:t>
            </w:r>
            <w:r>
              <w:rPr>
                <w:rFonts w:cs="Arial"/>
                <w:color w:val="0D0D0D" w:themeColor="text1" w:themeTint="F2"/>
                <w:spacing w:val="-2"/>
              </w:rPr>
              <w:t> </w:t>
            </w:r>
            <w:r w:rsidRPr="006C57B3">
              <w:rPr>
                <w:rFonts w:cs="Arial"/>
                <w:color w:val="0D0D0D" w:themeColor="text1" w:themeTint="F2"/>
                <w:spacing w:val="-2"/>
              </w:rPr>
              <w:t>8,4</w:t>
            </w:r>
            <w:r>
              <w:rPr>
                <w:rFonts w:cs="Arial"/>
                <w:color w:val="0D0D0D" w:themeColor="text1" w:themeTint="F2"/>
                <w:spacing w:val="-2"/>
              </w:rPr>
              <w:t> %</w:t>
            </w:r>
            <w:r w:rsidRPr="006C57B3">
              <w:rPr>
                <w:rFonts w:cs="Arial"/>
                <w:color w:val="0D0D0D" w:themeColor="text1" w:themeTint="F2"/>
                <w:spacing w:val="-2"/>
              </w:rPr>
              <w:t xml:space="preserve"> na 18,5</w:t>
            </w:r>
            <w:r>
              <w:rPr>
                <w:rFonts w:cs="Arial"/>
                <w:color w:val="0D0D0D" w:themeColor="text1" w:themeTint="F2"/>
                <w:spacing w:val="-2"/>
              </w:rPr>
              <w:t> %</w:t>
            </w:r>
            <w:r w:rsidRPr="006C57B3">
              <w:rPr>
                <w:rFonts w:cs="Arial"/>
                <w:color w:val="0D0D0D" w:themeColor="text1" w:themeTint="F2"/>
                <w:spacing w:val="-2"/>
              </w:rPr>
              <w:t xml:space="preserve"> HDP). To si i</w:t>
            </w:r>
            <w:r>
              <w:rPr>
                <w:rFonts w:cs="Arial"/>
                <w:color w:val="0D0D0D" w:themeColor="text1" w:themeTint="F2"/>
                <w:spacing w:val="-2"/>
              </w:rPr>
              <w:t> </w:t>
            </w:r>
            <w:r w:rsidRPr="006C57B3">
              <w:rPr>
                <w:rFonts w:cs="Arial"/>
                <w:color w:val="0D0D0D" w:themeColor="text1" w:themeTint="F2"/>
                <w:spacing w:val="-2"/>
              </w:rPr>
              <w:t xml:space="preserve">tak v rámci EU drželo pozici státu </w:t>
            </w:r>
            <w:r>
              <w:rPr>
                <w:rFonts w:cs="Arial"/>
                <w:color w:val="0D0D0D" w:themeColor="text1" w:themeTint="F2"/>
                <w:spacing w:val="-2"/>
              </w:rPr>
              <w:t>s </w:t>
            </w:r>
            <w:r w:rsidRPr="006C57B3">
              <w:rPr>
                <w:rFonts w:cs="Arial"/>
                <w:color w:val="0D0D0D" w:themeColor="text1" w:themeTint="F2"/>
                <w:spacing w:val="-2"/>
              </w:rPr>
              <w:t>nejnižší mírou zadlužení (následované Bulharskem, Lucemburskem, Švédskem a</w:t>
            </w:r>
            <w:r>
              <w:rPr>
                <w:rFonts w:cs="Arial"/>
                <w:color w:val="0D0D0D" w:themeColor="text1" w:themeTint="F2"/>
                <w:spacing w:val="-2"/>
              </w:rPr>
              <w:t> </w:t>
            </w:r>
            <w:r w:rsidRPr="006C57B3">
              <w:rPr>
                <w:rFonts w:cs="Arial"/>
                <w:color w:val="0D0D0D" w:themeColor="text1" w:themeTint="F2"/>
                <w:spacing w:val="-2"/>
              </w:rPr>
              <w:t>ČR).</w:t>
            </w:r>
          </w:p>
        </w:tc>
      </w:tr>
      <w:bookmarkEnd w:id="19"/>
    </w:tbl>
    <w:p w14:paraId="3E974863" w14:textId="7F85E6B3" w:rsidR="000663F0" w:rsidRPr="00E42054" w:rsidRDefault="000663F0" w:rsidP="000663F0">
      <w:pPr>
        <w:pStyle w:val="Nadpis11"/>
        <w:spacing w:after="0"/>
        <w:rPr>
          <w:b w:val="0"/>
          <w:sz w:val="2"/>
          <w:szCs w:val="2"/>
        </w:rPr>
      </w:pPr>
    </w:p>
    <w:sectPr w:rsidR="000663F0" w:rsidRPr="00E42054" w:rsidSect="00A03B10">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D51C5" w14:textId="77777777" w:rsidR="0060120D" w:rsidRDefault="0060120D" w:rsidP="00E71A58">
      <w:r>
        <w:separator/>
      </w:r>
    </w:p>
  </w:endnote>
  <w:endnote w:type="continuationSeparator" w:id="0">
    <w:p w14:paraId="7E79BE89" w14:textId="77777777" w:rsidR="0060120D" w:rsidRDefault="0060120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hodi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1A0D" w14:textId="3103AF3A" w:rsidR="008D3ACD" w:rsidRPr="00932443" w:rsidRDefault="008D3ACD"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142B29">
      <w:rPr>
        <w:szCs w:val="16"/>
      </w:rPr>
      <w:t>34</w:t>
    </w:r>
    <w:r w:rsidRPr="00932443">
      <w:rPr>
        <w:szCs w:val="16"/>
      </w:rPr>
      <w:fldChar w:fldCharType="end"/>
    </w:r>
    <w:r w:rsidRPr="00932443">
      <w:rPr>
        <w:szCs w:val="16"/>
      </w:rPr>
      <w:tab/>
    </w:r>
    <w:r>
      <w:rPr>
        <w:szCs w:val="16"/>
      </w:rPr>
      <w:t>1. až 3. čtvrtletí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7E4B" w14:textId="692BEA19" w:rsidR="008D3ACD" w:rsidRPr="00932443" w:rsidRDefault="008D3ACD" w:rsidP="00FA6CB6">
    <w:pPr>
      <w:pStyle w:val="Zpat"/>
      <w:rPr>
        <w:szCs w:val="16"/>
      </w:rPr>
    </w:pPr>
    <w:r w:rsidRPr="00FA6CB6">
      <w:rPr>
        <w:szCs w:val="16"/>
      </w:rPr>
      <w:tab/>
    </w:r>
    <w:r>
      <w:rPr>
        <w:szCs w:val="16"/>
      </w:rPr>
      <w:t xml:space="preserve">1. až 3. čtvrtletí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142B29">
      <w:rPr>
        <w:rStyle w:val="ZpatChar"/>
        <w:szCs w:val="16"/>
      </w:rPr>
      <w:t>35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3E61E" w14:textId="77777777" w:rsidR="0060120D" w:rsidRDefault="0060120D" w:rsidP="00A21B4D">
      <w:pPr>
        <w:spacing w:after="0"/>
      </w:pPr>
      <w:r>
        <w:separator/>
      </w:r>
    </w:p>
  </w:footnote>
  <w:footnote w:type="continuationSeparator" w:id="0">
    <w:p w14:paraId="14D7D261" w14:textId="77777777" w:rsidR="0060120D" w:rsidRDefault="0060120D" w:rsidP="00E71A58">
      <w:r>
        <w:continuationSeparator/>
      </w:r>
    </w:p>
  </w:footnote>
  <w:footnote w:id="1">
    <w:p w14:paraId="756CE8C3" w14:textId="77777777" w:rsidR="008D3ACD" w:rsidRDefault="008D3ACD" w:rsidP="000C72B7">
      <w:pPr>
        <w:pStyle w:val="Textpoznpodarou"/>
        <w:rPr>
          <w:spacing w:val="-2"/>
          <w:sz w:val="16"/>
          <w:szCs w:val="16"/>
        </w:rPr>
      </w:pPr>
      <w:r>
        <w:rPr>
          <w:rStyle w:val="Znakapoznpodarou"/>
          <w:spacing w:val="-2"/>
          <w:szCs w:val="16"/>
        </w:rPr>
        <w:footnoteRef/>
      </w:r>
      <w:r>
        <w:rPr>
          <w:spacing w:val="-2"/>
          <w:sz w:val="16"/>
          <w:szCs w:val="16"/>
        </w:rPr>
        <w:t xml:space="preserve"> Data o HDP, hrubé přidané hodnotě a jejich složkách jsou vyjádřena ve stálých cenách a v očištění o sezónní a kalendářní vlivy.</w:t>
      </w:r>
    </w:p>
  </w:footnote>
  <w:footnote w:id="2">
    <w:p w14:paraId="6E2A8323" w14:textId="77777777" w:rsidR="008D3ACD" w:rsidRPr="00167B30" w:rsidRDefault="008D3ACD" w:rsidP="000C72B7">
      <w:pPr>
        <w:pStyle w:val="Textpoznpodarou"/>
        <w:rPr>
          <w:sz w:val="16"/>
          <w:szCs w:val="16"/>
        </w:rPr>
      </w:pPr>
      <w:r w:rsidRPr="00B34CDA">
        <w:rPr>
          <w:rStyle w:val="Znakapoznpodarou"/>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w:t>
      </w:r>
    </w:p>
  </w:footnote>
  <w:footnote w:id="3">
    <w:p w14:paraId="6FF5D11F" w14:textId="77777777" w:rsidR="008D3ACD" w:rsidRDefault="008D3ACD" w:rsidP="000C72B7">
      <w:pPr>
        <w:pStyle w:val="Textpoznpodarou"/>
        <w:jc w:val="both"/>
        <w:rPr>
          <w:sz w:val="16"/>
          <w:szCs w:val="16"/>
        </w:rPr>
      </w:pPr>
      <w:r>
        <w:rPr>
          <w:rStyle w:val="Znakapoznpodarou"/>
          <w:spacing w:val="-2"/>
          <w:szCs w:val="16"/>
        </w:rPr>
        <w:footnoteRef/>
      </w:r>
      <w:r>
        <w:rPr>
          <w:spacing w:val="-2"/>
          <w:sz w:val="16"/>
          <w:szCs w:val="16"/>
        </w:rPr>
        <w:t xml:space="preserve"> Údaje o zaměstnanosti jsou uvedeny v pojetí národních účtů a očištěny o sezónní vlivy.</w:t>
      </w:r>
    </w:p>
  </w:footnote>
  <w:footnote w:id="4">
    <w:p w14:paraId="4CD84DBB" w14:textId="77777777" w:rsidR="008D3ACD" w:rsidRPr="00EF1EE3" w:rsidRDefault="008D3ACD" w:rsidP="00682110">
      <w:pPr>
        <w:pStyle w:val="Textpoznpodarou"/>
        <w:rPr>
          <w:sz w:val="16"/>
          <w:szCs w:val="16"/>
        </w:rPr>
      </w:pPr>
      <w:r w:rsidRPr="00C1246C">
        <w:rPr>
          <w:rStyle w:val="Znakapoznpodarou"/>
        </w:rPr>
        <w:footnoteRef/>
      </w:r>
      <w:r w:rsidRPr="00EF1EE3">
        <w:rPr>
          <w:sz w:val="16"/>
          <w:szCs w:val="16"/>
        </w:rPr>
        <w:t xml:space="preserve"> </w:t>
      </w:r>
      <w:r>
        <w:rPr>
          <w:sz w:val="16"/>
          <w:szCs w:val="16"/>
        </w:rPr>
        <w:t>Vývoj</w:t>
      </w:r>
      <w:r w:rsidRPr="00EF1EE3">
        <w:rPr>
          <w:sz w:val="16"/>
          <w:szCs w:val="16"/>
        </w:rPr>
        <w:t xml:space="preserve"> HDP, hrubé přidané hodnot</w:t>
      </w:r>
      <w:r>
        <w:rPr>
          <w:sz w:val="16"/>
          <w:szCs w:val="16"/>
        </w:rPr>
        <w:t>y</w:t>
      </w:r>
      <w:r w:rsidRPr="00EF1EE3">
        <w:rPr>
          <w:sz w:val="16"/>
          <w:szCs w:val="16"/>
        </w:rPr>
        <w:t xml:space="preserve"> a</w:t>
      </w:r>
      <w:r>
        <w:rPr>
          <w:sz w:val="16"/>
          <w:szCs w:val="16"/>
        </w:rPr>
        <w:t> </w:t>
      </w:r>
      <w:r w:rsidRPr="00EF1EE3">
        <w:rPr>
          <w:sz w:val="16"/>
          <w:szCs w:val="16"/>
        </w:rPr>
        <w:t>jejich slož</w:t>
      </w:r>
      <w:r>
        <w:rPr>
          <w:sz w:val="16"/>
          <w:szCs w:val="16"/>
        </w:rPr>
        <w:t>e</w:t>
      </w:r>
      <w:r w:rsidRPr="00EF1EE3">
        <w:rPr>
          <w:sz w:val="16"/>
          <w:szCs w:val="16"/>
        </w:rPr>
        <w:t xml:space="preserve">k </w:t>
      </w:r>
      <w:r>
        <w:rPr>
          <w:sz w:val="16"/>
          <w:szCs w:val="16"/>
        </w:rPr>
        <w:t xml:space="preserve">je </w:t>
      </w:r>
      <w:r w:rsidRPr="00EF1EE3">
        <w:rPr>
          <w:sz w:val="16"/>
          <w:szCs w:val="16"/>
        </w:rPr>
        <w:t>vyjádřen</w:t>
      </w:r>
      <w:r>
        <w:rPr>
          <w:sz w:val="16"/>
          <w:szCs w:val="16"/>
        </w:rPr>
        <w:t xml:space="preserve"> prostřednictvím objemových indexů (tj. očištěn o vliv cen)</w:t>
      </w:r>
      <w:r w:rsidRPr="00EF1EE3">
        <w:rPr>
          <w:sz w:val="16"/>
          <w:szCs w:val="16"/>
        </w:rPr>
        <w:t xml:space="preserve"> a</w:t>
      </w:r>
      <w:r>
        <w:rPr>
          <w:sz w:val="16"/>
          <w:szCs w:val="16"/>
        </w:rPr>
        <w:t xml:space="preserve"> po </w:t>
      </w:r>
      <w:r w:rsidRPr="00EF1EE3">
        <w:rPr>
          <w:sz w:val="16"/>
          <w:szCs w:val="16"/>
        </w:rPr>
        <w:t>očištění o</w:t>
      </w:r>
      <w:r>
        <w:rPr>
          <w:sz w:val="16"/>
          <w:szCs w:val="16"/>
        </w:rPr>
        <w:t> </w:t>
      </w:r>
      <w:r w:rsidRPr="00EF1EE3">
        <w:rPr>
          <w:sz w:val="16"/>
          <w:szCs w:val="16"/>
        </w:rPr>
        <w:t>sezónní a kalendářn</w:t>
      </w:r>
      <w:r>
        <w:rPr>
          <w:sz w:val="16"/>
          <w:szCs w:val="16"/>
        </w:rPr>
        <w:t>í vlivy. Údaje jsou platné k 1. 9. 2020</w:t>
      </w:r>
      <w:r w:rsidRPr="00EF1EE3">
        <w:rPr>
          <w:sz w:val="16"/>
          <w:szCs w:val="16"/>
        </w:rPr>
        <w:t>.</w:t>
      </w:r>
    </w:p>
  </w:footnote>
  <w:footnote w:id="5">
    <w:p w14:paraId="212AE37D" w14:textId="77777777" w:rsidR="008D3ACD" w:rsidRPr="009C6EA8" w:rsidRDefault="008D3ACD" w:rsidP="00682110">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6">
    <w:p w14:paraId="42895A2D" w14:textId="77777777" w:rsidR="008D3ACD" w:rsidRPr="00BB319F" w:rsidRDefault="008D3ACD" w:rsidP="00C84307">
      <w:pPr>
        <w:pStyle w:val="Textpoznpodarou"/>
        <w:rPr>
          <w:sz w:val="16"/>
          <w:szCs w:val="16"/>
        </w:rPr>
      </w:pPr>
      <w:r w:rsidRPr="00AF6B7C">
        <w:rPr>
          <w:rStyle w:val="Znakapoznpodarou"/>
          <w:sz w:val="16"/>
          <w:szCs w:val="16"/>
        </w:rPr>
        <w:footnoteRef/>
      </w:r>
      <w:r w:rsidRPr="00AF6B7C">
        <w:rPr>
          <w:sz w:val="16"/>
          <w:szCs w:val="16"/>
        </w:rPr>
        <w:t xml:space="preserve"> </w:t>
      </w:r>
      <w:r w:rsidRPr="00BB319F">
        <w:rPr>
          <w:sz w:val="16"/>
          <w:szCs w:val="16"/>
        </w:rPr>
        <w:t>Nedostupná data za</w:t>
      </w:r>
      <w:r>
        <w:rPr>
          <w:sz w:val="16"/>
          <w:szCs w:val="16"/>
        </w:rPr>
        <w:t xml:space="preserve"> </w:t>
      </w:r>
      <w:r w:rsidRPr="00BB319F">
        <w:rPr>
          <w:sz w:val="16"/>
          <w:szCs w:val="16"/>
        </w:rPr>
        <w:t>Lucembursko.</w:t>
      </w:r>
      <w:r>
        <w:rPr>
          <w:sz w:val="16"/>
          <w:szCs w:val="16"/>
        </w:rPr>
        <w:t xml:space="preserve"> Data za Slovensko nejsou očištěna o kalendářní vlivy.</w:t>
      </w:r>
    </w:p>
  </w:footnote>
  <w:footnote w:id="7">
    <w:p w14:paraId="359214B3" w14:textId="77777777" w:rsidR="008D3ACD" w:rsidRDefault="008D3ACD" w:rsidP="00682110">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8">
    <w:p w14:paraId="4030F477" w14:textId="77777777" w:rsidR="008D3ACD" w:rsidRPr="00771972" w:rsidRDefault="008D3ACD" w:rsidP="00682110">
      <w:pPr>
        <w:pStyle w:val="Textpoznpodarou"/>
        <w:rPr>
          <w:sz w:val="16"/>
          <w:szCs w:val="16"/>
        </w:rPr>
      </w:pPr>
      <w:r w:rsidRPr="00771972">
        <w:rPr>
          <w:rStyle w:val="Znakapoznpodarou"/>
          <w:sz w:val="16"/>
          <w:szCs w:val="16"/>
        </w:rPr>
        <w:footnoteRef/>
      </w:r>
      <w:r w:rsidRPr="00771972">
        <w:rPr>
          <w:sz w:val="16"/>
          <w:szCs w:val="16"/>
        </w:rPr>
        <w:t xml:space="preserve"> Veřejná správa a</w:t>
      </w:r>
      <w:r>
        <w:rPr>
          <w:sz w:val="16"/>
          <w:szCs w:val="16"/>
        </w:rPr>
        <w:t> </w:t>
      </w:r>
      <w:r w:rsidRPr="00771972">
        <w:rPr>
          <w:sz w:val="16"/>
          <w:szCs w:val="16"/>
        </w:rPr>
        <w:t>obrana, vzdělávání, zdravotní a</w:t>
      </w:r>
      <w:r>
        <w:rPr>
          <w:sz w:val="16"/>
          <w:szCs w:val="16"/>
        </w:rPr>
        <w:t> </w:t>
      </w:r>
      <w:r w:rsidRPr="00771972">
        <w:rPr>
          <w:sz w:val="16"/>
          <w:szCs w:val="16"/>
        </w:rPr>
        <w:t>sociální péče.</w:t>
      </w:r>
    </w:p>
  </w:footnote>
  <w:footnote w:id="9">
    <w:p w14:paraId="311F401D" w14:textId="77777777" w:rsidR="008D3ACD" w:rsidRPr="00954992" w:rsidRDefault="008D3ACD" w:rsidP="00682110">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 a</w:t>
      </w:r>
      <w:r>
        <w:rPr>
          <w:sz w:val="16"/>
          <w:szCs w:val="16"/>
        </w:rPr>
        <w:t> </w:t>
      </w:r>
      <w:r w:rsidRPr="00954992">
        <w:rPr>
          <w:sz w:val="16"/>
          <w:szCs w:val="16"/>
        </w:rPr>
        <w:t>bez sezónního očištění.</w:t>
      </w:r>
    </w:p>
  </w:footnote>
  <w:footnote w:id="10">
    <w:p w14:paraId="16EB6BEF" w14:textId="77777777" w:rsidR="008D3ACD" w:rsidRPr="0021552C" w:rsidRDefault="008D3ACD" w:rsidP="00682110">
      <w:pPr>
        <w:pStyle w:val="Textpoznpodarou"/>
        <w:rPr>
          <w:sz w:val="16"/>
          <w:szCs w:val="16"/>
        </w:rPr>
      </w:pPr>
      <w:r w:rsidRPr="0021552C">
        <w:rPr>
          <w:rStyle w:val="Znakapoznpodarou"/>
          <w:sz w:val="16"/>
          <w:szCs w:val="16"/>
        </w:rPr>
        <w:footnoteRef/>
      </w:r>
      <w:r w:rsidRPr="0021552C">
        <w:rPr>
          <w:sz w:val="16"/>
          <w:szCs w:val="16"/>
        </w:rPr>
        <w:t xml:space="preserve"> </w:t>
      </w:r>
      <w:r>
        <w:rPr>
          <w:rFonts w:cs="Arial"/>
          <w:sz w:val="16"/>
          <w:szCs w:val="16"/>
        </w:rPr>
        <w:t>D</w:t>
      </w:r>
      <w:r w:rsidRPr="0021552C">
        <w:rPr>
          <w:rFonts w:cs="Arial"/>
          <w:sz w:val="16"/>
          <w:szCs w:val="16"/>
        </w:rPr>
        <w:t>ata o</w:t>
      </w:r>
      <w:r>
        <w:rPr>
          <w:rFonts w:cs="Arial"/>
          <w:sz w:val="16"/>
          <w:szCs w:val="16"/>
        </w:rPr>
        <w:t> </w:t>
      </w:r>
      <w:r w:rsidRPr="0021552C">
        <w:rPr>
          <w:rFonts w:cs="Arial"/>
          <w:sz w:val="16"/>
          <w:szCs w:val="16"/>
        </w:rPr>
        <w:t xml:space="preserve">věcném členění tvorby </w:t>
      </w:r>
      <w:r>
        <w:rPr>
          <w:rFonts w:cs="Arial"/>
          <w:sz w:val="16"/>
          <w:szCs w:val="16"/>
        </w:rPr>
        <w:t>hrubého fixního kapitálu</w:t>
      </w:r>
      <w:r w:rsidRPr="0021552C">
        <w:rPr>
          <w:rFonts w:cs="Arial"/>
          <w:sz w:val="16"/>
          <w:szCs w:val="16"/>
        </w:rPr>
        <w:t xml:space="preserve"> nejsou sezónně očištěna</w:t>
      </w:r>
      <w:r>
        <w:rPr>
          <w:rFonts w:cs="Arial"/>
          <w:sz w:val="16"/>
          <w:szCs w:val="16"/>
        </w:rPr>
        <w:t>.</w:t>
      </w:r>
    </w:p>
  </w:footnote>
  <w:footnote w:id="11">
    <w:p w14:paraId="609869AB" w14:textId="77777777" w:rsidR="008D3ACD" w:rsidRPr="00167B30" w:rsidRDefault="008D3ACD" w:rsidP="00682110">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w:t>
      </w:r>
    </w:p>
  </w:footnote>
  <w:footnote w:id="12">
    <w:p w14:paraId="7133558B" w14:textId="77777777" w:rsidR="008D3ACD" w:rsidRPr="00FB58F4" w:rsidRDefault="008D3ACD" w:rsidP="008D3ACD">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Údaje o</w:t>
      </w:r>
      <w:r>
        <w:rPr>
          <w:rFonts w:cs="Arial"/>
          <w:color w:val="0D0D0D" w:themeColor="text1" w:themeTint="F2"/>
          <w:spacing w:val="-2"/>
          <w:sz w:val="16"/>
          <w:szCs w:val="16"/>
        </w:rPr>
        <w:t> </w:t>
      </w:r>
      <w:r w:rsidRPr="00FB58F4">
        <w:rPr>
          <w:rFonts w:cs="Arial"/>
          <w:color w:val="0D0D0D" w:themeColor="text1" w:themeTint="F2"/>
          <w:spacing w:val="-2"/>
          <w:sz w:val="16"/>
          <w:szCs w:val="16"/>
        </w:rPr>
        <w:t>HPH jsou vyjádřeny ve stálých cenách a</w:t>
      </w:r>
      <w:r>
        <w:rPr>
          <w:rFonts w:cs="Arial"/>
          <w:color w:val="0D0D0D" w:themeColor="text1" w:themeTint="F2"/>
          <w:spacing w:val="-2"/>
          <w:sz w:val="16"/>
          <w:szCs w:val="16"/>
        </w:rPr>
        <w:t> </w:t>
      </w:r>
      <w:r w:rsidRPr="00FB58F4">
        <w:rPr>
          <w:rFonts w:cs="Arial"/>
          <w:color w:val="0D0D0D" w:themeColor="text1" w:themeTint="F2"/>
          <w:spacing w:val="-2"/>
          <w:sz w:val="16"/>
          <w:szCs w:val="16"/>
        </w:rPr>
        <w:t>v očištění o</w:t>
      </w:r>
      <w:r>
        <w:rPr>
          <w:rFonts w:cs="Arial"/>
          <w:color w:val="0D0D0D" w:themeColor="text1" w:themeTint="F2"/>
          <w:spacing w:val="-2"/>
          <w:sz w:val="16"/>
          <w:szCs w:val="16"/>
        </w:rPr>
        <w:t> </w:t>
      </w:r>
      <w:r w:rsidRPr="00FB58F4">
        <w:rPr>
          <w:rFonts w:cs="Arial"/>
          <w:color w:val="0D0D0D" w:themeColor="text1" w:themeTint="F2"/>
          <w:spacing w:val="-2"/>
          <w:sz w:val="16"/>
          <w:szCs w:val="16"/>
        </w:rPr>
        <w:t>sezónní a</w:t>
      </w:r>
      <w:r>
        <w:rPr>
          <w:rFonts w:cs="Arial"/>
          <w:color w:val="0D0D0D" w:themeColor="text1" w:themeTint="F2"/>
          <w:spacing w:val="-2"/>
          <w:sz w:val="16"/>
          <w:szCs w:val="16"/>
        </w:rPr>
        <w:t> </w:t>
      </w:r>
      <w:r w:rsidRPr="00FB58F4">
        <w:rPr>
          <w:rFonts w:cs="Arial"/>
          <w:color w:val="0D0D0D" w:themeColor="text1" w:themeTint="F2"/>
          <w:spacing w:val="-2"/>
          <w:sz w:val="16"/>
          <w:szCs w:val="16"/>
        </w:rPr>
        <w:t>kalendářní vlivy.</w:t>
      </w:r>
    </w:p>
  </w:footnote>
  <w:footnote w:id="13">
    <w:p w14:paraId="5965AE95" w14:textId="77777777" w:rsidR="008D3ACD" w:rsidRPr="0043174F" w:rsidRDefault="008D3ACD" w:rsidP="008D3ACD">
      <w:pPr>
        <w:pStyle w:val="Textpoznpodarou"/>
        <w:rPr>
          <w:sz w:val="16"/>
          <w:szCs w:val="16"/>
        </w:rPr>
      </w:pPr>
      <w:r w:rsidRPr="0043174F">
        <w:rPr>
          <w:rStyle w:val="Znakapoznpodarou"/>
          <w:sz w:val="16"/>
          <w:szCs w:val="16"/>
        </w:rPr>
        <w:footnoteRef/>
      </w:r>
      <w:r w:rsidRPr="0043174F">
        <w:rPr>
          <w:sz w:val="16"/>
          <w:szCs w:val="16"/>
        </w:rPr>
        <w:t xml:space="preserve"> Naproti tomu v 1</w:t>
      </w:r>
      <w:r>
        <w:rPr>
          <w:sz w:val="16"/>
          <w:szCs w:val="16"/>
        </w:rPr>
        <w:t>. </w:t>
      </w:r>
      <w:r w:rsidRPr="0043174F">
        <w:rPr>
          <w:sz w:val="16"/>
          <w:szCs w:val="16"/>
        </w:rPr>
        <w:t>až 3.</w:t>
      </w:r>
      <w:r>
        <w:rPr>
          <w:sz w:val="16"/>
          <w:szCs w:val="16"/>
        </w:rPr>
        <w:t> čtvrtlet</w:t>
      </w:r>
      <w:r w:rsidRPr="0043174F">
        <w:rPr>
          <w:sz w:val="16"/>
          <w:szCs w:val="16"/>
        </w:rPr>
        <w:t xml:space="preserve">í 2009 se počet </w:t>
      </w:r>
      <w:r>
        <w:rPr>
          <w:sz w:val="16"/>
          <w:szCs w:val="16"/>
        </w:rPr>
        <w:t>od</w:t>
      </w:r>
      <w:r w:rsidRPr="0043174F">
        <w:rPr>
          <w:sz w:val="16"/>
          <w:szCs w:val="16"/>
        </w:rPr>
        <w:t>pracovaných hodin v ekonom</w:t>
      </w:r>
      <w:r>
        <w:rPr>
          <w:sz w:val="16"/>
          <w:szCs w:val="16"/>
        </w:rPr>
        <w:t>i</w:t>
      </w:r>
      <w:r w:rsidRPr="0043174F">
        <w:rPr>
          <w:sz w:val="16"/>
          <w:szCs w:val="16"/>
        </w:rPr>
        <w:t>ce meziročně snížil podstatně mírněji (</w:t>
      </w:r>
      <w:r>
        <w:rPr>
          <w:sz w:val="16"/>
          <w:szCs w:val="16"/>
        </w:rPr>
        <w:t>–</w:t>
      </w:r>
      <w:r w:rsidRPr="0043174F">
        <w:rPr>
          <w:sz w:val="16"/>
          <w:szCs w:val="16"/>
        </w:rPr>
        <w:t>1,7</w:t>
      </w:r>
      <w:r>
        <w:rPr>
          <w:sz w:val="16"/>
          <w:szCs w:val="16"/>
        </w:rPr>
        <w:t> %</w:t>
      </w:r>
      <w:r w:rsidRPr="0043174F">
        <w:rPr>
          <w:sz w:val="16"/>
          <w:szCs w:val="16"/>
        </w:rPr>
        <w:t>).</w:t>
      </w:r>
    </w:p>
  </w:footnote>
  <w:footnote w:id="14">
    <w:p w14:paraId="2CE75D87" w14:textId="77777777" w:rsidR="008D3ACD" w:rsidRPr="00FB58F4" w:rsidRDefault="008D3ACD" w:rsidP="008D3ACD">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Výdaje na konečnou spotřebu klesly v 1. až 3. čtvrtletí u nerezidentů v ČR meziročně o 45 %, v samotném 2. čtvrtletí 2020 dokonce o nebývalých 69 %. Nerezidenti se na celkových výdajích</w:t>
      </w:r>
      <w:r w:rsidRPr="002269EE">
        <w:rPr>
          <w:rFonts w:cs="Arial"/>
          <w:color w:val="0D0D0D" w:themeColor="text1" w:themeTint="F2"/>
          <w:spacing w:val="-2"/>
          <w:sz w:val="16"/>
          <w:szCs w:val="16"/>
        </w:rPr>
        <w:t xml:space="preserve"> na konečnou spotřebu domácností</w:t>
      </w:r>
      <w:r>
        <w:rPr>
          <w:rFonts w:cs="Arial"/>
          <w:color w:val="0D0D0D" w:themeColor="text1" w:themeTint="F2"/>
          <w:spacing w:val="-2"/>
          <w:sz w:val="16"/>
          <w:szCs w:val="16"/>
        </w:rPr>
        <w:t xml:space="preserve"> v Česku dlouhodobě podílejí zhruba 6 %.</w:t>
      </w:r>
    </w:p>
  </w:footnote>
  <w:footnote w:id="15">
    <w:p w14:paraId="42FBBDE3" w14:textId="77777777" w:rsidR="008D3ACD" w:rsidRPr="003B5B59" w:rsidRDefault="008D3ACD" w:rsidP="008D3ACD">
      <w:pPr>
        <w:pStyle w:val="Textpoznpodarou"/>
        <w:rPr>
          <w:sz w:val="16"/>
          <w:szCs w:val="16"/>
        </w:rPr>
      </w:pPr>
      <w:r w:rsidRPr="003B5B59">
        <w:rPr>
          <w:rStyle w:val="Znakapoznpodarou"/>
          <w:sz w:val="16"/>
          <w:szCs w:val="16"/>
        </w:rPr>
        <w:footnoteRef/>
      </w:r>
      <w:r w:rsidRPr="003B5B59">
        <w:rPr>
          <w:sz w:val="16"/>
          <w:szCs w:val="16"/>
        </w:rPr>
        <w:t xml:space="preserve"> Zahrnuj</w:t>
      </w:r>
      <w:r>
        <w:rPr>
          <w:sz w:val="16"/>
          <w:szCs w:val="16"/>
        </w:rPr>
        <w:t>í</w:t>
      </w:r>
      <w:r w:rsidRPr="003B5B59">
        <w:rPr>
          <w:sz w:val="16"/>
          <w:szCs w:val="16"/>
        </w:rPr>
        <w:t xml:space="preserve"> kulturní, zábavní a</w:t>
      </w:r>
      <w:r>
        <w:rPr>
          <w:sz w:val="16"/>
          <w:szCs w:val="16"/>
        </w:rPr>
        <w:t> </w:t>
      </w:r>
      <w:r w:rsidRPr="003B5B59">
        <w:rPr>
          <w:sz w:val="16"/>
          <w:szCs w:val="16"/>
        </w:rPr>
        <w:t>rekreační činnosti a</w:t>
      </w:r>
      <w:r>
        <w:rPr>
          <w:sz w:val="16"/>
          <w:szCs w:val="16"/>
        </w:rPr>
        <w:t> </w:t>
      </w:r>
      <w:r w:rsidRPr="003B5B59">
        <w:rPr>
          <w:sz w:val="16"/>
          <w:szCs w:val="16"/>
        </w:rPr>
        <w:t>dále zejména poskytování osobních služeb (např</w:t>
      </w:r>
      <w:r>
        <w:rPr>
          <w:sz w:val="16"/>
          <w:szCs w:val="16"/>
        </w:rPr>
        <w:t>íklad</w:t>
      </w:r>
      <w:r w:rsidRPr="003B5B59">
        <w:rPr>
          <w:sz w:val="16"/>
          <w:szCs w:val="16"/>
        </w:rPr>
        <w:t xml:space="preserve"> kadeřnictví, kosmetické služby, </w:t>
      </w:r>
      <w:r>
        <w:rPr>
          <w:rFonts w:cs="Arial"/>
          <w:color w:val="0D0D0D" w:themeColor="text1" w:themeTint="F2"/>
          <w:spacing w:val="-2"/>
          <w:sz w:val="16"/>
          <w:szCs w:val="16"/>
        </w:rPr>
        <w:t xml:space="preserve">čisticí služby či </w:t>
      </w:r>
      <w:r w:rsidRPr="003B5B59">
        <w:rPr>
          <w:sz w:val="16"/>
          <w:szCs w:val="16"/>
        </w:rPr>
        <w:t>opravy výrobků pro osobní potřebu a převážně pro</w:t>
      </w:r>
      <w:r>
        <w:rPr>
          <w:sz w:val="16"/>
          <w:szCs w:val="16"/>
        </w:rPr>
        <w:t xml:space="preserve"> </w:t>
      </w:r>
      <w:r w:rsidRPr="003B5B59">
        <w:rPr>
          <w:sz w:val="16"/>
          <w:szCs w:val="16"/>
        </w:rPr>
        <w:t>domácnost).</w:t>
      </w:r>
    </w:p>
  </w:footnote>
  <w:footnote w:id="16">
    <w:p w14:paraId="4EB08FFF" w14:textId="77777777" w:rsidR="008D3ACD" w:rsidRPr="00422BB4" w:rsidRDefault="008D3ACD" w:rsidP="008D3ACD">
      <w:pPr>
        <w:pStyle w:val="Textpoznpodarou"/>
        <w:rPr>
          <w:color w:val="0D0D0D" w:themeColor="text1" w:themeTint="F2"/>
          <w:sz w:val="16"/>
          <w:szCs w:val="16"/>
        </w:rPr>
      </w:pPr>
      <w:r w:rsidRPr="00422BB4">
        <w:rPr>
          <w:rStyle w:val="Znakapoznpodarou"/>
          <w:color w:val="0D0D0D" w:themeColor="text1" w:themeTint="F2"/>
          <w:sz w:val="16"/>
          <w:szCs w:val="16"/>
        </w:rPr>
        <w:footnoteRef/>
      </w:r>
      <w:r w:rsidRPr="00422BB4">
        <w:rPr>
          <w:color w:val="0D0D0D" w:themeColor="text1" w:themeTint="F2"/>
          <w:sz w:val="16"/>
          <w:szCs w:val="16"/>
        </w:rPr>
        <w:t xml:space="preserve"> Dle předběžných údajů k 15</w:t>
      </w:r>
      <w:r>
        <w:rPr>
          <w:color w:val="0D0D0D" w:themeColor="text1" w:themeTint="F2"/>
          <w:sz w:val="16"/>
          <w:szCs w:val="16"/>
        </w:rPr>
        <w:t>. </w:t>
      </w:r>
      <w:r w:rsidRPr="00422BB4">
        <w:rPr>
          <w:color w:val="0D0D0D" w:themeColor="text1" w:themeTint="F2"/>
          <w:sz w:val="16"/>
          <w:szCs w:val="16"/>
        </w:rPr>
        <w:t>září 2020 je odhadována celková letošní sklizeň ve výši 7,98</w:t>
      </w:r>
      <w:r>
        <w:rPr>
          <w:color w:val="0D0D0D" w:themeColor="text1" w:themeTint="F2"/>
          <w:sz w:val="16"/>
          <w:szCs w:val="16"/>
        </w:rPr>
        <w:t> mil.</w:t>
      </w:r>
      <w:r w:rsidRPr="00422BB4">
        <w:rPr>
          <w:color w:val="0D0D0D" w:themeColor="text1" w:themeTint="F2"/>
          <w:sz w:val="16"/>
          <w:szCs w:val="16"/>
        </w:rPr>
        <w:t xml:space="preserve"> tun. Ta je nejsilnější za poslední čtyři roky a</w:t>
      </w:r>
      <w:r>
        <w:rPr>
          <w:color w:val="0D0D0D" w:themeColor="text1" w:themeTint="F2"/>
          <w:sz w:val="16"/>
          <w:szCs w:val="16"/>
        </w:rPr>
        <w:t> </w:t>
      </w:r>
      <w:r w:rsidRPr="00422BB4">
        <w:rPr>
          <w:color w:val="0D0D0D" w:themeColor="text1" w:themeTint="F2"/>
          <w:sz w:val="16"/>
          <w:szCs w:val="16"/>
        </w:rPr>
        <w:t>proti desetiletému průměru silnější o</w:t>
      </w:r>
      <w:r>
        <w:rPr>
          <w:color w:val="0D0D0D" w:themeColor="text1" w:themeTint="F2"/>
          <w:sz w:val="16"/>
          <w:szCs w:val="16"/>
        </w:rPr>
        <w:t> </w:t>
      </w:r>
      <w:r w:rsidRPr="00422BB4">
        <w:rPr>
          <w:color w:val="0D0D0D" w:themeColor="text1" w:themeTint="F2"/>
          <w:sz w:val="16"/>
          <w:szCs w:val="16"/>
        </w:rPr>
        <w:t>4,0</w:t>
      </w:r>
      <w:r>
        <w:rPr>
          <w:color w:val="0D0D0D" w:themeColor="text1" w:themeTint="F2"/>
          <w:sz w:val="16"/>
          <w:szCs w:val="16"/>
        </w:rPr>
        <w:t> %</w:t>
      </w:r>
      <w:r w:rsidRPr="00422BB4">
        <w:rPr>
          <w:color w:val="0D0D0D" w:themeColor="text1" w:themeTint="F2"/>
          <w:sz w:val="16"/>
          <w:szCs w:val="16"/>
        </w:rPr>
        <w:t>. Obdobně je tomu u</w:t>
      </w:r>
      <w:r>
        <w:rPr>
          <w:color w:val="0D0D0D" w:themeColor="text1" w:themeTint="F2"/>
          <w:sz w:val="16"/>
          <w:szCs w:val="16"/>
        </w:rPr>
        <w:t> </w:t>
      </w:r>
      <w:r w:rsidRPr="00422BB4">
        <w:rPr>
          <w:color w:val="0D0D0D" w:themeColor="text1" w:themeTint="F2"/>
          <w:sz w:val="16"/>
          <w:szCs w:val="16"/>
        </w:rPr>
        <w:t>brambor (+6,4</w:t>
      </w:r>
      <w:r>
        <w:rPr>
          <w:color w:val="0D0D0D" w:themeColor="text1" w:themeTint="F2"/>
          <w:sz w:val="16"/>
          <w:szCs w:val="16"/>
        </w:rPr>
        <w:t> %</w:t>
      </w:r>
      <w:r w:rsidRPr="00422BB4">
        <w:rPr>
          <w:color w:val="0D0D0D" w:themeColor="text1" w:themeTint="F2"/>
          <w:sz w:val="16"/>
          <w:szCs w:val="16"/>
        </w:rPr>
        <w:t>), kukuřice na zeleno a</w:t>
      </w:r>
      <w:r>
        <w:rPr>
          <w:color w:val="0D0D0D" w:themeColor="text1" w:themeTint="F2"/>
          <w:sz w:val="16"/>
          <w:szCs w:val="16"/>
        </w:rPr>
        <w:t> </w:t>
      </w:r>
      <w:r w:rsidRPr="00422BB4">
        <w:rPr>
          <w:color w:val="0D0D0D" w:themeColor="text1" w:themeTint="F2"/>
          <w:sz w:val="16"/>
          <w:szCs w:val="16"/>
        </w:rPr>
        <w:t>siláž (+12,9</w:t>
      </w:r>
      <w:r>
        <w:rPr>
          <w:color w:val="0D0D0D" w:themeColor="text1" w:themeTint="F2"/>
          <w:sz w:val="16"/>
          <w:szCs w:val="16"/>
        </w:rPr>
        <w:t> %</w:t>
      </w:r>
      <w:r w:rsidRPr="00422BB4">
        <w:rPr>
          <w:color w:val="0D0D0D" w:themeColor="text1" w:themeTint="F2"/>
          <w:sz w:val="16"/>
          <w:szCs w:val="16"/>
        </w:rPr>
        <w:t>), hrachu na zrno (+56</w:t>
      </w:r>
      <w:r>
        <w:rPr>
          <w:color w:val="0D0D0D" w:themeColor="text1" w:themeTint="F2"/>
          <w:sz w:val="16"/>
          <w:szCs w:val="16"/>
        </w:rPr>
        <w:t> %</w:t>
      </w:r>
      <w:r w:rsidRPr="00422BB4">
        <w:rPr>
          <w:color w:val="0D0D0D" w:themeColor="text1" w:themeTint="F2"/>
          <w:sz w:val="16"/>
          <w:szCs w:val="16"/>
        </w:rPr>
        <w:t>, zejména díky dlouhodobému růstu osevní plochy), máku (+37</w:t>
      </w:r>
      <w:r>
        <w:rPr>
          <w:color w:val="0D0D0D" w:themeColor="text1" w:themeTint="F2"/>
          <w:sz w:val="16"/>
          <w:szCs w:val="16"/>
        </w:rPr>
        <w:t> %</w:t>
      </w:r>
      <w:r w:rsidRPr="00422BB4">
        <w:rPr>
          <w:color w:val="0D0D0D" w:themeColor="text1" w:themeTint="F2"/>
          <w:sz w:val="16"/>
          <w:szCs w:val="16"/>
        </w:rPr>
        <w:t>, díky vyšším plochám osevů), jetele a</w:t>
      </w:r>
      <w:r>
        <w:rPr>
          <w:color w:val="0D0D0D" w:themeColor="text1" w:themeTint="F2"/>
          <w:sz w:val="16"/>
          <w:szCs w:val="16"/>
        </w:rPr>
        <w:t> </w:t>
      </w:r>
      <w:r w:rsidRPr="00422BB4">
        <w:rPr>
          <w:color w:val="0D0D0D" w:themeColor="text1" w:themeTint="F2"/>
          <w:sz w:val="16"/>
          <w:szCs w:val="16"/>
        </w:rPr>
        <w:t>vojtěšky (výhradně díky vyšším osevům)</w:t>
      </w:r>
      <w:r>
        <w:rPr>
          <w:color w:val="0D0D0D" w:themeColor="text1" w:themeTint="F2"/>
          <w:sz w:val="16"/>
          <w:szCs w:val="16"/>
        </w:rPr>
        <w:t>.</w:t>
      </w:r>
      <w:r w:rsidRPr="00422BB4">
        <w:rPr>
          <w:color w:val="0D0D0D" w:themeColor="text1" w:themeTint="F2"/>
          <w:sz w:val="16"/>
          <w:szCs w:val="16"/>
        </w:rPr>
        <w:t xml:space="preserve"> U</w:t>
      </w:r>
      <w:r>
        <w:rPr>
          <w:color w:val="0D0D0D" w:themeColor="text1" w:themeTint="F2"/>
          <w:sz w:val="16"/>
          <w:szCs w:val="16"/>
        </w:rPr>
        <w:t> </w:t>
      </w:r>
      <w:r w:rsidRPr="00422BB4">
        <w:rPr>
          <w:color w:val="0D0D0D" w:themeColor="text1" w:themeTint="F2"/>
          <w:sz w:val="16"/>
          <w:szCs w:val="16"/>
        </w:rPr>
        <w:t>řepky a</w:t>
      </w:r>
      <w:r>
        <w:rPr>
          <w:color w:val="0D0D0D" w:themeColor="text1" w:themeTint="F2"/>
          <w:sz w:val="16"/>
          <w:szCs w:val="16"/>
        </w:rPr>
        <w:t> </w:t>
      </w:r>
      <w:r w:rsidRPr="00422BB4">
        <w:rPr>
          <w:color w:val="0D0D0D" w:themeColor="text1" w:themeTint="F2"/>
          <w:sz w:val="16"/>
          <w:szCs w:val="16"/>
        </w:rPr>
        <w:t xml:space="preserve">cukrovky byly sklizně těsně pod desetiletým průměrem, výhradně vinou menších ploch osevů. V meziročním srovnání sklizeň výrazné většiny hlavních plodin vzrostla. Výjimkou byly některé druhy zeleniny (okurky, rajčata). </w:t>
      </w:r>
      <w:r w:rsidRPr="00422BB4">
        <w:rPr>
          <w:rFonts w:cs="Arial"/>
          <w:color w:val="0D0D0D" w:themeColor="text1" w:themeTint="F2"/>
          <w:spacing w:val="-2"/>
          <w:sz w:val="16"/>
          <w:szCs w:val="16"/>
        </w:rPr>
        <w:t>Méně se urodilo i</w:t>
      </w:r>
      <w:r>
        <w:rPr>
          <w:rFonts w:cs="Arial"/>
          <w:color w:val="0D0D0D" w:themeColor="text1" w:themeTint="F2"/>
          <w:spacing w:val="-2"/>
          <w:sz w:val="16"/>
          <w:szCs w:val="16"/>
        </w:rPr>
        <w:t> </w:t>
      </w:r>
      <w:r w:rsidRPr="00422BB4">
        <w:rPr>
          <w:rFonts w:cs="Arial"/>
          <w:color w:val="0D0D0D" w:themeColor="text1" w:themeTint="F2"/>
          <w:spacing w:val="-2"/>
          <w:sz w:val="16"/>
          <w:szCs w:val="16"/>
        </w:rPr>
        <w:t>chmele (meziročně o</w:t>
      </w:r>
      <w:r>
        <w:rPr>
          <w:rFonts w:cs="Arial"/>
          <w:color w:val="0D0D0D" w:themeColor="text1" w:themeTint="F2"/>
          <w:spacing w:val="-2"/>
          <w:sz w:val="16"/>
          <w:szCs w:val="16"/>
        </w:rPr>
        <w:t> </w:t>
      </w:r>
      <w:r w:rsidRPr="00422BB4">
        <w:rPr>
          <w:rFonts w:cs="Arial"/>
          <w:color w:val="0D0D0D" w:themeColor="text1" w:themeTint="F2"/>
          <w:spacing w:val="-2"/>
          <w:sz w:val="16"/>
          <w:szCs w:val="16"/>
        </w:rPr>
        <w:t>24</w:t>
      </w:r>
      <w:r>
        <w:rPr>
          <w:rFonts w:cs="Arial"/>
          <w:color w:val="0D0D0D" w:themeColor="text1" w:themeTint="F2"/>
          <w:spacing w:val="-2"/>
          <w:sz w:val="16"/>
          <w:szCs w:val="16"/>
        </w:rPr>
        <w:t> %</w:t>
      </w:r>
      <w:r w:rsidRPr="00422BB4">
        <w:rPr>
          <w:rFonts w:cs="Arial"/>
          <w:color w:val="0D0D0D" w:themeColor="text1" w:themeTint="F2"/>
          <w:spacing w:val="-2"/>
          <w:sz w:val="16"/>
          <w:szCs w:val="16"/>
        </w:rPr>
        <w:t>, proti desetiletému průměru o</w:t>
      </w:r>
      <w:r>
        <w:rPr>
          <w:rFonts w:cs="Arial"/>
          <w:color w:val="0D0D0D" w:themeColor="text1" w:themeTint="F2"/>
          <w:spacing w:val="-2"/>
          <w:sz w:val="16"/>
          <w:szCs w:val="16"/>
        </w:rPr>
        <w:t> </w:t>
      </w:r>
      <w:r w:rsidRPr="00422BB4">
        <w:rPr>
          <w:rFonts w:cs="Arial"/>
          <w:color w:val="0D0D0D" w:themeColor="text1" w:themeTint="F2"/>
          <w:spacing w:val="-2"/>
          <w:sz w:val="16"/>
          <w:szCs w:val="16"/>
        </w:rPr>
        <w:t>11</w:t>
      </w:r>
      <w:r>
        <w:rPr>
          <w:rFonts w:cs="Arial"/>
          <w:color w:val="0D0D0D" w:themeColor="text1" w:themeTint="F2"/>
          <w:spacing w:val="-2"/>
          <w:sz w:val="16"/>
          <w:szCs w:val="16"/>
        </w:rPr>
        <w:t> %</w:t>
      </w:r>
      <w:r w:rsidRPr="00422BB4">
        <w:rPr>
          <w:rFonts w:cs="Arial"/>
          <w:color w:val="0D0D0D" w:themeColor="text1" w:themeTint="F2"/>
          <w:spacing w:val="-2"/>
          <w:sz w:val="16"/>
          <w:szCs w:val="16"/>
        </w:rPr>
        <w:t>), opačně tomu bylo u</w:t>
      </w:r>
      <w:r>
        <w:rPr>
          <w:rFonts w:cs="Arial"/>
          <w:color w:val="0D0D0D" w:themeColor="text1" w:themeTint="F2"/>
          <w:spacing w:val="-2"/>
          <w:sz w:val="16"/>
          <w:szCs w:val="16"/>
        </w:rPr>
        <w:t> </w:t>
      </w:r>
      <w:r w:rsidRPr="00422BB4">
        <w:rPr>
          <w:rFonts w:cs="Arial"/>
          <w:color w:val="0D0D0D" w:themeColor="text1" w:themeTint="F2"/>
          <w:spacing w:val="-2"/>
          <w:sz w:val="16"/>
          <w:szCs w:val="16"/>
        </w:rPr>
        <w:t>vinných hroznů (+23</w:t>
      </w:r>
      <w:r>
        <w:rPr>
          <w:rFonts w:cs="Arial"/>
          <w:color w:val="0D0D0D" w:themeColor="text1" w:themeTint="F2"/>
          <w:spacing w:val="-2"/>
          <w:sz w:val="16"/>
          <w:szCs w:val="16"/>
        </w:rPr>
        <w:t> %</w:t>
      </w:r>
      <w:r w:rsidRPr="00422BB4">
        <w:rPr>
          <w:rFonts w:cs="Arial"/>
          <w:color w:val="0D0D0D" w:themeColor="text1" w:themeTint="F2"/>
          <w:spacing w:val="-2"/>
          <w:sz w:val="16"/>
          <w:szCs w:val="16"/>
        </w:rPr>
        <w:t>, +11</w:t>
      </w:r>
      <w:r>
        <w:rPr>
          <w:rFonts w:cs="Arial"/>
          <w:color w:val="0D0D0D" w:themeColor="text1" w:themeTint="F2"/>
          <w:spacing w:val="-2"/>
          <w:sz w:val="16"/>
          <w:szCs w:val="16"/>
        </w:rPr>
        <w:t> %</w:t>
      </w:r>
      <w:r w:rsidRPr="00422BB4">
        <w:rPr>
          <w:rFonts w:cs="Arial"/>
          <w:color w:val="0D0D0D" w:themeColor="text1" w:themeTint="F2"/>
          <w:spacing w:val="-2"/>
          <w:sz w:val="16"/>
          <w:szCs w:val="16"/>
        </w:rPr>
        <w:t>). Navzdory mírnému meziročnímu růstu úrody zažilo nepříznivý rok ovocnářství, neboť loňská sklizeň byla velmi nízká, což se týkalo zejména klíčového segmentu produkce jablek.</w:t>
      </w:r>
    </w:p>
  </w:footnote>
  <w:footnote w:id="17">
    <w:p w14:paraId="6690FE01" w14:textId="77777777" w:rsidR="008D3ACD" w:rsidRPr="00422BB4" w:rsidRDefault="008D3ACD" w:rsidP="008D3ACD">
      <w:pPr>
        <w:pStyle w:val="Textpoznpodarou"/>
        <w:rPr>
          <w:color w:val="0D0D0D" w:themeColor="text1" w:themeTint="F2"/>
          <w:sz w:val="16"/>
          <w:szCs w:val="16"/>
        </w:rPr>
      </w:pPr>
      <w:r w:rsidRPr="00422BB4">
        <w:rPr>
          <w:rStyle w:val="Znakapoznpodarou"/>
          <w:color w:val="0D0D0D" w:themeColor="text1" w:themeTint="F2"/>
          <w:sz w:val="16"/>
          <w:szCs w:val="16"/>
        </w:rPr>
        <w:footnoteRef/>
      </w:r>
      <w:r w:rsidRPr="00422BB4">
        <w:rPr>
          <w:color w:val="0D0D0D" w:themeColor="text1" w:themeTint="F2"/>
          <w:sz w:val="16"/>
          <w:szCs w:val="16"/>
        </w:rPr>
        <w:t xml:space="preserve"> Průmyslová produkce v březnu 2020 meziměsíčně klesla o</w:t>
      </w:r>
      <w:r>
        <w:rPr>
          <w:color w:val="0D0D0D" w:themeColor="text1" w:themeTint="F2"/>
          <w:sz w:val="16"/>
          <w:szCs w:val="16"/>
        </w:rPr>
        <w:t> </w:t>
      </w:r>
      <w:r w:rsidRPr="00422BB4">
        <w:rPr>
          <w:color w:val="0D0D0D" w:themeColor="text1" w:themeTint="F2"/>
          <w:sz w:val="16"/>
          <w:szCs w:val="16"/>
        </w:rPr>
        <w:t>více než desetinu, v dubnu dále propadla téměř o</w:t>
      </w:r>
      <w:r>
        <w:rPr>
          <w:color w:val="0D0D0D" w:themeColor="text1" w:themeTint="F2"/>
          <w:sz w:val="16"/>
          <w:szCs w:val="16"/>
        </w:rPr>
        <w:t> </w:t>
      </w:r>
      <w:r w:rsidRPr="00422BB4">
        <w:rPr>
          <w:color w:val="0D0D0D" w:themeColor="text1" w:themeTint="F2"/>
          <w:sz w:val="16"/>
          <w:szCs w:val="16"/>
        </w:rPr>
        <w:t>čtvrtinu.</w:t>
      </w:r>
    </w:p>
  </w:footnote>
  <w:footnote w:id="18">
    <w:p w14:paraId="636D5A6E" w14:textId="77777777" w:rsidR="008D3ACD" w:rsidRPr="00422BB4" w:rsidRDefault="008D3ACD" w:rsidP="008D3ACD">
      <w:pPr>
        <w:pStyle w:val="Textpoznpodarou"/>
        <w:jc w:val="both"/>
        <w:rPr>
          <w:rFonts w:cs="Arial"/>
          <w:color w:val="0D0D0D" w:themeColor="text1" w:themeTint="F2"/>
          <w:spacing w:val="-2"/>
          <w:sz w:val="16"/>
          <w:szCs w:val="16"/>
        </w:rPr>
      </w:pPr>
      <w:r w:rsidRPr="00422BB4">
        <w:rPr>
          <w:rStyle w:val="Znakapoznpodarou"/>
          <w:rFonts w:cs="Arial"/>
          <w:color w:val="0D0D0D" w:themeColor="text1" w:themeTint="F2"/>
          <w:spacing w:val="-2"/>
          <w:sz w:val="16"/>
          <w:szCs w:val="16"/>
        </w:rPr>
        <w:footnoteRef/>
      </w:r>
      <w:r w:rsidRPr="00422BB4">
        <w:rPr>
          <w:rFonts w:cs="Arial"/>
          <w:color w:val="0D0D0D" w:themeColor="text1" w:themeTint="F2"/>
          <w:spacing w:val="-2"/>
          <w:sz w:val="16"/>
          <w:szCs w:val="16"/>
        </w:rPr>
        <w:t xml:space="preserve"> Zahrnuje odvětví těžby a dobývání, zpracovatelského průmyslu a také energetiky (zde pojímané jako odvětví výroby a rozvodu elektřiny, plynu, tepla a klimatizovaného vzduchu). Všechna meziroční tempa produkce (na úrovni odvětvových sekcí i oddílů) jsou očištěna o kalendářní vlivy, mezičtvrtletní i meziměsíční tempa pak také o vliv sezónnosti.</w:t>
      </w:r>
    </w:p>
  </w:footnote>
  <w:footnote w:id="19">
    <w:p w14:paraId="753327A4" w14:textId="77777777" w:rsidR="008D3ACD" w:rsidRPr="00422BB4" w:rsidRDefault="008D3ACD" w:rsidP="008D3ACD">
      <w:pPr>
        <w:pStyle w:val="Textpoznpodarou"/>
        <w:rPr>
          <w:color w:val="0D0D0D" w:themeColor="text1" w:themeTint="F2"/>
          <w:sz w:val="16"/>
          <w:szCs w:val="16"/>
        </w:rPr>
      </w:pPr>
      <w:r w:rsidRPr="00422BB4">
        <w:rPr>
          <w:rStyle w:val="Znakapoznpodarou"/>
          <w:color w:val="0D0D0D" w:themeColor="text1" w:themeTint="F2"/>
          <w:sz w:val="16"/>
          <w:szCs w:val="16"/>
        </w:rPr>
        <w:footnoteRef/>
      </w:r>
      <w:r w:rsidRPr="00422BB4">
        <w:rPr>
          <w:color w:val="0D0D0D" w:themeColor="text1" w:themeTint="F2"/>
          <w:sz w:val="16"/>
          <w:szCs w:val="16"/>
        </w:rPr>
        <w:t xml:space="preserve"> To se vlivem cyklického útlumu, kterým tuzemský </w:t>
      </w:r>
      <w:r>
        <w:rPr>
          <w:color w:val="0D0D0D" w:themeColor="text1" w:themeTint="F2"/>
          <w:sz w:val="16"/>
          <w:szCs w:val="16"/>
        </w:rPr>
        <w:t xml:space="preserve">průmysl </w:t>
      </w:r>
      <w:r w:rsidRPr="00422BB4">
        <w:rPr>
          <w:color w:val="0D0D0D" w:themeColor="text1" w:themeTint="F2"/>
          <w:sz w:val="16"/>
          <w:szCs w:val="16"/>
        </w:rPr>
        <w:t>procházel již během loňského roku, nacházelo v květnu 2019. Ve srovnání s</w:t>
      </w:r>
      <w:r>
        <w:rPr>
          <w:color w:val="0D0D0D" w:themeColor="text1" w:themeTint="F2"/>
          <w:sz w:val="16"/>
          <w:szCs w:val="16"/>
        </w:rPr>
        <w:t> </w:t>
      </w:r>
      <w:r w:rsidRPr="00422BB4">
        <w:rPr>
          <w:color w:val="0D0D0D" w:themeColor="text1" w:themeTint="F2"/>
          <w:sz w:val="16"/>
          <w:szCs w:val="16"/>
        </w:rPr>
        <w:t>touto úrovn</w:t>
      </w:r>
      <w:r>
        <w:rPr>
          <w:color w:val="0D0D0D" w:themeColor="text1" w:themeTint="F2"/>
          <w:sz w:val="16"/>
          <w:szCs w:val="16"/>
        </w:rPr>
        <w:t>í</w:t>
      </w:r>
      <w:r w:rsidRPr="00422BB4">
        <w:rPr>
          <w:color w:val="0D0D0D" w:themeColor="text1" w:themeTint="F2"/>
          <w:sz w:val="16"/>
          <w:szCs w:val="16"/>
        </w:rPr>
        <w:t xml:space="preserve"> byla produkce v září 2020 o</w:t>
      </w:r>
      <w:r>
        <w:rPr>
          <w:color w:val="0D0D0D" w:themeColor="text1" w:themeTint="F2"/>
          <w:sz w:val="16"/>
          <w:szCs w:val="16"/>
        </w:rPr>
        <w:t> </w:t>
      </w:r>
      <w:r w:rsidRPr="00422BB4">
        <w:rPr>
          <w:color w:val="0D0D0D" w:themeColor="text1" w:themeTint="F2"/>
          <w:sz w:val="16"/>
          <w:szCs w:val="16"/>
        </w:rPr>
        <w:t>4,8</w:t>
      </w:r>
      <w:r>
        <w:rPr>
          <w:color w:val="0D0D0D" w:themeColor="text1" w:themeTint="F2"/>
          <w:sz w:val="16"/>
          <w:szCs w:val="16"/>
        </w:rPr>
        <w:t> %</w:t>
      </w:r>
      <w:r w:rsidRPr="00422BB4">
        <w:rPr>
          <w:color w:val="0D0D0D" w:themeColor="text1" w:themeTint="F2"/>
          <w:sz w:val="16"/>
          <w:szCs w:val="16"/>
        </w:rPr>
        <w:t xml:space="preserve"> nižší.</w:t>
      </w:r>
    </w:p>
  </w:footnote>
  <w:footnote w:id="20">
    <w:p w14:paraId="4684BE2E" w14:textId="77777777" w:rsidR="008D3ACD" w:rsidRPr="00422BB4" w:rsidRDefault="008D3ACD" w:rsidP="008D3ACD">
      <w:pPr>
        <w:pStyle w:val="Textpoznpodarou"/>
        <w:rPr>
          <w:color w:val="0D0D0D" w:themeColor="text1" w:themeTint="F2"/>
          <w:sz w:val="16"/>
          <w:szCs w:val="16"/>
        </w:rPr>
      </w:pPr>
      <w:r w:rsidRPr="00422BB4">
        <w:rPr>
          <w:rStyle w:val="Znakapoznpodarou"/>
          <w:color w:val="0D0D0D" w:themeColor="text1" w:themeTint="F2"/>
          <w:sz w:val="16"/>
          <w:szCs w:val="16"/>
        </w:rPr>
        <w:footnoteRef/>
      </w:r>
      <w:r w:rsidRPr="00422BB4">
        <w:rPr>
          <w:color w:val="0D0D0D" w:themeColor="text1" w:themeTint="F2"/>
          <w:sz w:val="16"/>
          <w:szCs w:val="16"/>
        </w:rPr>
        <w:t xml:space="preserve"> Dokládají to i</w:t>
      </w:r>
      <w:r>
        <w:rPr>
          <w:color w:val="0D0D0D" w:themeColor="text1" w:themeTint="F2"/>
          <w:sz w:val="16"/>
          <w:szCs w:val="16"/>
        </w:rPr>
        <w:t> data</w:t>
      </w:r>
      <w:r w:rsidRPr="00422BB4">
        <w:rPr>
          <w:color w:val="0D0D0D" w:themeColor="text1" w:themeTint="F2"/>
          <w:sz w:val="16"/>
          <w:szCs w:val="16"/>
        </w:rPr>
        <w:t xml:space="preserve"> o</w:t>
      </w:r>
      <w:r>
        <w:rPr>
          <w:color w:val="0D0D0D" w:themeColor="text1" w:themeTint="F2"/>
          <w:sz w:val="16"/>
          <w:szCs w:val="16"/>
        </w:rPr>
        <w:t> </w:t>
      </w:r>
      <w:r w:rsidRPr="00422BB4">
        <w:rPr>
          <w:color w:val="0D0D0D" w:themeColor="text1" w:themeTint="F2"/>
          <w:sz w:val="16"/>
          <w:szCs w:val="16"/>
        </w:rPr>
        <w:t>fyzické produkci. Dle údajů Sdružení automobilového průmyslu bylo během letošního dubna v ČR vyrobeno jen necelých 15</w:t>
      </w:r>
      <w:r>
        <w:rPr>
          <w:color w:val="0D0D0D" w:themeColor="text1" w:themeTint="F2"/>
          <w:sz w:val="16"/>
          <w:szCs w:val="16"/>
        </w:rPr>
        <w:t> tis.</w:t>
      </w:r>
      <w:r w:rsidRPr="00422BB4">
        <w:rPr>
          <w:color w:val="0D0D0D" w:themeColor="text1" w:themeTint="F2"/>
          <w:sz w:val="16"/>
          <w:szCs w:val="16"/>
        </w:rPr>
        <w:t xml:space="preserve"> motorových vozidel. Od ledna do září činila výroba vozidel 813</w:t>
      </w:r>
      <w:r>
        <w:rPr>
          <w:color w:val="0D0D0D" w:themeColor="text1" w:themeTint="F2"/>
          <w:sz w:val="16"/>
          <w:szCs w:val="16"/>
        </w:rPr>
        <w:t> tis.</w:t>
      </w:r>
      <w:r w:rsidRPr="00422BB4">
        <w:rPr>
          <w:color w:val="0D0D0D" w:themeColor="text1" w:themeTint="F2"/>
          <w:sz w:val="16"/>
          <w:szCs w:val="16"/>
        </w:rPr>
        <w:t xml:space="preserve"> kusů, což bylo meziročně o</w:t>
      </w:r>
      <w:r>
        <w:rPr>
          <w:color w:val="0D0D0D" w:themeColor="text1" w:themeTint="F2"/>
          <w:sz w:val="16"/>
          <w:szCs w:val="16"/>
        </w:rPr>
        <w:t> </w:t>
      </w:r>
      <w:r w:rsidRPr="00422BB4">
        <w:rPr>
          <w:color w:val="0D0D0D" w:themeColor="text1" w:themeTint="F2"/>
          <w:sz w:val="16"/>
          <w:szCs w:val="16"/>
        </w:rPr>
        <w:t>čtvrtinu méně.</w:t>
      </w:r>
    </w:p>
  </w:footnote>
  <w:footnote w:id="21">
    <w:p w14:paraId="6D80D16F" w14:textId="77777777" w:rsidR="008D3ACD" w:rsidRPr="005C55DF" w:rsidRDefault="008D3ACD" w:rsidP="008D3ACD">
      <w:pPr>
        <w:pStyle w:val="Textpoznpodarou"/>
        <w:rPr>
          <w:sz w:val="16"/>
          <w:szCs w:val="16"/>
        </w:rPr>
      </w:pPr>
      <w:r w:rsidRPr="00422BB4">
        <w:rPr>
          <w:rStyle w:val="Znakapoznpodarou"/>
          <w:color w:val="0D0D0D" w:themeColor="text1" w:themeTint="F2"/>
          <w:sz w:val="16"/>
          <w:szCs w:val="16"/>
        </w:rPr>
        <w:footnoteRef/>
      </w:r>
      <w:r w:rsidRPr="00422BB4">
        <w:rPr>
          <w:color w:val="0D0D0D" w:themeColor="text1" w:themeTint="F2"/>
          <w:sz w:val="16"/>
          <w:szCs w:val="16"/>
        </w:rPr>
        <w:t xml:space="preserve"> Za nepříznivým vývojem tohoto odvětví stála tradičně těžba uhlí, kde produkce v 1</w:t>
      </w:r>
      <w:r>
        <w:rPr>
          <w:color w:val="0D0D0D" w:themeColor="text1" w:themeTint="F2"/>
          <w:sz w:val="16"/>
          <w:szCs w:val="16"/>
        </w:rPr>
        <w:t>. </w:t>
      </w:r>
      <w:r w:rsidRPr="00422BB4">
        <w:rPr>
          <w:color w:val="0D0D0D" w:themeColor="text1" w:themeTint="F2"/>
          <w:sz w:val="16"/>
          <w:szCs w:val="16"/>
        </w:rPr>
        <w:t>až 3.</w:t>
      </w:r>
      <w:r>
        <w:rPr>
          <w:color w:val="0D0D0D" w:themeColor="text1" w:themeTint="F2"/>
          <w:sz w:val="16"/>
          <w:szCs w:val="16"/>
        </w:rPr>
        <w:t> čtvrtlet</w:t>
      </w:r>
      <w:r w:rsidRPr="00422BB4">
        <w:rPr>
          <w:color w:val="0D0D0D" w:themeColor="text1" w:themeTint="F2"/>
          <w:sz w:val="16"/>
          <w:szCs w:val="16"/>
        </w:rPr>
        <w:t>í meziročně propadla o</w:t>
      </w:r>
      <w:r>
        <w:rPr>
          <w:color w:val="0D0D0D" w:themeColor="text1" w:themeTint="F2"/>
          <w:sz w:val="16"/>
          <w:szCs w:val="16"/>
        </w:rPr>
        <w:t> </w:t>
      </w:r>
      <w:r w:rsidRPr="00422BB4">
        <w:rPr>
          <w:color w:val="0D0D0D" w:themeColor="text1" w:themeTint="F2"/>
          <w:sz w:val="16"/>
          <w:szCs w:val="16"/>
        </w:rPr>
        <w:t>28</w:t>
      </w:r>
      <w:r>
        <w:rPr>
          <w:color w:val="0D0D0D" w:themeColor="text1" w:themeTint="F2"/>
          <w:sz w:val="16"/>
          <w:szCs w:val="16"/>
        </w:rPr>
        <w:t> %</w:t>
      </w:r>
      <w:r w:rsidRPr="00422BB4">
        <w:rPr>
          <w:color w:val="0D0D0D" w:themeColor="text1" w:themeTint="F2"/>
          <w:sz w:val="16"/>
          <w:szCs w:val="16"/>
        </w:rPr>
        <w:t>. K poklesu (o</w:t>
      </w:r>
      <w:r>
        <w:rPr>
          <w:color w:val="0D0D0D" w:themeColor="text1" w:themeTint="F2"/>
          <w:sz w:val="16"/>
          <w:szCs w:val="16"/>
        </w:rPr>
        <w:t> </w:t>
      </w:r>
      <w:r w:rsidRPr="00422BB4">
        <w:rPr>
          <w:color w:val="0D0D0D" w:themeColor="text1" w:themeTint="F2"/>
          <w:sz w:val="16"/>
          <w:szCs w:val="16"/>
        </w:rPr>
        <w:t>6</w:t>
      </w:r>
      <w:r>
        <w:rPr>
          <w:color w:val="0D0D0D" w:themeColor="text1" w:themeTint="F2"/>
          <w:sz w:val="16"/>
          <w:szCs w:val="16"/>
        </w:rPr>
        <w:t> %</w:t>
      </w:r>
      <w:r w:rsidRPr="00422BB4">
        <w:rPr>
          <w:color w:val="0D0D0D" w:themeColor="text1" w:themeTint="F2"/>
          <w:sz w:val="16"/>
          <w:szCs w:val="16"/>
        </w:rPr>
        <w:t>) však došlo i</w:t>
      </w:r>
      <w:r>
        <w:rPr>
          <w:color w:val="0D0D0D" w:themeColor="text1" w:themeTint="F2"/>
          <w:sz w:val="16"/>
          <w:szCs w:val="16"/>
        </w:rPr>
        <w:t> </w:t>
      </w:r>
      <w:r w:rsidRPr="00422BB4">
        <w:rPr>
          <w:color w:val="0D0D0D" w:themeColor="text1" w:themeTint="F2"/>
          <w:sz w:val="16"/>
          <w:szCs w:val="16"/>
        </w:rPr>
        <w:t>v těžbě stavebních materiálů. Ta přitom v předchozích třech letech i</w:t>
      </w:r>
      <w:r>
        <w:rPr>
          <w:color w:val="0D0D0D" w:themeColor="text1" w:themeTint="F2"/>
          <w:sz w:val="16"/>
          <w:szCs w:val="16"/>
        </w:rPr>
        <w:t> </w:t>
      </w:r>
      <w:r w:rsidRPr="00422BB4">
        <w:rPr>
          <w:color w:val="0D0D0D" w:themeColor="text1" w:themeTint="F2"/>
          <w:sz w:val="16"/>
          <w:szCs w:val="16"/>
        </w:rPr>
        <w:t>díky vyšší tuzemské poptávce rostla.</w:t>
      </w:r>
    </w:p>
  </w:footnote>
  <w:footnote w:id="22">
    <w:p w14:paraId="01EF90A8" w14:textId="77777777" w:rsidR="008D3ACD" w:rsidRPr="00FB58F4" w:rsidRDefault="008D3ACD" w:rsidP="008D3ACD">
      <w:pPr>
        <w:pStyle w:val="Textpoznpodarou"/>
        <w:jc w:val="both"/>
        <w:rPr>
          <w:rFonts w:cs="Arial"/>
          <w:color w:val="0D0D0D" w:themeColor="text1" w:themeTint="F2"/>
          <w:spacing w:val="-2"/>
          <w:sz w:val="16"/>
          <w:szCs w:val="16"/>
        </w:rPr>
      </w:pPr>
      <w:r w:rsidRPr="00422BB4">
        <w:rPr>
          <w:rStyle w:val="Znakapoznpodarou"/>
          <w:rFonts w:cs="Arial"/>
          <w:color w:val="0D0D0D" w:themeColor="text1" w:themeTint="F2"/>
          <w:spacing w:val="-2"/>
          <w:sz w:val="16"/>
          <w:szCs w:val="16"/>
        </w:rPr>
        <w:footnoteRef/>
      </w:r>
      <w:r w:rsidRPr="00422BB4">
        <w:rPr>
          <w:rFonts w:cs="Arial"/>
          <w:color w:val="0D0D0D" w:themeColor="text1" w:themeTint="F2"/>
          <w:spacing w:val="-2"/>
          <w:sz w:val="16"/>
          <w:szCs w:val="16"/>
        </w:rPr>
        <w:t xml:space="preserve"> </w:t>
      </w:r>
      <w:r w:rsidRPr="00422BB4">
        <w:rPr>
          <w:rFonts w:cs="Arial"/>
          <w:color w:val="0D0D0D" w:themeColor="text1" w:themeTint="F2"/>
          <w:sz w:val="16"/>
          <w:szCs w:val="16"/>
        </w:rPr>
        <w:t>Zjišťování zakázek probíhá pouze ve vybraných oddílech CZ</w:t>
      </w:r>
      <w:r w:rsidRPr="00422BB4">
        <w:rPr>
          <w:rFonts w:cs="Arial"/>
          <w:color w:val="0D0D0D" w:themeColor="text1" w:themeTint="F2"/>
          <w:sz w:val="16"/>
          <w:szCs w:val="16"/>
        </w:rPr>
        <w:noBreakHyphen/>
        <w:t>NACE (13, 14, 17, 20, 21, 24, 25, 26, 27, 28, 29, 30), které vyrábějí převážně na zakázku, s dlouhodobějším výrobním cyklem a s většími zásobami zakázek.</w:t>
      </w:r>
    </w:p>
  </w:footnote>
  <w:footnote w:id="23">
    <w:p w14:paraId="5E8D1DEC" w14:textId="77777777" w:rsidR="008D3ACD" w:rsidRPr="00422BB4" w:rsidRDefault="008D3ACD" w:rsidP="008D3ACD">
      <w:pPr>
        <w:pStyle w:val="Textpoznpodarou"/>
        <w:rPr>
          <w:color w:val="0D0D0D" w:themeColor="text1" w:themeTint="F2"/>
          <w:sz w:val="16"/>
          <w:szCs w:val="16"/>
        </w:rPr>
      </w:pPr>
      <w:r w:rsidRPr="00422BB4">
        <w:rPr>
          <w:rStyle w:val="Znakapoznpodarou"/>
          <w:color w:val="0D0D0D" w:themeColor="text1" w:themeTint="F2"/>
          <w:sz w:val="16"/>
          <w:szCs w:val="16"/>
        </w:rPr>
        <w:footnoteRef/>
      </w:r>
      <w:r w:rsidRPr="00422BB4">
        <w:rPr>
          <w:color w:val="0D0D0D" w:themeColor="text1" w:themeTint="F2"/>
          <w:sz w:val="16"/>
          <w:szCs w:val="16"/>
        </w:rPr>
        <w:t xml:space="preserve"> Podniky mohly uvést více bariér současně.</w:t>
      </w:r>
    </w:p>
  </w:footnote>
  <w:footnote w:id="24">
    <w:p w14:paraId="66C1DCF9" w14:textId="77777777" w:rsidR="008D3ACD" w:rsidRPr="00422BB4" w:rsidRDefault="008D3ACD" w:rsidP="008D3ACD">
      <w:pPr>
        <w:pStyle w:val="Textpoznpodarou"/>
        <w:rPr>
          <w:color w:val="0D0D0D" w:themeColor="text1" w:themeTint="F2"/>
          <w:sz w:val="16"/>
          <w:szCs w:val="16"/>
        </w:rPr>
      </w:pPr>
      <w:r w:rsidRPr="00422BB4">
        <w:rPr>
          <w:rStyle w:val="Znakapoznpodarou"/>
          <w:color w:val="0D0D0D" w:themeColor="text1" w:themeTint="F2"/>
          <w:sz w:val="16"/>
          <w:szCs w:val="16"/>
        </w:rPr>
        <w:footnoteRef/>
      </w:r>
      <w:r w:rsidRPr="00422BB4">
        <w:rPr>
          <w:color w:val="0D0D0D" w:themeColor="text1" w:themeTint="F2"/>
          <w:sz w:val="16"/>
          <w:szCs w:val="16"/>
        </w:rPr>
        <w:t xml:space="preserve"> Více než 6% pokles zasáhl strojírenství</w:t>
      </w:r>
      <w:r>
        <w:rPr>
          <w:color w:val="0D0D0D" w:themeColor="text1" w:themeTint="F2"/>
          <w:sz w:val="16"/>
          <w:szCs w:val="16"/>
        </w:rPr>
        <w:t>,</w:t>
      </w:r>
      <w:r w:rsidRPr="00422BB4">
        <w:rPr>
          <w:color w:val="0D0D0D" w:themeColor="text1" w:themeTint="F2"/>
          <w:sz w:val="16"/>
          <w:szCs w:val="16"/>
        </w:rPr>
        <w:t xml:space="preserve"> elektrotechniku či gumárenství. O</w:t>
      </w:r>
      <w:r>
        <w:rPr>
          <w:color w:val="0D0D0D" w:themeColor="text1" w:themeTint="F2"/>
          <w:sz w:val="16"/>
          <w:szCs w:val="16"/>
        </w:rPr>
        <w:t> </w:t>
      </w:r>
      <w:r w:rsidRPr="00422BB4">
        <w:rPr>
          <w:color w:val="0D0D0D" w:themeColor="text1" w:themeTint="F2"/>
          <w:sz w:val="16"/>
          <w:szCs w:val="16"/>
        </w:rPr>
        <w:t>5</w:t>
      </w:r>
      <w:r>
        <w:rPr>
          <w:color w:val="0D0D0D" w:themeColor="text1" w:themeTint="F2"/>
          <w:sz w:val="16"/>
          <w:szCs w:val="16"/>
        </w:rPr>
        <w:t> %</w:t>
      </w:r>
      <w:r w:rsidRPr="00422BB4">
        <w:rPr>
          <w:color w:val="0D0D0D" w:themeColor="text1" w:themeTint="F2"/>
          <w:sz w:val="16"/>
          <w:szCs w:val="16"/>
        </w:rPr>
        <w:t xml:space="preserve"> snížil stavy svých zaměstnanců i</w:t>
      </w:r>
      <w:r>
        <w:rPr>
          <w:color w:val="0D0D0D" w:themeColor="text1" w:themeTint="F2"/>
          <w:sz w:val="16"/>
          <w:szCs w:val="16"/>
        </w:rPr>
        <w:t> </w:t>
      </w:r>
      <w:r w:rsidRPr="00422BB4">
        <w:rPr>
          <w:color w:val="0D0D0D" w:themeColor="text1" w:themeTint="F2"/>
          <w:sz w:val="16"/>
          <w:szCs w:val="16"/>
        </w:rPr>
        <w:t>automobilový průmysl. K poklesu došlo i</w:t>
      </w:r>
      <w:r>
        <w:rPr>
          <w:color w:val="0D0D0D" w:themeColor="text1" w:themeTint="F2"/>
          <w:sz w:val="16"/>
          <w:szCs w:val="16"/>
        </w:rPr>
        <w:t> </w:t>
      </w:r>
      <w:r w:rsidRPr="00422BB4">
        <w:rPr>
          <w:color w:val="0D0D0D" w:themeColor="text1" w:themeTint="F2"/>
          <w:sz w:val="16"/>
          <w:szCs w:val="16"/>
        </w:rPr>
        <w:t xml:space="preserve">v jinak příznivěji </w:t>
      </w:r>
      <w:r>
        <w:rPr>
          <w:color w:val="0D0D0D" w:themeColor="text1" w:themeTint="F2"/>
          <w:sz w:val="16"/>
          <w:szCs w:val="16"/>
        </w:rPr>
        <w:t xml:space="preserve">se </w:t>
      </w:r>
      <w:r w:rsidRPr="00422BB4">
        <w:rPr>
          <w:color w:val="0D0D0D" w:themeColor="text1" w:themeTint="F2"/>
          <w:sz w:val="16"/>
          <w:szCs w:val="16"/>
        </w:rPr>
        <w:t>vyvíjejícím potravinářství (o</w:t>
      </w:r>
      <w:r>
        <w:rPr>
          <w:color w:val="0D0D0D" w:themeColor="text1" w:themeTint="F2"/>
          <w:sz w:val="16"/>
          <w:szCs w:val="16"/>
        </w:rPr>
        <w:t> </w:t>
      </w:r>
      <w:r w:rsidRPr="00422BB4">
        <w:rPr>
          <w:color w:val="0D0D0D" w:themeColor="text1" w:themeTint="F2"/>
          <w:sz w:val="16"/>
          <w:szCs w:val="16"/>
        </w:rPr>
        <w:t>2,5</w:t>
      </w:r>
      <w:r>
        <w:rPr>
          <w:color w:val="0D0D0D" w:themeColor="text1" w:themeTint="F2"/>
          <w:sz w:val="16"/>
          <w:szCs w:val="16"/>
        </w:rPr>
        <w:t> %</w:t>
      </w:r>
      <w:r w:rsidRPr="00422BB4">
        <w:rPr>
          <w:color w:val="0D0D0D" w:themeColor="text1" w:themeTint="F2"/>
          <w:sz w:val="16"/>
          <w:szCs w:val="16"/>
        </w:rPr>
        <w:t>)</w:t>
      </w:r>
      <w:r>
        <w:rPr>
          <w:color w:val="0D0D0D" w:themeColor="text1" w:themeTint="F2"/>
          <w:sz w:val="16"/>
          <w:szCs w:val="16"/>
        </w:rPr>
        <w:t>.</w:t>
      </w:r>
    </w:p>
  </w:footnote>
  <w:footnote w:id="25">
    <w:p w14:paraId="36471F10" w14:textId="77777777" w:rsidR="008D3ACD" w:rsidRPr="00D85B50" w:rsidRDefault="008D3ACD" w:rsidP="008D3ACD">
      <w:pPr>
        <w:pStyle w:val="Textpoznpodarou"/>
        <w:jc w:val="both"/>
        <w:rPr>
          <w:spacing w:val="-4"/>
          <w:sz w:val="16"/>
          <w:szCs w:val="16"/>
        </w:rPr>
      </w:pPr>
      <w:r w:rsidRPr="00422BB4">
        <w:rPr>
          <w:rStyle w:val="Znakapoznpodarou"/>
          <w:rFonts w:cs="Arial"/>
          <w:color w:val="0D0D0D" w:themeColor="text1" w:themeTint="F2"/>
          <w:spacing w:val="-2"/>
          <w:sz w:val="16"/>
          <w:szCs w:val="16"/>
        </w:rPr>
        <w:footnoteRef/>
      </w:r>
      <w:r w:rsidRPr="00422BB4">
        <w:rPr>
          <w:rFonts w:cs="Arial"/>
          <w:color w:val="0D0D0D" w:themeColor="text1" w:themeTint="F2"/>
          <w:spacing w:val="-2"/>
          <w:sz w:val="16"/>
          <w:szCs w:val="16"/>
        </w:rPr>
        <w:t xml:space="preserve"> Všechny meziroční údaje o stavební produkci jsou očištěny o kalendářní vlivy, mezičtvrtletní i meziměsíční tempa pak také o vliv sezónnosti.</w:t>
      </w:r>
    </w:p>
  </w:footnote>
  <w:footnote w:id="26">
    <w:p w14:paraId="617F8426" w14:textId="77777777" w:rsidR="008D3ACD" w:rsidRPr="00422BB4" w:rsidRDefault="008D3ACD" w:rsidP="008D3ACD">
      <w:pPr>
        <w:spacing w:after="0" w:line="240" w:lineRule="auto"/>
        <w:rPr>
          <w:color w:val="0D0D0D" w:themeColor="text1" w:themeTint="F2"/>
          <w:spacing w:val="-4"/>
        </w:rPr>
      </w:pPr>
      <w:r w:rsidRPr="00422BB4">
        <w:rPr>
          <w:rStyle w:val="Znakapoznpodarou"/>
          <w:color w:val="0D0D0D" w:themeColor="text1" w:themeTint="F2"/>
          <w:spacing w:val="-4"/>
          <w:sz w:val="16"/>
          <w:szCs w:val="16"/>
        </w:rPr>
        <w:footnoteRef/>
      </w:r>
      <w:r w:rsidRPr="00422BB4">
        <w:rPr>
          <w:color w:val="0D0D0D" w:themeColor="text1" w:themeTint="F2"/>
          <w:spacing w:val="-4"/>
          <w:sz w:val="16"/>
          <w:szCs w:val="16"/>
        </w:rPr>
        <w:t xml:space="preserve"> Řecko, Kypr a</w:t>
      </w:r>
      <w:r>
        <w:rPr>
          <w:color w:val="0D0D0D" w:themeColor="text1" w:themeTint="F2"/>
          <w:spacing w:val="-4"/>
          <w:sz w:val="16"/>
          <w:szCs w:val="16"/>
        </w:rPr>
        <w:t> </w:t>
      </w:r>
      <w:r w:rsidRPr="00422BB4">
        <w:rPr>
          <w:color w:val="0D0D0D" w:themeColor="text1" w:themeTint="F2"/>
          <w:spacing w:val="-4"/>
          <w:sz w:val="16"/>
          <w:szCs w:val="16"/>
        </w:rPr>
        <w:t>Švédsko nebyly z důvodu absence aktuálních dat hodnoceny.</w:t>
      </w:r>
    </w:p>
  </w:footnote>
  <w:footnote w:id="27">
    <w:p w14:paraId="73FD8FC0" w14:textId="77777777" w:rsidR="008D3ACD" w:rsidRPr="00422BB4" w:rsidRDefault="008D3ACD" w:rsidP="008D3ACD">
      <w:pPr>
        <w:spacing w:after="0" w:line="240" w:lineRule="auto"/>
        <w:rPr>
          <w:color w:val="0D0D0D" w:themeColor="text1" w:themeTint="F2"/>
          <w:spacing w:val="-4"/>
        </w:rPr>
      </w:pPr>
      <w:r w:rsidRPr="00422BB4">
        <w:rPr>
          <w:rStyle w:val="Znakapoznpodarou"/>
          <w:color w:val="0D0D0D" w:themeColor="text1" w:themeTint="F2"/>
          <w:spacing w:val="-4"/>
          <w:sz w:val="16"/>
          <w:szCs w:val="16"/>
        </w:rPr>
        <w:footnoteRef/>
      </w:r>
      <w:r w:rsidRPr="00422BB4">
        <w:rPr>
          <w:color w:val="0D0D0D" w:themeColor="text1" w:themeTint="F2"/>
          <w:spacing w:val="-4"/>
          <w:sz w:val="16"/>
          <w:szCs w:val="16"/>
        </w:rPr>
        <w:t xml:space="preserve"> Bez obchodu, peněžnictví, pojišťovnictví, vědy, výzkumu a veřejných služeb. Všechny údaje za služby jsou ve stálých cenách, meziroční údaje jsou očištěny o kalendářní vlivy, mezičtvrtletní i meziměsíční jsou očištěny o sezónní vlivy (včetně vlivu počtu pracovních dnů).</w:t>
      </w:r>
    </w:p>
  </w:footnote>
  <w:footnote w:id="28">
    <w:p w14:paraId="6180B2CE" w14:textId="77777777" w:rsidR="008D3ACD" w:rsidRPr="00422BB4" w:rsidRDefault="008D3ACD" w:rsidP="008D3ACD">
      <w:pPr>
        <w:pStyle w:val="Textpoznpodarou"/>
        <w:rPr>
          <w:color w:val="0D0D0D" w:themeColor="text1" w:themeTint="F2"/>
          <w:spacing w:val="-4"/>
          <w:sz w:val="16"/>
          <w:szCs w:val="16"/>
        </w:rPr>
      </w:pPr>
      <w:r w:rsidRPr="00422BB4">
        <w:rPr>
          <w:rStyle w:val="Znakapoznpodarou"/>
          <w:color w:val="0D0D0D" w:themeColor="text1" w:themeTint="F2"/>
          <w:spacing w:val="-4"/>
          <w:sz w:val="16"/>
          <w:szCs w:val="16"/>
        </w:rPr>
        <w:footnoteRef/>
      </w:r>
      <w:r w:rsidRPr="00422BB4">
        <w:rPr>
          <w:color w:val="0D0D0D" w:themeColor="text1" w:themeTint="F2"/>
          <w:spacing w:val="-4"/>
          <w:sz w:val="16"/>
          <w:szCs w:val="16"/>
        </w:rPr>
        <w:t xml:space="preserve"> Ve 2.</w:t>
      </w:r>
      <w:r>
        <w:rPr>
          <w:color w:val="0D0D0D" w:themeColor="text1" w:themeTint="F2"/>
          <w:spacing w:val="-4"/>
          <w:sz w:val="16"/>
          <w:szCs w:val="16"/>
        </w:rPr>
        <w:t> čtvrtlet</w:t>
      </w:r>
      <w:r w:rsidRPr="00422BB4">
        <w:rPr>
          <w:color w:val="0D0D0D" w:themeColor="text1" w:themeTint="F2"/>
          <w:spacing w:val="-4"/>
          <w:sz w:val="16"/>
          <w:szCs w:val="16"/>
        </w:rPr>
        <w:t>í tržby ve službách mezikvartálně klesly o</w:t>
      </w:r>
      <w:r>
        <w:rPr>
          <w:color w:val="0D0D0D" w:themeColor="text1" w:themeTint="F2"/>
          <w:spacing w:val="-4"/>
          <w:sz w:val="16"/>
          <w:szCs w:val="16"/>
        </w:rPr>
        <w:t> </w:t>
      </w:r>
      <w:r w:rsidRPr="00422BB4">
        <w:rPr>
          <w:color w:val="0D0D0D" w:themeColor="text1" w:themeTint="F2"/>
          <w:spacing w:val="-4"/>
          <w:sz w:val="16"/>
          <w:szCs w:val="16"/>
        </w:rPr>
        <w:t>rekordních 14,8</w:t>
      </w:r>
      <w:r>
        <w:rPr>
          <w:color w:val="0D0D0D" w:themeColor="text1" w:themeTint="F2"/>
          <w:spacing w:val="-4"/>
          <w:sz w:val="16"/>
          <w:szCs w:val="16"/>
        </w:rPr>
        <w:t> %</w:t>
      </w:r>
      <w:r w:rsidRPr="00422BB4">
        <w:rPr>
          <w:color w:val="0D0D0D" w:themeColor="text1" w:themeTint="F2"/>
          <w:spacing w:val="-4"/>
          <w:sz w:val="16"/>
          <w:szCs w:val="16"/>
        </w:rPr>
        <w:t>, v následujícím čtvrtletí vzrostly jen o</w:t>
      </w:r>
      <w:r>
        <w:rPr>
          <w:color w:val="0D0D0D" w:themeColor="text1" w:themeTint="F2"/>
          <w:spacing w:val="-4"/>
          <w:sz w:val="16"/>
          <w:szCs w:val="16"/>
        </w:rPr>
        <w:t> </w:t>
      </w:r>
      <w:r w:rsidRPr="00422BB4">
        <w:rPr>
          <w:color w:val="0D0D0D" w:themeColor="text1" w:themeTint="F2"/>
          <w:spacing w:val="-4"/>
          <w:sz w:val="16"/>
          <w:szCs w:val="16"/>
        </w:rPr>
        <w:t>8,1</w:t>
      </w:r>
      <w:r>
        <w:rPr>
          <w:color w:val="0D0D0D" w:themeColor="text1" w:themeTint="F2"/>
          <w:spacing w:val="-4"/>
          <w:sz w:val="16"/>
          <w:szCs w:val="16"/>
        </w:rPr>
        <w:t> %</w:t>
      </w:r>
      <w:r w:rsidRPr="00422BB4">
        <w:rPr>
          <w:color w:val="0D0D0D" w:themeColor="text1" w:themeTint="F2"/>
          <w:spacing w:val="-4"/>
          <w:sz w:val="16"/>
          <w:szCs w:val="16"/>
        </w:rPr>
        <w:t>.</w:t>
      </w:r>
    </w:p>
  </w:footnote>
  <w:footnote w:id="29">
    <w:p w14:paraId="215884FF" w14:textId="77777777" w:rsidR="008D3ACD" w:rsidRPr="00422BB4" w:rsidRDefault="008D3ACD" w:rsidP="008D3ACD">
      <w:pPr>
        <w:pStyle w:val="Textpoznpodarou"/>
        <w:rPr>
          <w:color w:val="0D0D0D" w:themeColor="text1" w:themeTint="F2"/>
          <w:sz w:val="16"/>
          <w:szCs w:val="16"/>
        </w:rPr>
      </w:pPr>
      <w:r w:rsidRPr="00422BB4">
        <w:rPr>
          <w:rStyle w:val="Znakapoznpodarou"/>
          <w:color w:val="0D0D0D" w:themeColor="text1" w:themeTint="F2"/>
          <w:spacing w:val="-4"/>
          <w:sz w:val="16"/>
          <w:szCs w:val="16"/>
        </w:rPr>
        <w:footnoteRef/>
      </w:r>
      <w:r w:rsidRPr="00422BB4">
        <w:rPr>
          <w:color w:val="0D0D0D" w:themeColor="text1" w:themeTint="F2"/>
          <w:spacing w:val="-4"/>
          <w:sz w:val="16"/>
          <w:szCs w:val="16"/>
        </w:rPr>
        <w:t xml:space="preserve"> Od ledna do září 2020 klesly počty přenocování hostů v hromadných ubytovacích zařízeních v ČR meziročně o</w:t>
      </w:r>
      <w:r>
        <w:rPr>
          <w:color w:val="0D0D0D" w:themeColor="text1" w:themeTint="F2"/>
          <w:spacing w:val="-4"/>
          <w:sz w:val="16"/>
          <w:szCs w:val="16"/>
        </w:rPr>
        <w:t> </w:t>
      </w:r>
      <w:r w:rsidRPr="00422BB4">
        <w:rPr>
          <w:color w:val="0D0D0D" w:themeColor="text1" w:themeTint="F2"/>
          <w:spacing w:val="-4"/>
          <w:sz w:val="16"/>
          <w:szCs w:val="16"/>
        </w:rPr>
        <w:t>37</w:t>
      </w:r>
      <w:r>
        <w:rPr>
          <w:color w:val="0D0D0D" w:themeColor="text1" w:themeTint="F2"/>
          <w:spacing w:val="-4"/>
          <w:sz w:val="16"/>
          <w:szCs w:val="16"/>
        </w:rPr>
        <w:t> %</w:t>
      </w:r>
      <w:r w:rsidRPr="00422BB4">
        <w:rPr>
          <w:color w:val="0D0D0D" w:themeColor="text1" w:themeTint="F2"/>
          <w:spacing w:val="-4"/>
          <w:sz w:val="16"/>
          <w:szCs w:val="16"/>
        </w:rPr>
        <w:t>, z toho u</w:t>
      </w:r>
      <w:r>
        <w:rPr>
          <w:color w:val="0D0D0D" w:themeColor="text1" w:themeTint="F2"/>
          <w:spacing w:val="-4"/>
          <w:sz w:val="16"/>
          <w:szCs w:val="16"/>
        </w:rPr>
        <w:t> </w:t>
      </w:r>
      <w:r w:rsidRPr="00422BB4">
        <w:rPr>
          <w:color w:val="0D0D0D" w:themeColor="text1" w:themeTint="F2"/>
          <w:spacing w:val="-4"/>
          <w:sz w:val="16"/>
          <w:szCs w:val="16"/>
        </w:rPr>
        <w:t>hostů ze zahraniční o</w:t>
      </w:r>
      <w:r>
        <w:rPr>
          <w:color w:val="0D0D0D" w:themeColor="text1" w:themeTint="F2"/>
          <w:spacing w:val="-4"/>
          <w:sz w:val="16"/>
          <w:szCs w:val="16"/>
        </w:rPr>
        <w:t> </w:t>
      </w:r>
      <w:r w:rsidRPr="00422BB4">
        <w:rPr>
          <w:color w:val="0D0D0D" w:themeColor="text1" w:themeTint="F2"/>
          <w:spacing w:val="-4"/>
          <w:sz w:val="16"/>
          <w:szCs w:val="16"/>
        </w:rPr>
        <w:t>66</w:t>
      </w:r>
      <w:r>
        <w:rPr>
          <w:color w:val="0D0D0D" w:themeColor="text1" w:themeTint="F2"/>
          <w:spacing w:val="-4"/>
          <w:sz w:val="16"/>
          <w:szCs w:val="16"/>
        </w:rPr>
        <w:t> %</w:t>
      </w:r>
      <w:r w:rsidRPr="00422BB4">
        <w:rPr>
          <w:color w:val="0D0D0D" w:themeColor="text1" w:themeTint="F2"/>
          <w:spacing w:val="-4"/>
          <w:sz w:val="16"/>
          <w:szCs w:val="16"/>
        </w:rPr>
        <w:t>. Zatímco ve 3.</w:t>
      </w:r>
      <w:r>
        <w:rPr>
          <w:color w:val="0D0D0D" w:themeColor="text1" w:themeTint="F2"/>
          <w:spacing w:val="-4"/>
          <w:sz w:val="16"/>
          <w:szCs w:val="16"/>
        </w:rPr>
        <w:t> čtvrtlet</w:t>
      </w:r>
      <w:r w:rsidRPr="00422BB4">
        <w:rPr>
          <w:color w:val="0D0D0D" w:themeColor="text1" w:themeTint="F2"/>
          <w:spacing w:val="-4"/>
          <w:sz w:val="16"/>
          <w:szCs w:val="16"/>
        </w:rPr>
        <w:t>í přenocování hostů z tuzemska mírně vzrostlo (+17</w:t>
      </w:r>
      <w:r>
        <w:rPr>
          <w:color w:val="0D0D0D" w:themeColor="text1" w:themeTint="F2"/>
          <w:spacing w:val="-4"/>
          <w:sz w:val="16"/>
          <w:szCs w:val="16"/>
        </w:rPr>
        <w:t> %</w:t>
      </w:r>
      <w:r w:rsidRPr="00422BB4">
        <w:rPr>
          <w:color w:val="0D0D0D" w:themeColor="text1" w:themeTint="F2"/>
          <w:spacing w:val="-4"/>
          <w:sz w:val="16"/>
          <w:szCs w:val="16"/>
        </w:rPr>
        <w:t>), u</w:t>
      </w:r>
      <w:r>
        <w:rPr>
          <w:color w:val="0D0D0D" w:themeColor="text1" w:themeTint="F2"/>
          <w:spacing w:val="-4"/>
          <w:sz w:val="16"/>
          <w:szCs w:val="16"/>
        </w:rPr>
        <w:t> </w:t>
      </w:r>
      <w:r w:rsidRPr="00422BB4">
        <w:rPr>
          <w:color w:val="0D0D0D" w:themeColor="text1" w:themeTint="F2"/>
          <w:spacing w:val="-4"/>
          <w:sz w:val="16"/>
          <w:szCs w:val="16"/>
        </w:rPr>
        <w:t>nerezidentů silný útlum pokračoval (</w:t>
      </w:r>
      <w:r>
        <w:rPr>
          <w:color w:val="0D0D0D" w:themeColor="text1" w:themeTint="F2"/>
          <w:spacing w:val="-4"/>
          <w:sz w:val="16"/>
          <w:szCs w:val="16"/>
        </w:rPr>
        <w:t>–</w:t>
      </w:r>
      <w:r w:rsidRPr="00422BB4">
        <w:rPr>
          <w:color w:val="0D0D0D" w:themeColor="text1" w:themeTint="F2"/>
          <w:spacing w:val="-4"/>
          <w:sz w:val="16"/>
          <w:szCs w:val="16"/>
        </w:rPr>
        <w:t>68</w:t>
      </w:r>
      <w:r>
        <w:rPr>
          <w:color w:val="0D0D0D" w:themeColor="text1" w:themeTint="F2"/>
          <w:spacing w:val="-4"/>
          <w:sz w:val="16"/>
          <w:szCs w:val="16"/>
        </w:rPr>
        <w:t> %</w:t>
      </w:r>
      <w:r w:rsidRPr="00422BB4">
        <w:rPr>
          <w:color w:val="0D0D0D" w:themeColor="text1" w:themeTint="F2"/>
          <w:spacing w:val="-4"/>
          <w:sz w:val="16"/>
          <w:szCs w:val="16"/>
        </w:rPr>
        <w:t>).</w:t>
      </w:r>
    </w:p>
  </w:footnote>
  <w:footnote w:id="30">
    <w:p w14:paraId="5BF2DD49" w14:textId="77777777" w:rsidR="008D3ACD" w:rsidRPr="008255D8" w:rsidRDefault="008D3ACD" w:rsidP="008D3ACD">
      <w:pPr>
        <w:pStyle w:val="Textpoznpodarou"/>
        <w:rPr>
          <w:spacing w:val="-3"/>
          <w:sz w:val="16"/>
          <w:szCs w:val="16"/>
        </w:rPr>
      </w:pPr>
      <w:r w:rsidRPr="008255D8">
        <w:rPr>
          <w:rStyle w:val="Znakapoznpodarou"/>
          <w:color w:val="0D0D0D" w:themeColor="text1" w:themeTint="F2"/>
          <w:spacing w:val="-3"/>
          <w:sz w:val="16"/>
          <w:szCs w:val="16"/>
        </w:rPr>
        <w:footnoteRef/>
      </w:r>
      <w:r w:rsidRPr="008255D8">
        <w:rPr>
          <w:color w:val="0D0D0D" w:themeColor="text1" w:themeTint="F2"/>
          <w:spacing w:val="-3"/>
          <w:sz w:val="16"/>
          <w:szCs w:val="16"/>
        </w:rPr>
        <w:t xml:space="preserve"> Silně zasažena byla i</w:t>
      </w:r>
      <w:r>
        <w:rPr>
          <w:color w:val="0D0D0D" w:themeColor="text1" w:themeTint="F2"/>
          <w:spacing w:val="-3"/>
          <w:sz w:val="16"/>
          <w:szCs w:val="16"/>
        </w:rPr>
        <w:t> </w:t>
      </w:r>
      <w:r w:rsidRPr="008255D8">
        <w:rPr>
          <w:color w:val="0D0D0D" w:themeColor="text1" w:themeTint="F2"/>
          <w:spacing w:val="-3"/>
          <w:sz w:val="16"/>
          <w:szCs w:val="16"/>
        </w:rPr>
        <w:t>oblast filmové distribuce. Dle údajů Unie filmových distributorů klesly za tři čtvrtletí 2020 tržby ze vstupného v kinech v ČR meziročně o 53 %. Projevilo se několikatýdenní přerušení provozu kin a</w:t>
      </w:r>
      <w:r>
        <w:rPr>
          <w:color w:val="0D0D0D" w:themeColor="text1" w:themeTint="F2"/>
          <w:spacing w:val="-3"/>
          <w:sz w:val="16"/>
          <w:szCs w:val="16"/>
        </w:rPr>
        <w:t> </w:t>
      </w:r>
      <w:r w:rsidRPr="008255D8">
        <w:rPr>
          <w:color w:val="0D0D0D" w:themeColor="text1" w:themeTint="F2"/>
          <w:spacing w:val="-3"/>
          <w:sz w:val="16"/>
          <w:szCs w:val="16"/>
        </w:rPr>
        <w:t>později i omezenější nabídka filmových titulů vlivem odsunutí významnějších premiér. Počet návštěvníků kin dosáhl 6,2</w:t>
      </w:r>
      <w:r>
        <w:rPr>
          <w:color w:val="0D0D0D" w:themeColor="text1" w:themeTint="F2"/>
          <w:spacing w:val="-3"/>
          <w:sz w:val="16"/>
          <w:szCs w:val="16"/>
        </w:rPr>
        <w:t> </w:t>
      </w:r>
      <w:r w:rsidRPr="008255D8">
        <w:rPr>
          <w:color w:val="0D0D0D" w:themeColor="text1" w:themeTint="F2"/>
          <w:spacing w:val="-3"/>
          <w:sz w:val="16"/>
          <w:szCs w:val="16"/>
        </w:rPr>
        <w:t>mil</w:t>
      </w:r>
      <w:r>
        <w:rPr>
          <w:color w:val="0D0D0D" w:themeColor="text1" w:themeTint="F2"/>
          <w:spacing w:val="-3"/>
          <w:sz w:val="16"/>
          <w:szCs w:val="16"/>
        </w:rPr>
        <w:t>.</w:t>
      </w:r>
      <w:r w:rsidRPr="008255D8">
        <w:rPr>
          <w:color w:val="0D0D0D" w:themeColor="text1" w:themeTint="F2"/>
          <w:spacing w:val="-3"/>
          <w:sz w:val="16"/>
          <w:szCs w:val="16"/>
        </w:rPr>
        <w:t>, což představovalo v rámci 1</w:t>
      </w:r>
      <w:r>
        <w:rPr>
          <w:color w:val="0D0D0D" w:themeColor="text1" w:themeTint="F2"/>
          <w:spacing w:val="-3"/>
          <w:sz w:val="16"/>
          <w:szCs w:val="16"/>
        </w:rPr>
        <w:t>. </w:t>
      </w:r>
      <w:r w:rsidRPr="008255D8">
        <w:rPr>
          <w:color w:val="0D0D0D" w:themeColor="text1" w:themeTint="F2"/>
          <w:spacing w:val="-3"/>
          <w:sz w:val="16"/>
          <w:szCs w:val="16"/>
        </w:rPr>
        <w:t>až 3.</w:t>
      </w:r>
      <w:r>
        <w:rPr>
          <w:color w:val="0D0D0D" w:themeColor="text1" w:themeTint="F2"/>
          <w:spacing w:val="-3"/>
          <w:sz w:val="16"/>
          <w:szCs w:val="16"/>
        </w:rPr>
        <w:t> čtvrtlet</w:t>
      </w:r>
      <w:r w:rsidRPr="008255D8">
        <w:rPr>
          <w:color w:val="0D0D0D" w:themeColor="text1" w:themeTint="F2"/>
          <w:spacing w:val="-3"/>
          <w:sz w:val="16"/>
          <w:szCs w:val="16"/>
        </w:rPr>
        <w:t xml:space="preserve">í minimum </w:t>
      </w:r>
      <w:r>
        <w:rPr>
          <w:color w:val="0D0D0D" w:themeColor="text1" w:themeTint="F2"/>
          <w:spacing w:val="-3"/>
          <w:sz w:val="16"/>
          <w:szCs w:val="16"/>
        </w:rPr>
        <w:t>od začátku současného milénia</w:t>
      </w:r>
      <w:r w:rsidRPr="008255D8">
        <w:rPr>
          <w:color w:val="0D0D0D" w:themeColor="text1" w:themeTint="F2"/>
          <w:spacing w:val="-3"/>
          <w:sz w:val="16"/>
          <w:szCs w:val="16"/>
        </w:rPr>
        <w:t>.</w:t>
      </w:r>
    </w:p>
  </w:footnote>
  <w:footnote w:id="31">
    <w:p w14:paraId="0F2031A2" w14:textId="77777777" w:rsidR="008D3ACD" w:rsidRPr="00422BB4" w:rsidRDefault="008D3ACD" w:rsidP="008D3ACD">
      <w:pPr>
        <w:spacing w:after="0" w:line="240" w:lineRule="auto"/>
        <w:rPr>
          <w:color w:val="0D0D0D" w:themeColor="text1" w:themeTint="F2"/>
        </w:rPr>
      </w:pPr>
      <w:r w:rsidRPr="00422BB4">
        <w:rPr>
          <w:rStyle w:val="Znakapoznpodarou"/>
          <w:color w:val="0D0D0D" w:themeColor="text1" w:themeTint="F2"/>
          <w:sz w:val="16"/>
          <w:szCs w:val="16"/>
        </w:rPr>
        <w:footnoteRef/>
      </w:r>
      <w:r w:rsidRPr="00422BB4">
        <w:rPr>
          <w:color w:val="0D0D0D" w:themeColor="text1" w:themeTint="F2"/>
          <w:sz w:val="16"/>
          <w:szCs w:val="16"/>
        </w:rPr>
        <w:t xml:space="preserve"> Všechna meziroční tempa tržeb za maloobchod jsou uvedena ve stálých cenách a očištěna o kalendářní vlivy, mezičtvrtletní i</w:t>
      </w:r>
      <w:r w:rsidRPr="00422BB4">
        <w:rPr>
          <w:color w:val="0D0D0D" w:themeColor="text1" w:themeTint="F2"/>
          <w:spacing w:val="-3"/>
          <w:sz w:val="16"/>
          <w:szCs w:val="16"/>
        </w:rPr>
        <w:t> </w:t>
      </w:r>
      <w:r w:rsidRPr="00422BB4">
        <w:rPr>
          <w:color w:val="0D0D0D" w:themeColor="text1" w:themeTint="F2"/>
          <w:sz w:val="16"/>
          <w:szCs w:val="16"/>
        </w:rPr>
        <w:t>meziměsíční tempa jsou očištěna o sezónní vlivy (včetně vlivu počtu pracovních dnů). Maloobchod zahrnuje odvětví CZ</w:t>
      </w:r>
      <w:r w:rsidRPr="00422BB4">
        <w:rPr>
          <w:color w:val="0D0D0D" w:themeColor="text1" w:themeTint="F2"/>
          <w:sz w:val="16"/>
          <w:szCs w:val="16"/>
        </w:rPr>
        <w:noBreakHyphen/>
        <w:t>NACE 47.</w:t>
      </w:r>
    </w:p>
  </w:footnote>
  <w:footnote w:id="32">
    <w:p w14:paraId="611CCDD8" w14:textId="77777777" w:rsidR="008D3ACD" w:rsidRPr="0044248C" w:rsidRDefault="008D3ACD" w:rsidP="008D3ACD">
      <w:pPr>
        <w:pStyle w:val="Textpoznpodarou"/>
        <w:rPr>
          <w:sz w:val="16"/>
          <w:szCs w:val="16"/>
        </w:rPr>
      </w:pPr>
      <w:r w:rsidRPr="00422BB4">
        <w:rPr>
          <w:rStyle w:val="Znakapoznpodarou"/>
          <w:color w:val="0D0D0D" w:themeColor="text1" w:themeTint="F2"/>
          <w:sz w:val="16"/>
          <w:szCs w:val="16"/>
        </w:rPr>
        <w:footnoteRef/>
      </w:r>
      <w:r w:rsidRPr="00422BB4">
        <w:rPr>
          <w:color w:val="0D0D0D" w:themeColor="text1" w:themeTint="F2"/>
          <w:sz w:val="16"/>
          <w:szCs w:val="16"/>
        </w:rPr>
        <w:t xml:space="preserve"> V celé EU tržby klesly o</w:t>
      </w:r>
      <w:r>
        <w:rPr>
          <w:color w:val="0D0D0D" w:themeColor="text1" w:themeTint="F2"/>
          <w:sz w:val="16"/>
          <w:szCs w:val="16"/>
        </w:rPr>
        <w:t> </w:t>
      </w:r>
      <w:r w:rsidRPr="00422BB4">
        <w:rPr>
          <w:color w:val="0D0D0D" w:themeColor="text1" w:themeTint="F2"/>
          <w:sz w:val="16"/>
          <w:szCs w:val="16"/>
        </w:rPr>
        <w:t>1,5</w:t>
      </w:r>
      <w:r>
        <w:rPr>
          <w:color w:val="0D0D0D" w:themeColor="text1" w:themeTint="F2"/>
          <w:sz w:val="16"/>
          <w:szCs w:val="16"/>
        </w:rPr>
        <w:t> %</w:t>
      </w:r>
      <w:r w:rsidRPr="00422BB4">
        <w:rPr>
          <w:color w:val="0D0D0D" w:themeColor="text1" w:themeTint="F2"/>
          <w:sz w:val="16"/>
          <w:szCs w:val="16"/>
        </w:rPr>
        <w:t xml:space="preserve">, v zemích </w:t>
      </w:r>
      <w:r>
        <w:rPr>
          <w:color w:val="0D0D0D" w:themeColor="text1" w:themeTint="F2"/>
          <w:sz w:val="16"/>
          <w:szCs w:val="16"/>
        </w:rPr>
        <w:t>e</w:t>
      </w:r>
      <w:r w:rsidRPr="00422BB4">
        <w:rPr>
          <w:color w:val="0D0D0D" w:themeColor="text1" w:themeTint="F2"/>
          <w:sz w:val="16"/>
          <w:szCs w:val="16"/>
        </w:rPr>
        <w:t>urozóny o</w:t>
      </w:r>
      <w:r>
        <w:rPr>
          <w:color w:val="0D0D0D" w:themeColor="text1" w:themeTint="F2"/>
          <w:sz w:val="16"/>
          <w:szCs w:val="16"/>
        </w:rPr>
        <w:t> </w:t>
      </w:r>
      <w:r w:rsidRPr="00422BB4">
        <w:rPr>
          <w:color w:val="0D0D0D" w:themeColor="text1" w:themeTint="F2"/>
          <w:sz w:val="16"/>
          <w:szCs w:val="16"/>
        </w:rPr>
        <w:t>1,9</w:t>
      </w:r>
      <w:r>
        <w:rPr>
          <w:color w:val="0D0D0D" w:themeColor="text1" w:themeTint="F2"/>
          <w:sz w:val="16"/>
          <w:szCs w:val="16"/>
        </w:rPr>
        <w:t> %</w:t>
      </w:r>
      <w:r w:rsidRPr="00422BB4">
        <w:rPr>
          <w:color w:val="0D0D0D" w:themeColor="text1" w:themeTint="F2"/>
          <w:sz w:val="16"/>
          <w:szCs w:val="16"/>
        </w:rPr>
        <w:t>. Nejvíce se tržby snížily v Bulharsku (</w:t>
      </w:r>
      <w:r>
        <w:rPr>
          <w:color w:val="0D0D0D" w:themeColor="text1" w:themeTint="F2"/>
          <w:sz w:val="16"/>
          <w:szCs w:val="16"/>
        </w:rPr>
        <w:t>–</w:t>
      </w:r>
      <w:r w:rsidRPr="00422BB4">
        <w:rPr>
          <w:color w:val="0D0D0D" w:themeColor="text1" w:themeTint="F2"/>
          <w:sz w:val="16"/>
          <w:szCs w:val="16"/>
        </w:rPr>
        <w:t>11,7</w:t>
      </w:r>
      <w:r>
        <w:rPr>
          <w:color w:val="0D0D0D" w:themeColor="text1" w:themeTint="F2"/>
          <w:sz w:val="16"/>
          <w:szCs w:val="16"/>
        </w:rPr>
        <w:t> %</w:t>
      </w:r>
      <w:r w:rsidRPr="00422BB4">
        <w:rPr>
          <w:color w:val="0D0D0D" w:themeColor="text1" w:themeTint="F2"/>
          <w:sz w:val="16"/>
          <w:szCs w:val="16"/>
        </w:rPr>
        <w:t>) a</w:t>
      </w:r>
      <w:r>
        <w:rPr>
          <w:color w:val="0D0D0D" w:themeColor="text1" w:themeTint="F2"/>
          <w:sz w:val="16"/>
          <w:szCs w:val="16"/>
        </w:rPr>
        <w:t> </w:t>
      </w:r>
      <w:r w:rsidRPr="00422BB4">
        <w:rPr>
          <w:color w:val="0D0D0D" w:themeColor="text1" w:themeTint="F2"/>
          <w:sz w:val="16"/>
          <w:szCs w:val="16"/>
        </w:rPr>
        <w:t>Itálii (</w:t>
      </w:r>
      <w:r>
        <w:rPr>
          <w:color w:val="0D0D0D" w:themeColor="text1" w:themeTint="F2"/>
          <w:sz w:val="16"/>
          <w:szCs w:val="16"/>
        </w:rPr>
        <w:t>–</w:t>
      </w:r>
      <w:r w:rsidRPr="00422BB4">
        <w:rPr>
          <w:color w:val="0D0D0D" w:themeColor="text1" w:themeTint="F2"/>
          <w:sz w:val="16"/>
          <w:szCs w:val="16"/>
        </w:rPr>
        <w:t>9,0</w:t>
      </w:r>
      <w:r>
        <w:rPr>
          <w:color w:val="0D0D0D" w:themeColor="text1" w:themeTint="F2"/>
          <w:sz w:val="16"/>
          <w:szCs w:val="16"/>
        </w:rPr>
        <w:t> %</w:t>
      </w:r>
      <w:r w:rsidRPr="00422BB4">
        <w:rPr>
          <w:color w:val="0D0D0D" w:themeColor="text1" w:themeTint="F2"/>
          <w:sz w:val="16"/>
          <w:szCs w:val="16"/>
        </w:rPr>
        <w:t>), více jak 7,5% pokles registrovaly také Španělsko, Slovinsko a</w:t>
      </w:r>
      <w:r>
        <w:rPr>
          <w:color w:val="0D0D0D" w:themeColor="text1" w:themeTint="F2"/>
          <w:sz w:val="16"/>
          <w:szCs w:val="16"/>
        </w:rPr>
        <w:t> </w:t>
      </w:r>
      <w:r w:rsidRPr="00422BB4">
        <w:rPr>
          <w:color w:val="0D0D0D" w:themeColor="text1" w:themeTint="F2"/>
          <w:sz w:val="16"/>
          <w:szCs w:val="16"/>
        </w:rPr>
        <w:t>Malta. Růst zaznamenalo třináct států, nejvíce Finsko (+3,7</w:t>
      </w:r>
      <w:r>
        <w:rPr>
          <w:color w:val="0D0D0D" w:themeColor="text1" w:themeTint="F2"/>
          <w:sz w:val="16"/>
          <w:szCs w:val="16"/>
        </w:rPr>
        <w:t> %</w:t>
      </w:r>
      <w:r w:rsidRPr="00422BB4">
        <w:rPr>
          <w:color w:val="0D0D0D" w:themeColor="text1" w:themeTint="F2"/>
          <w:sz w:val="16"/>
          <w:szCs w:val="16"/>
        </w:rPr>
        <w:t>), Nizozemsko (+3,2</w:t>
      </w:r>
      <w:r>
        <w:rPr>
          <w:color w:val="0D0D0D" w:themeColor="text1" w:themeTint="F2"/>
          <w:sz w:val="16"/>
          <w:szCs w:val="16"/>
        </w:rPr>
        <w:t> %</w:t>
      </w:r>
      <w:r w:rsidRPr="00422BB4">
        <w:rPr>
          <w:color w:val="0D0D0D" w:themeColor="text1" w:themeTint="F2"/>
          <w:sz w:val="16"/>
          <w:szCs w:val="16"/>
        </w:rPr>
        <w:t>), Německo (+3,1</w:t>
      </w:r>
      <w:r>
        <w:rPr>
          <w:color w:val="0D0D0D" w:themeColor="text1" w:themeTint="F2"/>
          <w:sz w:val="16"/>
          <w:szCs w:val="16"/>
        </w:rPr>
        <w:t> %</w:t>
      </w:r>
      <w:r w:rsidRPr="00422BB4">
        <w:rPr>
          <w:color w:val="0D0D0D" w:themeColor="text1" w:themeTint="F2"/>
          <w:sz w:val="16"/>
          <w:szCs w:val="16"/>
        </w:rPr>
        <w:t>) a</w:t>
      </w:r>
      <w:r>
        <w:rPr>
          <w:color w:val="0D0D0D" w:themeColor="text1" w:themeTint="F2"/>
          <w:sz w:val="16"/>
          <w:szCs w:val="16"/>
        </w:rPr>
        <w:t> </w:t>
      </w:r>
      <w:r w:rsidRPr="00422BB4">
        <w:rPr>
          <w:color w:val="0D0D0D" w:themeColor="text1" w:themeTint="F2"/>
          <w:sz w:val="16"/>
          <w:szCs w:val="16"/>
        </w:rPr>
        <w:t>Polsko s Dánskem a</w:t>
      </w:r>
      <w:r>
        <w:rPr>
          <w:color w:val="0D0D0D" w:themeColor="text1" w:themeTint="F2"/>
          <w:sz w:val="16"/>
          <w:szCs w:val="16"/>
        </w:rPr>
        <w:t> </w:t>
      </w:r>
      <w:r w:rsidRPr="00422BB4">
        <w:rPr>
          <w:color w:val="0D0D0D" w:themeColor="text1" w:themeTint="F2"/>
          <w:sz w:val="16"/>
          <w:szCs w:val="16"/>
        </w:rPr>
        <w:t>Estonskem (shodně +2,5</w:t>
      </w:r>
      <w:r>
        <w:rPr>
          <w:color w:val="0D0D0D" w:themeColor="text1" w:themeTint="F2"/>
          <w:sz w:val="16"/>
          <w:szCs w:val="16"/>
        </w:rPr>
        <w:t> %</w:t>
      </w:r>
      <w:r w:rsidRPr="00422BB4">
        <w:rPr>
          <w:color w:val="0D0D0D" w:themeColor="text1" w:themeTint="F2"/>
          <w:sz w:val="16"/>
          <w:szCs w:val="16"/>
        </w:rPr>
        <w:t xml:space="preserve">). Tržby </w:t>
      </w:r>
      <w:r>
        <w:rPr>
          <w:color w:val="0D0D0D" w:themeColor="text1" w:themeTint="F2"/>
          <w:sz w:val="16"/>
          <w:szCs w:val="16"/>
        </w:rPr>
        <w:t>za</w:t>
      </w:r>
      <w:r w:rsidRPr="00422BB4">
        <w:rPr>
          <w:color w:val="0D0D0D" w:themeColor="text1" w:themeTint="F2"/>
          <w:sz w:val="16"/>
          <w:szCs w:val="16"/>
        </w:rPr>
        <w:t xml:space="preserve"> prodej potravin se v EU zvýšily o</w:t>
      </w:r>
      <w:r>
        <w:rPr>
          <w:color w:val="0D0D0D" w:themeColor="text1" w:themeTint="F2"/>
          <w:sz w:val="16"/>
          <w:szCs w:val="16"/>
        </w:rPr>
        <w:t> </w:t>
      </w:r>
      <w:r w:rsidRPr="00422BB4">
        <w:rPr>
          <w:color w:val="0D0D0D" w:themeColor="text1" w:themeTint="F2"/>
          <w:sz w:val="16"/>
          <w:szCs w:val="16"/>
        </w:rPr>
        <w:t>3,0</w:t>
      </w:r>
      <w:r>
        <w:rPr>
          <w:color w:val="0D0D0D" w:themeColor="text1" w:themeTint="F2"/>
          <w:sz w:val="16"/>
          <w:szCs w:val="16"/>
        </w:rPr>
        <w:t> %</w:t>
      </w:r>
      <w:r w:rsidRPr="00422BB4">
        <w:rPr>
          <w:color w:val="0D0D0D" w:themeColor="text1" w:themeTint="F2"/>
          <w:sz w:val="16"/>
          <w:szCs w:val="16"/>
        </w:rPr>
        <w:t>. Česko patřilo (společně s Polskem) do šestice států Unie, kde tyto tržby ve srovnání s 1</w:t>
      </w:r>
      <w:r>
        <w:rPr>
          <w:color w:val="0D0D0D" w:themeColor="text1" w:themeTint="F2"/>
          <w:sz w:val="16"/>
          <w:szCs w:val="16"/>
        </w:rPr>
        <w:t>. </w:t>
      </w:r>
      <w:r w:rsidRPr="00422BB4">
        <w:rPr>
          <w:color w:val="0D0D0D" w:themeColor="text1" w:themeTint="F2"/>
          <w:sz w:val="16"/>
          <w:szCs w:val="16"/>
        </w:rPr>
        <w:t>až 3.</w:t>
      </w:r>
      <w:r>
        <w:rPr>
          <w:color w:val="0D0D0D" w:themeColor="text1" w:themeTint="F2"/>
          <w:sz w:val="16"/>
          <w:szCs w:val="16"/>
        </w:rPr>
        <w:t> čtvrtlet</w:t>
      </w:r>
      <w:r w:rsidRPr="00422BB4">
        <w:rPr>
          <w:color w:val="0D0D0D" w:themeColor="text1" w:themeTint="F2"/>
          <w:sz w:val="16"/>
          <w:szCs w:val="16"/>
        </w:rPr>
        <w:t>ím 2019 klesaly.</w:t>
      </w:r>
    </w:p>
  </w:footnote>
  <w:footnote w:id="33">
    <w:p w14:paraId="70C13DED" w14:textId="77777777" w:rsidR="008D3ACD" w:rsidRPr="00EC5BC7" w:rsidRDefault="008D3ACD" w:rsidP="00CC0AEA">
      <w:pPr>
        <w:pStyle w:val="Textpoznpodarou"/>
        <w:rPr>
          <w:sz w:val="16"/>
          <w:szCs w:val="16"/>
        </w:rPr>
      </w:pPr>
      <w:r w:rsidRPr="00EC5BC7">
        <w:rPr>
          <w:rStyle w:val="Znakapoznpodarou"/>
          <w:sz w:val="16"/>
          <w:szCs w:val="16"/>
        </w:rPr>
        <w:footnoteRef/>
      </w:r>
      <w:r w:rsidRPr="00EC5BC7">
        <w:rPr>
          <w:sz w:val="16"/>
          <w:szCs w:val="16"/>
        </w:rPr>
        <w:t xml:space="preserve"> Propad v roce 2009 dosáhl 256,8</w:t>
      </w:r>
      <w:r>
        <w:rPr>
          <w:sz w:val="16"/>
          <w:szCs w:val="16"/>
        </w:rPr>
        <w:t> mld.</w:t>
      </w:r>
      <w:r w:rsidRPr="00EC5BC7">
        <w:rPr>
          <w:sz w:val="16"/>
          <w:szCs w:val="16"/>
        </w:rPr>
        <w:t xml:space="preserve"> korun (</w:t>
      </w:r>
      <w:r>
        <w:rPr>
          <w:sz w:val="16"/>
          <w:szCs w:val="16"/>
        </w:rPr>
        <w:t>–</w:t>
      </w:r>
      <w:r w:rsidRPr="00EC5BC7">
        <w:rPr>
          <w:sz w:val="16"/>
          <w:szCs w:val="16"/>
        </w:rPr>
        <w:t>14,7</w:t>
      </w:r>
      <w:r>
        <w:rPr>
          <w:sz w:val="16"/>
          <w:szCs w:val="16"/>
        </w:rPr>
        <w:t> %</w:t>
      </w:r>
      <w:r w:rsidRPr="00EC5BC7">
        <w:rPr>
          <w:sz w:val="16"/>
          <w:szCs w:val="16"/>
        </w:rPr>
        <w:t>)</w:t>
      </w:r>
      <w:r>
        <w:rPr>
          <w:sz w:val="16"/>
          <w:szCs w:val="16"/>
        </w:rPr>
        <w:t>.</w:t>
      </w:r>
      <w:r w:rsidRPr="00EC5BC7">
        <w:rPr>
          <w:sz w:val="16"/>
          <w:szCs w:val="16"/>
        </w:rPr>
        <w:t xml:space="preserve"> Vzhledem k tehdejší úrovni hodnoty vývozu šlo </w:t>
      </w:r>
      <w:r>
        <w:rPr>
          <w:sz w:val="16"/>
          <w:szCs w:val="16"/>
        </w:rPr>
        <w:t>tedy o ještě vážnější výpadek než letos.</w:t>
      </w:r>
    </w:p>
  </w:footnote>
  <w:footnote w:id="34">
    <w:p w14:paraId="3AF82DC2" w14:textId="77777777" w:rsidR="008D3ACD" w:rsidRPr="007D5764" w:rsidRDefault="008D3ACD" w:rsidP="00682110">
      <w:pPr>
        <w:pStyle w:val="Textpoznpodarou"/>
        <w:rPr>
          <w:sz w:val="16"/>
          <w:szCs w:val="16"/>
        </w:rPr>
      </w:pPr>
      <w:r w:rsidRPr="007D5764">
        <w:rPr>
          <w:rStyle w:val="Znakapoznpodarou"/>
          <w:sz w:val="16"/>
          <w:szCs w:val="16"/>
        </w:rPr>
        <w:footnoteRef/>
      </w:r>
      <w:r w:rsidRPr="007D5764">
        <w:rPr>
          <w:sz w:val="16"/>
          <w:szCs w:val="16"/>
        </w:rPr>
        <w:t xml:space="preserve"> Důvod</w:t>
      </w:r>
      <w:r>
        <w:rPr>
          <w:sz w:val="16"/>
          <w:szCs w:val="16"/>
        </w:rPr>
        <w:t xml:space="preserve">ů zdražení bylo více. </w:t>
      </w:r>
      <w:r w:rsidRPr="007D5764">
        <w:rPr>
          <w:sz w:val="16"/>
          <w:szCs w:val="16"/>
        </w:rPr>
        <w:t xml:space="preserve">Na jedné straně se </w:t>
      </w:r>
      <w:r>
        <w:rPr>
          <w:sz w:val="16"/>
          <w:szCs w:val="16"/>
        </w:rPr>
        <w:t>pozastavení výroby v automobilkách projevilo v nedostatku nových vozů, došlo ale i k narušení</w:t>
      </w:r>
      <w:r w:rsidRPr="007D5764">
        <w:rPr>
          <w:sz w:val="16"/>
          <w:szCs w:val="16"/>
        </w:rPr>
        <w:t xml:space="preserve"> dovoz</w:t>
      </w:r>
      <w:r>
        <w:rPr>
          <w:sz w:val="16"/>
          <w:szCs w:val="16"/>
        </w:rPr>
        <w:t>u</w:t>
      </w:r>
      <w:r w:rsidRPr="007D5764">
        <w:rPr>
          <w:sz w:val="16"/>
          <w:szCs w:val="16"/>
        </w:rPr>
        <w:t xml:space="preserve"> ojetých vozidel.</w:t>
      </w:r>
      <w:r>
        <w:rPr>
          <w:sz w:val="16"/>
          <w:szCs w:val="16"/>
        </w:rPr>
        <w:t xml:space="preserve"> Na cenotvorbě se projevilo i aktuální výrazné oslabení koruny vůči euru. Z dlouhodobějšího hlediska jsou faktorem, který vede ke zdražování, zpřísňující se emisní požadavky.</w:t>
      </w:r>
    </w:p>
  </w:footnote>
  <w:footnote w:id="35">
    <w:p w14:paraId="5E004517" w14:textId="77777777" w:rsidR="008D3ACD" w:rsidRDefault="008D3ACD" w:rsidP="00682110">
      <w:pPr>
        <w:pStyle w:val="Textpoznpodarou"/>
        <w:rPr>
          <w:sz w:val="16"/>
          <w:szCs w:val="16"/>
        </w:rPr>
      </w:pPr>
      <w:r>
        <w:rPr>
          <w:rStyle w:val="Znakapoznpodarou"/>
        </w:rPr>
        <w:footnoteRef/>
      </w:r>
      <w:r>
        <w:rPr>
          <w:sz w:val="16"/>
          <w:szCs w:val="16"/>
        </w:rPr>
        <w:t xml:space="preserve"> Podle harmonizovaného indexu spotřebitelských cen. Ten se může metodicky i číselně lišit od publikovaných národních výsledků.</w:t>
      </w:r>
    </w:p>
  </w:footnote>
  <w:footnote w:id="36">
    <w:p w14:paraId="4B67667C" w14:textId="77777777" w:rsidR="008D3ACD" w:rsidRDefault="008D3ACD" w:rsidP="00682110">
      <w:pPr>
        <w:pStyle w:val="Textpoznpodarou"/>
        <w:rPr>
          <w:sz w:val="16"/>
          <w:szCs w:val="16"/>
        </w:rPr>
      </w:pPr>
      <w:r>
        <w:rPr>
          <w:rStyle w:val="Znakapoznpodarou"/>
        </w:rPr>
        <w:footnoteRef/>
      </w:r>
      <w:r>
        <w:rPr>
          <w:sz w:val="16"/>
          <w:szCs w:val="16"/>
        </w:rPr>
        <w:t xml:space="preserve"> Individuální data.</w:t>
      </w:r>
    </w:p>
  </w:footnote>
  <w:footnote w:id="37">
    <w:p w14:paraId="58D388CC" w14:textId="77777777" w:rsidR="008D3ACD" w:rsidRDefault="008D3ACD" w:rsidP="00682110">
      <w:pPr>
        <w:pStyle w:val="Textpoznpodarou"/>
        <w:rPr>
          <w:sz w:val="16"/>
          <w:szCs w:val="16"/>
        </w:rPr>
      </w:pPr>
      <w:r>
        <w:rPr>
          <w:rStyle w:val="Znakapoznpodarou"/>
        </w:rPr>
        <w:footnoteRef/>
      </w:r>
      <w:r>
        <w:rPr>
          <w:sz w:val="16"/>
          <w:szCs w:val="16"/>
        </w:rPr>
        <w:t xml:space="preserve"> SITC 2 – suroviny nepoživatelné s výjimkou paliv.</w:t>
      </w:r>
    </w:p>
  </w:footnote>
  <w:footnote w:id="38">
    <w:p w14:paraId="4633ED93" w14:textId="77777777" w:rsidR="008D3ACD" w:rsidRPr="00655064" w:rsidRDefault="008D3ACD" w:rsidP="00682110">
      <w:pPr>
        <w:pStyle w:val="Textpoznpodarou"/>
      </w:pPr>
      <w:r w:rsidRPr="00655064">
        <w:rPr>
          <w:rStyle w:val="Znakapoznpodarou"/>
        </w:rPr>
        <w:footnoteRef/>
      </w:r>
      <w:r w:rsidRPr="00655064">
        <w:t xml:space="preserve"> </w:t>
      </w:r>
      <w:r w:rsidRPr="00655064">
        <w:rPr>
          <w:sz w:val="16"/>
          <w:szCs w:val="16"/>
        </w:rPr>
        <w:t>SITC 6 – tržní výrobky tříděné hlavně podle materiálu.</w:t>
      </w:r>
    </w:p>
  </w:footnote>
  <w:footnote w:id="39">
    <w:p w14:paraId="655FBEAB" w14:textId="77777777" w:rsidR="008D3ACD" w:rsidRPr="00CB5B70" w:rsidRDefault="008D3ACD" w:rsidP="00100A8B">
      <w:pPr>
        <w:pStyle w:val="Textpoznpodarou"/>
        <w:rPr>
          <w:sz w:val="16"/>
          <w:szCs w:val="16"/>
        </w:rPr>
      </w:pPr>
      <w:r w:rsidRPr="00CB5B70">
        <w:rPr>
          <w:rStyle w:val="Znakapoznpodarou"/>
          <w:sz w:val="16"/>
          <w:szCs w:val="16"/>
        </w:rPr>
        <w:footnoteRef/>
      </w:r>
      <w:r w:rsidRPr="00CB5B70">
        <w:rPr>
          <w:sz w:val="16"/>
          <w:szCs w:val="16"/>
        </w:rPr>
        <w:t xml:space="preserve"> Počet cizinců evidovaných úřady práce v ČR po</w:t>
      </w:r>
      <w:r>
        <w:rPr>
          <w:sz w:val="16"/>
          <w:szCs w:val="16"/>
        </w:rPr>
        <w:t xml:space="preserve"> krátkém</w:t>
      </w:r>
      <w:r w:rsidRPr="00CB5B70">
        <w:rPr>
          <w:sz w:val="16"/>
          <w:szCs w:val="16"/>
        </w:rPr>
        <w:t xml:space="preserve"> poklesu v jarních měsících (</w:t>
      </w:r>
      <w:r>
        <w:rPr>
          <w:sz w:val="16"/>
          <w:szCs w:val="16"/>
        </w:rPr>
        <w:t>způsobeném i poza</w:t>
      </w:r>
      <w:r w:rsidRPr="00CB5B70">
        <w:rPr>
          <w:sz w:val="16"/>
          <w:szCs w:val="16"/>
        </w:rPr>
        <w:t xml:space="preserve">stavením vydávání </w:t>
      </w:r>
      <w:r>
        <w:rPr>
          <w:sz w:val="16"/>
          <w:szCs w:val="16"/>
        </w:rPr>
        <w:t xml:space="preserve">většiny </w:t>
      </w:r>
      <w:r w:rsidRPr="00CB5B70">
        <w:rPr>
          <w:sz w:val="16"/>
          <w:szCs w:val="16"/>
        </w:rPr>
        <w:t xml:space="preserve">pracovních povolení) začal opět růst. </w:t>
      </w:r>
      <w:r>
        <w:rPr>
          <w:sz w:val="16"/>
          <w:szCs w:val="16"/>
        </w:rPr>
        <w:t xml:space="preserve">Na konci října 2020 bylo celkem v evidenci rekordních 659 tis. osob s možností působení v ČR v pozici zaměstnanců. To bylo meziročně o 10 tis. více a zároveň </w:t>
      </w:r>
      <w:r w:rsidRPr="00112DF7">
        <w:rPr>
          <w:sz w:val="16"/>
          <w:szCs w:val="16"/>
        </w:rPr>
        <w:t>o</w:t>
      </w:r>
      <w:r>
        <w:rPr>
          <w:sz w:val="16"/>
          <w:szCs w:val="16"/>
        </w:rPr>
        <w:t> </w:t>
      </w:r>
      <w:r w:rsidRPr="00112DF7">
        <w:rPr>
          <w:sz w:val="16"/>
          <w:szCs w:val="16"/>
        </w:rPr>
        <w:t>57</w:t>
      </w:r>
      <w:r>
        <w:rPr>
          <w:sz w:val="16"/>
          <w:szCs w:val="16"/>
        </w:rPr>
        <w:t> tis.</w:t>
      </w:r>
      <w:r w:rsidRPr="00112DF7">
        <w:rPr>
          <w:sz w:val="16"/>
          <w:szCs w:val="16"/>
        </w:rPr>
        <w:t xml:space="preserve"> více</w:t>
      </w:r>
      <w:r>
        <w:rPr>
          <w:sz w:val="16"/>
          <w:szCs w:val="16"/>
        </w:rPr>
        <w:t xml:space="preserve"> než v červnu 2020. Z 59 % se jednalo o zaměstnance z EU či EHS, tedy cizince</w:t>
      </w:r>
      <w:r w:rsidRPr="004C76B3">
        <w:rPr>
          <w:sz w:val="16"/>
          <w:szCs w:val="16"/>
        </w:rPr>
        <w:t xml:space="preserve">, kteří </w:t>
      </w:r>
      <w:r>
        <w:rPr>
          <w:sz w:val="16"/>
          <w:szCs w:val="16"/>
        </w:rPr>
        <w:t xml:space="preserve">v Česku </w:t>
      </w:r>
      <w:r w:rsidRPr="004C76B3">
        <w:rPr>
          <w:sz w:val="16"/>
          <w:szCs w:val="16"/>
        </w:rPr>
        <w:t>nepotřebují pracovní oprávnění (</w:t>
      </w:r>
      <w:r>
        <w:rPr>
          <w:sz w:val="16"/>
          <w:szCs w:val="16"/>
        </w:rPr>
        <w:t xml:space="preserve">například </w:t>
      </w:r>
      <w:r w:rsidRPr="004C76B3">
        <w:rPr>
          <w:sz w:val="16"/>
          <w:szCs w:val="16"/>
        </w:rPr>
        <w:t>povolení k za</w:t>
      </w:r>
      <w:r>
        <w:rPr>
          <w:sz w:val="16"/>
          <w:szCs w:val="16"/>
        </w:rPr>
        <w:t>městnání, zaměstnaneckou kartu).</w:t>
      </w:r>
    </w:p>
  </w:footnote>
  <w:footnote w:id="40">
    <w:p w14:paraId="25229445" w14:textId="77777777" w:rsidR="008D3ACD" w:rsidRPr="00E54782" w:rsidRDefault="008D3ACD" w:rsidP="00100A8B">
      <w:pPr>
        <w:pStyle w:val="Textpoznpodarou"/>
        <w:jc w:val="both"/>
        <w:rPr>
          <w:spacing w:val="-2"/>
          <w:sz w:val="16"/>
          <w:szCs w:val="16"/>
        </w:rPr>
      </w:pPr>
      <w:r w:rsidRPr="00E54782">
        <w:rPr>
          <w:rStyle w:val="Znakapoznpodarou"/>
          <w:spacing w:val="-2"/>
          <w:sz w:val="16"/>
          <w:szCs w:val="16"/>
        </w:rPr>
        <w:footnoteRef/>
      </w:r>
      <w:r>
        <w:rPr>
          <w:spacing w:val="-2"/>
          <w:sz w:val="16"/>
          <w:szCs w:val="16"/>
        </w:rPr>
        <w:t xml:space="preserve"> N</w:t>
      </w:r>
      <w:r w:rsidRPr="00E54782">
        <w:rPr>
          <w:spacing w:val="-2"/>
          <w:sz w:val="16"/>
          <w:szCs w:val="16"/>
        </w:rPr>
        <w:t>ení</w:t>
      </w:r>
      <w:r>
        <w:rPr>
          <w:spacing w:val="-2"/>
          <w:sz w:val="16"/>
          <w:szCs w:val="16"/>
        </w:rPr>
        <w:t>-li</w:t>
      </w:r>
      <w:r w:rsidRPr="00E54782">
        <w:rPr>
          <w:spacing w:val="-2"/>
          <w:sz w:val="16"/>
          <w:szCs w:val="16"/>
        </w:rPr>
        <w:t xml:space="preserve"> uve</w:t>
      </w:r>
      <w:r>
        <w:rPr>
          <w:spacing w:val="-2"/>
          <w:sz w:val="16"/>
          <w:szCs w:val="16"/>
        </w:rPr>
        <w:t>deno jinak, jsou</w:t>
      </w:r>
      <w:r w:rsidRPr="00E54782">
        <w:rPr>
          <w:spacing w:val="-2"/>
          <w:sz w:val="16"/>
          <w:szCs w:val="16"/>
        </w:rPr>
        <w:t xml:space="preserve"> údaje o zaměstnanosti </w:t>
      </w:r>
      <w:r>
        <w:rPr>
          <w:spacing w:val="-2"/>
          <w:sz w:val="16"/>
          <w:szCs w:val="16"/>
        </w:rPr>
        <w:t>v této kapitole vyjádřeny</w:t>
      </w:r>
      <w:r w:rsidRPr="00E54782">
        <w:rPr>
          <w:spacing w:val="-2"/>
          <w:sz w:val="16"/>
          <w:szCs w:val="16"/>
        </w:rPr>
        <w:t xml:space="preserve"> v pojetí národních účtů po očištění o sezónní vlivy.</w:t>
      </w:r>
    </w:p>
  </w:footnote>
  <w:footnote w:id="41">
    <w:p w14:paraId="3A9ECEFE" w14:textId="77777777" w:rsidR="008D3ACD" w:rsidRPr="0082559E" w:rsidRDefault="008D3ACD" w:rsidP="00100A8B">
      <w:pPr>
        <w:pStyle w:val="Textpoznpodarou"/>
        <w:rPr>
          <w:spacing w:val="-2"/>
          <w:sz w:val="16"/>
          <w:szCs w:val="16"/>
        </w:rPr>
      </w:pPr>
      <w:r w:rsidRPr="0082559E">
        <w:rPr>
          <w:rStyle w:val="Znakapoznpodarou"/>
          <w:spacing w:val="-2"/>
          <w:sz w:val="16"/>
          <w:szCs w:val="16"/>
        </w:rPr>
        <w:footnoteRef/>
      </w:r>
      <w:r w:rsidRPr="0082559E">
        <w:rPr>
          <w:spacing w:val="-2"/>
          <w:sz w:val="16"/>
          <w:szCs w:val="16"/>
        </w:rPr>
        <w:t xml:space="preserve"> Ve 2.</w:t>
      </w:r>
      <w:r>
        <w:rPr>
          <w:spacing w:val="-2"/>
          <w:sz w:val="16"/>
          <w:szCs w:val="16"/>
        </w:rPr>
        <w:t> čtvrtlet</w:t>
      </w:r>
      <w:r w:rsidRPr="0082559E">
        <w:rPr>
          <w:spacing w:val="-2"/>
          <w:sz w:val="16"/>
          <w:szCs w:val="16"/>
        </w:rPr>
        <w:t>í přitom došlo k silnému poklesu odpracované doby</w:t>
      </w:r>
      <w:r>
        <w:rPr>
          <w:spacing w:val="-2"/>
          <w:sz w:val="16"/>
          <w:szCs w:val="16"/>
        </w:rPr>
        <w:t> </w:t>
      </w:r>
      <w:r w:rsidRPr="0082559E">
        <w:rPr>
          <w:spacing w:val="-2"/>
          <w:sz w:val="16"/>
          <w:szCs w:val="16"/>
        </w:rPr>
        <w:t>– u</w:t>
      </w:r>
      <w:r>
        <w:rPr>
          <w:spacing w:val="-2"/>
          <w:sz w:val="16"/>
          <w:szCs w:val="16"/>
        </w:rPr>
        <w:t> </w:t>
      </w:r>
      <w:r w:rsidRPr="0082559E">
        <w:rPr>
          <w:spacing w:val="-2"/>
          <w:sz w:val="16"/>
          <w:szCs w:val="16"/>
        </w:rPr>
        <w:t>zaměstnanců (vč</w:t>
      </w:r>
      <w:r>
        <w:rPr>
          <w:spacing w:val="-2"/>
          <w:sz w:val="16"/>
          <w:szCs w:val="16"/>
        </w:rPr>
        <w:t>etně</w:t>
      </w:r>
      <w:r w:rsidRPr="0082559E">
        <w:rPr>
          <w:spacing w:val="-2"/>
          <w:sz w:val="16"/>
          <w:szCs w:val="16"/>
        </w:rPr>
        <w:t xml:space="preserve"> členů produkčních družstev) o</w:t>
      </w:r>
      <w:r>
        <w:rPr>
          <w:spacing w:val="-2"/>
          <w:sz w:val="16"/>
          <w:szCs w:val="16"/>
        </w:rPr>
        <w:t> </w:t>
      </w:r>
      <w:r w:rsidRPr="0082559E">
        <w:rPr>
          <w:spacing w:val="-2"/>
          <w:sz w:val="16"/>
          <w:szCs w:val="16"/>
        </w:rPr>
        <w:t>8,8</w:t>
      </w:r>
      <w:r>
        <w:rPr>
          <w:spacing w:val="-2"/>
          <w:sz w:val="16"/>
          <w:szCs w:val="16"/>
        </w:rPr>
        <w:t> %</w:t>
      </w:r>
      <w:r w:rsidRPr="0082559E">
        <w:rPr>
          <w:spacing w:val="-2"/>
          <w:sz w:val="16"/>
          <w:szCs w:val="16"/>
        </w:rPr>
        <w:t>, u</w:t>
      </w:r>
      <w:r>
        <w:rPr>
          <w:spacing w:val="-2"/>
          <w:sz w:val="16"/>
          <w:szCs w:val="16"/>
        </w:rPr>
        <w:t> </w:t>
      </w:r>
      <w:r w:rsidRPr="0082559E">
        <w:rPr>
          <w:spacing w:val="-2"/>
          <w:sz w:val="16"/>
          <w:szCs w:val="16"/>
        </w:rPr>
        <w:t>podnikatelů (vč</w:t>
      </w:r>
      <w:r>
        <w:rPr>
          <w:spacing w:val="-2"/>
          <w:sz w:val="16"/>
          <w:szCs w:val="16"/>
        </w:rPr>
        <w:t>etně</w:t>
      </w:r>
      <w:r w:rsidRPr="0082559E">
        <w:rPr>
          <w:spacing w:val="-2"/>
          <w:sz w:val="16"/>
          <w:szCs w:val="16"/>
        </w:rPr>
        <w:t xml:space="preserve"> pomáhajících rodinných příslušníků) dokonce o</w:t>
      </w:r>
      <w:r>
        <w:rPr>
          <w:spacing w:val="-2"/>
          <w:sz w:val="16"/>
          <w:szCs w:val="16"/>
        </w:rPr>
        <w:t> </w:t>
      </w:r>
      <w:r w:rsidRPr="0082559E">
        <w:rPr>
          <w:spacing w:val="-2"/>
          <w:sz w:val="16"/>
          <w:szCs w:val="16"/>
        </w:rPr>
        <w:t>17,0</w:t>
      </w:r>
      <w:r>
        <w:rPr>
          <w:spacing w:val="-2"/>
          <w:sz w:val="16"/>
          <w:szCs w:val="16"/>
        </w:rPr>
        <w:t> %</w:t>
      </w:r>
      <w:r w:rsidRPr="0082559E">
        <w:rPr>
          <w:spacing w:val="-2"/>
          <w:sz w:val="16"/>
          <w:szCs w:val="16"/>
        </w:rPr>
        <w:t>.</w:t>
      </w:r>
    </w:p>
  </w:footnote>
  <w:footnote w:id="42">
    <w:p w14:paraId="7977BB64" w14:textId="77777777" w:rsidR="008D3ACD" w:rsidRPr="009F670F" w:rsidRDefault="008D3ACD" w:rsidP="00100A8B">
      <w:pPr>
        <w:pStyle w:val="Textpoznpodarou"/>
        <w:rPr>
          <w:sz w:val="16"/>
          <w:szCs w:val="16"/>
        </w:rPr>
      </w:pPr>
      <w:r w:rsidRPr="009F670F">
        <w:rPr>
          <w:rStyle w:val="Znakapoznpodarou"/>
          <w:sz w:val="16"/>
          <w:szCs w:val="16"/>
        </w:rPr>
        <w:footnoteRef/>
      </w:r>
      <w:r w:rsidRPr="009F670F">
        <w:rPr>
          <w:sz w:val="16"/>
          <w:szCs w:val="16"/>
        </w:rPr>
        <w:t xml:space="preserve"> I</w:t>
      </w:r>
      <w:r>
        <w:rPr>
          <w:sz w:val="16"/>
          <w:szCs w:val="16"/>
        </w:rPr>
        <w:t> </w:t>
      </w:r>
      <w:r w:rsidRPr="009F670F">
        <w:rPr>
          <w:sz w:val="16"/>
          <w:szCs w:val="16"/>
        </w:rPr>
        <w:t>přes dílčí zlepšení zůstala situace v některých odvětvích velmi problematická. Např</w:t>
      </w:r>
      <w:r>
        <w:rPr>
          <w:sz w:val="16"/>
          <w:szCs w:val="16"/>
        </w:rPr>
        <w:t>íklad</w:t>
      </w:r>
      <w:r w:rsidRPr="009F670F">
        <w:rPr>
          <w:sz w:val="16"/>
          <w:szCs w:val="16"/>
        </w:rPr>
        <w:t xml:space="preserve"> mezi podnikat</w:t>
      </w:r>
      <w:r>
        <w:rPr>
          <w:sz w:val="16"/>
          <w:szCs w:val="16"/>
        </w:rPr>
        <w:t>eli v pohostinství, ubytování a </w:t>
      </w:r>
      <w:r w:rsidRPr="009F670F">
        <w:rPr>
          <w:sz w:val="16"/>
          <w:szCs w:val="16"/>
        </w:rPr>
        <w:t>stravování pociťovalo ve 3.</w:t>
      </w:r>
      <w:r>
        <w:rPr>
          <w:sz w:val="16"/>
          <w:szCs w:val="16"/>
        </w:rPr>
        <w:t> čtvrtlet</w:t>
      </w:r>
      <w:r w:rsidRPr="009F670F">
        <w:rPr>
          <w:sz w:val="16"/>
          <w:szCs w:val="16"/>
        </w:rPr>
        <w:t>í negativní dopady (na ekonomiku, tržby, objem práce) 83</w:t>
      </w:r>
      <w:r>
        <w:rPr>
          <w:sz w:val="16"/>
          <w:szCs w:val="16"/>
        </w:rPr>
        <w:t> %</w:t>
      </w:r>
      <w:r w:rsidRPr="009F670F">
        <w:rPr>
          <w:sz w:val="16"/>
          <w:szCs w:val="16"/>
        </w:rPr>
        <w:t xml:space="preserve"> z nich (ve </w:t>
      </w:r>
      <w:r>
        <w:rPr>
          <w:sz w:val="16"/>
          <w:szCs w:val="16"/>
        </w:rPr>
        <w:t>2. čtvrtlet</w:t>
      </w:r>
      <w:r w:rsidRPr="009F670F">
        <w:rPr>
          <w:sz w:val="16"/>
          <w:szCs w:val="16"/>
        </w:rPr>
        <w:t>í 94</w:t>
      </w:r>
      <w:r>
        <w:rPr>
          <w:sz w:val="16"/>
          <w:szCs w:val="16"/>
        </w:rPr>
        <w:t> %</w:t>
      </w:r>
      <w:r w:rsidRPr="009F670F">
        <w:rPr>
          <w:sz w:val="16"/>
          <w:szCs w:val="16"/>
        </w:rPr>
        <w:t>).</w:t>
      </w:r>
    </w:p>
  </w:footnote>
  <w:footnote w:id="43">
    <w:p w14:paraId="015CD25C" w14:textId="77777777" w:rsidR="008D3ACD" w:rsidRPr="00B34C77" w:rsidRDefault="008D3ACD" w:rsidP="00100A8B">
      <w:pPr>
        <w:pStyle w:val="Textpoznpodarou"/>
        <w:rPr>
          <w:sz w:val="16"/>
          <w:szCs w:val="16"/>
        </w:rPr>
      </w:pPr>
      <w:r w:rsidRPr="00B34C77">
        <w:rPr>
          <w:rStyle w:val="Znakapoznpodarou"/>
          <w:sz w:val="16"/>
          <w:szCs w:val="16"/>
        </w:rPr>
        <w:footnoteRef/>
      </w:r>
      <w:r w:rsidRPr="00B34C77">
        <w:rPr>
          <w:sz w:val="16"/>
          <w:szCs w:val="16"/>
        </w:rPr>
        <w:t xml:space="preserve"> Zahrnují všechna odvětví služeb bez veřejných služeb </w:t>
      </w:r>
      <w:r>
        <w:rPr>
          <w:sz w:val="16"/>
          <w:szCs w:val="16"/>
        </w:rPr>
        <w:t>a také obchodu, jenž</w:t>
      </w:r>
      <w:r w:rsidRPr="00B34C77">
        <w:rPr>
          <w:sz w:val="16"/>
          <w:szCs w:val="16"/>
        </w:rPr>
        <w:t xml:space="preserve"> se sleduje jako samostatná k</w:t>
      </w:r>
      <w:r>
        <w:rPr>
          <w:sz w:val="16"/>
          <w:szCs w:val="16"/>
        </w:rPr>
        <w:t>ategorie</w:t>
      </w:r>
      <w:r w:rsidRPr="00B34C77">
        <w:rPr>
          <w:sz w:val="16"/>
          <w:szCs w:val="16"/>
        </w:rPr>
        <w:t>.</w:t>
      </w:r>
    </w:p>
  </w:footnote>
  <w:footnote w:id="44">
    <w:p w14:paraId="60FEBD9B" w14:textId="77777777" w:rsidR="008D3ACD" w:rsidRPr="00A93B34" w:rsidRDefault="008D3ACD" w:rsidP="00100A8B">
      <w:pPr>
        <w:pStyle w:val="Textpoznpodarou"/>
        <w:rPr>
          <w:sz w:val="16"/>
          <w:szCs w:val="16"/>
        </w:rPr>
      </w:pPr>
      <w:r w:rsidRPr="00A93B34">
        <w:rPr>
          <w:rStyle w:val="Znakapoznpodarou"/>
          <w:sz w:val="16"/>
          <w:szCs w:val="16"/>
        </w:rPr>
        <w:footnoteRef/>
      </w:r>
      <w:r w:rsidRPr="00A93B34">
        <w:rPr>
          <w:sz w:val="16"/>
          <w:szCs w:val="16"/>
        </w:rPr>
        <w:t xml:space="preserve"> Saldo vyjadřuje rozdíl </w:t>
      </w:r>
      <w:r>
        <w:rPr>
          <w:sz w:val="16"/>
          <w:szCs w:val="16"/>
        </w:rPr>
        <w:t>mezi podílem</w:t>
      </w:r>
      <w:r w:rsidRPr="00A93B34">
        <w:rPr>
          <w:sz w:val="16"/>
          <w:szCs w:val="16"/>
        </w:rPr>
        <w:t xml:space="preserve"> podniků očekávajících v nejbližších třech měsících zvýšení počtu zaměstnanců</w:t>
      </w:r>
      <w:r>
        <w:rPr>
          <w:sz w:val="16"/>
          <w:szCs w:val="16"/>
        </w:rPr>
        <w:t xml:space="preserve"> a podílem podniků plánujících redukci stavů. Saldo vychází ze sezónně očištěných údajů.</w:t>
      </w:r>
    </w:p>
  </w:footnote>
  <w:footnote w:id="45">
    <w:p w14:paraId="27BCC744" w14:textId="77777777" w:rsidR="008D3ACD" w:rsidRPr="00B7522F" w:rsidRDefault="008D3ACD" w:rsidP="00100A8B">
      <w:pPr>
        <w:pStyle w:val="Textpoznpodarou"/>
        <w:rPr>
          <w:sz w:val="16"/>
          <w:szCs w:val="16"/>
        </w:rPr>
      </w:pPr>
      <w:r w:rsidRPr="00B7522F">
        <w:rPr>
          <w:rStyle w:val="Znakapoznpodarou"/>
          <w:sz w:val="16"/>
          <w:szCs w:val="16"/>
        </w:rPr>
        <w:footnoteRef/>
      </w:r>
      <w:r w:rsidRPr="00B7522F">
        <w:rPr>
          <w:sz w:val="16"/>
          <w:szCs w:val="16"/>
        </w:rPr>
        <w:t xml:space="preserve"> Údaje nejsou sezónně očištěny. Sezónní vliv u</w:t>
      </w:r>
      <w:r>
        <w:rPr>
          <w:sz w:val="16"/>
          <w:szCs w:val="16"/>
        </w:rPr>
        <w:t> </w:t>
      </w:r>
      <w:r w:rsidRPr="00B7522F">
        <w:rPr>
          <w:sz w:val="16"/>
          <w:szCs w:val="16"/>
        </w:rPr>
        <w:t xml:space="preserve">zaměstnanosti je nicméně ze sledovaných </w:t>
      </w:r>
      <w:r>
        <w:rPr>
          <w:sz w:val="16"/>
          <w:szCs w:val="16"/>
        </w:rPr>
        <w:t>odvětví patrnější jen u stavebni</w:t>
      </w:r>
      <w:r w:rsidRPr="00B7522F">
        <w:rPr>
          <w:sz w:val="16"/>
          <w:szCs w:val="16"/>
        </w:rPr>
        <w:t>ctví.</w:t>
      </w:r>
    </w:p>
  </w:footnote>
  <w:footnote w:id="46">
    <w:p w14:paraId="1035467C" w14:textId="77777777" w:rsidR="008D3ACD" w:rsidRPr="004E68B1" w:rsidRDefault="008D3ACD" w:rsidP="00100A8B">
      <w:pPr>
        <w:pStyle w:val="Textpoznpodarou"/>
        <w:jc w:val="both"/>
        <w:rPr>
          <w:spacing w:val="-3"/>
          <w:sz w:val="16"/>
          <w:szCs w:val="16"/>
        </w:rPr>
      </w:pPr>
      <w:r w:rsidRPr="004E68B1">
        <w:rPr>
          <w:rStyle w:val="Znakapoznpodarou"/>
          <w:spacing w:val="-3"/>
          <w:sz w:val="16"/>
          <w:szCs w:val="16"/>
        </w:rPr>
        <w:footnoteRef/>
      </w:r>
      <w:r w:rsidRPr="004E68B1">
        <w:rPr>
          <w:spacing w:val="-3"/>
          <w:sz w:val="16"/>
          <w:szCs w:val="16"/>
        </w:rPr>
        <w:t xml:space="preserve"> U osob ve věku 15–64 let, hodnota po sezónním očištění. </w:t>
      </w:r>
      <w:r>
        <w:rPr>
          <w:spacing w:val="-3"/>
          <w:sz w:val="16"/>
          <w:szCs w:val="16"/>
        </w:rPr>
        <w:t>Není-li uvedeno jinak, vycházejí v</w:t>
      </w:r>
      <w:r w:rsidRPr="004E68B1">
        <w:rPr>
          <w:spacing w:val="-3"/>
          <w:sz w:val="16"/>
          <w:szCs w:val="16"/>
        </w:rPr>
        <w:t>šechny údaje o nezaměstnanosti z Výběrového šetření pracovních sil.</w:t>
      </w:r>
    </w:p>
  </w:footnote>
  <w:footnote w:id="47">
    <w:p w14:paraId="66DDC129" w14:textId="77777777" w:rsidR="008D3ACD" w:rsidRPr="00D14691" w:rsidRDefault="008D3ACD" w:rsidP="00100A8B">
      <w:pPr>
        <w:pStyle w:val="Textpoznpodarou"/>
        <w:rPr>
          <w:sz w:val="16"/>
          <w:szCs w:val="16"/>
        </w:rPr>
      </w:pPr>
      <w:r w:rsidRPr="00D14691">
        <w:rPr>
          <w:rStyle w:val="Znakapoznpodarou"/>
          <w:sz w:val="16"/>
          <w:szCs w:val="16"/>
        </w:rPr>
        <w:footnoteRef/>
      </w:r>
      <w:r w:rsidRPr="00D14691">
        <w:rPr>
          <w:sz w:val="16"/>
          <w:szCs w:val="16"/>
        </w:rPr>
        <w:t xml:space="preserve"> Tyto tendence potvrzují i</w:t>
      </w:r>
      <w:r>
        <w:rPr>
          <w:sz w:val="16"/>
          <w:szCs w:val="16"/>
        </w:rPr>
        <w:t> </w:t>
      </w:r>
      <w:r w:rsidRPr="00D14691">
        <w:rPr>
          <w:sz w:val="16"/>
          <w:szCs w:val="16"/>
        </w:rPr>
        <w:t>údaje o</w:t>
      </w:r>
      <w:r>
        <w:rPr>
          <w:sz w:val="16"/>
          <w:szCs w:val="16"/>
        </w:rPr>
        <w:t> </w:t>
      </w:r>
      <w:r w:rsidRPr="00D14691">
        <w:rPr>
          <w:sz w:val="16"/>
          <w:szCs w:val="16"/>
        </w:rPr>
        <w:t>uchazečích o</w:t>
      </w:r>
      <w:r>
        <w:rPr>
          <w:sz w:val="16"/>
          <w:szCs w:val="16"/>
        </w:rPr>
        <w:t> </w:t>
      </w:r>
      <w:r w:rsidRPr="00D14691">
        <w:rPr>
          <w:sz w:val="16"/>
          <w:szCs w:val="16"/>
        </w:rPr>
        <w:t>práci registrovaných na úřadech práce v ČR. Jejich počet vztažený k celkové populaci ve věku 15</w:t>
      </w:r>
      <w:r>
        <w:rPr>
          <w:sz w:val="16"/>
          <w:szCs w:val="16"/>
        </w:rPr>
        <w:t> </w:t>
      </w:r>
      <w:r w:rsidRPr="00D14691">
        <w:rPr>
          <w:sz w:val="16"/>
          <w:szCs w:val="16"/>
        </w:rPr>
        <w:t>až 64</w:t>
      </w:r>
      <w:r>
        <w:rPr>
          <w:sz w:val="16"/>
          <w:szCs w:val="16"/>
        </w:rPr>
        <w:t> </w:t>
      </w:r>
      <w:r w:rsidRPr="00D14691">
        <w:rPr>
          <w:sz w:val="16"/>
          <w:szCs w:val="16"/>
        </w:rPr>
        <w:t>let vzrostl z únorových 3,0</w:t>
      </w:r>
      <w:r>
        <w:rPr>
          <w:sz w:val="16"/>
          <w:szCs w:val="16"/>
        </w:rPr>
        <w:t> %</w:t>
      </w:r>
      <w:r w:rsidRPr="00D14691">
        <w:rPr>
          <w:sz w:val="16"/>
          <w:szCs w:val="16"/>
        </w:rPr>
        <w:t xml:space="preserve"> na červnov</w:t>
      </w:r>
      <w:r>
        <w:rPr>
          <w:sz w:val="16"/>
          <w:szCs w:val="16"/>
        </w:rPr>
        <w:t>á</w:t>
      </w:r>
      <w:r w:rsidRPr="00D14691">
        <w:rPr>
          <w:sz w:val="16"/>
          <w:szCs w:val="16"/>
        </w:rPr>
        <w:t xml:space="preserve"> 3,</w:t>
      </w:r>
      <w:r>
        <w:rPr>
          <w:sz w:val="16"/>
          <w:szCs w:val="16"/>
        </w:rPr>
        <w:t>7 %. Na této úrovni pak setrval</w:t>
      </w:r>
      <w:r w:rsidRPr="00D14691">
        <w:rPr>
          <w:sz w:val="16"/>
          <w:szCs w:val="16"/>
        </w:rPr>
        <w:t xml:space="preserve"> až do konce října 2020.</w:t>
      </w:r>
    </w:p>
  </w:footnote>
  <w:footnote w:id="48">
    <w:p w14:paraId="644831FC" w14:textId="77777777" w:rsidR="008D3ACD" w:rsidRPr="000A68F7" w:rsidRDefault="008D3ACD" w:rsidP="00100A8B">
      <w:pPr>
        <w:pStyle w:val="Default"/>
        <w:rPr>
          <w:rFonts w:ascii="Arial" w:hAnsi="Arial" w:cs="Arial"/>
          <w:spacing w:val="-2"/>
          <w:sz w:val="16"/>
          <w:szCs w:val="16"/>
        </w:rPr>
      </w:pPr>
      <w:r w:rsidRPr="000A68F7">
        <w:rPr>
          <w:rStyle w:val="Znakapoznpodarou"/>
          <w:rFonts w:ascii="Arial" w:hAnsi="Arial" w:cs="Arial"/>
          <w:spacing w:val="-2"/>
          <w:sz w:val="16"/>
          <w:szCs w:val="16"/>
        </w:rPr>
        <w:footnoteRef/>
      </w:r>
      <w:r w:rsidRPr="000A68F7">
        <w:rPr>
          <w:rFonts w:ascii="Arial" w:hAnsi="Arial" w:cs="Arial"/>
          <w:spacing w:val="-2"/>
          <w:sz w:val="16"/>
          <w:szCs w:val="16"/>
        </w:rPr>
        <w:t xml:space="preserve"> V rámci programu Antivirus</w:t>
      </w:r>
      <w:r>
        <w:rPr>
          <w:rFonts w:ascii="Arial" w:hAnsi="Arial" w:cs="Arial"/>
          <w:spacing w:val="-2"/>
          <w:sz w:val="16"/>
          <w:szCs w:val="16"/>
        </w:rPr>
        <w:t> </w:t>
      </w:r>
      <w:r w:rsidRPr="000A68F7">
        <w:rPr>
          <w:rFonts w:ascii="Arial" w:hAnsi="Arial" w:cs="Arial"/>
          <w:spacing w:val="-2"/>
          <w:sz w:val="16"/>
          <w:szCs w:val="16"/>
        </w:rPr>
        <w:t>A+B</w:t>
      </w:r>
      <w:r>
        <w:rPr>
          <w:rFonts w:ascii="Arial" w:hAnsi="Arial" w:cs="Arial"/>
          <w:spacing w:val="-2"/>
          <w:sz w:val="16"/>
          <w:szCs w:val="16"/>
        </w:rPr>
        <w:t xml:space="preserve"> </w:t>
      </w:r>
      <w:r w:rsidRPr="000A68F7">
        <w:rPr>
          <w:rFonts w:ascii="Arial" w:hAnsi="Arial" w:cs="Arial"/>
          <w:spacing w:val="-2"/>
          <w:sz w:val="16"/>
          <w:szCs w:val="16"/>
        </w:rPr>
        <w:t xml:space="preserve">bylo od března do září 2020 </w:t>
      </w:r>
      <w:r>
        <w:rPr>
          <w:rFonts w:ascii="Arial" w:hAnsi="Arial" w:cs="Arial"/>
          <w:spacing w:val="-2"/>
          <w:sz w:val="16"/>
          <w:szCs w:val="16"/>
        </w:rPr>
        <w:t>vynaloženo</w:t>
      </w:r>
      <w:r w:rsidRPr="000A68F7">
        <w:rPr>
          <w:rFonts w:ascii="Arial" w:hAnsi="Arial" w:cs="Arial"/>
          <w:spacing w:val="-2"/>
          <w:sz w:val="16"/>
          <w:szCs w:val="16"/>
        </w:rPr>
        <w:t xml:space="preserve"> z rozpočtu MPSV 18,7</w:t>
      </w:r>
      <w:r>
        <w:rPr>
          <w:rFonts w:ascii="Arial" w:hAnsi="Arial" w:cs="Arial"/>
          <w:spacing w:val="-2"/>
          <w:sz w:val="16"/>
          <w:szCs w:val="16"/>
        </w:rPr>
        <w:t> mld.</w:t>
      </w:r>
      <w:r w:rsidRPr="000A68F7">
        <w:rPr>
          <w:rFonts w:ascii="Arial" w:hAnsi="Arial" w:cs="Arial"/>
          <w:spacing w:val="-2"/>
          <w:sz w:val="16"/>
          <w:szCs w:val="16"/>
        </w:rPr>
        <w:t xml:space="preserve"> korun. V úhrnu bylo takto částečně podpořeno 830</w:t>
      </w:r>
      <w:r>
        <w:rPr>
          <w:rFonts w:ascii="Arial" w:hAnsi="Arial" w:cs="Arial"/>
          <w:spacing w:val="-2"/>
          <w:sz w:val="16"/>
          <w:szCs w:val="16"/>
        </w:rPr>
        <w:t> tis.</w:t>
      </w:r>
      <w:r w:rsidRPr="000A68F7">
        <w:rPr>
          <w:rFonts w:ascii="Arial" w:hAnsi="Arial" w:cs="Arial"/>
          <w:spacing w:val="-2"/>
          <w:sz w:val="16"/>
          <w:szCs w:val="16"/>
        </w:rPr>
        <w:t xml:space="preserve"> pracovních míst. </w:t>
      </w:r>
      <w:r>
        <w:rPr>
          <w:rFonts w:ascii="Arial" w:hAnsi="Arial" w:cs="Arial"/>
          <w:spacing w:val="-2"/>
          <w:sz w:val="16"/>
          <w:szCs w:val="16"/>
        </w:rPr>
        <w:t xml:space="preserve">Většina firem </w:t>
      </w:r>
      <w:r w:rsidRPr="000A68F7">
        <w:rPr>
          <w:rFonts w:ascii="Arial" w:hAnsi="Arial" w:cs="Arial"/>
          <w:spacing w:val="-2"/>
          <w:sz w:val="16"/>
          <w:szCs w:val="16"/>
        </w:rPr>
        <w:t>žádala o</w:t>
      </w:r>
      <w:r>
        <w:rPr>
          <w:rFonts w:ascii="Arial" w:hAnsi="Arial" w:cs="Arial"/>
          <w:spacing w:val="-2"/>
          <w:sz w:val="16"/>
          <w:szCs w:val="16"/>
        </w:rPr>
        <w:t> </w:t>
      </w:r>
      <w:r w:rsidRPr="000A68F7">
        <w:rPr>
          <w:rFonts w:ascii="Arial" w:hAnsi="Arial" w:cs="Arial"/>
          <w:spacing w:val="-2"/>
          <w:sz w:val="16"/>
          <w:szCs w:val="16"/>
        </w:rPr>
        <w:t>příspěvek na úhradu mzdových náhrad svých zaměstnanců v jednotlivých měsících opakovaně. Čerpání podpory v průběhu roku sláblo, ve 3.</w:t>
      </w:r>
      <w:r>
        <w:rPr>
          <w:rFonts w:ascii="Arial" w:hAnsi="Arial" w:cs="Arial"/>
          <w:spacing w:val="-2"/>
          <w:sz w:val="16"/>
          <w:szCs w:val="16"/>
        </w:rPr>
        <w:t> čtvrtlet</w:t>
      </w:r>
      <w:r w:rsidRPr="000A68F7">
        <w:rPr>
          <w:rFonts w:ascii="Arial" w:hAnsi="Arial" w:cs="Arial"/>
          <w:spacing w:val="-2"/>
          <w:sz w:val="16"/>
          <w:szCs w:val="16"/>
        </w:rPr>
        <w:t>í dosáhlo 2,7</w:t>
      </w:r>
      <w:r>
        <w:rPr>
          <w:rFonts w:ascii="Arial" w:hAnsi="Arial" w:cs="Arial"/>
          <w:spacing w:val="-2"/>
          <w:sz w:val="16"/>
          <w:szCs w:val="16"/>
        </w:rPr>
        <w:t> mld.</w:t>
      </w:r>
      <w:r w:rsidRPr="000A68F7">
        <w:rPr>
          <w:rFonts w:ascii="Arial" w:hAnsi="Arial" w:cs="Arial"/>
          <w:spacing w:val="-2"/>
          <w:sz w:val="16"/>
          <w:szCs w:val="16"/>
        </w:rPr>
        <w:t xml:space="preserve"> korun.</w:t>
      </w:r>
    </w:p>
  </w:footnote>
  <w:footnote w:id="49">
    <w:p w14:paraId="40B2868F" w14:textId="77777777" w:rsidR="008D3ACD" w:rsidRPr="000A68F7" w:rsidRDefault="008D3ACD" w:rsidP="00100A8B">
      <w:pPr>
        <w:pStyle w:val="Textpoznpodarou"/>
        <w:jc w:val="both"/>
        <w:rPr>
          <w:spacing w:val="-2"/>
          <w:sz w:val="16"/>
          <w:szCs w:val="16"/>
        </w:rPr>
      </w:pPr>
      <w:r w:rsidRPr="000A68F7">
        <w:rPr>
          <w:rStyle w:val="Znakapoznpodarou"/>
          <w:spacing w:val="-2"/>
          <w:sz w:val="16"/>
          <w:szCs w:val="16"/>
        </w:rPr>
        <w:footnoteRef/>
      </w:r>
      <w:r w:rsidRPr="000A68F7">
        <w:rPr>
          <w:spacing w:val="-2"/>
          <w:sz w:val="16"/>
          <w:szCs w:val="16"/>
        </w:rPr>
        <w:t xml:space="preserve"> Celkové čerpání dávek ošetřovného činilo letos od března </w:t>
      </w:r>
      <w:r>
        <w:rPr>
          <w:spacing w:val="-2"/>
          <w:sz w:val="16"/>
          <w:szCs w:val="16"/>
        </w:rPr>
        <w:t>do</w:t>
      </w:r>
      <w:r w:rsidRPr="000A68F7">
        <w:rPr>
          <w:spacing w:val="-2"/>
          <w:sz w:val="16"/>
          <w:szCs w:val="16"/>
        </w:rPr>
        <w:t xml:space="preserve"> září 9,4 mld. korun, ve stejném období loňského roku jen 0,7 mld.</w:t>
      </w:r>
    </w:p>
  </w:footnote>
  <w:footnote w:id="50">
    <w:p w14:paraId="1BE0F903" w14:textId="77777777" w:rsidR="008D3ACD" w:rsidRPr="000A68F7" w:rsidRDefault="008D3ACD" w:rsidP="00100A8B">
      <w:pPr>
        <w:pStyle w:val="Textpoznpodarou"/>
        <w:rPr>
          <w:spacing w:val="-2"/>
          <w:sz w:val="16"/>
          <w:szCs w:val="16"/>
        </w:rPr>
      </w:pPr>
      <w:r w:rsidRPr="000A68F7">
        <w:rPr>
          <w:rStyle w:val="Znakapoznpodarou"/>
          <w:spacing w:val="-2"/>
          <w:sz w:val="16"/>
          <w:szCs w:val="16"/>
        </w:rPr>
        <w:footnoteRef/>
      </w:r>
      <w:r w:rsidRPr="000A68F7">
        <w:rPr>
          <w:spacing w:val="-2"/>
          <w:sz w:val="16"/>
          <w:szCs w:val="16"/>
        </w:rPr>
        <w:t xml:space="preserve"> Podíl domácností očekávajících v příštích 12</w:t>
      </w:r>
      <w:r>
        <w:rPr>
          <w:spacing w:val="-2"/>
          <w:sz w:val="16"/>
          <w:szCs w:val="16"/>
        </w:rPr>
        <w:t> </w:t>
      </w:r>
      <w:r w:rsidRPr="000A68F7">
        <w:rPr>
          <w:spacing w:val="-2"/>
          <w:sz w:val="16"/>
          <w:szCs w:val="16"/>
        </w:rPr>
        <w:t>měsících</w:t>
      </w:r>
      <w:r>
        <w:rPr>
          <w:spacing w:val="-2"/>
          <w:sz w:val="16"/>
          <w:szCs w:val="16"/>
        </w:rPr>
        <w:t xml:space="preserve"> růst</w:t>
      </w:r>
      <w:r w:rsidRPr="000A68F7">
        <w:rPr>
          <w:spacing w:val="-2"/>
          <w:sz w:val="16"/>
          <w:szCs w:val="16"/>
        </w:rPr>
        <w:t xml:space="preserve"> nezaměstnanosti byl o</w:t>
      </w:r>
      <w:r>
        <w:rPr>
          <w:spacing w:val="-2"/>
          <w:sz w:val="16"/>
          <w:szCs w:val="16"/>
        </w:rPr>
        <w:t> </w:t>
      </w:r>
      <w:r w:rsidRPr="000A68F7">
        <w:rPr>
          <w:spacing w:val="-2"/>
          <w:sz w:val="16"/>
          <w:szCs w:val="16"/>
        </w:rPr>
        <w:t>60</w:t>
      </w:r>
      <w:r>
        <w:rPr>
          <w:spacing w:val="-2"/>
          <w:sz w:val="16"/>
          <w:szCs w:val="16"/>
        </w:rPr>
        <w:t> p. b.</w:t>
      </w:r>
      <w:r w:rsidRPr="000A68F7">
        <w:rPr>
          <w:spacing w:val="-2"/>
          <w:sz w:val="16"/>
          <w:szCs w:val="16"/>
        </w:rPr>
        <w:t xml:space="preserve"> vyšší než podíl těch, které vyhlížely snížení.</w:t>
      </w:r>
    </w:p>
  </w:footnote>
  <w:footnote w:id="51">
    <w:p w14:paraId="20BDB27F" w14:textId="77777777" w:rsidR="008D3ACD" w:rsidRPr="00521DA5" w:rsidRDefault="008D3ACD" w:rsidP="00100A8B">
      <w:pPr>
        <w:pStyle w:val="Textpoznpodarou"/>
        <w:rPr>
          <w:spacing w:val="-3"/>
          <w:sz w:val="16"/>
          <w:szCs w:val="16"/>
        </w:rPr>
      </w:pPr>
      <w:r w:rsidRPr="00521DA5">
        <w:rPr>
          <w:rStyle w:val="Znakapoznpodarou"/>
          <w:spacing w:val="-3"/>
          <w:sz w:val="16"/>
          <w:szCs w:val="16"/>
        </w:rPr>
        <w:footnoteRef/>
      </w:r>
      <w:r w:rsidRPr="00521DA5">
        <w:rPr>
          <w:spacing w:val="-3"/>
          <w:sz w:val="16"/>
          <w:szCs w:val="16"/>
        </w:rPr>
        <w:t xml:space="preserve"> Tento stav trvá v ČR již dva a</w:t>
      </w:r>
      <w:r>
        <w:rPr>
          <w:spacing w:val="-3"/>
          <w:sz w:val="16"/>
          <w:szCs w:val="16"/>
        </w:rPr>
        <w:t> </w:t>
      </w:r>
      <w:r w:rsidRPr="00521DA5">
        <w:rPr>
          <w:spacing w:val="-3"/>
          <w:sz w:val="16"/>
          <w:szCs w:val="16"/>
        </w:rPr>
        <w:t>půl roku. V říjnu 2020 byl převis počtu míst nad uchazeči patrný ve dvou pětinách krajů a</w:t>
      </w:r>
      <w:r>
        <w:rPr>
          <w:spacing w:val="-3"/>
          <w:sz w:val="16"/>
          <w:szCs w:val="16"/>
        </w:rPr>
        <w:t> </w:t>
      </w:r>
      <w:r w:rsidRPr="00521DA5">
        <w:rPr>
          <w:spacing w:val="-3"/>
          <w:sz w:val="16"/>
          <w:szCs w:val="16"/>
        </w:rPr>
        <w:t>polovině okresů ČR.</w:t>
      </w:r>
    </w:p>
  </w:footnote>
  <w:footnote w:id="52">
    <w:p w14:paraId="287573C7" w14:textId="77777777" w:rsidR="008D3ACD" w:rsidRPr="006A4CF3" w:rsidRDefault="008D3ACD" w:rsidP="00100A8B">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Vztahuje se k osobám ve věku 15–74 let. Všechny údaje o nezaměstnanosti vyjadřují skutečnost po sezónním očištění.</w:t>
      </w:r>
    </w:p>
  </w:footnote>
  <w:footnote w:id="53">
    <w:p w14:paraId="3CE75144" w14:textId="77777777" w:rsidR="008D3ACD" w:rsidRPr="006A4CF3" w:rsidRDefault="008D3ACD" w:rsidP="00100A8B">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Podnikům postiženým dopady koronavirové krize přispíval za splnění určitých podmínek (například zachování pracovních míst) na mzdy zaměstnanců částečně stát (program Antivirus). Tyto náhrady mezd čerpali lidé z titulu překážek v práci v souvislosti s pandemií. Naopak osoby, které nepracovaly z důvodu pobírání ošetřovného či nařízené karantény, pobíraly od státu transfery, které metodicky nejsou součástí mezd (jejich čerpání tak působilo proti růstu průměrných mezd).</w:t>
      </w:r>
    </w:p>
  </w:footnote>
  <w:footnote w:id="54">
    <w:p w14:paraId="11256B7B" w14:textId="77777777" w:rsidR="008D3ACD" w:rsidRPr="002F5783" w:rsidRDefault="008D3ACD" w:rsidP="00100A8B">
      <w:pPr>
        <w:pStyle w:val="Textpoznpodarou"/>
        <w:rPr>
          <w:sz w:val="16"/>
          <w:szCs w:val="16"/>
        </w:rPr>
      </w:pPr>
      <w:r w:rsidRPr="002F5783">
        <w:rPr>
          <w:rStyle w:val="Znakapoznpodarou"/>
          <w:sz w:val="16"/>
          <w:szCs w:val="16"/>
        </w:rPr>
        <w:footnoteRef/>
      </w:r>
      <w:r w:rsidRPr="002F5783">
        <w:rPr>
          <w:sz w:val="16"/>
          <w:szCs w:val="16"/>
        </w:rPr>
        <w:t xml:space="preserve"> Ve 3.</w:t>
      </w:r>
      <w:r>
        <w:rPr>
          <w:sz w:val="16"/>
          <w:szCs w:val="16"/>
        </w:rPr>
        <w:t> čtvrtlet</w:t>
      </w:r>
      <w:r w:rsidRPr="002F5783">
        <w:rPr>
          <w:sz w:val="16"/>
          <w:szCs w:val="16"/>
        </w:rPr>
        <w:t>í 2019 zde průměrná mzda vzrostla meziročně o</w:t>
      </w:r>
      <w:r>
        <w:rPr>
          <w:sz w:val="16"/>
          <w:szCs w:val="16"/>
        </w:rPr>
        <w:t> </w:t>
      </w:r>
      <w:r w:rsidRPr="002F5783">
        <w:rPr>
          <w:sz w:val="16"/>
          <w:szCs w:val="16"/>
        </w:rPr>
        <w:t>8,1</w:t>
      </w:r>
      <w:r>
        <w:rPr>
          <w:sz w:val="16"/>
          <w:szCs w:val="16"/>
        </w:rPr>
        <w:t> %</w:t>
      </w:r>
      <w:r w:rsidRPr="002F5783">
        <w:rPr>
          <w:sz w:val="16"/>
          <w:szCs w:val="16"/>
        </w:rPr>
        <w:t>, což bylo ze všech tržních odvětví nejvíce.</w:t>
      </w:r>
    </w:p>
  </w:footnote>
  <w:footnote w:id="55">
    <w:p w14:paraId="05096E56" w14:textId="77777777" w:rsidR="008D3ACD" w:rsidRDefault="008D3ACD" w:rsidP="003815D4">
      <w:pPr>
        <w:pStyle w:val="Textpoznpodarou"/>
        <w:rPr>
          <w:sz w:val="16"/>
          <w:szCs w:val="16"/>
        </w:rPr>
      </w:pPr>
      <w:r>
        <w:rPr>
          <w:rStyle w:val="Znakapoznpodarou"/>
          <w:sz w:val="16"/>
          <w:szCs w:val="16"/>
        </w:rPr>
        <w:footnoteRef/>
      </w:r>
      <w:r>
        <w:rPr>
          <w:sz w:val="16"/>
          <w:szCs w:val="16"/>
        </w:rPr>
        <w:t xml:space="preserve"> Není</w:t>
      </w:r>
      <w:r>
        <w:rPr>
          <w:sz w:val="16"/>
          <w:szCs w:val="16"/>
        </w:rPr>
        <w:noBreakHyphen/>
        <w:t>li uvedeno jinak, je zdrojem údajů v této kapitole databáze ARAD České národní banky. Hodnoty směnných kurzů jsou rovněž převzaty od ČNB.</w:t>
      </w:r>
    </w:p>
  </w:footnote>
  <w:footnote w:id="56">
    <w:p w14:paraId="3DAE3F79" w14:textId="77777777" w:rsidR="008D3ACD" w:rsidRPr="006E08B8" w:rsidRDefault="008D3ACD" w:rsidP="000663F0">
      <w:pPr>
        <w:pStyle w:val="Textpoznpodarou"/>
        <w:jc w:val="both"/>
        <w:rPr>
          <w:spacing w:val="-2"/>
          <w:sz w:val="16"/>
          <w:szCs w:val="16"/>
        </w:rPr>
      </w:pPr>
      <w:r w:rsidRPr="006E08B8">
        <w:rPr>
          <w:rStyle w:val="Znakapoznpodarou"/>
          <w:spacing w:val="-2"/>
          <w:sz w:val="16"/>
          <w:szCs w:val="16"/>
        </w:rPr>
        <w:footnoteRef/>
      </w:r>
      <w:r w:rsidRPr="006E08B8">
        <w:rPr>
          <w:spacing w:val="-2"/>
          <w:sz w:val="16"/>
          <w:szCs w:val="16"/>
        </w:rPr>
        <w:t xml:space="preserve"> </w:t>
      </w:r>
      <w:r w:rsidRPr="006E08B8">
        <w:rPr>
          <w:color w:val="0D0D0D" w:themeColor="text1" w:themeTint="F2"/>
          <w:spacing w:val="-2"/>
          <w:sz w:val="16"/>
          <w:szCs w:val="16"/>
        </w:rPr>
        <w:t xml:space="preserve">Pokud není uvedeno jinak, vycházejí všechny údaje týkající se státního rozpočtu </w:t>
      </w:r>
      <w:r w:rsidRPr="006E08B8">
        <w:rPr>
          <w:rFonts w:cs="Arial"/>
          <w:color w:val="0D0D0D" w:themeColor="text1" w:themeTint="F2"/>
          <w:spacing w:val="-2"/>
          <w:sz w:val="16"/>
          <w:szCs w:val="16"/>
        </w:rPr>
        <w:t>z dat Ministerstva financí o pokladním plnění.</w:t>
      </w:r>
    </w:p>
  </w:footnote>
  <w:footnote w:id="57">
    <w:p w14:paraId="60C5D248" w14:textId="77777777" w:rsidR="008D3ACD" w:rsidRPr="007265C7" w:rsidRDefault="008D3ACD" w:rsidP="000663F0">
      <w:pPr>
        <w:pStyle w:val="Textpoznpodarou"/>
        <w:rPr>
          <w:sz w:val="16"/>
          <w:szCs w:val="16"/>
        </w:rPr>
      </w:pPr>
      <w:r w:rsidRPr="007265C7">
        <w:rPr>
          <w:rStyle w:val="Znakapoznpodarou"/>
          <w:sz w:val="16"/>
          <w:szCs w:val="16"/>
        </w:rPr>
        <w:footnoteRef/>
      </w:r>
      <w:r w:rsidRPr="007265C7">
        <w:rPr>
          <w:sz w:val="16"/>
          <w:szCs w:val="16"/>
        </w:rPr>
        <w:t xml:space="preserve"> Celkem se za období od ledna do září 2020 jednalo dle propočtů MF o</w:t>
      </w:r>
      <w:r>
        <w:rPr>
          <w:sz w:val="16"/>
          <w:szCs w:val="16"/>
        </w:rPr>
        <w:t> </w:t>
      </w:r>
      <w:r w:rsidRPr="007265C7">
        <w:rPr>
          <w:sz w:val="16"/>
          <w:szCs w:val="16"/>
        </w:rPr>
        <w:t>148</w:t>
      </w:r>
      <w:r>
        <w:rPr>
          <w:sz w:val="16"/>
          <w:szCs w:val="16"/>
        </w:rPr>
        <w:t> mld. korun.</w:t>
      </w:r>
    </w:p>
  </w:footnote>
  <w:footnote w:id="58">
    <w:p w14:paraId="2020FF62" w14:textId="77777777" w:rsidR="008D3ACD" w:rsidRPr="006E08B8" w:rsidRDefault="008D3ACD" w:rsidP="000663F0">
      <w:pPr>
        <w:pStyle w:val="Textpoznpodarou"/>
        <w:jc w:val="both"/>
        <w:rPr>
          <w:spacing w:val="-2"/>
          <w:sz w:val="16"/>
          <w:szCs w:val="16"/>
        </w:rPr>
      </w:pPr>
      <w:r w:rsidRPr="006E08B8">
        <w:rPr>
          <w:rStyle w:val="Znakapoznpodarou"/>
          <w:spacing w:val="-2"/>
          <w:sz w:val="16"/>
          <w:szCs w:val="16"/>
        </w:rPr>
        <w:footnoteRef/>
      </w:r>
      <w:r>
        <w:rPr>
          <w:spacing w:val="-2"/>
          <w:sz w:val="16"/>
          <w:szCs w:val="16"/>
        </w:rPr>
        <w:t xml:space="preserve"> Původně plánovaný</w:t>
      </w:r>
      <w:r w:rsidRPr="006E08B8">
        <w:rPr>
          <w:spacing w:val="-2"/>
          <w:sz w:val="16"/>
          <w:szCs w:val="16"/>
        </w:rPr>
        <w:t xml:space="preserve"> deficit ve výši 40</w:t>
      </w:r>
      <w:r>
        <w:rPr>
          <w:spacing w:val="-2"/>
          <w:sz w:val="16"/>
          <w:szCs w:val="16"/>
        </w:rPr>
        <w:t> mld.</w:t>
      </w:r>
      <w:r w:rsidRPr="006E08B8">
        <w:rPr>
          <w:spacing w:val="-2"/>
          <w:sz w:val="16"/>
          <w:szCs w:val="16"/>
        </w:rPr>
        <w:t xml:space="preserve"> korun vycházel ze zákona o státním rozpočtu ČR (schváleného 4. prosince 2019). </w:t>
      </w:r>
      <w:r>
        <w:rPr>
          <w:color w:val="0D0D0D" w:themeColor="text1" w:themeTint="F2"/>
          <w:spacing w:val="-2"/>
          <w:sz w:val="16"/>
          <w:szCs w:val="16"/>
        </w:rPr>
        <w:t>V březnu</w:t>
      </w:r>
      <w:r w:rsidRPr="006E08B8">
        <w:rPr>
          <w:color w:val="0D0D0D" w:themeColor="text1" w:themeTint="F2"/>
          <w:spacing w:val="-2"/>
          <w:sz w:val="16"/>
          <w:szCs w:val="16"/>
        </w:rPr>
        <w:t xml:space="preserve"> a</w:t>
      </w:r>
      <w:r>
        <w:rPr>
          <w:color w:val="0D0D0D" w:themeColor="text1" w:themeTint="F2"/>
          <w:spacing w:val="-2"/>
          <w:sz w:val="16"/>
          <w:szCs w:val="16"/>
        </w:rPr>
        <w:t> dubnu 2020 vstoupily v platnost</w:t>
      </w:r>
      <w:r w:rsidRPr="006E08B8">
        <w:rPr>
          <w:color w:val="0D0D0D" w:themeColor="text1" w:themeTint="F2"/>
          <w:spacing w:val="-2"/>
          <w:sz w:val="16"/>
          <w:szCs w:val="16"/>
        </w:rPr>
        <w:t xml:space="preserve"> zákony počíta</w:t>
      </w:r>
      <w:r>
        <w:rPr>
          <w:color w:val="0D0D0D" w:themeColor="text1" w:themeTint="F2"/>
          <w:spacing w:val="-2"/>
          <w:sz w:val="16"/>
          <w:szCs w:val="16"/>
        </w:rPr>
        <w:t xml:space="preserve">jící s prohloubením deficitu </w:t>
      </w:r>
      <w:r w:rsidRPr="006E08B8">
        <w:rPr>
          <w:color w:val="0D0D0D" w:themeColor="text1" w:themeTint="F2"/>
          <w:spacing w:val="-2"/>
          <w:sz w:val="16"/>
          <w:szCs w:val="16"/>
        </w:rPr>
        <w:t>na</w:t>
      </w:r>
      <w:r>
        <w:rPr>
          <w:color w:val="0D0D0D" w:themeColor="text1" w:themeTint="F2"/>
          <w:spacing w:val="-2"/>
          <w:sz w:val="16"/>
          <w:szCs w:val="16"/>
        </w:rPr>
        <w:t xml:space="preserve"> 200, respektive </w:t>
      </w:r>
      <w:r w:rsidRPr="006E08B8">
        <w:rPr>
          <w:color w:val="0D0D0D" w:themeColor="text1" w:themeTint="F2"/>
          <w:spacing w:val="-2"/>
          <w:sz w:val="16"/>
          <w:szCs w:val="16"/>
        </w:rPr>
        <w:t>300 mld., na počátku červe</w:t>
      </w:r>
      <w:r>
        <w:rPr>
          <w:color w:val="0D0D0D" w:themeColor="text1" w:themeTint="F2"/>
          <w:spacing w:val="-2"/>
          <w:sz w:val="16"/>
          <w:szCs w:val="16"/>
        </w:rPr>
        <w:t>nce byl pak schválen dosud platný schodek 500 mld. korun.</w:t>
      </w:r>
    </w:p>
  </w:footnote>
  <w:footnote w:id="59">
    <w:p w14:paraId="2CF2034E" w14:textId="77777777" w:rsidR="008D3ACD" w:rsidRPr="00006C99" w:rsidRDefault="008D3ACD" w:rsidP="000663F0">
      <w:pPr>
        <w:autoSpaceDE w:val="0"/>
        <w:autoSpaceDN w:val="0"/>
        <w:adjustRightInd w:val="0"/>
        <w:spacing w:after="0" w:line="240" w:lineRule="auto"/>
        <w:jc w:val="left"/>
        <w:rPr>
          <w:rFonts w:eastAsia="Calibri"/>
          <w:color w:val="0D0D0D" w:themeColor="text1" w:themeTint="F2"/>
          <w:spacing w:val="-2"/>
          <w:sz w:val="16"/>
          <w:szCs w:val="16"/>
        </w:rPr>
      </w:pPr>
      <w:r w:rsidRPr="00AA0651">
        <w:rPr>
          <w:rStyle w:val="Znakapoznpodarou"/>
          <w:sz w:val="16"/>
          <w:szCs w:val="16"/>
        </w:rPr>
        <w:footnoteRef/>
      </w:r>
      <w:r w:rsidRPr="00AA0651">
        <w:rPr>
          <w:sz w:val="16"/>
          <w:szCs w:val="16"/>
        </w:rPr>
        <w:t xml:space="preserve"> </w:t>
      </w:r>
      <w:r w:rsidRPr="00AA0651">
        <w:rPr>
          <w:rFonts w:eastAsia="Calibri"/>
          <w:color w:val="0D0D0D" w:themeColor="text1" w:themeTint="F2"/>
          <w:spacing w:val="-2"/>
          <w:sz w:val="16"/>
          <w:szCs w:val="16"/>
        </w:rPr>
        <w:t>Poplatníci mohou uplatnit odpočet odhadnuté výše ztráty za zdaňovací období 2020 již v</w:t>
      </w:r>
      <w:r>
        <w:rPr>
          <w:rFonts w:eastAsia="Calibri"/>
          <w:color w:val="0D0D0D" w:themeColor="text1" w:themeTint="F2"/>
          <w:spacing w:val="-2"/>
          <w:sz w:val="16"/>
          <w:szCs w:val="16"/>
        </w:rPr>
        <w:t> </w:t>
      </w:r>
      <w:r w:rsidRPr="00AA0651">
        <w:rPr>
          <w:rFonts w:eastAsia="Calibri"/>
          <w:color w:val="0D0D0D" w:themeColor="text1" w:themeTint="F2"/>
          <w:spacing w:val="-2"/>
          <w:sz w:val="16"/>
          <w:szCs w:val="16"/>
        </w:rPr>
        <w:t>přiznání k</w:t>
      </w:r>
      <w:r>
        <w:rPr>
          <w:rFonts w:eastAsia="Calibri"/>
          <w:color w:val="0D0D0D" w:themeColor="text1" w:themeTint="F2"/>
          <w:spacing w:val="-2"/>
          <w:sz w:val="16"/>
          <w:szCs w:val="16"/>
        </w:rPr>
        <w:t> </w:t>
      </w:r>
      <w:r w:rsidRPr="00AA0651">
        <w:rPr>
          <w:rFonts w:eastAsia="Calibri"/>
          <w:color w:val="0D0D0D" w:themeColor="text1" w:themeTint="F2"/>
          <w:spacing w:val="-2"/>
          <w:sz w:val="16"/>
          <w:szCs w:val="16"/>
        </w:rPr>
        <w:t>dani</w:t>
      </w:r>
      <w:r>
        <w:rPr>
          <w:rFonts w:eastAsia="Calibri"/>
          <w:color w:val="0D0D0D" w:themeColor="text1" w:themeTint="F2"/>
          <w:spacing w:val="-2"/>
          <w:sz w:val="16"/>
          <w:szCs w:val="16"/>
        </w:rPr>
        <w:t xml:space="preserve"> </w:t>
      </w:r>
      <w:r w:rsidRPr="00AA0651">
        <w:rPr>
          <w:rFonts w:eastAsia="Calibri"/>
          <w:color w:val="0D0D0D" w:themeColor="text1" w:themeTint="F2"/>
          <w:spacing w:val="-2"/>
          <w:sz w:val="16"/>
          <w:szCs w:val="16"/>
        </w:rPr>
        <w:t>z</w:t>
      </w:r>
      <w:r>
        <w:rPr>
          <w:rFonts w:eastAsia="Calibri"/>
          <w:color w:val="0D0D0D" w:themeColor="text1" w:themeTint="F2"/>
          <w:spacing w:val="-2"/>
          <w:sz w:val="16"/>
          <w:szCs w:val="16"/>
        </w:rPr>
        <w:t> </w:t>
      </w:r>
      <w:r w:rsidRPr="00AA0651">
        <w:rPr>
          <w:rFonts w:eastAsia="Calibri"/>
          <w:color w:val="0D0D0D" w:themeColor="text1" w:themeTint="F2"/>
          <w:spacing w:val="-2"/>
          <w:sz w:val="16"/>
          <w:szCs w:val="16"/>
        </w:rPr>
        <w:t xml:space="preserve">příjmů právnických osob za </w:t>
      </w:r>
      <w:r w:rsidRPr="00006C99">
        <w:rPr>
          <w:rFonts w:eastAsia="Calibri"/>
          <w:color w:val="0D0D0D" w:themeColor="text1" w:themeTint="F2"/>
          <w:spacing w:val="-2"/>
          <w:sz w:val="16"/>
          <w:szCs w:val="16"/>
        </w:rPr>
        <w:t>zdaňovací období</w:t>
      </w:r>
      <w:r w:rsidRPr="00006C99">
        <w:rPr>
          <w:color w:val="0D0D0D" w:themeColor="text1" w:themeTint="F2"/>
          <w:spacing w:val="-2"/>
          <w:sz w:val="16"/>
          <w:szCs w:val="16"/>
        </w:rPr>
        <w:t xml:space="preserve"> 2019.</w:t>
      </w:r>
    </w:p>
  </w:footnote>
  <w:footnote w:id="60">
    <w:p w14:paraId="5B75A3B9" w14:textId="77777777" w:rsidR="008D3ACD" w:rsidRPr="006A0205" w:rsidRDefault="008D3ACD" w:rsidP="000663F0">
      <w:pPr>
        <w:pStyle w:val="Textpoznpodarou"/>
        <w:rPr>
          <w:spacing w:val="-2"/>
        </w:rPr>
      </w:pPr>
      <w:r w:rsidRPr="006A0205">
        <w:rPr>
          <w:rStyle w:val="Znakapoznpodarou"/>
          <w:spacing w:val="-2"/>
          <w:sz w:val="16"/>
          <w:szCs w:val="16"/>
        </w:rPr>
        <w:footnoteRef/>
      </w:r>
      <w:r w:rsidRPr="006A0205">
        <w:rPr>
          <w:spacing w:val="-2"/>
          <w:sz w:val="16"/>
          <w:szCs w:val="16"/>
        </w:rPr>
        <w:t xml:space="preserve"> V 1</w:t>
      </w:r>
      <w:r>
        <w:rPr>
          <w:spacing w:val="-2"/>
          <w:sz w:val="16"/>
          <w:szCs w:val="16"/>
        </w:rPr>
        <w:t>. </w:t>
      </w:r>
      <w:r w:rsidRPr="006A0205">
        <w:rPr>
          <w:spacing w:val="-2"/>
          <w:sz w:val="16"/>
          <w:szCs w:val="16"/>
        </w:rPr>
        <w:t>až 3.</w:t>
      </w:r>
      <w:r>
        <w:rPr>
          <w:spacing w:val="-2"/>
          <w:sz w:val="16"/>
          <w:szCs w:val="16"/>
        </w:rPr>
        <w:t> čtvrtlet</w:t>
      </w:r>
      <w:r w:rsidRPr="006A0205">
        <w:rPr>
          <w:spacing w:val="-2"/>
          <w:sz w:val="16"/>
          <w:szCs w:val="16"/>
        </w:rPr>
        <w:t>í 2008 kleslo celkové inkaso této daně o</w:t>
      </w:r>
      <w:r>
        <w:rPr>
          <w:spacing w:val="-2"/>
          <w:sz w:val="16"/>
          <w:szCs w:val="16"/>
        </w:rPr>
        <w:t> </w:t>
      </w:r>
      <w:r w:rsidRPr="006A0205">
        <w:rPr>
          <w:spacing w:val="-2"/>
          <w:sz w:val="16"/>
          <w:szCs w:val="16"/>
        </w:rPr>
        <w:t>7,6</w:t>
      </w:r>
      <w:r>
        <w:rPr>
          <w:spacing w:val="-2"/>
          <w:sz w:val="16"/>
          <w:szCs w:val="16"/>
        </w:rPr>
        <w:t> %</w:t>
      </w:r>
      <w:r w:rsidRPr="006A0205">
        <w:rPr>
          <w:spacing w:val="-2"/>
          <w:sz w:val="16"/>
          <w:szCs w:val="16"/>
        </w:rPr>
        <w:t>. Zásad</w:t>
      </w:r>
      <w:r>
        <w:rPr>
          <w:spacing w:val="-2"/>
          <w:sz w:val="16"/>
          <w:szCs w:val="16"/>
        </w:rPr>
        <w:t>ní vliv tehdy</w:t>
      </w:r>
      <w:r w:rsidRPr="006A0205">
        <w:rPr>
          <w:spacing w:val="-2"/>
          <w:sz w:val="16"/>
          <w:szCs w:val="16"/>
        </w:rPr>
        <w:t xml:space="preserve"> měl</w:t>
      </w:r>
      <w:r>
        <w:rPr>
          <w:spacing w:val="-2"/>
          <w:sz w:val="16"/>
          <w:szCs w:val="16"/>
        </w:rPr>
        <w:t>o zavedení rovné 15% daně ze</w:t>
      </w:r>
      <w:r w:rsidRPr="006A0205">
        <w:rPr>
          <w:spacing w:val="-2"/>
          <w:sz w:val="16"/>
          <w:szCs w:val="16"/>
        </w:rPr>
        <w:t xml:space="preserve"> superhrubé mzdy.</w:t>
      </w:r>
    </w:p>
  </w:footnote>
  <w:footnote w:id="61">
    <w:p w14:paraId="4B16C89F" w14:textId="77777777" w:rsidR="008D3ACD" w:rsidRPr="004A62DC" w:rsidRDefault="008D3ACD" w:rsidP="000663F0">
      <w:pPr>
        <w:pStyle w:val="Textpoznpodarou"/>
        <w:rPr>
          <w:sz w:val="16"/>
          <w:szCs w:val="16"/>
        </w:rPr>
      </w:pPr>
      <w:r w:rsidRPr="004A62DC">
        <w:rPr>
          <w:rStyle w:val="Znakapoznpodarou"/>
          <w:sz w:val="16"/>
          <w:szCs w:val="16"/>
        </w:rPr>
        <w:footnoteRef/>
      </w:r>
      <w:r w:rsidRPr="004A62DC">
        <w:rPr>
          <w:sz w:val="16"/>
          <w:szCs w:val="16"/>
        </w:rPr>
        <w:t xml:space="preserve"> Kromě OSVČ byla malá část této podpory </w:t>
      </w:r>
      <w:r w:rsidRPr="00915448">
        <w:rPr>
          <w:sz w:val="16"/>
          <w:szCs w:val="16"/>
        </w:rPr>
        <w:t>vyplacena i společníkům malých s. r. o. a také osobám</w:t>
      </w:r>
      <w:r w:rsidRPr="004A62DC">
        <w:rPr>
          <w:sz w:val="16"/>
          <w:szCs w:val="16"/>
        </w:rPr>
        <w:t xml:space="preserve"> pracujícím na dohody.</w:t>
      </w:r>
    </w:p>
  </w:footnote>
  <w:footnote w:id="62">
    <w:p w14:paraId="441B627D" w14:textId="77777777" w:rsidR="008D3ACD" w:rsidRPr="009F7335" w:rsidRDefault="008D3ACD" w:rsidP="000663F0">
      <w:pPr>
        <w:pStyle w:val="Textpoznpodarou"/>
        <w:rPr>
          <w:sz w:val="16"/>
          <w:szCs w:val="16"/>
        </w:rPr>
      </w:pPr>
      <w:r w:rsidRPr="009F7335">
        <w:rPr>
          <w:rStyle w:val="Znakapoznpodarou"/>
          <w:sz w:val="16"/>
          <w:szCs w:val="16"/>
        </w:rPr>
        <w:footnoteRef/>
      </w:r>
      <w:r w:rsidRPr="009F7335">
        <w:rPr>
          <w:sz w:val="16"/>
          <w:szCs w:val="16"/>
        </w:rPr>
        <w:t xml:space="preserve"> Poz</w:t>
      </w:r>
      <w:r>
        <w:rPr>
          <w:sz w:val="16"/>
          <w:szCs w:val="16"/>
        </w:rPr>
        <w:t xml:space="preserve">itivní vývoj ve 3. čtvrtletí pramenil ze stabilizace </w:t>
      </w:r>
      <w:r w:rsidRPr="009F7335">
        <w:rPr>
          <w:sz w:val="16"/>
          <w:szCs w:val="16"/>
        </w:rPr>
        <w:t xml:space="preserve">v maloobchodu (tržby zde meziročně vzrostly </w:t>
      </w:r>
      <w:r w:rsidRPr="00E9550D">
        <w:rPr>
          <w:sz w:val="16"/>
          <w:szCs w:val="16"/>
        </w:rPr>
        <w:t>o</w:t>
      </w:r>
      <w:r>
        <w:rPr>
          <w:sz w:val="16"/>
          <w:szCs w:val="16"/>
        </w:rPr>
        <w:t> </w:t>
      </w:r>
      <w:r w:rsidRPr="00E9550D">
        <w:rPr>
          <w:sz w:val="16"/>
          <w:szCs w:val="16"/>
        </w:rPr>
        <w:t>1</w:t>
      </w:r>
      <w:r>
        <w:rPr>
          <w:sz w:val="16"/>
          <w:szCs w:val="16"/>
        </w:rPr>
        <w:t> %</w:t>
      </w:r>
      <w:r w:rsidRPr="00E9550D">
        <w:rPr>
          <w:sz w:val="16"/>
          <w:szCs w:val="16"/>
        </w:rPr>
        <w:t>) i</w:t>
      </w:r>
      <w:r>
        <w:rPr>
          <w:sz w:val="16"/>
          <w:szCs w:val="16"/>
        </w:rPr>
        <w:t> z </w:t>
      </w:r>
      <w:r w:rsidRPr="00E9550D">
        <w:rPr>
          <w:sz w:val="16"/>
          <w:szCs w:val="16"/>
        </w:rPr>
        <w:t xml:space="preserve">dodatečných úhrad části daňových povinností </w:t>
      </w:r>
      <w:r>
        <w:rPr>
          <w:sz w:val="16"/>
          <w:szCs w:val="16"/>
        </w:rPr>
        <w:t>odložených v předešlých</w:t>
      </w:r>
      <w:r w:rsidRPr="00E9550D">
        <w:rPr>
          <w:sz w:val="16"/>
          <w:szCs w:val="16"/>
        </w:rPr>
        <w:t xml:space="preserve"> měsících roku.</w:t>
      </w:r>
    </w:p>
  </w:footnote>
  <w:footnote w:id="63">
    <w:p w14:paraId="699E305F" w14:textId="77777777" w:rsidR="008D3ACD" w:rsidRPr="00E847B6" w:rsidRDefault="008D3ACD" w:rsidP="000663F0">
      <w:pPr>
        <w:pStyle w:val="Textpoznpodarou"/>
        <w:jc w:val="both"/>
        <w:rPr>
          <w:spacing w:val="-2"/>
          <w:sz w:val="16"/>
          <w:szCs w:val="16"/>
        </w:rPr>
      </w:pPr>
      <w:r w:rsidRPr="00251B78">
        <w:rPr>
          <w:rStyle w:val="Znakapoznpodarou"/>
          <w:spacing w:val="-2"/>
          <w:sz w:val="16"/>
          <w:szCs w:val="16"/>
        </w:rPr>
        <w:footnoteRef/>
      </w:r>
      <w:r w:rsidRPr="00251B78">
        <w:rPr>
          <w:spacing w:val="-2"/>
          <w:sz w:val="16"/>
          <w:szCs w:val="16"/>
        </w:rPr>
        <w:t xml:space="preserve"> </w:t>
      </w:r>
      <w:r w:rsidRPr="00251B78">
        <w:rPr>
          <w:spacing w:val="-4"/>
          <w:sz w:val="16"/>
          <w:szCs w:val="16"/>
        </w:rPr>
        <w:t>Během července a</w:t>
      </w:r>
      <w:r>
        <w:rPr>
          <w:spacing w:val="-4"/>
          <w:sz w:val="16"/>
          <w:szCs w:val="16"/>
        </w:rPr>
        <w:t> </w:t>
      </w:r>
      <w:r w:rsidRPr="00251B78">
        <w:rPr>
          <w:spacing w:val="-4"/>
          <w:sz w:val="16"/>
          <w:szCs w:val="16"/>
        </w:rPr>
        <w:t>srpna 2020 klesla spotřeba motorové nafty meziročně o 2</w:t>
      </w:r>
      <w:r>
        <w:rPr>
          <w:spacing w:val="-4"/>
          <w:sz w:val="16"/>
          <w:szCs w:val="16"/>
        </w:rPr>
        <w:t> %</w:t>
      </w:r>
      <w:r w:rsidRPr="00251B78">
        <w:rPr>
          <w:spacing w:val="-4"/>
          <w:sz w:val="16"/>
          <w:szCs w:val="16"/>
        </w:rPr>
        <w:t>, u motorového benzinu mírně rostla (o</w:t>
      </w:r>
      <w:r>
        <w:rPr>
          <w:spacing w:val="-4"/>
          <w:sz w:val="16"/>
          <w:szCs w:val="16"/>
        </w:rPr>
        <w:t> </w:t>
      </w:r>
      <w:r w:rsidRPr="00251B78">
        <w:rPr>
          <w:spacing w:val="-4"/>
          <w:sz w:val="16"/>
          <w:szCs w:val="16"/>
        </w:rPr>
        <w:t>2</w:t>
      </w:r>
      <w:r>
        <w:rPr>
          <w:spacing w:val="-4"/>
          <w:sz w:val="16"/>
          <w:szCs w:val="16"/>
        </w:rPr>
        <w:t> %</w:t>
      </w:r>
      <w:r w:rsidRPr="00251B78">
        <w:rPr>
          <w:spacing w:val="-4"/>
          <w:sz w:val="16"/>
          <w:szCs w:val="16"/>
        </w:rPr>
        <w:t>). Nadále</w:t>
      </w:r>
      <w:r>
        <w:rPr>
          <w:spacing w:val="-4"/>
          <w:sz w:val="16"/>
          <w:szCs w:val="16"/>
        </w:rPr>
        <w:t xml:space="preserve"> však</w:t>
      </w:r>
      <w:r w:rsidRPr="00251B78">
        <w:rPr>
          <w:spacing w:val="-4"/>
          <w:sz w:val="16"/>
          <w:szCs w:val="16"/>
        </w:rPr>
        <w:t xml:space="preserve"> trval hluboký pokles spotřeby leteckého petroleje (o</w:t>
      </w:r>
      <w:r>
        <w:rPr>
          <w:spacing w:val="-4"/>
          <w:sz w:val="16"/>
          <w:szCs w:val="16"/>
        </w:rPr>
        <w:t> </w:t>
      </w:r>
      <w:r w:rsidRPr="00251B78">
        <w:rPr>
          <w:spacing w:val="-4"/>
          <w:sz w:val="16"/>
          <w:szCs w:val="16"/>
        </w:rPr>
        <w:t>80</w:t>
      </w:r>
      <w:r>
        <w:rPr>
          <w:spacing w:val="-4"/>
          <w:sz w:val="16"/>
          <w:szCs w:val="16"/>
        </w:rPr>
        <w:t> %</w:t>
      </w:r>
      <w:r w:rsidRPr="00251B78">
        <w:rPr>
          <w:spacing w:val="-4"/>
          <w:sz w:val="16"/>
          <w:szCs w:val="16"/>
        </w:rPr>
        <w:t>). V úhrnu za tři čtvrtletí propadla spotřeba leteckého petroleje o</w:t>
      </w:r>
      <w:r>
        <w:rPr>
          <w:spacing w:val="-4"/>
          <w:sz w:val="16"/>
          <w:szCs w:val="16"/>
        </w:rPr>
        <w:t> </w:t>
      </w:r>
      <w:r w:rsidRPr="00251B78">
        <w:rPr>
          <w:spacing w:val="-4"/>
          <w:sz w:val="16"/>
          <w:szCs w:val="16"/>
        </w:rPr>
        <w:t>62</w:t>
      </w:r>
      <w:r>
        <w:rPr>
          <w:spacing w:val="-4"/>
          <w:sz w:val="16"/>
          <w:szCs w:val="16"/>
        </w:rPr>
        <w:t> %</w:t>
      </w:r>
      <w:r w:rsidRPr="00251B78">
        <w:rPr>
          <w:spacing w:val="-4"/>
          <w:sz w:val="16"/>
          <w:szCs w:val="16"/>
        </w:rPr>
        <w:t>, u</w:t>
      </w:r>
      <w:r>
        <w:rPr>
          <w:spacing w:val="-4"/>
          <w:sz w:val="16"/>
          <w:szCs w:val="16"/>
        </w:rPr>
        <w:t> </w:t>
      </w:r>
      <w:r w:rsidRPr="00251B78">
        <w:rPr>
          <w:spacing w:val="-4"/>
          <w:sz w:val="16"/>
          <w:szCs w:val="16"/>
        </w:rPr>
        <w:t>motorového benz</w:t>
      </w:r>
      <w:r>
        <w:rPr>
          <w:spacing w:val="-4"/>
          <w:sz w:val="16"/>
          <w:szCs w:val="16"/>
        </w:rPr>
        <w:t>i</w:t>
      </w:r>
      <w:r w:rsidRPr="00251B78">
        <w:rPr>
          <w:spacing w:val="-4"/>
          <w:sz w:val="16"/>
          <w:szCs w:val="16"/>
        </w:rPr>
        <w:t>nu byla nižší o</w:t>
      </w:r>
      <w:r>
        <w:rPr>
          <w:spacing w:val="-4"/>
          <w:sz w:val="16"/>
          <w:szCs w:val="16"/>
        </w:rPr>
        <w:t> </w:t>
      </w:r>
      <w:r w:rsidRPr="00251B78">
        <w:rPr>
          <w:spacing w:val="-4"/>
          <w:sz w:val="16"/>
          <w:szCs w:val="16"/>
        </w:rPr>
        <w:t>9</w:t>
      </w:r>
      <w:r>
        <w:rPr>
          <w:spacing w:val="-4"/>
          <w:sz w:val="16"/>
          <w:szCs w:val="16"/>
        </w:rPr>
        <w:t> %</w:t>
      </w:r>
      <w:r w:rsidRPr="00251B78">
        <w:rPr>
          <w:spacing w:val="-4"/>
          <w:sz w:val="16"/>
          <w:szCs w:val="16"/>
        </w:rPr>
        <w:t>, u</w:t>
      </w:r>
      <w:r>
        <w:rPr>
          <w:spacing w:val="-4"/>
          <w:sz w:val="16"/>
          <w:szCs w:val="16"/>
        </w:rPr>
        <w:t> </w:t>
      </w:r>
      <w:r w:rsidRPr="00251B78">
        <w:rPr>
          <w:spacing w:val="-4"/>
          <w:sz w:val="16"/>
          <w:szCs w:val="16"/>
        </w:rPr>
        <w:t>motorové nafty o</w:t>
      </w:r>
      <w:r>
        <w:rPr>
          <w:spacing w:val="-4"/>
          <w:sz w:val="16"/>
          <w:szCs w:val="16"/>
        </w:rPr>
        <w:t> </w:t>
      </w:r>
      <w:r w:rsidRPr="00251B78">
        <w:rPr>
          <w:spacing w:val="-4"/>
          <w:sz w:val="16"/>
          <w:szCs w:val="16"/>
        </w:rPr>
        <w:t>6</w:t>
      </w:r>
      <w:r>
        <w:rPr>
          <w:spacing w:val="-4"/>
          <w:sz w:val="16"/>
          <w:szCs w:val="16"/>
        </w:rPr>
        <w:t> %</w:t>
      </w:r>
      <w:r w:rsidRPr="00251B78">
        <w:rPr>
          <w:spacing w:val="-4"/>
          <w:sz w:val="16"/>
          <w:szCs w:val="16"/>
        </w:rPr>
        <w:t>. Za první dva měsíce roku 2020 přitom spotřeba všech hlavních ropných produktů rostla (např</w:t>
      </w:r>
      <w:r>
        <w:rPr>
          <w:spacing w:val="-4"/>
          <w:sz w:val="16"/>
          <w:szCs w:val="16"/>
        </w:rPr>
        <w:t>íklad</w:t>
      </w:r>
      <w:r w:rsidRPr="00251B78">
        <w:rPr>
          <w:spacing w:val="-4"/>
          <w:sz w:val="16"/>
          <w:szCs w:val="16"/>
        </w:rPr>
        <w:t xml:space="preserve"> motorová nafta </w:t>
      </w:r>
      <w:r>
        <w:rPr>
          <w:spacing w:val="-4"/>
          <w:sz w:val="16"/>
          <w:szCs w:val="16"/>
        </w:rPr>
        <w:t>o </w:t>
      </w:r>
      <w:r w:rsidRPr="00251B78">
        <w:rPr>
          <w:spacing w:val="-4"/>
          <w:sz w:val="16"/>
          <w:szCs w:val="16"/>
        </w:rPr>
        <w:t xml:space="preserve">1,8 %, motorový benzin </w:t>
      </w:r>
      <w:r>
        <w:rPr>
          <w:spacing w:val="-4"/>
          <w:sz w:val="16"/>
          <w:szCs w:val="16"/>
        </w:rPr>
        <w:t>o </w:t>
      </w:r>
      <w:r w:rsidRPr="00251B78">
        <w:rPr>
          <w:spacing w:val="-4"/>
          <w:sz w:val="16"/>
          <w:szCs w:val="16"/>
        </w:rPr>
        <w:t>0,4 %).</w:t>
      </w:r>
    </w:p>
  </w:footnote>
  <w:footnote w:id="64">
    <w:p w14:paraId="74B299FB" w14:textId="77777777" w:rsidR="008D3ACD" w:rsidRPr="007F5302" w:rsidRDefault="008D3ACD" w:rsidP="000663F0">
      <w:pPr>
        <w:pStyle w:val="Textpoznpodarou"/>
        <w:jc w:val="both"/>
        <w:rPr>
          <w:sz w:val="16"/>
          <w:szCs w:val="16"/>
        </w:rPr>
      </w:pPr>
      <w:r w:rsidRPr="007F5302">
        <w:rPr>
          <w:rStyle w:val="Znakapoznpodarou"/>
          <w:sz w:val="16"/>
          <w:szCs w:val="16"/>
        </w:rPr>
        <w:footnoteRef/>
      </w:r>
      <w:r w:rsidRPr="007F5302">
        <w:rPr>
          <w:sz w:val="16"/>
          <w:szCs w:val="16"/>
        </w:rPr>
        <w:t xml:space="preserve"> </w:t>
      </w:r>
      <w:r>
        <w:rPr>
          <w:sz w:val="16"/>
          <w:szCs w:val="16"/>
        </w:rPr>
        <w:t>Za 1. až 3. čtvrtletí 2020 šlo</w:t>
      </w:r>
      <w:r>
        <w:rPr>
          <w:color w:val="0D0D0D" w:themeColor="text1" w:themeTint="F2"/>
          <w:sz w:val="16"/>
          <w:szCs w:val="16"/>
        </w:rPr>
        <w:t xml:space="preserve"> hlavně o výdaje do zdravotnictví (29,1 mld. korun, zejména n</w:t>
      </w:r>
      <w:r w:rsidRPr="00070A5B">
        <w:rPr>
          <w:color w:val="0D0D0D" w:themeColor="text1" w:themeTint="F2"/>
          <w:sz w:val="16"/>
          <w:szCs w:val="16"/>
        </w:rPr>
        <w:t>ákup och</w:t>
      </w:r>
      <w:r>
        <w:rPr>
          <w:color w:val="0D0D0D" w:themeColor="text1" w:themeTint="F2"/>
          <w:sz w:val="16"/>
          <w:szCs w:val="16"/>
        </w:rPr>
        <w:t xml:space="preserve">ranných prostředků </w:t>
      </w:r>
      <w:r w:rsidRPr="00070A5B">
        <w:rPr>
          <w:color w:val="0D0D0D" w:themeColor="text1" w:themeTint="F2"/>
          <w:sz w:val="16"/>
          <w:szCs w:val="16"/>
        </w:rPr>
        <w:t>v</w:t>
      </w:r>
      <w:r>
        <w:rPr>
          <w:color w:val="0D0D0D" w:themeColor="text1" w:themeTint="F2"/>
          <w:sz w:val="16"/>
          <w:szCs w:val="16"/>
        </w:rPr>
        <w:t> </w:t>
      </w:r>
      <w:r w:rsidRPr="00070A5B">
        <w:rPr>
          <w:color w:val="0D0D0D" w:themeColor="text1" w:themeTint="F2"/>
          <w:sz w:val="16"/>
          <w:szCs w:val="16"/>
        </w:rPr>
        <w:t>souvislosti s</w:t>
      </w:r>
      <w:r>
        <w:rPr>
          <w:color w:val="0D0D0D" w:themeColor="text1" w:themeTint="F2"/>
          <w:sz w:val="16"/>
          <w:szCs w:val="16"/>
        </w:rPr>
        <w:t> covidem-19, oddlužení vybraných nemocnic, posílení platby státu za státní</w:t>
      </w:r>
      <w:r w:rsidRPr="00043651">
        <w:rPr>
          <w:color w:val="0D0D0D" w:themeColor="text1" w:themeTint="F2"/>
          <w:sz w:val="16"/>
          <w:szCs w:val="16"/>
        </w:rPr>
        <w:t xml:space="preserve"> pojištěnce</w:t>
      </w:r>
      <w:r>
        <w:rPr>
          <w:color w:val="0D0D0D" w:themeColor="text1" w:themeTint="F2"/>
          <w:sz w:val="16"/>
          <w:szCs w:val="16"/>
        </w:rPr>
        <w:t xml:space="preserve"> a zvýšení</w:t>
      </w:r>
      <w:r w:rsidRPr="00F452E7">
        <w:rPr>
          <w:color w:val="0D0D0D" w:themeColor="text1" w:themeTint="F2"/>
          <w:sz w:val="16"/>
          <w:szCs w:val="16"/>
        </w:rPr>
        <w:t xml:space="preserve"> osobní</w:t>
      </w:r>
      <w:r>
        <w:rPr>
          <w:color w:val="0D0D0D" w:themeColor="text1" w:themeTint="F2"/>
          <w:sz w:val="16"/>
          <w:szCs w:val="16"/>
        </w:rPr>
        <w:t>ch nákladů</w:t>
      </w:r>
      <w:r w:rsidRPr="00F452E7">
        <w:rPr>
          <w:color w:val="0D0D0D" w:themeColor="text1" w:themeTint="F2"/>
          <w:sz w:val="16"/>
          <w:szCs w:val="16"/>
        </w:rPr>
        <w:t xml:space="preserve"> pracovníků ve zdravotnictví</w:t>
      </w:r>
      <w:r>
        <w:rPr>
          <w:color w:val="0D0D0D" w:themeColor="text1" w:themeTint="F2"/>
          <w:sz w:val="16"/>
          <w:szCs w:val="16"/>
        </w:rPr>
        <w:t>), dále o program Antivirus A+B (17,8 mld.), ošetřovné pro zaměstnance a OSVČ (10,9 mld.), jednorázovou kompenzaci</w:t>
      </w:r>
      <w:r w:rsidRPr="00F452E7">
        <w:rPr>
          <w:color w:val="0D0D0D" w:themeColor="text1" w:themeTint="F2"/>
          <w:sz w:val="16"/>
          <w:szCs w:val="16"/>
        </w:rPr>
        <w:t xml:space="preserve"> výpadku příjmů pro obce a</w:t>
      </w:r>
      <w:r>
        <w:rPr>
          <w:color w:val="0D0D0D" w:themeColor="text1" w:themeTint="F2"/>
          <w:sz w:val="16"/>
          <w:szCs w:val="16"/>
        </w:rPr>
        <w:t> </w:t>
      </w:r>
      <w:r w:rsidRPr="00F452E7">
        <w:rPr>
          <w:color w:val="0D0D0D" w:themeColor="text1" w:themeTint="F2"/>
          <w:sz w:val="16"/>
          <w:szCs w:val="16"/>
        </w:rPr>
        <w:t>města</w:t>
      </w:r>
      <w:r>
        <w:rPr>
          <w:color w:val="0D0D0D" w:themeColor="text1" w:themeTint="F2"/>
          <w:sz w:val="16"/>
          <w:szCs w:val="16"/>
        </w:rPr>
        <w:t xml:space="preserve"> (13,4 mld.) či navýšení prostředků na platy a odměny v sociálních službách a dalších vybraných oblastech veřejného sektoru mimo zdravotnictví (3,1 mld.).</w:t>
      </w:r>
    </w:p>
  </w:footnote>
  <w:footnote w:id="65">
    <w:p w14:paraId="02CA1A7D" w14:textId="77777777" w:rsidR="008D3ACD" w:rsidRPr="007F5302" w:rsidRDefault="008D3ACD" w:rsidP="000663F0">
      <w:pPr>
        <w:pStyle w:val="Textpoznpodarou"/>
        <w:jc w:val="both"/>
        <w:rPr>
          <w:sz w:val="16"/>
          <w:szCs w:val="16"/>
        </w:rPr>
      </w:pPr>
      <w:r w:rsidRPr="007F5302">
        <w:rPr>
          <w:rStyle w:val="Znakapoznpodarou"/>
          <w:sz w:val="16"/>
          <w:szCs w:val="16"/>
        </w:rPr>
        <w:footnoteRef/>
      </w:r>
      <w:r w:rsidRPr="007F5302">
        <w:rPr>
          <w:sz w:val="16"/>
          <w:szCs w:val="16"/>
        </w:rPr>
        <w:t xml:space="preserve"> </w:t>
      </w:r>
      <w:r>
        <w:rPr>
          <w:sz w:val="16"/>
          <w:szCs w:val="16"/>
        </w:rPr>
        <w:t>To se negativně projevilo v deficitu nemocenského pojištění, který se dle údajů České správy sociálního zabezpečení (ČSSZ) meziročně prohloubil (z –2,0 mld. korun na –18,1 mld. korun). Přispěl k tomu i téměř 9% pokles vybraného pojistného.</w:t>
      </w:r>
    </w:p>
  </w:footnote>
  <w:footnote w:id="66">
    <w:p w14:paraId="1E66DAE5" w14:textId="77777777" w:rsidR="008D3ACD" w:rsidRPr="00396298" w:rsidRDefault="008D3ACD" w:rsidP="000663F0">
      <w:pPr>
        <w:pStyle w:val="Textpoznpodarou"/>
        <w:rPr>
          <w:sz w:val="16"/>
          <w:szCs w:val="16"/>
        </w:rPr>
      </w:pPr>
      <w:r w:rsidRPr="00396298">
        <w:rPr>
          <w:rStyle w:val="Znakapoznpodarou"/>
          <w:sz w:val="16"/>
          <w:szCs w:val="16"/>
        </w:rPr>
        <w:footnoteRef/>
      </w:r>
      <w:r w:rsidRPr="00396298">
        <w:rPr>
          <w:sz w:val="16"/>
          <w:szCs w:val="16"/>
        </w:rPr>
        <w:t xml:space="preserve"> Z údajů ČSSZ o</w:t>
      </w:r>
      <w:r>
        <w:rPr>
          <w:sz w:val="16"/>
          <w:szCs w:val="16"/>
        </w:rPr>
        <w:t> </w:t>
      </w:r>
      <w:r w:rsidRPr="00396298">
        <w:rPr>
          <w:sz w:val="16"/>
          <w:szCs w:val="16"/>
        </w:rPr>
        <w:t>dočasné pracovní neschopnosti plyne, že zatímco v 1.</w:t>
      </w:r>
      <w:r>
        <w:rPr>
          <w:sz w:val="16"/>
          <w:szCs w:val="16"/>
        </w:rPr>
        <w:t> čtvrtlet</w:t>
      </w:r>
      <w:r w:rsidRPr="00396298">
        <w:rPr>
          <w:sz w:val="16"/>
          <w:szCs w:val="16"/>
        </w:rPr>
        <w:t>í 2020 počet proston</w:t>
      </w:r>
      <w:r>
        <w:rPr>
          <w:sz w:val="16"/>
          <w:szCs w:val="16"/>
        </w:rPr>
        <w:t>aných dnů meziročně klesl o 1,5 </w:t>
      </w:r>
      <w:r w:rsidRPr="00396298">
        <w:rPr>
          <w:sz w:val="16"/>
          <w:szCs w:val="16"/>
        </w:rPr>
        <w:t>%, ve 2.</w:t>
      </w:r>
      <w:r>
        <w:rPr>
          <w:sz w:val="16"/>
          <w:szCs w:val="16"/>
        </w:rPr>
        <w:t> čtvrtlet</w:t>
      </w:r>
      <w:r w:rsidRPr="00396298">
        <w:rPr>
          <w:sz w:val="16"/>
          <w:szCs w:val="16"/>
        </w:rPr>
        <w:t>í vzrostl o</w:t>
      </w:r>
      <w:r>
        <w:rPr>
          <w:sz w:val="16"/>
          <w:szCs w:val="16"/>
        </w:rPr>
        <w:t> </w:t>
      </w:r>
      <w:r w:rsidRPr="00396298">
        <w:rPr>
          <w:sz w:val="16"/>
          <w:szCs w:val="16"/>
        </w:rPr>
        <w:t>15,8</w:t>
      </w:r>
      <w:r>
        <w:rPr>
          <w:sz w:val="16"/>
          <w:szCs w:val="16"/>
        </w:rPr>
        <w:t> %</w:t>
      </w:r>
      <w:r w:rsidRPr="00396298">
        <w:rPr>
          <w:sz w:val="16"/>
          <w:szCs w:val="16"/>
        </w:rPr>
        <w:t xml:space="preserve"> a</w:t>
      </w:r>
      <w:r>
        <w:rPr>
          <w:sz w:val="16"/>
          <w:szCs w:val="16"/>
        </w:rPr>
        <w:t> </w:t>
      </w:r>
      <w:r w:rsidRPr="00396298">
        <w:rPr>
          <w:sz w:val="16"/>
          <w:szCs w:val="16"/>
        </w:rPr>
        <w:t>v následujícím kvartálu o</w:t>
      </w:r>
      <w:r>
        <w:rPr>
          <w:sz w:val="16"/>
          <w:szCs w:val="16"/>
        </w:rPr>
        <w:t> </w:t>
      </w:r>
      <w:r w:rsidRPr="00396298">
        <w:rPr>
          <w:sz w:val="16"/>
          <w:szCs w:val="16"/>
        </w:rPr>
        <w:t>13,4</w:t>
      </w:r>
      <w:r>
        <w:rPr>
          <w:sz w:val="16"/>
          <w:szCs w:val="16"/>
        </w:rPr>
        <w:t> %</w:t>
      </w:r>
      <w:r w:rsidRPr="00396298">
        <w:rPr>
          <w:sz w:val="16"/>
          <w:szCs w:val="16"/>
        </w:rPr>
        <w:t>.</w:t>
      </w:r>
    </w:p>
  </w:footnote>
  <w:footnote w:id="67">
    <w:p w14:paraId="6AE8407C" w14:textId="77777777" w:rsidR="008D3ACD" w:rsidRPr="008C39E0" w:rsidRDefault="008D3ACD" w:rsidP="000663F0">
      <w:pPr>
        <w:pStyle w:val="Textpoznpodarou"/>
        <w:rPr>
          <w:sz w:val="16"/>
          <w:szCs w:val="16"/>
        </w:rPr>
      </w:pPr>
      <w:r w:rsidRPr="008C39E0">
        <w:rPr>
          <w:rStyle w:val="Znakapoznpodarou"/>
          <w:sz w:val="16"/>
          <w:szCs w:val="16"/>
        </w:rPr>
        <w:footnoteRef/>
      </w:r>
      <w:r w:rsidRPr="008C39E0">
        <w:rPr>
          <w:sz w:val="16"/>
          <w:szCs w:val="16"/>
        </w:rPr>
        <w:t xml:space="preserve"> </w:t>
      </w:r>
      <w:r>
        <w:rPr>
          <w:sz w:val="16"/>
          <w:szCs w:val="16"/>
        </w:rPr>
        <w:t>V září 2020 činil p</w:t>
      </w:r>
      <w:r w:rsidRPr="008C39E0">
        <w:rPr>
          <w:sz w:val="16"/>
          <w:szCs w:val="16"/>
        </w:rPr>
        <w:t>očet osob s nárokem na podporu v nezaměstn</w:t>
      </w:r>
      <w:r>
        <w:rPr>
          <w:sz w:val="16"/>
          <w:szCs w:val="16"/>
        </w:rPr>
        <w:t>anosti</w:t>
      </w:r>
      <w:r w:rsidRPr="008C39E0">
        <w:rPr>
          <w:sz w:val="16"/>
          <w:szCs w:val="16"/>
        </w:rPr>
        <w:t xml:space="preserve"> 85,5</w:t>
      </w:r>
      <w:r>
        <w:rPr>
          <w:sz w:val="16"/>
          <w:szCs w:val="16"/>
        </w:rPr>
        <w:t> tis.</w:t>
      </w:r>
      <w:r w:rsidRPr="008C39E0">
        <w:rPr>
          <w:sz w:val="16"/>
          <w:szCs w:val="16"/>
        </w:rPr>
        <w:t>, o</w:t>
      </w:r>
      <w:r>
        <w:rPr>
          <w:sz w:val="16"/>
          <w:szCs w:val="16"/>
        </w:rPr>
        <w:t> </w:t>
      </w:r>
      <w:r w:rsidRPr="008C39E0">
        <w:rPr>
          <w:sz w:val="16"/>
          <w:szCs w:val="16"/>
        </w:rPr>
        <w:t>rok dříve 70,7</w:t>
      </w:r>
      <w:r>
        <w:rPr>
          <w:sz w:val="16"/>
          <w:szCs w:val="16"/>
        </w:rPr>
        <w:t> tis. Počet všech registrovaných uchazečů o práci se přitom zvyšoval rychleji (z 202 na 277 tis.).</w:t>
      </w:r>
    </w:p>
  </w:footnote>
  <w:footnote w:id="68">
    <w:p w14:paraId="6AFEB5DA" w14:textId="77777777" w:rsidR="008D3ACD" w:rsidRPr="006D61C4" w:rsidRDefault="008D3ACD" w:rsidP="000663F0">
      <w:pPr>
        <w:pStyle w:val="Textpoznpodarou"/>
        <w:jc w:val="both"/>
        <w:rPr>
          <w:sz w:val="16"/>
          <w:szCs w:val="16"/>
        </w:rPr>
      </w:pPr>
      <w:r w:rsidRPr="006D61C4">
        <w:rPr>
          <w:rStyle w:val="Znakapoznpodarou"/>
          <w:sz w:val="16"/>
          <w:szCs w:val="16"/>
        </w:rPr>
        <w:footnoteRef/>
      </w:r>
      <w:r w:rsidRPr="006D61C4">
        <w:rPr>
          <w:sz w:val="16"/>
          <w:szCs w:val="16"/>
        </w:rPr>
        <w:t xml:space="preserve"> </w:t>
      </w:r>
      <w:r>
        <w:rPr>
          <w:color w:val="0D0D0D" w:themeColor="text1" w:themeTint="F2"/>
          <w:spacing w:val="-2"/>
          <w:sz w:val="16"/>
          <w:szCs w:val="16"/>
        </w:rPr>
        <w:t>Základní výměra</w:t>
      </w:r>
      <w:r w:rsidRPr="008274EF">
        <w:rPr>
          <w:color w:val="0D0D0D" w:themeColor="text1" w:themeTint="F2"/>
          <w:spacing w:val="-2"/>
          <w:sz w:val="16"/>
          <w:szCs w:val="16"/>
        </w:rPr>
        <w:t xml:space="preserve"> důchodu </w:t>
      </w:r>
      <w:r>
        <w:rPr>
          <w:color w:val="0D0D0D" w:themeColor="text1" w:themeTint="F2"/>
          <w:spacing w:val="-2"/>
          <w:sz w:val="16"/>
          <w:szCs w:val="16"/>
        </w:rPr>
        <w:t>se zvýšila o 220 korun (na 3 490 korun), procentní výměra vzrostla o 5,2 % a o dodatečnou částku 151 korun. Dle údajů ČSSZ činil průměrný měsíční starobní důchod (sólo) ve 3. čtvrtletí 14 448 korun, meziročně o 1 040 korun více.</w:t>
      </w:r>
    </w:p>
  </w:footnote>
  <w:footnote w:id="69">
    <w:p w14:paraId="4893601C" w14:textId="77777777" w:rsidR="008D3ACD" w:rsidRPr="006B5B53" w:rsidRDefault="008D3ACD" w:rsidP="000663F0">
      <w:pPr>
        <w:pStyle w:val="Textpoznpodarou"/>
        <w:jc w:val="both"/>
      </w:pPr>
      <w:r w:rsidRPr="000315DB">
        <w:rPr>
          <w:rStyle w:val="Znakapoznpodarou"/>
          <w:sz w:val="16"/>
          <w:szCs w:val="16"/>
        </w:rPr>
        <w:footnoteRef/>
      </w:r>
      <w:r>
        <w:rPr>
          <w:sz w:val="16"/>
          <w:szCs w:val="16"/>
        </w:rPr>
        <w:t xml:space="preserve"> Šlo o </w:t>
      </w:r>
      <w:r w:rsidRPr="00FD2E24">
        <w:rPr>
          <w:color w:val="0D0D0D" w:themeColor="text1" w:themeTint="F2"/>
          <w:spacing w:val="-2"/>
          <w:sz w:val="16"/>
          <w:szCs w:val="16"/>
        </w:rPr>
        <w:t xml:space="preserve">zrušení minimálních záloh pro OSVČ na sociální pojištění s odhadovaným </w:t>
      </w:r>
      <w:r>
        <w:rPr>
          <w:color w:val="0D0D0D" w:themeColor="text1" w:themeTint="F2"/>
          <w:spacing w:val="-2"/>
          <w:sz w:val="16"/>
          <w:szCs w:val="16"/>
        </w:rPr>
        <w:t>rozpočtovým dopadem ve výši 7,4 mld. korun a dále o p</w:t>
      </w:r>
      <w:r w:rsidRPr="002A7CDF">
        <w:rPr>
          <w:color w:val="0D0D0D" w:themeColor="text1" w:themeTint="F2"/>
          <w:spacing w:val="-2"/>
          <w:sz w:val="16"/>
          <w:szCs w:val="16"/>
        </w:rPr>
        <w:t>rominutí pojistné</w:t>
      </w:r>
      <w:r>
        <w:rPr>
          <w:color w:val="0D0D0D" w:themeColor="text1" w:themeTint="F2"/>
          <w:spacing w:val="-2"/>
          <w:sz w:val="16"/>
          <w:szCs w:val="16"/>
        </w:rPr>
        <w:t>ho na sociální zabezpečení a politiku zaměstnanosti</w:t>
      </w:r>
      <w:r w:rsidRPr="002A7CDF">
        <w:rPr>
          <w:color w:val="0D0D0D" w:themeColor="text1" w:themeTint="F2"/>
          <w:spacing w:val="-2"/>
          <w:sz w:val="16"/>
          <w:szCs w:val="16"/>
        </w:rPr>
        <w:t xml:space="preserve"> placeného zaměstnavatelem</w:t>
      </w:r>
      <w:r>
        <w:rPr>
          <w:color w:val="0D0D0D" w:themeColor="text1" w:themeTint="F2"/>
          <w:spacing w:val="-2"/>
          <w:sz w:val="16"/>
          <w:szCs w:val="16"/>
        </w:rPr>
        <w:t xml:space="preserve"> (13,3 mld.).</w:t>
      </w:r>
    </w:p>
  </w:footnote>
  <w:footnote w:id="70">
    <w:p w14:paraId="58DAEC02" w14:textId="77777777" w:rsidR="008D3ACD" w:rsidRPr="00760C00" w:rsidRDefault="008D3ACD" w:rsidP="000663F0">
      <w:pPr>
        <w:pStyle w:val="Textpoznpodarou"/>
        <w:jc w:val="both"/>
        <w:rPr>
          <w:spacing w:val="-2"/>
        </w:rPr>
      </w:pPr>
      <w:r w:rsidRPr="00760C00">
        <w:rPr>
          <w:rStyle w:val="Znakapoznpodarou"/>
          <w:spacing w:val="-2"/>
          <w:sz w:val="16"/>
          <w:szCs w:val="16"/>
        </w:rPr>
        <w:footnoteRef/>
      </w:r>
      <w:r w:rsidRPr="00760C00">
        <w:rPr>
          <w:spacing w:val="-2"/>
          <w:sz w:val="16"/>
          <w:szCs w:val="16"/>
        </w:rPr>
        <w:t xml:space="preserve"> Je vyjádřeno jako </w:t>
      </w:r>
      <w:r w:rsidRPr="00760C00">
        <w:rPr>
          <w:rFonts w:cs="Arial"/>
          <w:color w:val="000000" w:themeColor="text1"/>
          <w:spacing w:val="-2"/>
          <w:sz w:val="16"/>
          <w:szCs w:val="16"/>
        </w:rPr>
        <w:t xml:space="preserve">rozdíl mezi příjmy a výdaji na důchody ze SR. Ve výdajích nejsou zahrnuty prostředky na správu systému důchodového </w:t>
      </w:r>
      <w:r w:rsidRPr="00760C00">
        <w:rPr>
          <w:rFonts w:cs="Arial"/>
          <w:color w:val="0D0D0D" w:themeColor="text1" w:themeTint="F2"/>
          <w:spacing w:val="-2"/>
          <w:sz w:val="16"/>
          <w:szCs w:val="16"/>
        </w:rPr>
        <w:t xml:space="preserve">pojištění (za celý rok 2019 dosáhly </w:t>
      </w:r>
      <w:r w:rsidRPr="00760C00">
        <w:rPr>
          <w:rFonts w:cs="Arial"/>
          <w:color w:val="000000" w:themeColor="text1"/>
          <w:spacing w:val="-2"/>
          <w:sz w:val="16"/>
          <w:szCs w:val="16"/>
        </w:rPr>
        <w:t>dle údajů MF 6,3 mld. korun).</w:t>
      </w:r>
    </w:p>
  </w:footnote>
  <w:footnote w:id="71">
    <w:p w14:paraId="619D00C3" w14:textId="77777777" w:rsidR="008D3ACD" w:rsidRPr="00760C00" w:rsidRDefault="008D3ACD" w:rsidP="000663F0">
      <w:pPr>
        <w:pStyle w:val="Textpoznpodarou"/>
        <w:rPr>
          <w:spacing w:val="-4"/>
          <w:sz w:val="16"/>
          <w:szCs w:val="16"/>
        </w:rPr>
      </w:pPr>
      <w:r w:rsidRPr="00760C00">
        <w:rPr>
          <w:rStyle w:val="Znakapoznpodarou"/>
          <w:spacing w:val="-4"/>
          <w:sz w:val="16"/>
          <w:szCs w:val="16"/>
        </w:rPr>
        <w:footnoteRef/>
      </w:r>
      <w:r w:rsidRPr="00760C00">
        <w:rPr>
          <w:spacing w:val="-4"/>
          <w:sz w:val="16"/>
          <w:szCs w:val="16"/>
        </w:rPr>
        <w:t xml:space="preserve"> Navzdory růstu investiční aktivity SR dosáhlo čerpání v této oblasti za tři čtvrtletí 2020 jen 62</w:t>
      </w:r>
      <w:r>
        <w:rPr>
          <w:spacing w:val="-4"/>
          <w:sz w:val="16"/>
          <w:szCs w:val="16"/>
        </w:rPr>
        <w:t> %</w:t>
      </w:r>
      <w:r w:rsidRPr="00760C00">
        <w:rPr>
          <w:spacing w:val="-4"/>
          <w:sz w:val="16"/>
          <w:szCs w:val="16"/>
        </w:rPr>
        <w:t xml:space="preserve"> celoročního rozpočtem očekávaného objemu.</w:t>
      </w:r>
    </w:p>
  </w:footnote>
  <w:footnote w:id="72">
    <w:p w14:paraId="5F33123A" w14:textId="77777777" w:rsidR="008D3ACD" w:rsidRPr="00760C00" w:rsidRDefault="008D3ACD" w:rsidP="000663F0">
      <w:pPr>
        <w:pStyle w:val="Textpoznpodarou"/>
        <w:jc w:val="both"/>
        <w:rPr>
          <w:spacing w:val="-2"/>
          <w:sz w:val="16"/>
          <w:szCs w:val="16"/>
        </w:rPr>
      </w:pPr>
      <w:r w:rsidRPr="00760C00">
        <w:rPr>
          <w:rStyle w:val="Znakapoznpodarou"/>
          <w:spacing w:val="-2"/>
          <w:sz w:val="16"/>
          <w:szCs w:val="16"/>
        </w:rPr>
        <w:footnoteRef/>
      </w:r>
      <w:r w:rsidRPr="00760C00">
        <w:rPr>
          <w:spacing w:val="-2"/>
          <w:sz w:val="16"/>
          <w:szCs w:val="16"/>
        </w:rPr>
        <w:t xml:space="preserve"> </w:t>
      </w:r>
      <w:r w:rsidRPr="00760C00">
        <w:rPr>
          <w:color w:val="0D0D0D" w:themeColor="text1" w:themeTint="F2"/>
          <w:spacing w:val="-2"/>
          <w:sz w:val="16"/>
          <w:szCs w:val="16"/>
        </w:rPr>
        <w:t>Jejich</w:t>
      </w:r>
      <w:r>
        <w:rPr>
          <w:color w:val="0D0D0D" w:themeColor="text1" w:themeTint="F2"/>
          <w:spacing w:val="-2"/>
          <w:sz w:val="16"/>
          <w:szCs w:val="16"/>
        </w:rPr>
        <w:t xml:space="preserve"> průměrný roční výnos činil 1,13</w:t>
      </w:r>
      <w:r w:rsidRPr="00760C00">
        <w:rPr>
          <w:color w:val="0D0D0D" w:themeColor="text1" w:themeTint="F2"/>
          <w:spacing w:val="-2"/>
          <w:sz w:val="16"/>
          <w:szCs w:val="16"/>
        </w:rPr>
        <w:t xml:space="preserve"> %, </w:t>
      </w:r>
      <w:r>
        <w:rPr>
          <w:color w:val="0D0D0D" w:themeColor="text1" w:themeTint="F2"/>
          <w:spacing w:val="-2"/>
          <w:sz w:val="16"/>
          <w:szCs w:val="16"/>
        </w:rPr>
        <w:t>průměrná doba splatnosti pak 5,8</w:t>
      </w:r>
      <w:r w:rsidRPr="00760C00">
        <w:rPr>
          <w:color w:val="0D0D0D" w:themeColor="text1" w:themeTint="F2"/>
          <w:spacing w:val="-2"/>
          <w:sz w:val="16"/>
          <w:szCs w:val="16"/>
        </w:rPr>
        <w:t> roku.</w:t>
      </w:r>
    </w:p>
  </w:footnote>
  <w:footnote w:id="73">
    <w:p w14:paraId="454F2FA9" w14:textId="77777777" w:rsidR="008D3ACD" w:rsidRPr="007F5302" w:rsidRDefault="008D3ACD" w:rsidP="000663F0">
      <w:pPr>
        <w:pStyle w:val="Textpoznpodarou"/>
        <w:jc w:val="both"/>
        <w:rPr>
          <w:sz w:val="16"/>
          <w:szCs w:val="16"/>
        </w:rPr>
      </w:pPr>
      <w:r w:rsidRPr="00760C00">
        <w:rPr>
          <w:rStyle w:val="Znakapoznpodarou"/>
          <w:spacing w:val="-2"/>
          <w:sz w:val="16"/>
          <w:szCs w:val="16"/>
        </w:rPr>
        <w:footnoteRef/>
      </w:r>
      <w:r w:rsidRPr="00760C00">
        <w:rPr>
          <w:spacing w:val="-2"/>
          <w:sz w:val="16"/>
          <w:szCs w:val="16"/>
        </w:rPr>
        <w:t xml:space="preserve"> </w:t>
      </w:r>
      <w:r w:rsidRPr="00760C00">
        <w:rPr>
          <w:color w:val="0D0D0D" w:themeColor="text1" w:themeTint="F2"/>
          <w:spacing w:val="-2"/>
          <w:sz w:val="16"/>
          <w:szCs w:val="16"/>
        </w:rPr>
        <w:t>Odpovídá saldu rozpočtové kapitoly Státní dluh (č. 396). Je tvořen čistými úrokovými výdaji a též poplatky.</w:t>
      </w:r>
    </w:p>
  </w:footnote>
  <w:footnote w:id="74">
    <w:p w14:paraId="09E43227" w14:textId="77777777" w:rsidR="008D3ACD" w:rsidRPr="004E709A" w:rsidRDefault="008D3ACD" w:rsidP="000663F0">
      <w:pPr>
        <w:pStyle w:val="Textpoznpodarou"/>
        <w:rPr>
          <w:spacing w:val="-2"/>
          <w:sz w:val="16"/>
          <w:szCs w:val="16"/>
        </w:rPr>
      </w:pPr>
      <w:r w:rsidRPr="004E709A">
        <w:rPr>
          <w:rStyle w:val="Znakapoznpodarou"/>
          <w:spacing w:val="-2"/>
          <w:sz w:val="16"/>
          <w:szCs w:val="16"/>
        </w:rPr>
        <w:footnoteRef/>
      </w:r>
      <w:r w:rsidRPr="004E709A">
        <w:rPr>
          <w:spacing w:val="-2"/>
          <w:sz w:val="16"/>
          <w:szCs w:val="16"/>
        </w:rPr>
        <w:t xml:space="preserve"> Údaje za Irsko, Slovensko, Chorvatsko, Itálii, Kypr, Řecko a</w:t>
      </w:r>
      <w:r>
        <w:rPr>
          <w:spacing w:val="-2"/>
          <w:sz w:val="16"/>
          <w:szCs w:val="16"/>
        </w:rPr>
        <w:t> </w:t>
      </w:r>
      <w:r w:rsidRPr="004E709A">
        <w:rPr>
          <w:spacing w:val="-2"/>
          <w:sz w:val="16"/>
          <w:szCs w:val="16"/>
        </w:rPr>
        <w:t>Španělsko jsou k dispozici pouze bez sezónního a</w:t>
      </w:r>
      <w:r>
        <w:rPr>
          <w:spacing w:val="-2"/>
          <w:sz w:val="16"/>
          <w:szCs w:val="16"/>
        </w:rPr>
        <w:t> </w:t>
      </w:r>
      <w:r w:rsidRPr="004E709A">
        <w:rPr>
          <w:spacing w:val="-2"/>
          <w:sz w:val="16"/>
          <w:szCs w:val="16"/>
        </w:rPr>
        <w:t>kalendářního očištění. Dle nich docílily v 1.</w:t>
      </w:r>
      <w:r>
        <w:rPr>
          <w:spacing w:val="-2"/>
          <w:sz w:val="16"/>
          <w:szCs w:val="16"/>
        </w:rPr>
        <w:t> pololet</w:t>
      </w:r>
      <w:r w:rsidRPr="004E709A">
        <w:rPr>
          <w:spacing w:val="-2"/>
          <w:sz w:val="16"/>
          <w:szCs w:val="16"/>
        </w:rPr>
        <w:t>í nejhlubší</w:t>
      </w:r>
      <w:r>
        <w:rPr>
          <w:spacing w:val="-2"/>
          <w:sz w:val="16"/>
          <w:szCs w:val="16"/>
        </w:rPr>
        <w:t>ho</w:t>
      </w:r>
      <w:r w:rsidRPr="004E709A">
        <w:rPr>
          <w:spacing w:val="-2"/>
          <w:sz w:val="16"/>
          <w:szCs w:val="16"/>
        </w:rPr>
        <w:t xml:space="preserve"> deficitu Španělsko (</w:t>
      </w:r>
      <w:r>
        <w:rPr>
          <w:spacing w:val="-2"/>
          <w:sz w:val="16"/>
          <w:szCs w:val="16"/>
        </w:rPr>
        <w:t>–</w:t>
      </w:r>
      <w:r w:rsidRPr="004E709A">
        <w:rPr>
          <w:spacing w:val="-2"/>
          <w:sz w:val="16"/>
          <w:szCs w:val="16"/>
        </w:rPr>
        <w:t>14</w:t>
      </w:r>
      <w:r>
        <w:rPr>
          <w:spacing w:val="-2"/>
          <w:sz w:val="16"/>
          <w:szCs w:val="16"/>
        </w:rPr>
        <w:t> %</w:t>
      </w:r>
      <w:r w:rsidRPr="004E709A">
        <w:rPr>
          <w:spacing w:val="-2"/>
          <w:sz w:val="16"/>
          <w:szCs w:val="16"/>
        </w:rPr>
        <w:t xml:space="preserve"> HDP) a</w:t>
      </w:r>
      <w:r>
        <w:rPr>
          <w:spacing w:val="-2"/>
          <w:sz w:val="16"/>
          <w:szCs w:val="16"/>
        </w:rPr>
        <w:t> </w:t>
      </w:r>
      <w:r w:rsidRPr="004E709A">
        <w:rPr>
          <w:spacing w:val="-2"/>
          <w:sz w:val="16"/>
          <w:szCs w:val="16"/>
        </w:rPr>
        <w:t>Itálie (</w:t>
      </w:r>
      <w:r>
        <w:rPr>
          <w:spacing w:val="-2"/>
          <w:sz w:val="16"/>
          <w:szCs w:val="16"/>
        </w:rPr>
        <w:t>–</w:t>
      </w:r>
      <w:r w:rsidRPr="004E709A">
        <w:rPr>
          <w:spacing w:val="-2"/>
          <w:sz w:val="16"/>
          <w:szCs w:val="16"/>
        </w:rPr>
        <w:t>10</w:t>
      </w:r>
      <w:r>
        <w:rPr>
          <w:spacing w:val="-2"/>
          <w:sz w:val="16"/>
          <w:szCs w:val="16"/>
        </w:rPr>
        <w:t> %</w:t>
      </w:r>
      <w:r w:rsidRPr="004E709A">
        <w:rPr>
          <w:spacing w:val="-2"/>
          <w:sz w:val="16"/>
          <w:szCs w:val="16"/>
        </w:rPr>
        <w:t xml:space="preserve"> HDP), relativně nejnižšího pak Slovensko (</w:t>
      </w:r>
      <w:r>
        <w:rPr>
          <w:spacing w:val="-2"/>
          <w:sz w:val="16"/>
          <w:szCs w:val="16"/>
        </w:rPr>
        <w:t>–</w:t>
      </w:r>
      <w:r w:rsidRPr="004E709A">
        <w:rPr>
          <w:spacing w:val="-2"/>
          <w:sz w:val="16"/>
          <w:szCs w:val="16"/>
        </w:rPr>
        <w:t>5</w:t>
      </w:r>
      <w:r>
        <w:rPr>
          <w:spacing w:val="-2"/>
          <w:sz w:val="16"/>
          <w:szCs w:val="16"/>
        </w:rPr>
        <w:t> %</w:t>
      </w:r>
      <w:r w:rsidRPr="004E709A">
        <w:rPr>
          <w:spacing w:val="-2"/>
          <w:sz w:val="16"/>
          <w:szCs w:val="16"/>
        </w:rPr>
        <w:t xml:space="preserve"> HDP).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985C8" w14:textId="77777777" w:rsidR="008D3ACD" w:rsidRDefault="008D3ACD" w:rsidP="00937AE2">
    <w:pPr>
      <w:pStyle w:val="Zhlav"/>
    </w:pPr>
    <w:r>
      <w:t>Vývoj ekonomiky České republiky</w:t>
    </w:r>
  </w:p>
  <w:p w14:paraId="675E4C41" w14:textId="77777777" w:rsidR="008D3ACD" w:rsidRPr="006F5416" w:rsidRDefault="008D3ACD"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812FB" w14:textId="77777777" w:rsidR="008D3ACD" w:rsidRDefault="008D3ACD" w:rsidP="00937AE2">
    <w:pPr>
      <w:pStyle w:val="Zhlav"/>
    </w:pPr>
    <w:r>
      <w:t>Vývoj ekonomiky České republiky</w:t>
    </w:r>
  </w:p>
  <w:p w14:paraId="0CDCFD48" w14:textId="77777777" w:rsidR="008D3ACD" w:rsidRPr="006F5416" w:rsidRDefault="008D3ACD"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D7494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B55"/>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29B7"/>
    <w:rsid w:val="0001387D"/>
    <w:rsid w:val="00014ED0"/>
    <w:rsid w:val="00016420"/>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7191"/>
    <w:rsid w:val="000974D1"/>
    <w:rsid w:val="00097784"/>
    <w:rsid w:val="0009799E"/>
    <w:rsid w:val="000A07CB"/>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FF4"/>
    <w:rsid w:val="000B03CC"/>
    <w:rsid w:val="000B4212"/>
    <w:rsid w:val="000B67B7"/>
    <w:rsid w:val="000C0EA8"/>
    <w:rsid w:val="000C13A2"/>
    <w:rsid w:val="000C21E7"/>
    <w:rsid w:val="000C23EC"/>
    <w:rsid w:val="000C30C3"/>
    <w:rsid w:val="000C3408"/>
    <w:rsid w:val="000C35AB"/>
    <w:rsid w:val="000C3F7B"/>
    <w:rsid w:val="000C4769"/>
    <w:rsid w:val="000C4D56"/>
    <w:rsid w:val="000C5DFA"/>
    <w:rsid w:val="000C6AFD"/>
    <w:rsid w:val="000C6C90"/>
    <w:rsid w:val="000C72B7"/>
    <w:rsid w:val="000D0A26"/>
    <w:rsid w:val="000D3058"/>
    <w:rsid w:val="000D310A"/>
    <w:rsid w:val="000D3EF4"/>
    <w:rsid w:val="000D4DC0"/>
    <w:rsid w:val="000D5637"/>
    <w:rsid w:val="000D6F4E"/>
    <w:rsid w:val="000D73BB"/>
    <w:rsid w:val="000E0E96"/>
    <w:rsid w:val="000E298B"/>
    <w:rsid w:val="000E2C7D"/>
    <w:rsid w:val="000E440D"/>
    <w:rsid w:val="000E4AC5"/>
    <w:rsid w:val="000E6253"/>
    <w:rsid w:val="000E6E4D"/>
    <w:rsid w:val="000E6FBD"/>
    <w:rsid w:val="000E6FCB"/>
    <w:rsid w:val="000F090B"/>
    <w:rsid w:val="000F3F3B"/>
    <w:rsid w:val="000F47E8"/>
    <w:rsid w:val="000F70E4"/>
    <w:rsid w:val="000F76EA"/>
    <w:rsid w:val="00100A8B"/>
    <w:rsid w:val="00100F5C"/>
    <w:rsid w:val="00101CDA"/>
    <w:rsid w:val="00102037"/>
    <w:rsid w:val="00103DCB"/>
    <w:rsid w:val="00104C4C"/>
    <w:rsid w:val="00105015"/>
    <w:rsid w:val="001055D2"/>
    <w:rsid w:val="001057C2"/>
    <w:rsid w:val="0011038E"/>
    <w:rsid w:val="001125EF"/>
    <w:rsid w:val="00112CAB"/>
    <w:rsid w:val="00114C33"/>
    <w:rsid w:val="00116D3F"/>
    <w:rsid w:val="00117474"/>
    <w:rsid w:val="00117623"/>
    <w:rsid w:val="00117FEA"/>
    <w:rsid w:val="001200CF"/>
    <w:rsid w:val="001208E3"/>
    <w:rsid w:val="0012192F"/>
    <w:rsid w:val="0012299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2B29"/>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9F5"/>
    <w:rsid w:val="00167B92"/>
    <w:rsid w:val="00167CB9"/>
    <w:rsid w:val="00167DD8"/>
    <w:rsid w:val="001705AD"/>
    <w:rsid w:val="001706D6"/>
    <w:rsid w:val="001714F2"/>
    <w:rsid w:val="00171FEA"/>
    <w:rsid w:val="00173622"/>
    <w:rsid w:val="00175B9F"/>
    <w:rsid w:val="001762F4"/>
    <w:rsid w:val="00181BBC"/>
    <w:rsid w:val="0018385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A0487"/>
    <w:rsid w:val="001A0675"/>
    <w:rsid w:val="001A1F68"/>
    <w:rsid w:val="001A21FA"/>
    <w:rsid w:val="001A4EF0"/>
    <w:rsid w:val="001A552F"/>
    <w:rsid w:val="001A70B1"/>
    <w:rsid w:val="001B0738"/>
    <w:rsid w:val="001B2CA9"/>
    <w:rsid w:val="001B3110"/>
    <w:rsid w:val="001B3E38"/>
    <w:rsid w:val="001B40F5"/>
    <w:rsid w:val="001B4729"/>
    <w:rsid w:val="001B4F0E"/>
    <w:rsid w:val="001B5F40"/>
    <w:rsid w:val="001B6310"/>
    <w:rsid w:val="001B6C09"/>
    <w:rsid w:val="001B6E12"/>
    <w:rsid w:val="001C05CD"/>
    <w:rsid w:val="001C0F17"/>
    <w:rsid w:val="001C1B24"/>
    <w:rsid w:val="001C1B66"/>
    <w:rsid w:val="001C31A2"/>
    <w:rsid w:val="001C351D"/>
    <w:rsid w:val="001C4B8F"/>
    <w:rsid w:val="001C4BB8"/>
    <w:rsid w:val="001C4FD0"/>
    <w:rsid w:val="001C5E46"/>
    <w:rsid w:val="001C6B3B"/>
    <w:rsid w:val="001C7A26"/>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6CD3"/>
    <w:rsid w:val="001F7CE0"/>
    <w:rsid w:val="00200085"/>
    <w:rsid w:val="00203332"/>
    <w:rsid w:val="00203CD5"/>
    <w:rsid w:val="00203D8F"/>
    <w:rsid w:val="00203DA4"/>
    <w:rsid w:val="00204EA6"/>
    <w:rsid w:val="00205186"/>
    <w:rsid w:val="00206516"/>
    <w:rsid w:val="002071D5"/>
    <w:rsid w:val="002111E5"/>
    <w:rsid w:val="002118B9"/>
    <w:rsid w:val="00213691"/>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B06"/>
    <w:rsid w:val="0024343A"/>
    <w:rsid w:val="002436BA"/>
    <w:rsid w:val="00244652"/>
    <w:rsid w:val="00244A15"/>
    <w:rsid w:val="002452D9"/>
    <w:rsid w:val="00247319"/>
    <w:rsid w:val="0024799E"/>
    <w:rsid w:val="00247E60"/>
    <w:rsid w:val="00251B08"/>
    <w:rsid w:val="00251C53"/>
    <w:rsid w:val="00252AB9"/>
    <w:rsid w:val="002532B1"/>
    <w:rsid w:val="00253C0F"/>
    <w:rsid w:val="002558C1"/>
    <w:rsid w:val="00256207"/>
    <w:rsid w:val="002575F3"/>
    <w:rsid w:val="002603E1"/>
    <w:rsid w:val="0026120E"/>
    <w:rsid w:val="00262582"/>
    <w:rsid w:val="0026291D"/>
    <w:rsid w:val="00262CF3"/>
    <w:rsid w:val="00264309"/>
    <w:rsid w:val="0026564B"/>
    <w:rsid w:val="00265C83"/>
    <w:rsid w:val="00265E85"/>
    <w:rsid w:val="00267B49"/>
    <w:rsid w:val="002700D9"/>
    <w:rsid w:val="0027025F"/>
    <w:rsid w:val="002709CC"/>
    <w:rsid w:val="00270D25"/>
    <w:rsid w:val="00271022"/>
    <w:rsid w:val="00271465"/>
    <w:rsid w:val="00271E47"/>
    <w:rsid w:val="002721F5"/>
    <w:rsid w:val="00272DF4"/>
    <w:rsid w:val="0027583D"/>
    <w:rsid w:val="00275DEF"/>
    <w:rsid w:val="002763A2"/>
    <w:rsid w:val="00276B33"/>
    <w:rsid w:val="002812E3"/>
    <w:rsid w:val="00282AD4"/>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98D"/>
    <w:rsid w:val="002C40D2"/>
    <w:rsid w:val="002C43BD"/>
    <w:rsid w:val="002C5245"/>
    <w:rsid w:val="002C564A"/>
    <w:rsid w:val="002C59D8"/>
    <w:rsid w:val="002C5FEB"/>
    <w:rsid w:val="002D05CB"/>
    <w:rsid w:val="002D0E59"/>
    <w:rsid w:val="002D2C4F"/>
    <w:rsid w:val="002D3EBB"/>
    <w:rsid w:val="002D455C"/>
    <w:rsid w:val="002D6066"/>
    <w:rsid w:val="002E02A1"/>
    <w:rsid w:val="002E196A"/>
    <w:rsid w:val="002E20C7"/>
    <w:rsid w:val="002E20CD"/>
    <w:rsid w:val="002E222E"/>
    <w:rsid w:val="002E28D8"/>
    <w:rsid w:val="002E37D1"/>
    <w:rsid w:val="002E3BEE"/>
    <w:rsid w:val="002E4E4C"/>
    <w:rsid w:val="002E4EA7"/>
    <w:rsid w:val="002E5846"/>
    <w:rsid w:val="002E792B"/>
    <w:rsid w:val="002E7AE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4771"/>
    <w:rsid w:val="003052D4"/>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2058C"/>
    <w:rsid w:val="003208D0"/>
    <w:rsid w:val="003209D6"/>
    <w:rsid w:val="003217B9"/>
    <w:rsid w:val="00321924"/>
    <w:rsid w:val="00321EB6"/>
    <w:rsid w:val="003220A5"/>
    <w:rsid w:val="003238E0"/>
    <w:rsid w:val="00323A1C"/>
    <w:rsid w:val="00324B59"/>
    <w:rsid w:val="0032656E"/>
    <w:rsid w:val="0032788F"/>
    <w:rsid w:val="00332190"/>
    <w:rsid w:val="00332A98"/>
    <w:rsid w:val="003334BD"/>
    <w:rsid w:val="00333973"/>
    <w:rsid w:val="00333CD0"/>
    <w:rsid w:val="0033448D"/>
    <w:rsid w:val="00334AD2"/>
    <w:rsid w:val="00334CB6"/>
    <w:rsid w:val="0033709C"/>
    <w:rsid w:val="003370C5"/>
    <w:rsid w:val="003373C6"/>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978B1"/>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5B59"/>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1EF8"/>
    <w:rsid w:val="003E2DFB"/>
    <w:rsid w:val="003E4C91"/>
    <w:rsid w:val="003E52D8"/>
    <w:rsid w:val="003E62F1"/>
    <w:rsid w:val="003F313C"/>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30C96"/>
    <w:rsid w:val="0043174F"/>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953"/>
    <w:rsid w:val="004604D8"/>
    <w:rsid w:val="00460656"/>
    <w:rsid w:val="00460FB3"/>
    <w:rsid w:val="00463D3C"/>
    <w:rsid w:val="00464851"/>
    <w:rsid w:val="00466595"/>
    <w:rsid w:val="0046746A"/>
    <w:rsid w:val="00467B14"/>
    <w:rsid w:val="004707FE"/>
    <w:rsid w:val="00470EDC"/>
    <w:rsid w:val="0047276D"/>
    <w:rsid w:val="00472AF6"/>
    <w:rsid w:val="00473482"/>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011"/>
    <w:rsid w:val="004E6DE6"/>
    <w:rsid w:val="004E765E"/>
    <w:rsid w:val="004E7815"/>
    <w:rsid w:val="004F06F5"/>
    <w:rsid w:val="004F12A4"/>
    <w:rsid w:val="004F253F"/>
    <w:rsid w:val="004F33A0"/>
    <w:rsid w:val="004F3873"/>
    <w:rsid w:val="004F3BD2"/>
    <w:rsid w:val="004F46ED"/>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500F9"/>
    <w:rsid w:val="00550160"/>
    <w:rsid w:val="005523A8"/>
    <w:rsid w:val="00552F2C"/>
    <w:rsid w:val="00553A25"/>
    <w:rsid w:val="005547EB"/>
    <w:rsid w:val="005555E0"/>
    <w:rsid w:val="0055599F"/>
    <w:rsid w:val="00556D68"/>
    <w:rsid w:val="005570D6"/>
    <w:rsid w:val="00557E0E"/>
    <w:rsid w:val="00557E45"/>
    <w:rsid w:val="00560C41"/>
    <w:rsid w:val="00561F44"/>
    <w:rsid w:val="00562B4D"/>
    <w:rsid w:val="00563EB8"/>
    <w:rsid w:val="005647BF"/>
    <w:rsid w:val="00564AF1"/>
    <w:rsid w:val="005655DB"/>
    <w:rsid w:val="00565E88"/>
    <w:rsid w:val="00567339"/>
    <w:rsid w:val="005678EE"/>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519A"/>
    <w:rsid w:val="005856BD"/>
    <w:rsid w:val="00586BCA"/>
    <w:rsid w:val="00587038"/>
    <w:rsid w:val="00590B28"/>
    <w:rsid w:val="005911BE"/>
    <w:rsid w:val="00591273"/>
    <w:rsid w:val="00591E9E"/>
    <w:rsid w:val="005927A4"/>
    <w:rsid w:val="00593152"/>
    <w:rsid w:val="00593FE6"/>
    <w:rsid w:val="005956A3"/>
    <w:rsid w:val="00595958"/>
    <w:rsid w:val="00595CAB"/>
    <w:rsid w:val="0059622E"/>
    <w:rsid w:val="00597671"/>
    <w:rsid w:val="00597BBF"/>
    <w:rsid w:val="005A0463"/>
    <w:rsid w:val="005A0948"/>
    <w:rsid w:val="005A0A03"/>
    <w:rsid w:val="005A10F2"/>
    <w:rsid w:val="005A21E0"/>
    <w:rsid w:val="005A28FF"/>
    <w:rsid w:val="005A2C09"/>
    <w:rsid w:val="005A3778"/>
    <w:rsid w:val="005A3DF8"/>
    <w:rsid w:val="005A5549"/>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ADE"/>
    <w:rsid w:val="00601EEF"/>
    <w:rsid w:val="0060255A"/>
    <w:rsid w:val="00602EB3"/>
    <w:rsid w:val="00604307"/>
    <w:rsid w:val="0060487F"/>
    <w:rsid w:val="00604EAD"/>
    <w:rsid w:val="0060513F"/>
    <w:rsid w:val="0060694B"/>
    <w:rsid w:val="006104FB"/>
    <w:rsid w:val="0061176D"/>
    <w:rsid w:val="0061200F"/>
    <w:rsid w:val="00612756"/>
    <w:rsid w:val="00612A2F"/>
    <w:rsid w:val="00612AAE"/>
    <w:rsid w:val="00612FD9"/>
    <w:rsid w:val="006139E0"/>
    <w:rsid w:val="00614D35"/>
    <w:rsid w:val="006156B4"/>
    <w:rsid w:val="00615DAF"/>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19"/>
    <w:rsid w:val="00677591"/>
    <w:rsid w:val="00677594"/>
    <w:rsid w:val="0068032F"/>
    <w:rsid w:val="00680D37"/>
    <w:rsid w:val="0068174E"/>
    <w:rsid w:val="00681DCE"/>
    <w:rsid w:val="00682110"/>
    <w:rsid w:val="0068260E"/>
    <w:rsid w:val="006846B3"/>
    <w:rsid w:val="00684D59"/>
    <w:rsid w:val="00684E25"/>
    <w:rsid w:val="006858A4"/>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4355"/>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279A"/>
    <w:rsid w:val="006E313B"/>
    <w:rsid w:val="006E34B2"/>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4DA4"/>
    <w:rsid w:val="006F5416"/>
    <w:rsid w:val="006F624B"/>
    <w:rsid w:val="006F6D87"/>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4D2C"/>
    <w:rsid w:val="0077605B"/>
    <w:rsid w:val="00776169"/>
    <w:rsid w:val="00776527"/>
    <w:rsid w:val="00777040"/>
    <w:rsid w:val="00777CE6"/>
    <w:rsid w:val="00777D57"/>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C10BD"/>
    <w:rsid w:val="007C1F0C"/>
    <w:rsid w:val="007C1FFB"/>
    <w:rsid w:val="007C2D94"/>
    <w:rsid w:val="007C5F92"/>
    <w:rsid w:val="007C6227"/>
    <w:rsid w:val="007C6BBD"/>
    <w:rsid w:val="007C6D89"/>
    <w:rsid w:val="007C6F5E"/>
    <w:rsid w:val="007D0382"/>
    <w:rsid w:val="007D14FE"/>
    <w:rsid w:val="007D1A1F"/>
    <w:rsid w:val="007D213B"/>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114D"/>
    <w:rsid w:val="008520A8"/>
    <w:rsid w:val="00852217"/>
    <w:rsid w:val="00853282"/>
    <w:rsid w:val="0085334C"/>
    <w:rsid w:val="00855408"/>
    <w:rsid w:val="00855D03"/>
    <w:rsid w:val="00856D65"/>
    <w:rsid w:val="00861B41"/>
    <w:rsid w:val="00861B9F"/>
    <w:rsid w:val="00861BE3"/>
    <w:rsid w:val="008625D3"/>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E83"/>
    <w:rsid w:val="008772BC"/>
    <w:rsid w:val="00880A0E"/>
    <w:rsid w:val="008817FE"/>
    <w:rsid w:val="00881CD7"/>
    <w:rsid w:val="00882911"/>
    <w:rsid w:val="00882F6E"/>
    <w:rsid w:val="00883202"/>
    <w:rsid w:val="00884E02"/>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5324"/>
    <w:rsid w:val="008B5C99"/>
    <w:rsid w:val="008B6106"/>
    <w:rsid w:val="008B7C02"/>
    <w:rsid w:val="008B7D2B"/>
    <w:rsid w:val="008B7EF9"/>
    <w:rsid w:val="008C0049"/>
    <w:rsid w:val="008C0314"/>
    <w:rsid w:val="008C0E88"/>
    <w:rsid w:val="008C1717"/>
    <w:rsid w:val="008C3B05"/>
    <w:rsid w:val="008C4B50"/>
    <w:rsid w:val="008C5A37"/>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70E2"/>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AE"/>
    <w:rsid w:val="00917251"/>
    <w:rsid w:val="0091728D"/>
    <w:rsid w:val="0092036B"/>
    <w:rsid w:val="009203CC"/>
    <w:rsid w:val="00920EC4"/>
    <w:rsid w:val="0092180B"/>
    <w:rsid w:val="00921F14"/>
    <w:rsid w:val="0092292F"/>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73B2"/>
    <w:rsid w:val="00937AE2"/>
    <w:rsid w:val="0094061F"/>
    <w:rsid w:val="00940F0F"/>
    <w:rsid w:val="0094416B"/>
    <w:rsid w:val="0094427A"/>
    <w:rsid w:val="00944C7C"/>
    <w:rsid w:val="00945245"/>
    <w:rsid w:val="00945523"/>
    <w:rsid w:val="00950921"/>
    <w:rsid w:val="00951D68"/>
    <w:rsid w:val="00951E5B"/>
    <w:rsid w:val="00952B7B"/>
    <w:rsid w:val="00954F39"/>
    <w:rsid w:val="009555FD"/>
    <w:rsid w:val="0095664B"/>
    <w:rsid w:val="009568DC"/>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CF3"/>
    <w:rsid w:val="00993194"/>
    <w:rsid w:val="0099321E"/>
    <w:rsid w:val="00994171"/>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284F"/>
    <w:rsid w:val="009B3764"/>
    <w:rsid w:val="009B52AC"/>
    <w:rsid w:val="009B59EA"/>
    <w:rsid w:val="009B66CE"/>
    <w:rsid w:val="009B6FD3"/>
    <w:rsid w:val="009B72BE"/>
    <w:rsid w:val="009B78A4"/>
    <w:rsid w:val="009B7DB2"/>
    <w:rsid w:val="009C03DB"/>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2CF"/>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6A"/>
    <w:rsid w:val="00A201E1"/>
    <w:rsid w:val="00A20FE1"/>
    <w:rsid w:val="00A21B4D"/>
    <w:rsid w:val="00A22073"/>
    <w:rsid w:val="00A223E0"/>
    <w:rsid w:val="00A22959"/>
    <w:rsid w:val="00A23158"/>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5900"/>
    <w:rsid w:val="00A40EAC"/>
    <w:rsid w:val="00A418BC"/>
    <w:rsid w:val="00A419FF"/>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97075"/>
    <w:rsid w:val="00AA0E80"/>
    <w:rsid w:val="00AA17CD"/>
    <w:rsid w:val="00AA1D85"/>
    <w:rsid w:val="00AA212F"/>
    <w:rsid w:val="00AA26A9"/>
    <w:rsid w:val="00AA2996"/>
    <w:rsid w:val="00AA2AF4"/>
    <w:rsid w:val="00AA4282"/>
    <w:rsid w:val="00AA4790"/>
    <w:rsid w:val="00AA52BF"/>
    <w:rsid w:val="00AA559A"/>
    <w:rsid w:val="00AA6C31"/>
    <w:rsid w:val="00AA7752"/>
    <w:rsid w:val="00AA7CE8"/>
    <w:rsid w:val="00AB1457"/>
    <w:rsid w:val="00AB2AF1"/>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550"/>
    <w:rsid w:val="00B00913"/>
    <w:rsid w:val="00B01593"/>
    <w:rsid w:val="00B01FF9"/>
    <w:rsid w:val="00B023F2"/>
    <w:rsid w:val="00B038CA"/>
    <w:rsid w:val="00B06DB4"/>
    <w:rsid w:val="00B0750D"/>
    <w:rsid w:val="00B0799C"/>
    <w:rsid w:val="00B102CE"/>
    <w:rsid w:val="00B10A4D"/>
    <w:rsid w:val="00B10C90"/>
    <w:rsid w:val="00B11002"/>
    <w:rsid w:val="00B1114F"/>
    <w:rsid w:val="00B121B2"/>
    <w:rsid w:val="00B141B6"/>
    <w:rsid w:val="00B14BC1"/>
    <w:rsid w:val="00B162C3"/>
    <w:rsid w:val="00B16DD1"/>
    <w:rsid w:val="00B16EB8"/>
    <w:rsid w:val="00B17E71"/>
    <w:rsid w:val="00B17FDE"/>
    <w:rsid w:val="00B20632"/>
    <w:rsid w:val="00B2379C"/>
    <w:rsid w:val="00B23D5D"/>
    <w:rsid w:val="00B23E6E"/>
    <w:rsid w:val="00B2687D"/>
    <w:rsid w:val="00B3108D"/>
    <w:rsid w:val="00B32DDB"/>
    <w:rsid w:val="00B32F57"/>
    <w:rsid w:val="00B3345C"/>
    <w:rsid w:val="00B34528"/>
    <w:rsid w:val="00B34CC9"/>
    <w:rsid w:val="00B34CDA"/>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639"/>
    <w:rsid w:val="00B53C7D"/>
    <w:rsid w:val="00B53E56"/>
    <w:rsid w:val="00B55A97"/>
    <w:rsid w:val="00B55F5E"/>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EC6"/>
    <w:rsid w:val="00B81288"/>
    <w:rsid w:val="00B81D70"/>
    <w:rsid w:val="00B833B9"/>
    <w:rsid w:val="00B83E07"/>
    <w:rsid w:val="00B84CF6"/>
    <w:rsid w:val="00B85016"/>
    <w:rsid w:val="00B8561A"/>
    <w:rsid w:val="00B86643"/>
    <w:rsid w:val="00B868F7"/>
    <w:rsid w:val="00B90131"/>
    <w:rsid w:val="00B92951"/>
    <w:rsid w:val="00B92D1D"/>
    <w:rsid w:val="00B92D7E"/>
    <w:rsid w:val="00B930CE"/>
    <w:rsid w:val="00B938C5"/>
    <w:rsid w:val="00B940A8"/>
    <w:rsid w:val="00B9554A"/>
    <w:rsid w:val="00B95940"/>
    <w:rsid w:val="00B95ACA"/>
    <w:rsid w:val="00B97ACC"/>
    <w:rsid w:val="00B97FE2"/>
    <w:rsid w:val="00BA0E0B"/>
    <w:rsid w:val="00BA201A"/>
    <w:rsid w:val="00BA361D"/>
    <w:rsid w:val="00BA3787"/>
    <w:rsid w:val="00BA403A"/>
    <w:rsid w:val="00BA46E8"/>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50BE"/>
    <w:rsid w:val="00BC5332"/>
    <w:rsid w:val="00BC5715"/>
    <w:rsid w:val="00BC5C12"/>
    <w:rsid w:val="00BC7154"/>
    <w:rsid w:val="00BC731E"/>
    <w:rsid w:val="00BC7614"/>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4BF"/>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246C"/>
    <w:rsid w:val="00C1493E"/>
    <w:rsid w:val="00C15DBD"/>
    <w:rsid w:val="00C2010D"/>
    <w:rsid w:val="00C20CB5"/>
    <w:rsid w:val="00C21430"/>
    <w:rsid w:val="00C216DF"/>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307"/>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0DA1"/>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834"/>
    <w:rsid w:val="00CC0AEA"/>
    <w:rsid w:val="00CC20FE"/>
    <w:rsid w:val="00CC2E7D"/>
    <w:rsid w:val="00CC5BE8"/>
    <w:rsid w:val="00CC612B"/>
    <w:rsid w:val="00CC655F"/>
    <w:rsid w:val="00CC66F9"/>
    <w:rsid w:val="00CC6C2A"/>
    <w:rsid w:val="00CC6FE5"/>
    <w:rsid w:val="00CC7458"/>
    <w:rsid w:val="00CC76BD"/>
    <w:rsid w:val="00CC7A87"/>
    <w:rsid w:val="00CD10A5"/>
    <w:rsid w:val="00CD1129"/>
    <w:rsid w:val="00CD1A80"/>
    <w:rsid w:val="00CD1CB5"/>
    <w:rsid w:val="00CD2076"/>
    <w:rsid w:val="00CD24CE"/>
    <w:rsid w:val="00CD29B5"/>
    <w:rsid w:val="00CD2B78"/>
    <w:rsid w:val="00CD3FAB"/>
    <w:rsid w:val="00CD5456"/>
    <w:rsid w:val="00CD5C3E"/>
    <w:rsid w:val="00CD5C57"/>
    <w:rsid w:val="00CD6331"/>
    <w:rsid w:val="00CE14BE"/>
    <w:rsid w:val="00CE17A4"/>
    <w:rsid w:val="00CE1BA9"/>
    <w:rsid w:val="00CE2D8F"/>
    <w:rsid w:val="00CE3E48"/>
    <w:rsid w:val="00CE47B8"/>
    <w:rsid w:val="00CE62FA"/>
    <w:rsid w:val="00CE670B"/>
    <w:rsid w:val="00CE6833"/>
    <w:rsid w:val="00CF020B"/>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4C5B"/>
    <w:rsid w:val="00D15FED"/>
    <w:rsid w:val="00D16712"/>
    <w:rsid w:val="00D214EF"/>
    <w:rsid w:val="00D215B0"/>
    <w:rsid w:val="00D21D6D"/>
    <w:rsid w:val="00D21D83"/>
    <w:rsid w:val="00D22A47"/>
    <w:rsid w:val="00D235B7"/>
    <w:rsid w:val="00D23FAE"/>
    <w:rsid w:val="00D25F28"/>
    <w:rsid w:val="00D26071"/>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6223"/>
    <w:rsid w:val="00D667B8"/>
    <w:rsid w:val="00D70289"/>
    <w:rsid w:val="00D70822"/>
    <w:rsid w:val="00D72076"/>
    <w:rsid w:val="00D726A9"/>
    <w:rsid w:val="00D72DBA"/>
    <w:rsid w:val="00D743E0"/>
    <w:rsid w:val="00D7490C"/>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5302"/>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0B33"/>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D8B"/>
    <w:rsid w:val="00DE1237"/>
    <w:rsid w:val="00DE140F"/>
    <w:rsid w:val="00DE17E9"/>
    <w:rsid w:val="00DE2491"/>
    <w:rsid w:val="00DE450F"/>
    <w:rsid w:val="00DE5CA6"/>
    <w:rsid w:val="00DE7AC8"/>
    <w:rsid w:val="00DF0830"/>
    <w:rsid w:val="00DF2C5D"/>
    <w:rsid w:val="00DF3643"/>
    <w:rsid w:val="00DF42FF"/>
    <w:rsid w:val="00DF4369"/>
    <w:rsid w:val="00DF4423"/>
    <w:rsid w:val="00DF4ADF"/>
    <w:rsid w:val="00DF5D1E"/>
    <w:rsid w:val="00DF77E4"/>
    <w:rsid w:val="00DF7F88"/>
    <w:rsid w:val="00E01C0E"/>
    <w:rsid w:val="00E0368F"/>
    <w:rsid w:val="00E03D73"/>
    <w:rsid w:val="00E03F9A"/>
    <w:rsid w:val="00E040DA"/>
    <w:rsid w:val="00E04694"/>
    <w:rsid w:val="00E1168B"/>
    <w:rsid w:val="00E12191"/>
    <w:rsid w:val="00E129E7"/>
    <w:rsid w:val="00E12ABE"/>
    <w:rsid w:val="00E12B1E"/>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A53"/>
    <w:rsid w:val="00E3656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1EF0"/>
    <w:rsid w:val="00E53470"/>
    <w:rsid w:val="00E5368D"/>
    <w:rsid w:val="00E539F6"/>
    <w:rsid w:val="00E54698"/>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90CA8"/>
    <w:rsid w:val="00E930A1"/>
    <w:rsid w:val="00E93820"/>
    <w:rsid w:val="00E94A86"/>
    <w:rsid w:val="00E953F6"/>
    <w:rsid w:val="00E96143"/>
    <w:rsid w:val="00E96833"/>
    <w:rsid w:val="00E97506"/>
    <w:rsid w:val="00E97BB5"/>
    <w:rsid w:val="00EA0C68"/>
    <w:rsid w:val="00EA1D0E"/>
    <w:rsid w:val="00EA2072"/>
    <w:rsid w:val="00EA2841"/>
    <w:rsid w:val="00EA32BC"/>
    <w:rsid w:val="00EA35A7"/>
    <w:rsid w:val="00EA3B32"/>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DF0"/>
    <w:rsid w:val="00ED2386"/>
    <w:rsid w:val="00ED2EA1"/>
    <w:rsid w:val="00ED3851"/>
    <w:rsid w:val="00ED3F10"/>
    <w:rsid w:val="00ED4D04"/>
    <w:rsid w:val="00ED566D"/>
    <w:rsid w:val="00ED5907"/>
    <w:rsid w:val="00ED5F5B"/>
    <w:rsid w:val="00ED62C6"/>
    <w:rsid w:val="00ED64C1"/>
    <w:rsid w:val="00ED781F"/>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326A"/>
    <w:rsid w:val="00EF47BF"/>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25AB"/>
    <w:rsid w:val="00F525EB"/>
    <w:rsid w:val="00F52CB5"/>
    <w:rsid w:val="00F53378"/>
    <w:rsid w:val="00F53A68"/>
    <w:rsid w:val="00F54934"/>
    <w:rsid w:val="00F55A92"/>
    <w:rsid w:val="00F575D3"/>
    <w:rsid w:val="00F62BFF"/>
    <w:rsid w:val="00F63AAE"/>
    <w:rsid w:val="00F63DDE"/>
    <w:rsid w:val="00F63FB7"/>
    <w:rsid w:val="00F6421B"/>
    <w:rsid w:val="00F647F1"/>
    <w:rsid w:val="00F649D2"/>
    <w:rsid w:val="00F6602B"/>
    <w:rsid w:val="00F7150B"/>
    <w:rsid w:val="00F717E4"/>
    <w:rsid w:val="00F71DE6"/>
    <w:rsid w:val="00F72D71"/>
    <w:rsid w:val="00F7381C"/>
    <w:rsid w:val="00F73A0C"/>
    <w:rsid w:val="00F7549F"/>
    <w:rsid w:val="00F756DB"/>
    <w:rsid w:val="00F767A8"/>
    <w:rsid w:val="00F77590"/>
    <w:rsid w:val="00F82D14"/>
    <w:rsid w:val="00F84E7D"/>
    <w:rsid w:val="00F85066"/>
    <w:rsid w:val="00F87A4D"/>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4.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3.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eader" Target="header1.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2.xml"/><Relationship Id="rId28" Type="http://schemas.openxmlformats.org/officeDocument/2006/relationships/chart" Target="charts/chart16.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chart" Target="charts/chart1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nal&#253;za\Q\2020Q3\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Anal&#253;za\Q\2020Q3\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nal&#253;za\Q\2020Q3\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JKAM%20CSU\PUBLIKACE\PUBLIKACE\2020\Q-makro\Q-makro-1.a&#382;%203.%20&#269;tvrtlet&#237;%202020\Trh%20pr&#225;ce\Grafy-trh%20pr&#225;ce-rok-2020-1.-3q.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JKAM%20CSU\PUBLIKACE\PUBLIKACE\2020\Q-makro\1.a&#382;%203.%20&#269;tvrtlet&#237;%202020\Trh%20pr&#225;ce\Grafy-trh%20pr&#225;ce-rok-2020-1.-3q.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JKAM%20CSU\PUBLIKACE\PUBLIKACE\2020\Q-makro\Q-makro-1.a&#382;%203.%20&#269;tvrtlet&#237;%202020\Trh%20pr&#225;ce\Grafy-trh%20pr&#225;ce-rok-2020-1.-3q.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Anal&#253;za\Q\2020Q3\Makroanal&#253;za%20grafy.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20\Q-makro\1.a&#382;%203.%20&#269;tvrtlet&#237;%202020\Statn&#237;%20rozpo&#269;et\Grafy-st&#225;tn&#237;%20rozpo&#269;et-rok-1-3.q-20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JKAM%20CSU\PUBLIKACE\PUBLIKACE\2020\Q-makro\1.a&#382;%203.%20&#269;tvrtlet&#237;%202020\Statn&#237;%20rozpo&#269;et\Grafy-st&#225;tn&#237;%20rozpo&#269;et-rok-1-pol-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nal&#253;za\Q\2020Q3\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nal&#253;za\Q\2020Q3\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20\Q-makro\Q-makro-1.a&#382;%203.%20&#269;tvrtlet&#237;%202020\Odv&#283;tv&#237;\Odv&#283;tv&#237;%20grafy-rok-1-3q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KAM%20CSU\PUBLIKACE\PUBLIKACE\2020\Q-makro\Q-makro-1.a&#382;%203.%20&#269;tvrtlet&#237;%202020\Odv&#283;tv&#237;\Odv&#283;tv&#237;%20grafy-rok-1-3q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JKAM%20CSU\PUBLIKACE\PUBLIKACE\2020\Q-makro\Q-makro-1.a&#382;%203.%20&#269;tvrtlet&#237;%202020\Odv&#283;tv&#237;\Odv&#283;tv&#237;%20grafy-rok-1-3q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JKAM%20CSU\PUBLIKACE\PUBLIKACE\2020\Q-makro\Q-makro-1.a&#382;%203.%20&#269;tvrtlet&#237;%202020\Odv&#283;tv&#237;\Odv&#283;tv&#237;%20grafy-rok-1-3q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nal&#253;za\Q\2020Q3\Makroanal&#253;za%20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nal&#253;za\Q\2020Q3\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45E-2"/>
          <c:y val="2.3046636085626952E-2"/>
          <c:w val="0.92008633063154344"/>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1'!$A$17:$B$39</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'souhrnná výkonnost 1'!$C$17:$C$39</c:f>
              <c:numCache>
                <c:formatCode>#,##0.0</c:formatCode>
                <c:ptCount val="23"/>
                <c:pt idx="0">
                  <c:v>5.3541342799457112</c:v>
                </c:pt>
                <c:pt idx="1">
                  <c:v>5.7581302882289123</c:v>
                </c:pt>
                <c:pt idx="2">
                  <c:v>5.6783705866674694</c:v>
                </c:pt>
                <c:pt idx="3">
                  <c:v>5.0736450126825758</c:v>
                </c:pt>
                <c:pt idx="4">
                  <c:v>3.4010325671467712</c:v>
                </c:pt>
                <c:pt idx="5">
                  <c:v>2.318358207366316</c:v>
                </c:pt>
                <c:pt idx="6">
                  <c:v>1.9345991649110346</c:v>
                </c:pt>
                <c:pt idx="7">
                  <c:v>2.1527896621077645</c:v>
                </c:pt>
                <c:pt idx="8">
                  <c:v>3.6789885316907771</c:v>
                </c:pt>
                <c:pt idx="9">
                  <c:v>6.0785986760951261</c:v>
                </c:pt>
                <c:pt idx="10">
                  <c:v>5.8461947005677075</c:v>
                </c:pt>
                <c:pt idx="11">
                  <c:v>5.8135548231886673</c:v>
                </c:pt>
                <c:pt idx="12">
                  <c:v>4.7768084590779267</c:v>
                </c:pt>
                <c:pt idx="13" formatCode="General">
                  <c:v>2.6475743105130789</c:v>
                </c:pt>
                <c:pt idx="14" formatCode="General">
                  <c:v>2.6903360884822547</c:v>
                </c:pt>
                <c:pt idx="15">
                  <c:v>2.5948207201504516</c:v>
                </c:pt>
                <c:pt idx="16">
                  <c:v>2.44933042272271</c:v>
                </c:pt>
                <c:pt idx="17" formatCode="General">
                  <c:v>2.3739064902964344</c:v>
                </c:pt>
                <c:pt idx="18" formatCode="General">
                  <c:v>2.282942447919396</c:v>
                </c:pt>
                <c:pt idx="19" formatCode="General">
                  <c:v>1.9682562537211652</c:v>
                </c:pt>
                <c:pt idx="20" formatCode="General">
                  <c:v>-1.9117852379155238</c:v>
                </c:pt>
                <c:pt idx="21" formatCode="General">
                  <c:v>-10.708678091771773</c:v>
                </c:pt>
                <c:pt idx="22" formatCode="General">
                  <c:v>-4.9657432507638504</c:v>
                </c:pt>
              </c:numCache>
            </c:numRef>
          </c:val>
          <c:extLst>
            <c:ext xmlns:c16="http://schemas.microsoft.com/office/drawing/2014/chart" uri="{C3380CC4-5D6E-409C-BE32-E72D297353CC}">
              <c16:uniqueId val="{00000000-B454-4F3C-AA13-7B1EB16BEC79}"/>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1'!$A$17:$B$39</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'souhrnná výkonnost 1'!$D$17:$D$39</c:f>
              <c:numCache>
                <c:formatCode>#,##0.0</c:formatCode>
                <c:ptCount val="23"/>
                <c:pt idx="0">
                  <c:v>2.1</c:v>
                </c:pt>
                <c:pt idx="1">
                  <c:v>2.2999999999999998</c:v>
                </c:pt>
                <c:pt idx="2">
                  <c:v>2.2999999999999998</c:v>
                </c:pt>
                <c:pt idx="3">
                  <c:v>2.2999999999999998</c:v>
                </c:pt>
                <c:pt idx="4">
                  <c:v>2</c:v>
                </c:pt>
                <c:pt idx="5">
                  <c:v>1.9</c:v>
                </c:pt>
                <c:pt idx="6">
                  <c:v>1.8</c:v>
                </c:pt>
                <c:pt idx="7">
                  <c:v>2.2000000000000002</c:v>
                </c:pt>
                <c:pt idx="8">
                  <c:v>2.4</c:v>
                </c:pt>
                <c:pt idx="9">
                  <c:v>2.8</c:v>
                </c:pt>
                <c:pt idx="10">
                  <c:v>3.1</c:v>
                </c:pt>
                <c:pt idx="11">
                  <c:v>3.2</c:v>
                </c:pt>
                <c:pt idx="12">
                  <c:v>2.7</c:v>
                </c:pt>
                <c:pt idx="13">
                  <c:v>2.4</c:v>
                </c:pt>
                <c:pt idx="14">
                  <c:v>1.8</c:v>
                </c:pt>
                <c:pt idx="15">
                  <c:v>1.5</c:v>
                </c:pt>
                <c:pt idx="16">
                  <c:v>1.8</c:v>
                </c:pt>
                <c:pt idx="17">
                  <c:v>1.5</c:v>
                </c:pt>
                <c:pt idx="18">
                  <c:v>1.7</c:v>
                </c:pt>
                <c:pt idx="19">
                  <c:v>1.2</c:v>
                </c:pt>
                <c:pt idx="20">
                  <c:v>-2.7</c:v>
                </c:pt>
                <c:pt idx="21">
                  <c:v>-13.9</c:v>
                </c:pt>
                <c:pt idx="22">
                  <c:v>-4.3</c:v>
                </c:pt>
              </c:numCache>
            </c:numRef>
          </c:val>
          <c:extLst>
            <c:ext xmlns:c16="http://schemas.microsoft.com/office/drawing/2014/chart" uri="{C3380CC4-5D6E-409C-BE32-E72D297353CC}">
              <c16:uniqueId val="{00000001-B454-4F3C-AA13-7B1EB16BEC79}"/>
            </c:ext>
          </c:extLst>
        </c:ser>
        <c:dLbls>
          <c:showLegendKey val="0"/>
          <c:showVal val="0"/>
          <c:showCatName val="0"/>
          <c:showSerName val="0"/>
          <c:showPercent val="0"/>
          <c:showBubbleSize val="0"/>
        </c:dLbls>
        <c:gapWidth val="100"/>
        <c:axId val="267753344"/>
        <c:axId val="267767808"/>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1'!$A$17:$B$39</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'souhrnná výkonnost 1'!$E$17:$E$39</c:f>
              <c:numCache>
                <c:formatCode>#,##0.0</c:formatCode>
                <c:ptCount val="23"/>
                <c:pt idx="0">
                  <c:v>1.7876510932120624</c:v>
                </c:pt>
                <c:pt idx="1">
                  <c:v>1.4339927833768797</c:v>
                </c:pt>
                <c:pt idx="2">
                  <c:v>1.1102105904154485</c:v>
                </c:pt>
                <c:pt idx="3">
                  <c:v>0.65148104049788458</c:v>
                </c:pt>
                <c:pt idx="4">
                  <c:v>0.16734666768449813</c:v>
                </c:pt>
                <c:pt idx="5">
                  <c:v>0.37191457709397469</c:v>
                </c:pt>
                <c:pt idx="6">
                  <c:v>0.73098287137804618</c:v>
                </c:pt>
                <c:pt idx="7">
                  <c:v>0.86692502979816766</c:v>
                </c:pt>
                <c:pt idx="8">
                  <c:v>1.6638823155019793</c:v>
                </c:pt>
                <c:pt idx="9">
                  <c:v>2.6949837721494561</c:v>
                </c:pt>
                <c:pt idx="10">
                  <c:v>0.51029480450817744</c:v>
                </c:pt>
                <c:pt idx="11">
                  <c:v>0.83582061386817941</c:v>
                </c:pt>
                <c:pt idx="12">
                  <c:v>0.6677938604066469</c:v>
                </c:pt>
                <c:pt idx="13">
                  <c:v>0.60805566706811476</c:v>
                </c:pt>
                <c:pt idx="14">
                  <c:v>0.55216621685197254</c:v>
                </c:pt>
                <c:pt idx="15">
                  <c:v>0.74203018612357141</c:v>
                </c:pt>
                <c:pt idx="16">
                  <c:v>0.52503629070346847</c:v>
                </c:pt>
                <c:pt idx="17" formatCode="General">
                  <c:v>0.53398729433338588</c:v>
                </c:pt>
                <c:pt idx="18" formatCode="General">
                  <c:v>0.46282087659461979</c:v>
                </c:pt>
                <c:pt idx="19" formatCode="General">
                  <c:v>0.43208480015448458</c:v>
                </c:pt>
                <c:pt idx="20" formatCode="General">
                  <c:v>-3.3000885676220406</c:v>
                </c:pt>
                <c:pt idx="21" formatCode="General">
                  <c:v>-8.4822509616518005</c:v>
                </c:pt>
                <c:pt idx="22" formatCode="General">
                  <c:v>6.924271126274121</c:v>
                </c:pt>
              </c:numCache>
            </c:numRef>
          </c:val>
          <c:smooth val="0"/>
          <c:extLst>
            <c:ext xmlns:c16="http://schemas.microsoft.com/office/drawing/2014/chart" uri="{C3380CC4-5D6E-409C-BE32-E72D297353CC}">
              <c16:uniqueId val="{00000002-B454-4F3C-AA13-7B1EB16BEC79}"/>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1'!$A$17:$B$39</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'souhrnná výkonnost 1'!$F$17:$F$39</c:f>
              <c:numCache>
                <c:formatCode>#,##0.0</c:formatCode>
                <c:ptCount val="23"/>
                <c:pt idx="0">
                  <c:v>0.8</c:v>
                </c:pt>
                <c:pt idx="1">
                  <c:v>0.5</c:v>
                </c:pt>
                <c:pt idx="2">
                  <c:v>0.5</c:v>
                </c:pt>
                <c:pt idx="3">
                  <c:v>0.5</c:v>
                </c:pt>
                <c:pt idx="4">
                  <c:v>0.6</c:v>
                </c:pt>
                <c:pt idx="5">
                  <c:v>0.4</c:v>
                </c:pt>
                <c:pt idx="6">
                  <c:v>0.4</c:v>
                </c:pt>
                <c:pt idx="7">
                  <c:v>0.8</c:v>
                </c:pt>
                <c:pt idx="8">
                  <c:v>0.8</c:v>
                </c:pt>
                <c:pt idx="9">
                  <c:v>0.8</c:v>
                </c:pt>
                <c:pt idx="10">
                  <c:v>0.8</c:v>
                </c:pt>
                <c:pt idx="11">
                  <c:v>0.8</c:v>
                </c:pt>
                <c:pt idx="12">
                  <c:v>0.4</c:v>
                </c:pt>
                <c:pt idx="13">
                  <c:v>0.5</c:v>
                </c:pt>
                <c:pt idx="14">
                  <c:v>0.2</c:v>
                </c:pt>
                <c:pt idx="15">
                  <c:v>0.5</c:v>
                </c:pt>
                <c:pt idx="16">
                  <c:v>0.6</c:v>
                </c:pt>
                <c:pt idx="17">
                  <c:v>0.2</c:v>
                </c:pt>
                <c:pt idx="18">
                  <c:v>0.4</c:v>
                </c:pt>
                <c:pt idx="19">
                  <c:v>0.1</c:v>
                </c:pt>
                <c:pt idx="20">
                  <c:v>-3.3</c:v>
                </c:pt>
                <c:pt idx="21">
                  <c:v>-11.4</c:v>
                </c:pt>
                <c:pt idx="22">
                  <c:v>11.6</c:v>
                </c:pt>
              </c:numCache>
            </c:numRef>
          </c:val>
          <c:smooth val="0"/>
          <c:extLst>
            <c:ext xmlns:c16="http://schemas.microsoft.com/office/drawing/2014/chart" uri="{C3380CC4-5D6E-409C-BE32-E72D297353CC}">
              <c16:uniqueId val="{00000003-B454-4F3C-AA13-7B1EB16BEC79}"/>
            </c:ext>
          </c:extLst>
        </c:ser>
        <c:dLbls>
          <c:showLegendKey val="0"/>
          <c:showVal val="0"/>
          <c:showCatName val="0"/>
          <c:showSerName val="0"/>
          <c:showPercent val="0"/>
          <c:showBubbleSize val="0"/>
        </c:dLbls>
        <c:marker val="1"/>
        <c:smooth val="0"/>
        <c:axId val="267753344"/>
        <c:axId val="267767808"/>
      </c:lineChart>
      <c:catAx>
        <c:axId val="2677533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67767808"/>
        <c:crosses val="autoZero"/>
        <c:auto val="1"/>
        <c:lblAlgn val="ctr"/>
        <c:lblOffset val="100"/>
        <c:noMultiLvlLbl val="0"/>
      </c:catAx>
      <c:valAx>
        <c:axId val="267767808"/>
        <c:scaling>
          <c:orientation val="minMax"/>
          <c:max val="12"/>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753344"/>
        <c:crosses val="autoZero"/>
        <c:crossBetween val="between"/>
        <c:majorUnit val="3"/>
      </c:valAx>
      <c:spPr>
        <a:ln>
          <a:solidFill>
            <a:schemeClr val="tx1"/>
          </a:solidFill>
        </a:ln>
      </c:spPr>
    </c:plotArea>
    <c:legend>
      <c:legendPos val="b"/>
      <c:layout>
        <c:manualLayout>
          <c:xMode val="edge"/>
          <c:yMode val="edge"/>
          <c:x val="5.8431906450523471E-2"/>
          <c:y val="0.89437255125717996"/>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85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1'!$C$18:$C$40</c:f>
              <c:numCache>
                <c:formatCode>General</c:formatCode>
                <c:ptCount val="23"/>
                <c:pt idx="0">
                  <c:v>4.2999999999999972</c:v>
                </c:pt>
                <c:pt idx="1">
                  <c:v>4.9000000000000057</c:v>
                </c:pt>
                <c:pt idx="2">
                  <c:v>6</c:v>
                </c:pt>
                <c:pt idx="3">
                  <c:v>6.7999999999999972</c:v>
                </c:pt>
                <c:pt idx="4">
                  <c:v>8.9000000000000057</c:v>
                </c:pt>
                <c:pt idx="5">
                  <c:v>10.299999999999997</c:v>
                </c:pt>
                <c:pt idx="6">
                  <c:v>12.299999999999997</c:v>
                </c:pt>
                <c:pt idx="7">
                  <c:v>14.599999999999994</c:v>
                </c:pt>
                <c:pt idx="8">
                  <c:v>17.200000000000003</c:v>
                </c:pt>
                <c:pt idx="9">
                  <c:v>18.700000000000003</c:v>
                </c:pt>
                <c:pt idx="10">
                  <c:v>15.799999999999997</c:v>
                </c:pt>
                <c:pt idx="11">
                  <c:v>12</c:v>
                </c:pt>
                <c:pt idx="12">
                  <c:v>9.2000000000000028</c:v>
                </c:pt>
                <c:pt idx="13">
                  <c:v>8</c:v>
                </c:pt>
                <c:pt idx="14">
                  <c:v>9.4000000000000057</c:v>
                </c:pt>
                <c:pt idx="15">
                  <c:v>11.400000000000006</c:v>
                </c:pt>
                <c:pt idx="16">
                  <c:v>11.299999999999997</c:v>
                </c:pt>
                <c:pt idx="17">
                  <c:v>10.599999999999994</c:v>
                </c:pt>
                <c:pt idx="18">
                  <c:v>9.5</c:v>
                </c:pt>
                <c:pt idx="19">
                  <c:v>9.4000000000000057</c:v>
                </c:pt>
                <c:pt idx="20">
                  <c:v>10.599999999999994</c:v>
                </c:pt>
                <c:pt idx="21">
                  <c:v>10.200000000000003</c:v>
                </c:pt>
                <c:pt idx="22">
                  <c:v>11.200000000000003</c:v>
                </c:pt>
              </c:numCache>
            </c:numRef>
          </c:val>
          <c:extLst>
            <c:ext xmlns:c16="http://schemas.microsoft.com/office/drawing/2014/chart" uri="{C3380CC4-5D6E-409C-BE32-E72D297353CC}">
              <c16:uniqueId val="{00000000-D19E-427B-A67D-768E94E2B5B2}"/>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1'!$D$18:$D$40</c:f>
              <c:numCache>
                <c:formatCode>General</c:formatCode>
                <c:ptCount val="23"/>
                <c:pt idx="0">
                  <c:v>5</c:v>
                </c:pt>
                <c:pt idx="1">
                  <c:v>5.9000000000000057</c:v>
                </c:pt>
                <c:pt idx="2">
                  <c:v>5.5999999999999943</c:v>
                </c:pt>
                <c:pt idx="3">
                  <c:v>4.5999999999999943</c:v>
                </c:pt>
                <c:pt idx="4">
                  <c:v>5.7999999999999972</c:v>
                </c:pt>
                <c:pt idx="5">
                  <c:v>7.5</c:v>
                </c:pt>
                <c:pt idx="6">
                  <c:v>9.4000000000000057</c:v>
                </c:pt>
                <c:pt idx="7">
                  <c:v>13.900000000000006</c:v>
                </c:pt>
                <c:pt idx="8">
                  <c:v>16.200000000000003</c:v>
                </c:pt>
                <c:pt idx="9">
                  <c:v>19</c:v>
                </c:pt>
                <c:pt idx="10">
                  <c:v>16.400000000000006</c:v>
                </c:pt>
                <c:pt idx="11">
                  <c:v>11.099999999999994</c:v>
                </c:pt>
                <c:pt idx="12">
                  <c:v>8.2999999999999972</c:v>
                </c:pt>
                <c:pt idx="13">
                  <c:v>4</c:v>
                </c:pt>
                <c:pt idx="14">
                  <c:v>6</c:v>
                </c:pt>
                <c:pt idx="15">
                  <c:v>8.7000000000000028</c:v>
                </c:pt>
                <c:pt idx="16">
                  <c:v>9.4000000000000057</c:v>
                </c:pt>
                <c:pt idx="17">
                  <c:v>8.7000000000000028</c:v>
                </c:pt>
                <c:pt idx="18">
                  <c:v>6.5</c:v>
                </c:pt>
                <c:pt idx="19">
                  <c:v>7.0999999999999943</c:v>
                </c:pt>
                <c:pt idx="20">
                  <c:v>6.2000000000000028</c:v>
                </c:pt>
                <c:pt idx="21">
                  <c:v>8</c:v>
                </c:pt>
                <c:pt idx="22">
                  <c:v>9.4000000000000057</c:v>
                </c:pt>
              </c:numCache>
            </c:numRef>
          </c:val>
          <c:extLst>
            <c:ext xmlns:c16="http://schemas.microsoft.com/office/drawing/2014/chart" uri="{C3380CC4-5D6E-409C-BE32-E72D297353CC}">
              <c16:uniqueId val="{00000001-D19E-427B-A67D-768E94E2B5B2}"/>
            </c:ext>
          </c:extLst>
        </c:ser>
        <c:dLbls>
          <c:showLegendKey val="0"/>
          <c:showVal val="0"/>
          <c:showCatName val="0"/>
          <c:showSerName val="0"/>
          <c:showPercent val="0"/>
          <c:showBubbleSize val="0"/>
        </c:dLbls>
        <c:gapWidth val="95"/>
        <c:axId val="270057856"/>
        <c:axId val="270059392"/>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1'!$E$18:$E$40</c:f>
              <c:numCache>
                <c:formatCode>0.0</c:formatCode>
                <c:ptCount val="23"/>
                <c:pt idx="0">
                  <c:v>3.6253776435045406</c:v>
                </c:pt>
                <c:pt idx="1">
                  <c:v>4.9701789264413518</c:v>
                </c:pt>
                <c:pt idx="2">
                  <c:v>6.0843964671246207</c:v>
                </c:pt>
                <c:pt idx="3">
                  <c:v>9.5849802371541539</c:v>
                </c:pt>
                <c:pt idx="4">
                  <c:v>10.204081632653059</c:v>
                </c:pt>
                <c:pt idx="5">
                  <c:v>10.321969696969703</c:v>
                </c:pt>
                <c:pt idx="6">
                  <c:v>9.8982423681776162</c:v>
                </c:pt>
                <c:pt idx="7">
                  <c:v>9.9188458070333638</c:v>
                </c:pt>
                <c:pt idx="8">
                  <c:v>9.5238095238095202</c:v>
                </c:pt>
                <c:pt idx="9" formatCode="General">
                  <c:v>9.5278969957081507</c:v>
                </c:pt>
                <c:pt idx="10" formatCode="General">
                  <c:v>12.542087542087534</c:v>
                </c:pt>
                <c:pt idx="11" formatCode="General">
                  <c:v>12.469237079573411</c:v>
                </c:pt>
                <c:pt idx="12" formatCode="General">
                  <c:v>12.801932367149751</c:v>
                </c:pt>
                <c:pt idx="13" formatCode="General">
                  <c:v>12.2257053291536</c:v>
                </c:pt>
                <c:pt idx="14" formatCode="General">
                  <c:v>9.4988780852655328</c:v>
                </c:pt>
                <c:pt idx="15" formatCode="General">
                  <c:v>8.4609773887673203</c:v>
                </c:pt>
                <c:pt idx="16" formatCode="General">
                  <c:v>7.4232690935046435</c:v>
                </c:pt>
                <c:pt idx="17" formatCode="General">
                  <c:v>5.7262569832402361</c:v>
                </c:pt>
                <c:pt idx="18" formatCode="General">
                  <c:v>5.1912568306010893</c:v>
                </c:pt>
                <c:pt idx="19" formatCode="General">
                  <c:v>5.5144586415601999</c:v>
                </c:pt>
                <c:pt idx="20" formatCode="General">
                  <c:v>6.0465116279069733</c:v>
                </c:pt>
                <c:pt idx="21" formatCode="General">
                  <c:v>7.1334214002641891</c:v>
                </c:pt>
                <c:pt idx="22" formatCode="General">
                  <c:v>7.987012987012994</c:v>
                </c:pt>
              </c:numCache>
            </c:numRef>
          </c:val>
          <c:smooth val="0"/>
          <c:extLst>
            <c:ext xmlns:c16="http://schemas.microsoft.com/office/drawing/2014/chart" uri="{C3380CC4-5D6E-409C-BE32-E72D297353CC}">
              <c16:uniqueId val="{00000002-D19E-427B-A67D-768E94E2B5B2}"/>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1'!$F$18:$F$40</c:f>
              <c:numCache>
                <c:formatCode>0.0</c:formatCode>
                <c:ptCount val="23"/>
                <c:pt idx="0">
                  <c:v>5.7710501419110631</c:v>
                </c:pt>
                <c:pt idx="1">
                  <c:v>6.4995357474466111</c:v>
                </c:pt>
                <c:pt idx="2">
                  <c:v>6.7089755213055353</c:v>
                </c:pt>
                <c:pt idx="3">
                  <c:v>8.7862318840579601</c:v>
                </c:pt>
                <c:pt idx="4">
                  <c:v>10.196779964221831</c:v>
                </c:pt>
                <c:pt idx="5">
                  <c:v>10.549258936355706</c:v>
                </c:pt>
                <c:pt idx="6">
                  <c:v>9.7706032285471416</c:v>
                </c:pt>
                <c:pt idx="7">
                  <c:v>11.323896752706073</c:v>
                </c:pt>
                <c:pt idx="8">
                  <c:v>13.636363636363633</c:v>
                </c:pt>
                <c:pt idx="9" formatCode="General">
                  <c:v>14.589905362776037</c:v>
                </c:pt>
                <c:pt idx="10" formatCode="General">
                  <c:v>18.266253869969059</c:v>
                </c:pt>
                <c:pt idx="11" formatCode="General">
                  <c:v>18.773373223635023</c:v>
                </c:pt>
                <c:pt idx="12" formatCode="General">
                  <c:v>15.071428571428566</c:v>
                </c:pt>
                <c:pt idx="13" formatCode="General">
                  <c:v>14.246386785960075</c:v>
                </c:pt>
                <c:pt idx="14" formatCode="General">
                  <c:v>10.732984293193702</c:v>
                </c:pt>
                <c:pt idx="15" formatCode="General">
                  <c:v>8.7531486146095574</c:v>
                </c:pt>
                <c:pt idx="16" formatCode="General">
                  <c:v>8.3178150217256395</c:v>
                </c:pt>
                <c:pt idx="17" formatCode="General">
                  <c:v>4.9397590361445713</c:v>
                </c:pt>
                <c:pt idx="18" formatCode="General">
                  <c:v>3.3096926713948127</c:v>
                </c:pt>
                <c:pt idx="19" formatCode="General">
                  <c:v>2.9530978575564695</c:v>
                </c:pt>
                <c:pt idx="20" formatCode="General">
                  <c:v>3.553008595988532</c:v>
                </c:pt>
                <c:pt idx="21" formatCode="General">
                  <c:v>5.2812858783008139</c:v>
                </c:pt>
                <c:pt idx="22" formatCode="General">
                  <c:v>6.2356979405034192</c:v>
                </c:pt>
              </c:numCache>
            </c:numRef>
          </c:val>
          <c:smooth val="0"/>
          <c:extLst>
            <c:ext xmlns:c16="http://schemas.microsoft.com/office/drawing/2014/chart" uri="{C3380CC4-5D6E-409C-BE32-E72D297353CC}">
              <c16:uniqueId val="{00000003-D19E-427B-A67D-768E94E2B5B2}"/>
            </c:ext>
          </c:extLst>
        </c:ser>
        <c:dLbls>
          <c:showLegendKey val="0"/>
          <c:showVal val="0"/>
          <c:showCatName val="0"/>
          <c:showSerName val="0"/>
          <c:showPercent val="0"/>
          <c:showBubbleSize val="0"/>
        </c:dLbls>
        <c:marker val="1"/>
        <c:smooth val="0"/>
        <c:axId val="270057856"/>
        <c:axId val="270059392"/>
      </c:lineChart>
      <c:catAx>
        <c:axId val="27005785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059392"/>
        <c:crosses val="autoZero"/>
        <c:auto val="1"/>
        <c:lblAlgn val="ctr"/>
        <c:lblOffset val="100"/>
        <c:noMultiLvlLbl val="0"/>
      </c:catAx>
      <c:valAx>
        <c:axId val="270059392"/>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057856"/>
        <c:crosses val="autoZero"/>
        <c:crossBetween val="between"/>
        <c:majorUnit val="2"/>
      </c:valAx>
      <c:spPr>
        <a:ln>
          <a:solidFill>
            <a:schemeClr val="tx1"/>
          </a:solidFill>
        </a:ln>
      </c:spPr>
    </c:plotArea>
    <c:legend>
      <c:legendPos val="b"/>
      <c:layout>
        <c:manualLayout>
          <c:xMode val="edge"/>
          <c:yMode val="edge"/>
          <c:x val="7.3334810874704504E-2"/>
          <c:y val="0.88817854328492629"/>
          <c:w val="0.89999282337048292"/>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10469436001351E-2"/>
          <c:y val="2.181131592422042E-2"/>
          <c:w val="0.90860161263086792"/>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4'!$A$30:$B$98</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'Ceny 4'!$C$30:$C$98</c:f>
              <c:numCache>
                <c:formatCode>0.0</c:formatCode>
                <c:ptCount val="69"/>
                <c:pt idx="0">
                  <c:v>-3.5</c:v>
                </c:pt>
                <c:pt idx="1">
                  <c:v>-3.5999999999999943</c:v>
                </c:pt>
                <c:pt idx="2">
                  <c:v>-2.9000000000000057</c:v>
                </c:pt>
                <c:pt idx="3">
                  <c:v>-2.5999999999999943</c:v>
                </c:pt>
                <c:pt idx="4">
                  <c:v>-2.0999999999999943</c:v>
                </c:pt>
                <c:pt idx="5">
                  <c:v>-2.2999999999999972</c:v>
                </c:pt>
                <c:pt idx="6">
                  <c:v>-3</c:v>
                </c:pt>
                <c:pt idx="7">
                  <c:v>-3.7000000000000028</c:v>
                </c:pt>
                <c:pt idx="8">
                  <c:v>-4.2000000000000028</c:v>
                </c:pt>
                <c:pt idx="9">
                  <c:v>-3.9000000000000057</c:v>
                </c:pt>
                <c:pt idx="10">
                  <c:v>-3.7000000000000028</c:v>
                </c:pt>
                <c:pt idx="11">
                  <c:v>-2.9000000000000057</c:v>
                </c:pt>
                <c:pt idx="12">
                  <c:v>-3.4000000000000057</c:v>
                </c:pt>
                <c:pt idx="13">
                  <c:v>-4</c:v>
                </c:pt>
                <c:pt idx="14">
                  <c:v>-4.5</c:v>
                </c:pt>
                <c:pt idx="15">
                  <c:v>-4.7000000000000028</c:v>
                </c:pt>
                <c:pt idx="16">
                  <c:v>-4.7999999999999972</c:v>
                </c:pt>
                <c:pt idx="17">
                  <c:v>-4.4000000000000057</c:v>
                </c:pt>
                <c:pt idx="18">
                  <c:v>-4</c:v>
                </c:pt>
                <c:pt idx="19">
                  <c:v>-3.4000000000000057</c:v>
                </c:pt>
                <c:pt idx="20">
                  <c:v>-2.4000000000000057</c:v>
                </c:pt>
                <c:pt idx="21">
                  <c:v>-1.7000000000000028</c:v>
                </c:pt>
                <c:pt idx="22">
                  <c:v>-1.2999999999999972</c:v>
                </c:pt>
                <c:pt idx="23">
                  <c:v>-0.40000000000000568</c:v>
                </c:pt>
                <c:pt idx="24" formatCode="General">
                  <c:v>2.0999999999999943</c:v>
                </c:pt>
                <c:pt idx="25" formatCode="General">
                  <c:v>3.0999999999999943</c:v>
                </c:pt>
                <c:pt idx="26">
                  <c:v>3</c:v>
                </c:pt>
                <c:pt idx="27">
                  <c:v>3.2000000000000028</c:v>
                </c:pt>
                <c:pt idx="28" formatCode="General">
                  <c:v>2.2999999999999972</c:v>
                </c:pt>
                <c:pt idx="29" formatCode="General">
                  <c:v>1.2999999999999972</c:v>
                </c:pt>
                <c:pt idx="30" formatCode="General">
                  <c:v>1.1000000000000001</c:v>
                </c:pt>
                <c:pt idx="31" formatCode="General">
                  <c:v>1.4</c:v>
                </c:pt>
                <c:pt idx="32" formatCode="General">
                  <c:v>1.7</c:v>
                </c:pt>
                <c:pt idx="33" formatCode="General">
                  <c:v>1.1000000000000001</c:v>
                </c:pt>
                <c:pt idx="34" formatCode="General">
                  <c:v>0.9</c:v>
                </c:pt>
                <c:pt idx="35" formatCode="General">
                  <c:v>0.7</c:v>
                </c:pt>
                <c:pt idx="36" formatCode="General">
                  <c:v>0.5</c:v>
                </c:pt>
                <c:pt idx="37" formatCode="General">
                  <c:v>-0.3</c:v>
                </c:pt>
                <c:pt idx="38" formatCode="General">
                  <c:v>0.1</c:v>
                </c:pt>
                <c:pt idx="39" formatCode="General">
                  <c:v>0</c:v>
                </c:pt>
                <c:pt idx="40" formatCode="General">
                  <c:v>1.5</c:v>
                </c:pt>
                <c:pt idx="41" formatCode="General">
                  <c:v>2.9</c:v>
                </c:pt>
                <c:pt idx="42" formatCode="General">
                  <c:v>3.4</c:v>
                </c:pt>
                <c:pt idx="43" formatCode="General">
                  <c:v>3.3</c:v>
                </c:pt>
                <c:pt idx="44" formatCode="General">
                  <c:v>3.2</c:v>
                </c:pt>
                <c:pt idx="45" formatCode="General">
                  <c:v>3.9</c:v>
                </c:pt>
                <c:pt idx="46" formatCode="General">
                  <c:v>3.9</c:v>
                </c:pt>
                <c:pt idx="47" formatCode="General">
                  <c:v>2.4</c:v>
                </c:pt>
                <c:pt idx="48" formatCode="General">
                  <c:v>2.9</c:v>
                </c:pt>
                <c:pt idx="49" formatCode="General">
                  <c:v>3.6</c:v>
                </c:pt>
                <c:pt idx="50" formatCode="General">
                  <c:v>3.8</c:v>
                </c:pt>
                <c:pt idx="51" formatCode="General">
                  <c:v>4.3</c:v>
                </c:pt>
                <c:pt idx="52" formatCode="General">
                  <c:v>3.8</c:v>
                </c:pt>
                <c:pt idx="53" formatCode="General">
                  <c:v>2.5</c:v>
                </c:pt>
                <c:pt idx="54" formatCode="General">
                  <c:v>2.1</c:v>
                </c:pt>
                <c:pt idx="55" formatCode="General">
                  <c:v>2.1</c:v>
                </c:pt>
                <c:pt idx="56" formatCode="General">
                  <c:v>1.9</c:v>
                </c:pt>
                <c:pt idx="57" formatCode="General">
                  <c:v>0.9</c:v>
                </c:pt>
                <c:pt idx="58" formatCode="General">
                  <c:v>0.9</c:v>
                </c:pt>
                <c:pt idx="59" formatCode="General">
                  <c:v>2.1</c:v>
                </c:pt>
                <c:pt idx="60" formatCode="General">
                  <c:v>2.4</c:v>
                </c:pt>
                <c:pt idx="61" formatCode="General">
                  <c:v>1.4</c:v>
                </c:pt>
                <c:pt idx="62" formatCode="General">
                  <c:v>0.4</c:v>
                </c:pt>
                <c:pt idx="63" formatCode="General">
                  <c:v>-0.8</c:v>
                </c:pt>
                <c:pt idx="64" formatCode="General">
                  <c:v>-0.9</c:v>
                </c:pt>
                <c:pt idx="65" formatCode="General">
                  <c:v>-0.3</c:v>
                </c:pt>
                <c:pt idx="66" formatCode="General">
                  <c:v>-0.1</c:v>
                </c:pt>
                <c:pt idx="67" formatCode="General">
                  <c:v>-0.5</c:v>
                </c:pt>
                <c:pt idx="68" formatCode="General">
                  <c:v>-0.4</c:v>
                </c:pt>
              </c:numCache>
            </c:numRef>
          </c:val>
          <c:extLst>
            <c:ext xmlns:c16="http://schemas.microsoft.com/office/drawing/2014/chart" uri="{C3380CC4-5D6E-409C-BE32-E72D297353CC}">
              <c16:uniqueId val="{00000000-AFAD-4A88-99C8-A0106F00C3AC}"/>
            </c:ext>
          </c:extLst>
        </c:ser>
        <c:dLbls>
          <c:showLegendKey val="0"/>
          <c:showVal val="0"/>
          <c:showCatName val="0"/>
          <c:showSerName val="0"/>
          <c:showPercent val="0"/>
          <c:showBubbleSize val="0"/>
        </c:dLbls>
        <c:gapWidth val="96"/>
        <c:axId val="271374208"/>
        <c:axId val="271375744"/>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4'!$A$30:$B$98</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'Ceny 4'!$D$30:$D$98</c:f>
              <c:numCache>
                <c:formatCode>0.0</c:formatCode>
                <c:ptCount val="69"/>
                <c:pt idx="0">
                  <c:v>-0.90000000000000568</c:v>
                </c:pt>
                <c:pt idx="1">
                  <c:v>-1.5</c:v>
                </c:pt>
                <c:pt idx="2">
                  <c:v>-0.90000000000000568</c:v>
                </c:pt>
                <c:pt idx="3">
                  <c:v>-0.90000000000000568</c:v>
                </c:pt>
                <c:pt idx="4">
                  <c:v>0.29999999999999716</c:v>
                </c:pt>
                <c:pt idx="5">
                  <c:v>0.59999999999999432</c:v>
                </c:pt>
                <c:pt idx="6">
                  <c:v>0.40000000000000568</c:v>
                </c:pt>
                <c:pt idx="7">
                  <c:v>-0.29999999999999716</c:v>
                </c:pt>
                <c:pt idx="8">
                  <c:v>-1.7000000000000028</c:v>
                </c:pt>
                <c:pt idx="9">
                  <c:v>-1.4000000000000057</c:v>
                </c:pt>
                <c:pt idx="10">
                  <c:v>-0.59999999999999432</c:v>
                </c:pt>
                <c:pt idx="11">
                  <c:v>-0.5</c:v>
                </c:pt>
                <c:pt idx="12">
                  <c:v>-6.5999999999999943</c:v>
                </c:pt>
                <c:pt idx="13">
                  <c:v>-6.0999999999999943</c:v>
                </c:pt>
                <c:pt idx="14">
                  <c:v>-6.5</c:v>
                </c:pt>
                <c:pt idx="15">
                  <c:v>-7</c:v>
                </c:pt>
                <c:pt idx="16">
                  <c:v>-7.0999999999999943</c:v>
                </c:pt>
                <c:pt idx="17">
                  <c:v>-7.2999999999999972</c:v>
                </c:pt>
                <c:pt idx="18">
                  <c:v>-6.5999999999999943</c:v>
                </c:pt>
                <c:pt idx="19">
                  <c:v>-6</c:v>
                </c:pt>
                <c:pt idx="20">
                  <c:v>-4.9000000000000057</c:v>
                </c:pt>
                <c:pt idx="21">
                  <c:v>-5.2000000000000028</c:v>
                </c:pt>
                <c:pt idx="22">
                  <c:v>-5.2999999999999972</c:v>
                </c:pt>
                <c:pt idx="23">
                  <c:v>-5.0999999999999943</c:v>
                </c:pt>
                <c:pt idx="24" formatCode="General">
                  <c:v>2.2999999999999972</c:v>
                </c:pt>
                <c:pt idx="25" formatCode="General">
                  <c:v>5.7999999999999972</c:v>
                </c:pt>
                <c:pt idx="26">
                  <c:v>6.2000000000000028</c:v>
                </c:pt>
                <c:pt idx="27">
                  <c:v>6.4000000000000057</c:v>
                </c:pt>
                <c:pt idx="28" formatCode="General">
                  <c:v>4.2999999999999972</c:v>
                </c:pt>
                <c:pt idx="29" formatCode="General">
                  <c:v>4.0999999999999943</c:v>
                </c:pt>
                <c:pt idx="30" formatCode="General">
                  <c:v>2.9</c:v>
                </c:pt>
                <c:pt idx="31" formatCode="General">
                  <c:v>1.7</c:v>
                </c:pt>
                <c:pt idx="32" formatCode="General">
                  <c:v>1.9</c:v>
                </c:pt>
                <c:pt idx="33" formatCode="General">
                  <c:v>3.4</c:v>
                </c:pt>
                <c:pt idx="34" formatCode="General">
                  <c:v>3.3</c:v>
                </c:pt>
                <c:pt idx="35" formatCode="General">
                  <c:v>3.6</c:v>
                </c:pt>
                <c:pt idx="36" formatCode="General">
                  <c:v>6.7</c:v>
                </c:pt>
                <c:pt idx="37" formatCode="General">
                  <c:v>5</c:v>
                </c:pt>
                <c:pt idx="38" formatCode="General">
                  <c:v>4.3</c:v>
                </c:pt>
                <c:pt idx="39" formatCode="General">
                  <c:v>4.5999999999999996</c:v>
                </c:pt>
                <c:pt idx="40" formatCode="General">
                  <c:v>7.4</c:v>
                </c:pt>
                <c:pt idx="41" formatCode="General">
                  <c:v>8</c:v>
                </c:pt>
                <c:pt idx="42" formatCode="General">
                  <c:v>8.4</c:v>
                </c:pt>
                <c:pt idx="43" formatCode="General">
                  <c:v>10.1</c:v>
                </c:pt>
                <c:pt idx="44" formatCode="General">
                  <c:v>9.9</c:v>
                </c:pt>
                <c:pt idx="45" formatCode="General">
                  <c:v>9</c:v>
                </c:pt>
                <c:pt idx="46" formatCode="General">
                  <c:v>9.1999999999999993</c:v>
                </c:pt>
                <c:pt idx="47" formatCode="General">
                  <c:v>8.3000000000000007</c:v>
                </c:pt>
                <c:pt idx="48" formatCode="General">
                  <c:v>7.9</c:v>
                </c:pt>
                <c:pt idx="49" formatCode="General">
                  <c:v>7.4</c:v>
                </c:pt>
                <c:pt idx="50" formatCode="General">
                  <c:v>8</c:v>
                </c:pt>
                <c:pt idx="51" formatCode="General">
                  <c:v>8.4</c:v>
                </c:pt>
                <c:pt idx="52" formatCode="General">
                  <c:v>7.5</c:v>
                </c:pt>
                <c:pt idx="53" formatCode="General">
                  <c:v>7.1</c:v>
                </c:pt>
                <c:pt idx="54" formatCode="General">
                  <c:v>6.9</c:v>
                </c:pt>
                <c:pt idx="55" formatCode="General">
                  <c:v>6.8</c:v>
                </c:pt>
                <c:pt idx="56" formatCode="General">
                  <c:v>6.6</c:v>
                </c:pt>
                <c:pt idx="57" formatCode="General">
                  <c:v>3.6</c:v>
                </c:pt>
                <c:pt idx="58" formatCode="General">
                  <c:v>3.2</c:v>
                </c:pt>
                <c:pt idx="59" formatCode="General">
                  <c:v>4.3</c:v>
                </c:pt>
                <c:pt idx="60" formatCode="General">
                  <c:v>-2.1</c:v>
                </c:pt>
                <c:pt idx="61" formatCode="General">
                  <c:v>-1.8</c:v>
                </c:pt>
                <c:pt idx="62" formatCode="General">
                  <c:v>-2.6</c:v>
                </c:pt>
                <c:pt idx="63" formatCode="General">
                  <c:v>-3.7</c:v>
                </c:pt>
                <c:pt idx="64" formatCode="General">
                  <c:v>-3.1</c:v>
                </c:pt>
                <c:pt idx="65" formatCode="General">
                  <c:v>-3.6</c:v>
                </c:pt>
                <c:pt idx="66" formatCode="General">
                  <c:v>-3.5</c:v>
                </c:pt>
                <c:pt idx="67" formatCode="General">
                  <c:v>-3.5</c:v>
                </c:pt>
                <c:pt idx="68" formatCode="General">
                  <c:v>-3.7</c:v>
                </c:pt>
              </c:numCache>
            </c:numRef>
          </c:val>
          <c:smooth val="0"/>
          <c:extLst>
            <c:ext xmlns:c16="http://schemas.microsoft.com/office/drawing/2014/chart" uri="{C3380CC4-5D6E-409C-BE32-E72D297353CC}">
              <c16:uniqueId val="{00000001-AFAD-4A88-99C8-A0106F00C3AC}"/>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4'!$A$30:$B$98</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'Ceny 4'!$E$30:$E$98</c:f>
              <c:numCache>
                <c:formatCode>0.0</c:formatCode>
                <c:ptCount val="69"/>
                <c:pt idx="0">
                  <c:v>-4.2999999999999972</c:v>
                </c:pt>
                <c:pt idx="1">
                  <c:v>-4.4000000000000057</c:v>
                </c:pt>
                <c:pt idx="2">
                  <c:v>-3.5</c:v>
                </c:pt>
                <c:pt idx="3">
                  <c:v>-3.0999999999999943</c:v>
                </c:pt>
                <c:pt idx="4">
                  <c:v>-2.7000000000000028</c:v>
                </c:pt>
                <c:pt idx="5">
                  <c:v>-2.7999999999999972</c:v>
                </c:pt>
                <c:pt idx="6">
                  <c:v>-3.5999999999999943</c:v>
                </c:pt>
                <c:pt idx="7">
                  <c:v>-4.7000000000000028</c:v>
                </c:pt>
                <c:pt idx="8">
                  <c:v>-5.2000000000000028</c:v>
                </c:pt>
                <c:pt idx="9">
                  <c:v>-4.9000000000000057</c:v>
                </c:pt>
                <c:pt idx="10">
                  <c:v>-4.5999999999999943</c:v>
                </c:pt>
                <c:pt idx="11">
                  <c:v>-3.5</c:v>
                </c:pt>
                <c:pt idx="12">
                  <c:v>-3.2999999999999972</c:v>
                </c:pt>
                <c:pt idx="13">
                  <c:v>-4.0999999999999943</c:v>
                </c:pt>
                <c:pt idx="14">
                  <c:v>-4.5999999999999943</c:v>
                </c:pt>
                <c:pt idx="15">
                  <c:v>-4.9000000000000057</c:v>
                </c:pt>
                <c:pt idx="16">
                  <c:v>-5</c:v>
                </c:pt>
                <c:pt idx="17">
                  <c:v>-4.5</c:v>
                </c:pt>
                <c:pt idx="18">
                  <c:v>-4</c:v>
                </c:pt>
                <c:pt idx="19">
                  <c:v>-3.2000000000000028</c:v>
                </c:pt>
                <c:pt idx="20">
                  <c:v>-2</c:v>
                </c:pt>
                <c:pt idx="21">
                  <c:v>-1.0999999999999943</c:v>
                </c:pt>
                <c:pt idx="22">
                  <c:v>-0.59999999999999432</c:v>
                </c:pt>
                <c:pt idx="23">
                  <c:v>0.59999999999999432</c:v>
                </c:pt>
                <c:pt idx="24" formatCode="General">
                  <c:v>2.5999999999999943</c:v>
                </c:pt>
                <c:pt idx="25" formatCode="General">
                  <c:v>4</c:v>
                </c:pt>
                <c:pt idx="26">
                  <c:v>3.7999999999999972</c:v>
                </c:pt>
                <c:pt idx="27">
                  <c:v>4</c:v>
                </c:pt>
                <c:pt idx="28" formatCode="General">
                  <c:v>2.7999999999999972</c:v>
                </c:pt>
                <c:pt idx="29" formatCode="General">
                  <c:v>1.5</c:v>
                </c:pt>
                <c:pt idx="30" formatCode="General">
                  <c:v>1.4</c:v>
                </c:pt>
                <c:pt idx="31" formatCode="General">
                  <c:v>2</c:v>
                </c:pt>
                <c:pt idx="32" formatCode="General">
                  <c:v>2.1</c:v>
                </c:pt>
                <c:pt idx="33" formatCode="General">
                  <c:v>1.4</c:v>
                </c:pt>
                <c:pt idx="34" formatCode="General">
                  <c:v>1.1000000000000001</c:v>
                </c:pt>
                <c:pt idx="35" formatCode="General">
                  <c:v>0.9</c:v>
                </c:pt>
                <c:pt idx="36" formatCode="General">
                  <c:v>0.2</c:v>
                </c:pt>
                <c:pt idx="37" formatCode="General">
                  <c:v>-0.9</c:v>
                </c:pt>
                <c:pt idx="38" formatCode="General">
                  <c:v>-0.5</c:v>
                </c:pt>
                <c:pt idx="39" formatCode="General">
                  <c:v>-0.5</c:v>
                </c:pt>
                <c:pt idx="40" formatCode="General">
                  <c:v>1.3</c:v>
                </c:pt>
                <c:pt idx="41" formatCode="General">
                  <c:v>2.8</c:v>
                </c:pt>
                <c:pt idx="42" formatCode="General">
                  <c:v>3.4</c:v>
                </c:pt>
                <c:pt idx="43" formatCode="General">
                  <c:v>3.2</c:v>
                </c:pt>
                <c:pt idx="44" formatCode="General">
                  <c:v>3</c:v>
                </c:pt>
                <c:pt idx="45" formatCode="General">
                  <c:v>3.8</c:v>
                </c:pt>
                <c:pt idx="46" formatCode="General">
                  <c:v>3.9</c:v>
                </c:pt>
                <c:pt idx="47" formatCode="General">
                  <c:v>2.2000000000000002</c:v>
                </c:pt>
                <c:pt idx="48" formatCode="General">
                  <c:v>1.9</c:v>
                </c:pt>
                <c:pt idx="49" formatCode="General">
                  <c:v>2.9</c:v>
                </c:pt>
                <c:pt idx="50" formatCode="General">
                  <c:v>3</c:v>
                </c:pt>
                <c:pt idx="51" formatCode="General">
                  <c:v>3.5</c:v>
                </c:pt>
                <c:pt idx="52" formatCode="General">
                  <c:v>2.9</c:v>
                </c:pt>
                <c:pt idx="53" formatCode="General">
                  <c:v>1.4</c:v>
                </c:pt>
                <c:pt idx="54" formatCode="General">
                  <c:v>0.9</c:v>
                </c:pt>
                <c:pt idx="55" formatCode="General">
                  <c:v>0.8</c:v>
                </c:pt>
                <c:pt idx="56" formatCode="General">
                  <c:v>0.7</c:v>
                </c:pt>
                <c:pt idx="57" formatCode="General">
                  <c:v>-0.4</c:v>
                </c:pt>
                <c:pt idx="58" formatCode="General">
                  <c:v>-0.7</c:v>
                </c:pt>
                <c:pt idx="59" formatCode="General">
                  <c:v>0.8</c:v>
                </c:pt>
                <c:pt idx="60" formatCode="General">
                  <c:v>1.2</c:v>
                </c:pt>
                <c:pt idx="61" formatCode="General">
                  <c:v>-0.1</c:v>
                </c:pt>
                <c:pt idx="62" formatCode="General">
                  <c:v>-1.2</c:v>
                </c:pt>
                <c:pt idx="63" formatCode="General">
                  <c:v>-2.5</c:v>
                </c:pt>
                <c:pt idx="64" formatCode="General">
                  <c:v>-2.6</c:v>
                </c:pt>
                <c:pt idx="65" formatCode="General">
                  <c:v>-1.9</c:v>
                </c:pt>
                <c:pt idx="66" formatCode="General">
                  <c:v>-1.6</c:v>
                </c:pt>
                <c:pt idx="67" formatCode="General">
                  <c:v>-2</c:v>
                </c:pt>
                <c:pt idx="68" formatCode="General">
                  <c:v>-1.9</c:v>
                </c:pt>
              </c:numCache>
            </c:numRef>
          </c:val>
          <c:smooth val="0"/>
          <c:extLst>
            <c:ext xmlns:c16="http://schemas.microsoft.com/office/drawing/2014/chart" uri="{C3380CC4-5D6E-409C-BE32-E72D297353CC}">
              <c16:uniqueId val="{00000002-AFAD-4A88-99C8-A0106F00C3AC}"/>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4'!$A$30:$B$98</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'Ceny 4'!$F$30:$F$98</c:f>
              <c:numCache>
                <c:formatCode>0.0</c:formatCode>
                <c:ptCount val="69"/>
                <c:pt idx="0">
                  <c:v>-0.79999999999999716</c:v>
                </c:pt>
                <c:pt idx="1">
                  <c:v>-0.79999999999999716</c:v>
                </c:pt>
                <c:pt idx="2">
                  <c:v>-0.79999999999999716</c:v>
                </c:pt>
                <c:pt idx="3">
                  <c:v>-0.70000000000000284</c:v>
                </c:pt>
                <c:pt idx="4">
                  <c:v>-0.70000000000000284</c:v>
                </c:pt>
                <c:pt idx="5">
                  <c:v>-0.70000000000000284</c:v>
                </c:pt>
                <c:pt idx="6">
                  <c:v>-0.70000000000000284</c:v>
                </c:pt>
                <c:pt idx="7">
                  <c:v>-0.79999999999999716</c:v>
                </c:pt>
                <c:pt idx="8">
                  <c:v>-0.79999999999999716</c:v>
                </c:pt>
                <c:pt idx="9">
                  <c:v>-0.90000000000000568</c:v>
                </c:pt>
                <c:pt idx="10">
                  <c:v>-0.90000000000000568</c:v>
                </c:pt>
                <c:pt idx="11">
                  <c:v>-0.90000000000000568</c:v>
                </c:pt>
                <c:pt idx="12">
                  <c:v>-4</c:v>
                </c:pt>
                <c:pt idx="13">
                  <c:v>-4.0999999999999943</c:v>
                </c:pt>
                <c:pt idx="14">
                  <c:v>-4.0999999999999943</c:v>
                </c:pt>
                <c:pt idx="15">
                  <c:v>-4</c:v>
                </c:pt>
                <c:pt idx="16">
                  <c:v>-4</c:v>
                </c:pt>
                <c:pt idx="17">
                  <c:v>-4.0999999999999943</c:v>
                </c:pt>
                <c:pt idx="18">
                  <c:v>-4</c:v>
                </c:pt>
                <c:pt idx="19">
                  <c:v>-4</c:v>
                </c:pt>
                <c:pt idx="20">
                  <c:v>-4.0999999999999943</c:v>
                </c:pt>
                <c:pt idx="21">
                  <c:v>-4.0999999999999943</c:v>
                </c:pt>
                <c:pt idx="22">
                  <c:v>-4.0999999999999943</c:v>
                </c:pt>
                <c:pt idx="23">
                  <c:v>-4.0999999999999943</c:v>
                </c:pt>
                <c:pt idx="24" formatCode="General">
                  <c:v>-1.0999999999999943</c:v>
                </c:pt>
                <c:pt idx="25" formatCode="General">
                  <c:v>-1.2000000000000028</c:v>
                </c:pt>
                <c:pt idx="26">
                  <c:v>-1.2000000000000028</c:v>
                </c:pt>
                <c:pt idx="27">
                  <c:v>-1.4000000000000057</c:v>
                </c:pt>
                <c:pt idx="28" formatCode="General">
                  <c:v>-1.2999999999999972</c:v>
                </c:pt>
                <c:pt idx="29" formatCode="General">
                  <c:v>-1.0999999999999943</c:v>
                </c:pt>
                <c:pt idx="30" formatCode="General">
                  <c:v>-1.1000000000000001</c:v>
                </c:pt>
                <c:pt idx="31" formatCode="General">
                  <c:v>-1.3</c:v>
                </c:pt>
                <c:pt idx="32" formatCode="General">
                  <c:v>-1.1000000000000001</c:v>
                </c:pt>
                <c:pt idx="33" formatCode="General">
                  <c:v>-1.1000000000000001</c:v>
                </c:pt>
                <c:pt idx="34" formatCode="General">
                  <c:v>-1.1000000000000001</c:v>
                </c:pt>
                <c:pt idx="35" formatCode="General">
                  <c:v>-1.1000000000000001</c:v>
                </c:pt>
                <c:pt idx="36" formatCode="General">
                  <c:v>1.5</c:v>
                </c:pt>
                <c:pt idx="37" formatCode="General">
                  <c:v>1.6</c:v>
                </c:pt>
                <c:pt idx="38" formatCode="General">
                  <c:v>1.6</c:v>
                </c:pt>
                <c:pt idx="39" formatCode="General">
                  <c:v>1.7</c:v>
                </c:pt>
                <c:pt idx="40" formatCode="General">
                  <c:v>1.7</c:v>
                </c:pt>
                <c:pt idx="41" formatCode="General">
                  <c:v>2.2999999999999998</c:v>
                </c:pt>
                <c:pt idx="42" formatCode="General">
                  <c:v>2.2999999999999998</c:v>
                </c:pt>
                <c:pt idx="43" formatCode="General">
                  <c:v>2.6</c:v>
                </c:pt>
                <c:pt idx="44" formatCode="General">
                  <c:v>2.7</c:v>
                </c:pt>
                <c:pt idx="45" formatCode="General">
                  <c:v>2.8</c:v>
                </c:pt>
                <c:pt idx="46" formatCode="General">
                  <c:v>2.8</c:v>
                </c:pt>
                <c:pt idx="47" formatCode="General">
                  <c:v>2.8</c:v>
                </c:pt>
                <c:pt idx="48" formatCode="General">
                  <c:v>7.2</c:v>
                </c:pt>
                <c:pt idx="49" formatCode="General">
                  <c:v>7.5</c:v>
                </c:pt>
                <c:pt idx="50" formatCode="General">
                  <c:v>8.4</c:v>
                </c:pt>
                <c:pt idx="51" formatCode="General">
                  <c:v>8.1999999999999993</c:v>
                </c:pt>
                <c:pt idx="52" formatCode="General">
                  <c:v>8.6</c:v>
                </c:pt>
                <c:pt idx="53" formatCode="General">
                  <c:v>7.9</c:v>
                </c:pt>
                <c:pt idx="54" formatCode="General">
                  <c:v>8</c:v>
                </c:pt>
                <c:pt idx="55" formatCode="General">
                  <c:v>7.7</c:v>
                </c:pt>
                <c:pt idx="56" formatCode="General">
                  <c:v>7.7</c:v>
                </c:pt>
                <c:pt idx="57" formatCode="General">
                  <c:v>7.5</c:v>
                </c:pt>
                <c:pt idx="58" formatCode="General">
                  <c:v>8.6999999999999993</c:v>
                </c:pt>
                <c:pt idx="59" formatCode="General">
                  <c:v>8.8000000000000007</c:v>
                </c:pt>
                <c:pt idx="60" formatCode="General">
                  <c:v>9.3000000000000007</c:v>
                </c:pt>
                <c:pt idx="61" formatCode="General">
                  <c:v>9</c:v>
                </c:pt>
                <c:pt idx="62" formatCode="General">
                  <c:v>8.3000000000000007</c:v>
                </c:pt>
                <c:pt idx="63" formatCode="General">
                  <c:v>8.6</c:v>
                </c:pt>
                <c:pt idx="64" formatCode="General">
                  <c:v>8</c:v>
                </c:pt>
                <c:pt idx="65" formatCode="General">
                  <c:v>8</c:v>
                </c:pt>
                <c:pt idx="66" formatCode="General">
                  <c:v>7.7</c:v>
                </c:pt>
                <c:pt idx="67" formatCode="General">
                  <c:v>7.9</c:v>
                </c:pt>
                <c:pt idx="68" formatCode="General">
                  <c:v>7.7</c:v>
                </c:pt>
              </c:numCache>
            </c:numRef>
          </c:val>
          <c:smooth val="0"/>
          <c:extLst>
            <c:ext xmlns:c16="http://schemas.microsoft.com/office/drawing/2014/chart" uri="{C3380CC4-5D6E-409C-BE32-E72D297353CC}">
              <c16:uniqueId val="{00000003-AFAD-4A88-99C8-A0106F00C3AC}"/>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4'!$A$30:$B$98</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'Ceny 4'!$G$30:$G$98</c:f>
              <c:numCache>
                <c:formatCode>General</c:formatCode>
                <c:ptCount val="69"/>
                <c:pt idx="0">
                  <c:v>3.4000000000000057</c:v>
                </c:pt>
                <c:pt idx="1">
                  <c:v>3.4000000000000057</c:v>
                </c:pt>
                <c:pt idx="2">
                  <c:v>3.4000000000000057</c:v>
                </c:pt>
                <c:pt idx="3">
                  <c:v>3.4000000000000057</c:v>
                </c:pt>
                <c:pt idx="4">
                  <c:v>3.4000000000000057</c:v>
                </c:pt>
                <c:pt idx="5">
                  <c:v>3.4000000000000057</c:v>
                </c:pt>
                <c:pt idx="6">
                  <c:v>3.4000000000000057</c:v>
                </c:pt>
                <c:pt idx="7">
                  <c:v>3.4000000000000057</c:v>
                </c:pt>
                <c:pt idx="8">
                  <c:v>3.4000000000000057</c:v>
                </c:pt>
                <c:pt idx="9">
                  <c:v>3.4000000000000057</c:v>
                </c:pt>
                <c:pt idx="10">
                  <c:v>3.4000000000000057</c:v>
                </c:pt>
                <c:pt idx="11">
                  <c:v>3.4000000000000057</c:v>
                </c:pt>
                <c:pt idx="12">
                  <c:v>0.5</c:v>
                </c:pt>
                <c:pt idx="13">
                  <c:v>0.5</c:v>
                </c:pt>
                <c:pt idx="14">
                  <c:v>0.5</c:v>
                </c:pt>
                <c:pt idx="15">
                  <c:v>1.5999999999999943</c:v>
                </c:pt>
                <c:pt idx="16">
                  <c:v>1.5999999999999943</c:v>
                </c:pt>
                <c:pt idx="17">
                  <c:v>1.5999999999999943</c:v>
                </c:pt>
                <c:pt idx="18">
                  <c:v>1.5999999999999943</c:v>
                </c:pt>
                <c:pt idx="19">
                  <c:v>1.5999999999999943</c:v>
                </c:pt>
                <c:pt idx="20">
                  <c:v>1.5999999999999943</c:v>
                </c:pt>
                <c:pt idx="21">
                  <c:v>1.5999999999999943</c:v>
                </c:pt>
                <c:pt idx="22">
                  <c:v>1.5999999999999943</c:v>
                </c:pt>
                <c:pt idx="23">
                  <c:v>1.5999999999999943</c:v>
                </c:pt>
                <c:pt idx="24">
                  <c:v>2.0999999999999943</c:v>
                </c:pt>
                <c:pt idx="25">
                  <c:v>2.0999999999999943</c:v>
                </c:pt>
                <c:pt idx="26" formatCode="0.0">
                  <c:v>2.0999999999999943</c:v>
                </c:pt>
                <c:pt idx="27" formatCode="0.0">
                  <c:v>1</c:v>
                </c:pt>
                <c:pt idx="28">
                  <c:v>1</c:v>
                </c:pt>
                <c:pt idx="29">
                  <c:v>1</c:v>
                </c:pt>
                <c:pt idx="30">
                  <c:v>1</c:v>
                </c:pt>
                <c:pt idx="31">
                  <c:v>1</c:v>
                </c:pt>
                <c:pt idx="32">
                  <c:v>1</c:v>
                </c:pt>
                <c:pt idx="33">
                  <c:v>1</c:v>
                </c:pt>
                <c:pt idx="34">
                  <c:v>1</c:v>
                </c:pt>
                <c:pt idx="35">
                  <c:v>1</c:v>
                </c:pt>
                <c:pt idx="36">
                  <c:v>1.9</c:v>
                </c:pt>
                <c:pt idx="37">
                  <c:v>1.9</c:v>
                </c:pt>
                <c:pt idx="38">
                  <c:v>1.9</c:v>
                </c:pt>
                <c:pt idx="39">
                  <c:v>1.9</c:v>
                </c:pt>
                <c:pt idx="40">
                  <c:v>1.9</c:v>
                </c:pt>
                <c:pt idx="41">
                  <c:v>1.9</c:v>
                </c:pt>
                <c:pt idx="42">
                  <c:v>1.9</c:v>
                </c:pt>
                <c:pt idx="43">
                  <c:v>1.9</c:v>
                </c:pt>
                <c:pt idx="44">
                  <c:v>1.9</c:v>
                </c:pt>
                <c:pt idx="45">
                  <c:v>1.9</c:v>
                </c:pt>
                <c:pt idx="46">
                  <c:v>1.9</c:v>
                </c:pt>
                <c:pt idx="47">
                  <c:v>1.9</c:v>
                </c:pt>
                <c:pt idx="48">
                  <c:v>2.9</c:v>
                </c:pt>
                <c:pt idx="49">
                  <c:v>2.9</c:v>
                </c:pt>
                <c:pt idx="50">
                  <c:v>2.9</c:v>
                </c:pt>
                <c:pt idx="51">
                  <c:v>2.9</c:v>
                </c:pt>
                <c:pt idx="52">
                  <c:v>2.9</c:v>
                </c:pt>
                <c:pt idx="53">
                  <c:v>2.9</c:v>
                </c:pt>
                <c:pt idx="54">
                  <c:v>2.9</c:v>
                </c:pt>
                <c:pt idx="55">
                  <c:v>2.9</c:v>
                </c:pt>
                <c:pt idx="56">
                  <c:v>2.9</c:v>
                </c:pt>
                <c:pt idx="57">
                  <c:v>2.9</c:v>
                </c:pt>
                <c:pt idx="58">
                  <c:v>2.9</c:v>
                </c:pt>
                <c:pt idx="59">
                  <c:v>2.9</c:v>
                </c:pt>
                <c:pt idx="60">
                  <c:v>5.4</c:v>
                </c:pt>
                <c:pt idx="61">
                  <c:v>5.4</c:v>
                </c:pt>
                <c:pt idx="62">
                  <c:v>5.4</c:v>
                </c:pt>
                <c:pt idx="63">
                  <c:v>5.4</c:v>
                </c:pt>
                <c:pt idx="64">
                  <c:v>6.4</c:v>
                </c:pt>
                <c:pt idx="65">
                  <c:v>6.4</c:v>
                </c:pt>
                <c:pt idx="66">
                  <c:v>6.4</c:v>
                </c:pt>
                <c:pt idx="67">
                  <c:v>6.4</c:v>
                </c:pt>
                <c:pt idx="68">
                  <c:v>6.4</c:v>
                </c:pt>
              </c:numCache>
            </c:numRef>
          </c:val>
          <c:smooth val="0"/>
          <c:extLst>
            <c:ext xmlns:c16="http://schemas.microsoft.com/office/drawing/2014/chart" uri="{C3380CC4-5D6E-409C-BE32-E72D297353CC}">
              <c16:uniqueId val="{00000004-AFAD-4A88-99C8-A0106F00C3AC}"/>
            </c:ext>
          </c:extLst>
        </c:ser>
        <c:dLbls>
          <c:showLegendKey val="0"/>
          <c:showVal val="0"/>
          <c:showCatName val="0"/>
          <c:showSerName val="0"/>
          <c:showPercent val="0"/>
          <c:showBubbleSize val="0"/>
        </c:dLbls>
        <c:marker val="1"/>
        <c:smooth val="0"/>
        <c:axId val="271374208"/>
        <c:axId val="271375744"/>
      </c:lineChart>
      <c:catAx>
        <c:axId val="271374208"/>
        <c:scaling>
          <c:orientation val="minMax"/>
        </c:scaling>
        <c:delete val="0"/>
        <c:axPos val="b"/>
        <c:numFmt formatCode="General" sourceLinked="0"/>
        <c:majorTickMark val="out"/>
        <c:minorTickMark val="none"/>
        <c:tickLblPos val="low"/>
        <c:spPr>
          <a:ln>
            <a:solidFill>
              <a:schemeClr val="tx1"/>
            </a:solidFill>
          </a:ln>
        </c:spPr>
        <c:crossAx val="271375744"/>
        <c:crosses val="autoZero"/>
        <c:auto val="1"/>
        <c:lblAlgn val="ctr"/>
        <c:lblOffset val="100"/>
        <c:noMultiLvlLbl val="0"/>
      </c:catAx>
      <c:valAx>
        <c:axId val="271375744"/>
        <c:scaling>
          <c:orientation val="minMax"/>
          <c:max val="12"/>
          <c:min val="-1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374208"/>
        <c:crosses val="autoZero"/>
        <c:crossBetween val="between"/>
        <c:majorUnit val="2"/>
      </c:valAx>
      <c:spPr>
        <a:ln>
          <a:solidFill>
            <a:schemeClr val="tx1"/>
          </a:solidFill>
        </a:ln>
      </c:spPr>
    </c:plotArea>
    <c:legend>
      <c:legendPos val="b"/>
      <c:layout>
        <c:manualLayout>
          <c:xMode val="edge"/>
          <c:yMode val="edge"/>
          <c:x val="6.1319022289766968E-2"/>
          <c:y val="0.86223931272106069"/>
          <c:w val="0.90901046943600139"/>
          <c:h val="0.12109402425765226"/>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6549886621315374E-2"/>
          <c:w val="0.83420125451377358"/>
          <c:h val="0.65992692395395358"/>
        </c:manualLayout>
      </c:layout>
      <c:barChart>
        <c:barDir val="col"/>
        <c:grouping val="stacked"/>
        <c:varyColors val="0"/>
        <c:ser>
          <c:idx val="0"/>
          <c:order val="0"/>
          <c:tx>
            <c:strRef>
              <c:f>'Trh práce 1'!$AC$7</c:f>
              <c:strCache>
                <c:ptCount val="1"/>
                <c:pt idx="0">
                  <c:v>Zemědělství, lesnictví a rybářství</c:v>
                </c:pt>
              </c:strCache>
            </c:strRef>
          </c:tx>
          <c:spPr>
            <a:solidFill>
              <a:srgbClr val="7DBB2D"/>
            </a:solidFill>
            <a:ln>
              <a:noFill/>
            </a:ln>
          </c:spPr>
          <c:invertIfNegative val="0"/>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1'!$AC$28:$AC$51</c:f>
              <c:numCache>
                <c:formatCode>#\ ##0.0</c:formatCode>
                <c:ptCount val="24"/>
                <c:pt idx="0">
                  <c:v>-6.3775886113478369E-2</c:v>
                </c:pt>
                <c:pt idx="1">
                  <c:v>-5.3530554883726662E-2</c:v>
                </c:pt>
                <c:pt idx="2">
                  <c:v>-6.4075390166381849E-2</c:v>
                </c:pt>
                <c:pt idx="3">
                  <c:v>-0.13844304699479693</c:v>
                </c:pt>
                <c:pt idx="4">
                  <c:v>-0.13446730863002626</c:v>
                </c:pt>
                <c:pt idx="5">
                  <c:v>-4.2544545507820601E-2</c:v>
                </c:pt>
                <c:pt idx="6">
                  <c:v>-3.3191194580390673E-2</c:v>
                </c:pt>
                <c:pt idx="7">
                  <c:v>6.6309323471769377E-2</c:v>
                </c:pt>
                <c:pt idx="8">
                  <c:v>9.8066936941412233E-2</c:v>
                </c:pt>
                <c:pt idx="9">
                  <c:v>2.5196330912572437E-2</c:v>
                </c:pt>
                <c:pt idx="10">
                  <c:v>2.0639846638534198E-2</c:v>
                </c:pt>
                <c:pt idx="11">
                  <c:v>-8.3455519417103677E-2</c:v>
                </c:pt>
                <c:pt idx="12">
                  <c:v>2.5814692683709294E-2</c:v>
                </c:pt>
                <c:pt idx="13">
                  <c:v>2.6984266486121962E-2</c:v>
                </c:pt>
                <c:pt idx="14">
                  <c:v>1.9988014642478076E-2</c:v>
                </c:pt>
                <c:pt idx="15">
                  <c:v>8.7933936276959376E-2</c:v>
                </c:pt>
                <c:pt idx="16">
                  <c:v>-2.5505751222282186E-2</c:v>
                </c:pt>
                <c:pt idx="17">
                  <c:v>-7.8189986559947439E-2</c:v>
                </c:pt>
                <c:pt idx="18">
                  <c:v>-0.10869950494464604</c:v>
                </c:pt>
                <c:pt idx="19">
                  <c:v>-0.12385597955281273</c:v>
                </c:pt>
                <c:pt idx="20">
                  <c:v>-0.13740972377814739</c:v>
                </c:pt>
                <c:pt idx="21">
                  <c:v>-6.0401912735190862E-2</c:v>
                </c:pt>
                <c:pt idx="22">
                  <c:v>1.6004978617476226E-2</c:v>
                </c:pt>
              </c:numCache>
            </c:numRef>
          </c:val>
          <c:extLst>
            <c:ext xmlns:c16="http://schemas.microsoft.com/office/drawing/2014/chart" uri="{C3380CC4-5D6E-409C-BE32-E72D297353CC}">
              <c16:uniqueId val="{00000000-6206-4825-ADAF-2A912B7305D9}"/>
            </c:ext>
          </c:extLst>
        </c:ser>
        <c:ser>
          <c:idx val="1"/>
          <c:order val="1"/>
          <c:tx>
            <c:strRef>
              <c:f>'Trh práce 1'!$AD$7</c:f>
              <c:strCache>
                <c:ptCount val="1"/>
                <c:pt idx="0">
                  <c:v>Zpracovatelský průmysl</c:v>
                </c:pt>
              </c:strCache>
            </c:strRef>
          </c:tx>
          <c:spPr>
            <a:solidFill>
              <a:srgbClr val="A6CDE8"/>
            </a:solidFill>
            <a:ln>
              <a:noFill/>
            </a:ln>
          </c:spPr>
          <c:invertIfNegative val="0"/>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1'!$AD$28:$AD$51</c:f>
              <c:numCache>
                <c:formatCode>#\ ##0.0</c:formatCode>
                <c:ptCount val="24"/>
                <c:pt idx="0">
                  <c:v>0.87384359543532464</c:v>
                </c:pt>
                <c:pt idx="1">
                  <c:v>0.93524489787512044</c:v>
                </c:pt>
                <c:pt idx="2">
                  <c:v>0.78267698384636852</c:v>
                </c:pt>
                <c:pt idx="3">
                  <c:v>0.94962455048902517</c:v>
                </c:pt>
                <c:pt idx="4">
                  <c:v>0.84718285167324348</c:v>
                </c:pt>
                <c:pt idx="5">
                  <c:v>0.62908867154608861</c:v>
                </c:pt>
                <c:pt idx="6">
                  <c:v>0.67775956738111331</c:v>
                </c:pt>
                <c:pt idx="7">
                  <c:v>0.54172812831113937</c:v>
                </c:pt>
                <c:pt idx="8">
                  <c:v>0.26867627785059034</c:v>
                </c:pt>
                <c:pt idx="9">
                  <c:v>0.39386843676908101</c:v>
                </c:pt>
                <c:pt idx="10">
                  <c:v>0.49256509811427385</c:v>
                </c:pt>
                <c:pt idx="11">
                  <c:v>0.47713964802096459</c:v>
                </c:pt>
                <c:pt idx="12">
                  <c:v>0.36449366956327101</c:v>
                </c:pt>
                <c:pt idx="13">
                  <c:v>0.28712009104191716</c:v>
                </c:pt>
                <c:pt idx="14">
                  <c:v>9.9194946851067806E-2</c:v>
                </c:pt>
                <c:pt idx="15">
                  <c:v>7.5749869682651877E-2</c:v>
                </c:pt>
                <c:pt idx="16">
                  <c:v>1.7065666272363354E-3</c:v>
                </c:pt>
                <c:pt idx="17">
                  <c:v>-0.1672130815311223</c:v>
                </c:pt>
                <c:pt idx="18">
                  <c:v>-0.33346453087893024</c:v>
                </c:pt>
                <c:pt idx="19">
                  <c:v>-0.72163732119892665</c:v>
                </c:pt>
                <c:pt idx="20">
                  <c:v>-0.68293147360899475</c:v>
                </c:pt>
                <c:pt idx="21">
                  <c:v>-0.86986338151940046</c:v>
                </c:pt>
                <c:pt idx="22">
                  <c:v>-1.0171028275994127</c:v>
                </c:pt>
              </c:numCache>
            </c:numRef>
          </c:val>
          <c:extLst>
            <c:ext xmlns:c16="http://schemas.microsoft.com/office/drawing/2014/chart" uri="{C3380CC4-5D6E-409C-BE32-E72D297353CC}">
              <c16:uniqueId val="{00000001-6206-4825-ADAF-2A912B7305D9}"/>
            </c:ext>
          </c:extLst>
        </c:ser>
        <c:ser>
          <c:idx val="2"/>
          <c:order val="2"/>
          <c:tx>
            <c:strRef>
              <c:f>'Trh práce 1'!$AE$7</c:f>
              <c:strCache>
                <c:ptCount val="1"/>
                <c:pt idx="0">
                  <c:v>Stavebnictví</c:v>
                </c:pt>
              </c:strCache>
            </c:strRef>
          </c:tx>
          <c:spPr>
            <a:solidFill>
              <a:srgbClr val="48AEE7"/>
            </a:solidFill>
            <a:ln w="19050">
              <a:noFill/>
            </a:ln>
          </c:spPr>
          <c:invertIfNegative val="0"/>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1'!$AE$28:$AE$51</c:f>
              <c:numCache>
                <c:formatCode>#\ ##0.0</c:formatCode>
                <c:ptCount val="24"/>
                <c:pt idx="0">
                  <c:v>-0.11694210540586052</c:v>
                </c:pt>
                <c:pt idx="1">
                  <c:v>-0.10810072845885586</c:v>
                </c:pt>
                <c:pt idx="2">
                  <c:v>-0.15839123886250733</c:v>
                </c:pt>
                <c:pt idx="3">
                  <c:v>-0.17189865446459995</c:v>
                </c:pt>
                <c:pt idx="4">
                  <c:v>-0.11151278826793087</c:v>
                </c:pt>
                <c:pt idx="5">
                  <c:v>-0.12826978061125432</c:v>
                </c:pt>
                <c:pt idx="6">
                  <c:v>-3.014577719148143E-2</c:v>
                </c:pt>
                <c:pt idx="7">
                  <c:v>1.7024586966207105E-2</c:v>
                </c:pt>
                <c:pt idx="8">
                  <c:v>-6.5148695688723116E-3</c:v>
                </c:pt>
                <c:pt idx="9">
                  <c:v>1.4289321905169284E-2</c:v>
                </c:pt>
                <c:pt idx="10">
                  <c:v>6.6438659970773833E-2</c:v>
                </c:pt>
                <c:pt idx="11">
                  <c:v>-6.4943430456315621E-2</c:v>
                </c:pt>
                <c:pt idx="12">
                  <c:v>0.11749356845101826</c:v>
                </c:pt>
                <c:pt idx="13">
                  <c:v>6.7179580106074471E-2</c:v>
                </c:pt>
                <c:pt idx="14">
                  <c:v>5.6406065552118925E-2</c:v>
                </c:pt>
                <c:pt idx="15">
                  <c:v>0.12562257040583413</c:v>
                </c:pt>
                <c:pt idx="16">
                  <c:v>1.8512537978063726E-2</c:v>
                </c:pt>
                <c:pt idx="17">
                  <c:v>4.2190167111752976E-2</c:v>
                </c:pt>
                <c:pt idx="18">
                  <c:v>7.6558567765870777E-2</c:v>
                </c:pt>
                <c:pt idx="19">
                  <c:v>0.13747664010699337</c:v>
                </c:pt>
                <c:pt idx="20">
                  <c:v>0.22642461038295852</c:v>
                </c:pt>
                <c:pt idx="21">
                  <c:v>-3.8250858156394729E-2</c:v>
                </c:pt>
                <c:pt idx="22">
                  <c:v>7.644411821025085E-2</c:v>
                </c:pt>
              </c:numCache>
            </c:numRef>
          </c:val>
          <c:extLst>
            <c:ext xmlns:c16="http://schemas.microsoft.com/office/drawing/2014/chart" uri="{C3380CC4-5D6E-409C-BE32-E72D297353CC}">
              <c16:uniqueId val="{00000002-6206-4825-ADAF-2A912B7305D9}"/>
            </c:ext>
          </c:extLst>
        </c:ser>
        <c:ser>
          <c:idx val="3"/>
          <c:order val="3"/>
          <c:tx>
            <c:strRef>
              <c:f>'Trh práce 1'!$AF$7</c:f>
              <c:strCache>
                <c:ptCount val="1"/>
                <c:pt idx="0">
                  <c:v>Obchod, doprava, ubytování a pohost.</c:v>
                </c:pt>
              </c:strCache>
            </c:strRef>
          </c:tx>
          <c:spPr>
            <a:solidFill>
              <a:srgbClr val="FDDEB3"/>
            </a:solidFill>
            <a:ln w="19050">
              <a:noFill/>
            </a:ln>
          </c:spPr>
          <c:invertIfNegative val="0"/>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1'!$AF$28:$AF$51</c:f>
              <c:numCache>
                <c:formatCode>#\ ##0.0</c:formatCode>
                <c:ptCount val="24"/>
                <c:pt idx="0">
                  <c:v>0.22879550024382489</c:v>
                </c:pt>
                <c:pt idx="1">
                  <c:v>0.47330112084625897</c:v>
                </c:pt>
                <c:pt idx="2">
                  <c:v>0.33213712914903176</c:v>
                </c:pt>
                <c:pt idx="3">
                  <c:v>0.17959968299057444</c:v>
                </c:pt>
                <c:pt idx="4">
                  <c:v>8.0583366917820948E-2</c:v>
                </c:pt>
                <c:pt idx="5">
                  <c:v>0.20992754897152985</c:v>
                </c:pt>
                <c:pt idx="6">
                  <c:v>-8.6158327395090793E-3</c:v>
                </c:pt>
                <c:pt idx="7">
                  <c:v>9.5260739725036819E-2</c:v>
                </c:pt>
                <c:pt idx="8">
                  <c:v>0.16015880233389024</c:v>
                </c:pt>
                <c:pt idx="9">
                  <c:v>-9.025834979993895E-3</c:v>
                </c:pt>
                <c:pt idx="10">
                  <c:v>0.34149737055569235</c:v>
                </c:pt>
                <c:pt idx="11">
                  <c:v>0.22106834398785968</c:v>
                </c:pt>
                <c:pt idx="12">
                  <c:v>0.14724354251393632</c:v>
                </c:pt>
                <c:pt idx="13">
                  <c:v>0.38773017907246493</c:v>
                </c:pt>
                <c:pt idx="14">
                  <c:v>0.20751769162833716</c:v>
                </c:pt>
                <c:pt idx="15">
                  <c:v>0.25882757980843152</c:v>
                </c:pt>
                <c:pt idx="16">
                  <c:v>0.37837550067789966</c:v>
                </c:pt>
                <c:pt idx="17">
                  <c:v>3.0454299666256623E-2</c:v>
                </c:pt>
                <c:pt idx="18">
                  <c:v>-8.7506055271335301E-2</c:v>
                </c:pt>
                <c:pt idx="19">
                  <c:v>-0.13427394424695629</c:v>
                </c:pt>
                <c:pt idx="20">
                  <c:v>-0.2600418368128985</c:v>
                </c:pt>
                <c:pt idx="21">
                  <c:v>-0.69118558106889738</c:v>
                </c:pt>
                <c:pt idx="22">
                  <c:v>-0.59827876002638247</c:v>
                </c:pt>
              </c:numCache>
            </c:numRef>
          </c:val>
          <c:extLst>
            <c:ext xmlns:c16="http://schemas.microsoft.com/office/drawing/2014/chart" uri="{C3380CC4-5D6E-409C-BE32-E72D297353CC}">
              <c16:uniqueId val="{00000003-6206-4825-ADAF-2A912B7305D9}"/>
            </c:ext>
          </c:extLst>
        </c:ser>
        <c:ser>
          <c:idx val="4"/>
          <c:order val="4"/>
          <c:tx>
            <c:strRef>
              <c:f>'Trh práce 1'!$AG$7</c:f>
              <c:strCache>
                <c:ptCount val="1"/>
                <c:pt idx="0">
                  <c:v>Informační a komunikač. čin.</c:v>
                </c:pt>
              </c:strCache>
            </c:strRef>
          </c:tx>
          <c:spPr>
            <a:solidFill>
              <a:srgbClr val="F8A124"/>
            </a:solidFill>
            <a:ln w="19050">
              <a:noFill/>
            </a:ln>
          </c:spPr>
          <c:invertIfNegative val="0"/>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1'!$AG$28:$AG$51</c:f>
              <c:numCache>
                <c:formatCode>#\ ##0.0</c:formatCode>
                <c:ptCount val="24"/>
                <c:pt idx="0">
                  <c:v>7.3874717124669956E-3</c:v>
                </c:pt>
                <c:pt idx="1">
                  <c:v>5.6060947547706408E-2</c:v>
                </c:pt>
                <c:pt idx="2">
                  <c:v>7.3237389552977303E-2</c:v>
                </c:pt>
                <c:pt idx="3">
                  <c:v>0.10393464068853153</c:v>
                </c:pt>
                <c:pt idx="4">
                  <c:v>0.12034144994565989</c:v>
                </c:pt>
                <c:pt idx="5">
                  <c:v>0.11313726215922026</c:v>
                </c:pt>
                <c:pt idx="6">
                  <c:v>0.12927604067983756</c:v>
                </c:pt>
                <c:pt idx="7">
                  <c:v>0.16693713637598337</c:v>
                </c:pt>
                <c:pt idx="8">
                  <c:v>0.13971624972775135</c:v>
                </c:pt>
                <c:pt idx="9">
                  <c:v>0.13821878661994863</c:v>
                </c:pt>
                <c:pt idx="10">
                  <c:v>0.13496598887461</c:v>
                </c:pt>
                <c:pt idx="11">
                  <c:v>0.11698506830016364</c:v>
                </c:pt>
                <c:pt idx="12">
                  <c:v>0.11067743515305851</c:v>
                </c:pt>
                <c:pt idx="13">
                  <c:v>0.13553972187091679</c:v>
                </c:pt>
                <c:pt idx="14">
                  <c:v>0.13024808795918613</c:v>
                </c:pt>
                <c:pt idx="15">
                  <c:v>0.15340000663230582</c:v>
                </c:pt>
                <c:pt idx="16">
                  <c:v>0.13609868852209775</c:v>
                </c:pt>
                <c:pt idx="17">
                  <c:v>7.0525746595541644E-2</c:v>
                </c:pt>
                <c:pt idx="18">
                  <c:v>0.12343153703463035</c:v>
                </c:pt>
                <c:pt idx="19">
                  <c:v>0.13834173611516429</c:v>
                </c:pt>
                <c:pt idx="20">
                  <c:v>0.13924773506463947</c:v>
                </c:pt>
                <c:pt idx="21">
                  <c:v>7.9061253289797295E-2</c:v>
                </c:pt>
                <c:pt idx="22">
                  <c:v>9.6680921682517407E-2</c:v>
                </c:pt>
              </c:numCache>
            </c:numRef>
          </c:val>
          <c:extLst>
            <c:ext xmlns:c16="http://schemas.microsoft.com/office/drawing/2014/chart" uri="{C3380CC4-5D6E-409C-BE32-E72D297353CC}">
              <c16:uniqueId val="{00000004-6206-4825-ADAF-2A912B7305D9}"/>
            </c:ext>
          </c:extLst>
        </c:ser>
        <c:ser>
          <c:idx val="5"/>
          <c:order val="5"/>
          <c:tx>
            <c:strRef>
              <c:f>'Trh práce 1'!$AH$7</c:f>
              <c:strCache>
                <c:ptCount val="1"/>
                <c:pt idx="0">
                  <c:v>Profesní, vědec., techn. a admin. čin.</c:v>
                </c:pt>
              </c:strCache>
            </c:strRef>
          </c:tx>
          <c:spPr>
            <a:solidFill>
              <a:srgbClr val="E8C0BE"/>
            </a:solidFill>
            <a:ln w="19050">
              <a:noFill/>
            </a:ln>
          </c:spPr>
          <c:invertIfNegative val="0"/>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1'!$AH$28:$AH$51</c:f>
              <c:numCache>
                <c:formatCode>#\ ##0.0</c:formatCode>
                <c:ptCount val="24"/>
                <c:pt idx="0">
                  <c:v>0.11379850042183202</c:v>
                </c:pt>
                <c:pt idx="1">
                  <c:v>0.11820268366776726</c:v>
                </c:pt>
                <c:pt idx="2">
                  <c:v>0.23129653035669548</c:v>
                </c:pt>
                <c:pt idx="3">
                  <c:v>0.37241784026117603</c:v>
                </c:pt>
                <c:pt idx="4">
                  <c:v>0.26699425205615607</c:v>
                </c:pt>
                <c:pt idx="5">
                  <c:v>0.23716608218519117</c:v>
                </c:pt>
                <c:pt idx="6">
                  <c:v>0.24081927124703897</c:v>
                </c:pt>
                <c:pt idx="7">
                  <c:v>0.25506101535021469</c:v>
                </c:pt>
                <c:pt idx="8">
                  <c:v>0.4253197253437988</c:v>
                </c:pt>
                <c:pt idx="9">
                  <c:v>0.3617364642403027</c:v>
                </c:pt>
                <c:pt idx="10">
                  <c:v>0.29161615885428543</c:v>
                </c:pt>
                <c:pt idx="11">
                  <c:v>0.14112634349596684</c:v>
                </c:pt>
                <c:pt idx="12">
                  <c:v>0.15174369681839037</c:v>
                </c:pt>
                <c:pt idx="13">
                  <c:v>0.15585287803130304</c:v>
                </c:pt>
                <c:pt idx="14">
                  <c:v>7.8312780575002641E-2</c:v>
                </c:pt>
                <c:pt idx="15">
                  <c:v>0.22050552325722272</c:v>
                </c:pt>
                <c:pt idx="16">
                  <c:v>0.21302403420850086</c:v>
                </c:pt>
                <c:pt idx="17">
                  <c:v>0.16787633306650354</c:v>
                </c:pt>
                <c:pt idx="18">
                  <c:v>0.15865549346030708</c:v>
                </c:pt>
                <c:pt idx="19">
                  <c:v>9.7553379644807186E-3</c:v>
                </c:pt>
                <c:pt idx="20">
                  <c:v>-0.2382797831808324</c:v>
                </c:pt>
                <c:pt idx="21">
                  <c:v>-0.3599151378780141</c:v>
                </c:pt>
                <c:pt idx="22">
                  <c:v>-0.59777238782153574</c:v>
                </c:pt>
              </c:numCache>
            </c:numRef>
          </c:val>
          <c:extLst>
            <c:ext xmlns:c16="http://schemas.microsoft.com/office/drawing/2014/chart" uri="{C3380CC4-5D6E-409C-BE32-E72D297353CC}">
              <c16:uniqueId val="{00000005-6206-4825-ADAF-2A912B7305D9}"/>
            </c:ext>
          </c:extLst>
        </c:ser>
        <c:ser>
          <c:idx val="6"/>
          <c:order val="6"/>
          <c:tx>
            <c:strRef>
              <c:f>'Trh práce 1'!$AI$7</c:f>
              <c:strCache>
                <c:ptCount val="1"/>
                <c:pt idx="0">
                  <c:v>Veř.spr.,obrana, vzděl.,zdrav.a soc.péče</c:v>
                </c:pt>
              </c:strCache>
            </c:strRef>
          </c:tx>
          <c:spPr>
            <a:solidFill>
              <a:srgbClr val="D58D8B"/>
            </a:solidFill>
            <a:ln>
              <a:noFill/>
            </a:ln>
          </c:spPr>
          <c:invertIfNegative val="0"/>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1'!$AI$28:$AI$51</c:f>
              <c:numCache>
                <c:formatCode>#\ ##0.0</c:formatCode>
                <c:ptCount val="24"/>
                <c:pt idx="0">
                  <c:v>0.25561438026381811</c:v>
                </c:pt>
                <c:pt idx="1">
                  <c:v>0.23618959741845097</c:v>
                </c:pt>
                <c:pt idx="2">
                  <c:v>0.10591974557381781</c:v>
                </c:pt>
                <c:pt idx="3">
                  <c:v>9.8709639055718459E-2</c:v>
                </c:pt>
                <c:pt idx="4">
                  <c:v>0.36242141278378515</c:v>
                </c:pt>
                <c:pt idx="5">
                  <c:v>0.34758527415111612</c:v>
                </c:pt>
                <c:pt idx="6">
                  <c:v>0.42951950059780825</c:v>
                </c:pt>
                <c:pt idx="7">
                  <c:v>0.52568461923790011</c:v>
                </c:pt>
                <c:pt idx="8">
                  <c:v>0.43143338593628888</c:v>
                </c:pt>
                <c:pt idx="9">
                  <c:v>0.47637406936515148</c:v>
                </c:pt>
                <c:pt idx="10">
                  <c:v>0.54554133741649136</c:v>
                </c:pt>
                <c:pt idx="11">
                  <c:v>0.54623885355011015</c:v>
                </c:pt>
                <c:pt idx="12">
                  <c:v>0.39719981193497272</c:v>
                </c:pt>
                <c:pt idx="13">
                  <c:v>0.45187402919885078</c:v>
                </c:pt>
                <c:pt idx="14">
                  <c:v>0.32168967834198869</c:v>
                </c:pt>
                <c:pt idx="15">
                  <c:v>0.29320006125567516</c:v>
                </c:pt>
                <c:pt idx="16">
                  <c:v>0.3051229831675053</c:v>
                </c:pt>
                <c:pt idx="17">
                  <c:v>0.2171411832223234</c:v>
                </c:pt>
                <c:pt idx="18">
                  <c:v>0.30064052955563197</c:v>
                </c:pt>
                <c:pt idx="19">
                  <c:v>0.30635442468078694</c:v>
                </c:pt>
                <c:pt idx="20">
                  <c:v>0.39070605916962003</c:v>
                </c:pt>
                <c:pt idx="21">
                  <c:v>0.21060881421922423</c:v>
                </c:pt>
                <c:pt idx="22">
                  <c:v>0.45009255122231445</c:v>
                </c:pt>
              </c:numCache>
            </c:numRef>
          </c:val>
          <c:extLst>
            <c:ext xmlns:c16="http://schemas.microsoft.com/office/drawing/2014/chart" uri="{C3380CC4-5D6E-409C-BE32-E72D297353CC}">
              <c16:uniqueId val="{00000006-6206-4825-ADAF-2A912B7305D9}"/>
            </c:ext>
          </c:extLst>
        </c:ser>
        <c:ser>
          <c:idx val="7"/>
          <c:order val="7"/>
          <c:tx>
            <c:strRef>
              <c:f>'Trh práce 1'!$AJ$7</c:f>
              <c:strCache>
                <c:ptCount val="1"/>
                <c:pt idx="0">
                  <c:v>Ostatní odvětví*</c:v>
                </c:pt>
              </c:strCache>
            </c:strRef>
          </c:tx>
          <c:spPr>
            <a:solidFill>
              <a:schemeClr val="bg1">
                <a:lumMod val="85000"/>
              </a:schemeClr>
            </a:solidFill>
            <a:ln>
              <a:noFill/>
            </a:ln>
          </c:spPr>
          <c:invertIfNegative val="0"/>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1'!$AJ$28:$AJ$51</c:f>
              <c:numCache>
                <c:formatCode>#\ ##0.0</c:formatCode>
                <c:ptCount val="24"/>
                <c:pt idx="0">
                  <c:v>-4.1849241349879523E-2</c:v>
                </c:pt>
                <c:pt idx="1">
                  <c:v>9.7841849673883693E-2</c:v>
                </c:pt>
                <c:pt idx="2">
                  <c:v>4.8115148164572706E-2</c:v>
                </c:pt>
                <c:pt idx="3">
                  <c:v>-4.5211861143632459E-2</c:v>
                </c:pt>
                <c:pt idx="4">
                  <c:v>0.13066419283038919</c:v>
                </c:pt>
                <c:pt idx="5">
                  <c:v>8.2910779442291055E-2</c:v>
                </c:pt>
                <c:pt idx="6">
                  <c:v>0.10551022017018501</c:v>
                </c:pt>
                <c:pt idx="7">
                  <c:v>0.16861073984045796</c:v>
                </c:pt>
                <c:pt idx="8">
                  <c:v>-5.0552331024152887E-2</c:v>
                </c:pt>
                <c:pt idx="9">
                  <c:v>1.1401054711571157E-3</c:v>
                </c:pt>
                <c:pt idx="10">
                  <c:v>3.7899847185385707E-2</c:v>
                </c:pt>
                <c:pt idx="11">
                  <c:v>4.0443247413313482E-2</c:v>
                </c:pt>
                <c:pt idx="12">
                  <c:v>0.19188733270582164</c:v>
                </c:pt>
                <c:pt idx="13">
                  <c:v>0.19975852829309734</c:v>
                </c:pt>
                <c:pt idx="14">
                  <c:v>-8.9415163358709041E-3</c:v>
                </c:pt>
                <c:pt idx="15">
                  <c:v>5.0301192361819347E-4</c:v>
                </c:pt>
                <c:pt idx="16">
                  <c:v>-0.10500949648679234</c:v>
                </c:pt>
                <c:pt idx="17">
                  <c:v>-4.3608788451318478E-2</c:v>
                </c:pt>
                <c:pt idx="18">
                  <c:v>4.676220211018825E-2</c:v>
                </c:pt>
                <c:pt idx="19">
                  <c:v>5.3562327314412982E-2</c:v>
                </c:pt>
                <c:pt idx="20">
                  <c:v>9.8186562924406556E-2</c:v>
                </c:pt>
                <c:pt idx="21">
                  <c:v>-0.13041567679959434</c:v>
                </c:pt>
                <c:pt idx="22">
                  <c:v>-0.12606859428522799</c:v>
                </c:pt>
              </c:numCache>
            </c:numRef>
          </c:val>
          <c:extLst>
            <c:ext xmlns:c16="http://schemas.microsoft.com/office/drawing/2014/chart" uri="{C3380CC4-5D6E-409C-BE32-E72D297353CC}">
              <c16:uniqueId val="{00000007-6206-4825-ADAF-2A912B7305D9}"/>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Zaměstnanost celkem</c:v>
                </c:pt>
              </c:strCache>
            </c:strRef>
          </c:tx>
          <c:spPr>
            <a:ln w="22225">
              <a:solidFill>
                <a:schemeClr val="tx1">
                  <a:lumMod val="95000"/>
                  <a:lumOff val="5000"/>
                </a:schemeClr>
              </a:solidFill>
            </a:ln>
          </c:spPr>
          <c:marker>
            <c:symbol val="none"/>
          </c:marker>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1'!$AK$28:$AK$51</c:f>
              <c:numCache>
                <c:formatCode>#\ ##0.0</c:formatCode>
                <c:ptCount val="24"/>
                <c:pt idx="0">
                  <c:v>1.2568722152080483</c:v>
                </c:pt>
                <c:pt idx="1">
                  <c:v>1.755209813686605</c:v>
                </c:pt>
                <c:pt idx="2">
                  <c:v>1.3509162976145745</c:v>
                </c:pt>
                <c:pt idx="3">
                  <c:v>1.3487327908819964</c:v>
                </c:pt>
                <c:pt idx="4">
                  <c:v>1.5622074293090975</c:v>
                </c:pt>
                <c:pt idx="5">
                  <c:v>1.4490012923363622</c:v>
                </c:pt>
                <c:pt idx="6">
                  <c:v>1.510931795564602</c:v>
                </c:pt>
                <c:pt idx="7">
                  <c:v>1.8366162892787088</c:v>
                </c:pt>
                <c:pt idx="8">
                  <c:v>1.4663041775407066</c:v>
                </c:pt>
                <c:pt idx="9">
                  <c:v>1.4017976803033889</c:v>
                </c:pt>
                <c:pt idx="10">
                  <c:v>1.9311643076100466</c:v>
                </c:pt>
                <c:pt idx="11">
                  <c:v>1.3946025548949592</c:v>
                </c:pt>
                <c:pt idx="12">
                  <c:v>1.5065537498241781</c:v>
                </c:pt>
                <c:pt idx="13">
                  <c:v>1.7120392741007464</c:v>
                </c:pt>
                <c:pt idx="14">
                  <c:v>0.90441574921430856</c:v>
                </c:pt>
                <c:pt idx="15">
                  <c:v>1.2157425592426989</c:v>
                </c:pt>
                <c:pt idx="16">
                  <c:v>0.92232506347222909</c:v>
                </c:pt>
                <c:pt idx="17">
                  <c:v>0.23917587311999</c:v>
                </c:pt>
                <c:pt idx="18">
                  <c:v>0.17637823883171677</c:v>
                </c:pt>
                <c:pt idx="19">
                  <c:v>-0.33427677881685725</c:v>
                </c:pt>
                <c:pt idx="20">
                  <c:v>-0.46409784983924851</c:v>
                </c:pt>
                <c:pt idx="21">
                  <c:v>-1.860362480648476</c:v>
                </c:pt>
                <c:pt idx="22">
                  <c:v>-1.7</c:v>
                </c:pt>
              </c:numCache>
            </c:numRef>
          </c:val>
          <c:smooth val="0"/>
          <c:extLst>
            <c:ext xmlns:c16="http://schemas.microsoft.com/office/drawing/2014/chart" uri="{C3380CC4-5D6E-409C-BE32-E72D297353CC}">
              <c16:uniqueId val="{00000008-6206-4825-ADAF-2A912B7305D9}"/>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1'!$AL$7</c:f>
              <c:strCache>
                <c:ptCount val="1"/>
              </c:strCache>
            </c:strRef>
          </c:tx>
          <c:spPr>
            <a:ln>
              <a:noFill/>
            </a:ln>
          </c:spPr>
          <c:marker>
            <c:symbol val="none"/>
          </c:marker>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1'!$AL$28:$AL$51</c:f>
              <c:numCache>
                <c:formatCode>General</c:formatCode>
                <c:ptCount val="24"/>
              </c:numCache>
            </c:numRef>
          </c:val>
          <c:smooth val="0"/>
          <c:extLst>
            <c:ext xmlns:c16="http://schemas.microsoft.com/office/drawing/2014/chart" uri="{C3380CC4-5D6E-409C-BE32-E72D297353CC}">
              <c16:uniqueId val="{00000009-6206-4825-ADAF-2A912B7305D9}"/>
            </c:ext>
          </c:extLst>
        </c:ser>
        <c:ser>
          <c:idx val="10"/>
          <c:order val="10"/>
          <c:tx>
            <c:strRef>
              <c:f>'Trh práce 1'!$AM$7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1'!$AM$28:$AM$51</c:f>
              <c:numCache>
                <c:formatCode>General</c:formatCode>
                <c:ptCount val="24"/>
                <c:pt idx="0">
                  <c:v>-1.9</c:v>
                </c:pt>
                <c:pt idx="1">
                  <c:v>4.0999999999999996</c:v>
                </c:pt>
                <c:pt idx="2">
                  <c:v>4.7</c:v>
                </c:pt>
                <c:pt idx="3">
                  <c:v>8.8000000000000007</c:v>
                </c:pt>
                <c:pt idx="4">
                  <c:v>9.8000000000000007</c:v>
                </c:pt>
                <c:pt idx="5">
                  <c:v>10</c:v>
                </c:pt>
                <c:pt idx="6">
                  <c:v>4.2</c:v>
                </c:pt>
                <c:pt idx="7">
                  <c:v>9.1999999999999993</c:v>
                </c:pt>
                <c:pt idx="8">
                  <c:v>12.1</c:v>
                </c:pt>
                <c:pt idx="9">
                  <c:v>5.9</c:v>
                </c:pt>
                <c:pt idx="10">
                  <c:v>8.9</c:v>
                </c:pt>
                <c:pt idx="11">
                  <c:v>7.2</c:v>
                </c:pt>
                <c:pt idx="12">
                  <c:v>10.8</c:v>
                </c:pt>
                <c:pt idx="13">
                  <c:v>10.4</c:v>
                </c:pt>
                <c:pt idx="14">
                  <c:v>8.3000000000000007</c:v>
                </c:pt>
                <c:pt idx="15">
                  <c:v>6.5</c:v>
                </c:pt>
                <c:pt idx="16">
                  <c:v>3.1</c:v>
                </c:pt>
                <c:pt idx="17">
                  <c:v>2.5</c:v>
                </c:pt>
                <c:pt idx="18">
                  <c:v>1.6</c:v>
                </c:pt>
                <c:pt idx="19">
                  <c:v>-2.7</c:v>
                </c:pt>
                <c:pt idx="20">
                  <c:v>1.5</c:v>
                </c:pt>
                <c:pt idx="21">
                  <c:v>-17.399999999999999</c:v>
                </c:pt>
                <c:pt idx="22">
                  <c:v>-11.6</c:v>
                </c:pt>
                <c:pt idx="23">
                  <c:v>-7</c:v>
                </c:pt>
              </c:numCache>
            </c:numRef>
          </c:val>
          <c:smooth val="0"/>
          <c:extLst>
            <c:ext xmlns:c16="http://schemas.microsoft.com/office/drawing/2014/chart" uri="{C3380CC4-5D6E-409C-BE32-E72D297353CC}">
              <c16:uniqueId val="{0000000A-6206-4825-ADAF-2A912B7305D9}"/>
            </c:ext>
          </c:extLst>
        </c:ser>
        <c:ser>
          <c:idx val="11"/>
          <c:order val="11"/>
          <c:tx>
            <c:strRef>
              <c:f>'Trh práce 1'!$AN$7</c:f>
              <c:strCache>
                <c:ptCount val="1"/>
                <c:pt idx="0">
                  <c:v>Očekávání zaměstnanosti (stavebnictví)</c:v>
                </c:pt>
              </c:strCache>
            </c:strRef>
          </c:tx>
          <c:spPr>
            <a:ln w="15875">
              <a:solidFill>
                <a:srgbClr val="00B0F0"/>
              </a:solidFill>
              <a:prstDash val="sysDot"/>
            </a:ln>
          </c:spPr>
          <c:marker>
            <c:symbol val="none"/>
          </c:marker>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1'!$AN$28:$AN$51</c:f>
              <c:numCache>
                <c:formatCode>General</c:formatCode>
                <c:ptCount val="24"/>
                <c:pt idx="0">
                  <c:v>-1.9</c:v>
                </c:pt>
                <c:pt idx="1">
                  <c:v>7.3</c:v>
                </c:pt>
                <c:pt idx="2">
                  <c:v>0.6</c:v>
                </c:pt>
                <c:pt idx="3">
                  <c:v>2.2999999999999998</c:v>
                </c:pt>
                <c:pt idx="4">
                  <c:v>-0.9</c:v>
                </c:pt>
                <c:pt idx="5">
                  <c:v>-8</c:v>
                </c:pt>
                <c:pt idx="6">
                  <c:v>-6.3</c:v>
                </c:pt>
                <c:pt idx="7">
                  <c:v>-7.2</c:v>
                </c:pt>
                <c:pt idx="8">
                  <c:v>-7.7</c:v>
                </c:pt>
                <c:pt idx="9">
                  <c:v>-15.4</c:v>
                </c:pt>
                <c:pt idx="10">
                  <c:v>-9.3000000000000007</c:v>
                </c:pt>
                <c:pt idx="11">
                  <c:v>-3.2</c:v>
                </c:pt>
                <c:pt idx="12">
                  <c:v>4.3</c:v>
                </c:pt>
                <c:pt idx="13">
                  <c:v>4.3</c:v>
                </c:pt>
                <c:pt idx="14">
                  <c:v>8</c:v>
                </c:pt>
                <c:pt idx="15">
                  <c:v>11.4</c:v>
                </c:pt>
                <c:pt idx="16">
                  <c:v>8.8000000000000007</c:v>
                </c:pt>
                <c:pt idx="17">
                  <c:v>10</c:v>
                </c:pt>
                <c:pt idx="18">
                  <c:v>3.9</c:v>
                </c:pt>
                <c:pt idx="19">
                  <c:v>10.9</c:v>
                </c:pt>
                <c:pt idx="20">
                  <c:v>6.7</c:v>
                </c:pt>
                <c:pt idx="21">
                  <c:v>-3.6</c:v>
                </c:pt>
                <c:pt idx="22">
                  <c:v>-0.6</c:v>
                </c:pt>
                <c:pt idx="23">
                  <c:v>-3</c:v>
                </c:pt>
              </c:numCache>
            </c:numRef>
          </c:val>
          <c:smooth val="0"/>
          <c:extLst>
            <c:ext xmlns:c16="http://schemas.microsoft.com/office/drawing/2014/chart" uri="{C3380CC4-5D6E-409C-BE32-E72D297353CC}">
              <c16:uniqueId val="{0000000B-6206-4825-ADAF-2A912B7305D9}"/>
            </c:ext>
          </c:extLst>
        </c:ser>
        <c:ser>
          <c:idx val="12"/>
          <c:order val="12"/>
          <c:tx>
            <c:strRef>
              <c:f>'Trh práce 1'!$AO$7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1'!$AO$28:$AO$51</c:f>
              <c:numCache>
                <c:formatCode>General</c:formatCode>
                <c:ptCount val="24"/>
                <c:pt idx="0">
                  <c:v>15.5</c:v>
                </c:pt>
                <c:pt idx="1">
                  <c:v>5.4</c:v>
                </c:pt>
                <c:pt idx="2">
                  <c:v>3.4</c:v>
                </c:pt>
                <c:pt idx="3">
                  <c:v>-2.4</c:v>
                </c:pt>
                <c:pt idx="4">
                  <c:v>15.7</c:v>
                </c:pt>
                <c:pt idx="5">
                  <c:v>19.600000000000001</c:v>
                </c:pt>
                <c:pt idx="6">
                  <c:v>20.9</c:v>
                </c:pt>
                <c:pt idx="7">
                  <c:v>18.399999999999999</c:v>
                </c:pt>
                <c:pt idx="8">
                  <c:v>15.8</c:v>
                </c:pt>
                <c:pt idx="9">
                  <c:v>19.3</c:v>
                </c:pt>
                <c:pt idx="10">
                  <c:v>19.899999999999999</c:v>
                </c:pt>
                <c:pt idx="11">
                  <c:v>13.8</c:v>
                </c:pt>
                <c:pt idx="12">
                  <c:v>26.7</c:v>
                </c:pt>
                <c:pt idx="13">
                  <c:v>31.9</c:v>
                </c:pt>
                <c:pt idx="14">
                  <c:v>28.3</c:v>
                </c:pt>
                <c:pt idx="15">
                  <c:v>18.2</c:v>
                </c:pt>
                <c:pt idx="16">
                  <c:v>11.7</c:v>
                </c:pt>
                <c:pt idx="17">
                  <c:v>13.7</c:v>
                </c:pt>
                <c:pt idx="18">
                  <c:v>12.9</c:v>
                </c:pt>
                <c:pt idx="19">
                  <c:v>14.5</c:v>
                </c:pt>
                <c:pt idx="20">
                  <c:v>11.1</c:v>
                </c:pt>
                <c:pt idx="21">
                  <c:v>-6.9</c:v>
                </c:pt>
                <c:pt idx="22">
                  <c:v>-4.8</c:v>
                </c:pt>
                <c:pt idx="23" formatCode="#\ ##0.0">
                  <c:v>1.3</c:v>
                </c:pt>
              </c:numCache>
            </c:numRef>
          </c:val>
          <c:smooth val="0"/>
          <c:extLst>
            <c:ext xmlns:c16="http://schemas.microsoft.com/office/drawing/2014/chart" uri="{C3380CC4-5D6E-409C-BE32-E72D297353CC}">
              <c16:uniqueId val="{0000000C-6206-4825-ADAF-2A912B7305D9}"/>
            </c:ext>
          </c:extLst>
        </c:ser>
        <c:ser>
          <c:idx val="13"/>
          <c:order val="13"/>
          <c:tx>
            <c:strRef>
              <c:f>'Trh práce 1'!$AP$7</c:f>
              <c:strCache>
                <c:ptCount val="1"/>
                <c:pt idx="0">
                  <c:v>Očekávání zaměstnanosti (vybr. služby)</c:v>
                </c:pt>
              </c:strCache>
            </c:strRef>
          </c:tx>
          <c:spPr>
            <a:ln w="15875">
              <a:solidFill>
                <a:srgbClr val="C00000"/>
              </a:solidFill>
              <a:prstDash val="sysDot"/>
            </a:ln>
          </c:spPr>
          <c:marker>
            <c:symbol val="none"/>
          </c:marker>
          <c:cat>
            <c:multiLvlStrRef>
              <c:f>'Trh práce 1'!$AA$28:$AB$51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1'!$AP$28:$AP$51</c:f>
              <c:numCache>
                <c:formatCode>General</c:formatCode>
                <c:ptCount val="24"/>
                <c:pt idx="0">
                  <c:v>-15.7</c:v>
                </c:pt>
                <c:pt idx="1">
                  <c:v>-21.3</c:v>
                </c:pt>
                <c:pt idx="2">
                  <c:v>2.6</c:v>
                </c:pt>
                <c:pt idx="3">
                  <c:v>3.8</c:v>
                </c:pt>
                <c:pt idx="4">
                  <c:v>2.6</c:v>
                </c:pt>
                <c:pt idx="5">
                  <c:v>24.7</c:v>
                </c:pt>
                <c:pt idx="6">
                  <c:v>-1.7</c:v>
                </c:pt>
                <c:pt idx="7">
                  <c:v>7.2</c:v>
                </c:pt>
                <c:pt idx="8">
                  <c:v>11.7</c:v>
                </c:pt>
                <c:pt idx="9">
                  <c:v>11.5</c:v>
                </c:pt>
                <c:pt idx="10">
                  <c:v>19.8</c:v>
                </c:pt>
                <c:pt idx="11">
                  <c:v>2.8</c:v>
                </c:pt>
                <c:pt idx="12">
                  <c:v>14.9</c:v>
                </c:pt>
                <c:pt idx="13">
                  <c:v>10.5</c:v>
                </c:pt>
                <c:pt idx="14">
                  <c:v>9</c:v>
                </c:pt>
                <c:pt idx="15">
                  <c:v>-5.2</c:v>
                </c:pt>
                <c:pt idx="16">
                  <c:v>-8.1</c:v>
                </c:pt>
                <c:pt idx="17">
                  <c:v>-6.9</c:v>
                </c:pt>
                <c:pt idx="18">
                  <c:v>-8.3000000000000007</c:v>
                </c:pt>
                <c:pt idx="19">
                  <c:v>-11.7</c:v>
                </c:pt>
                <c:pt idx="20">
                  <c:v>-20.3</c:v>
                </c:pt>
                <c:pt idx="21">
                  <c:v>-33.700000000000003</c:v>
                </c:pt>
                <c:pt idx="22">
                  <c:v>-33.299999999999997</c:v>
                </c:pt>
                <c:pt idx="23">
                  <c:v>-27</c:v>
                </c:pt>
              </c:numCache>
            </c:numRef>
          </c:val>
          <c:smooth val="0"/>
          <c:extLst>
            <c:ext xmlns:c16="http://schemas.microsoft.com/office/drawing/2014/chart" uri="{C3380CC4-5D6E-409C-BE32-E72D297353CC}">
              <c16:uniqueId val="{0000000D-6206-4825-ADAF-2A912B7305D9}"/>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5"/>
        </c:scaling>
        <c:delete val="0"/>
        <c:axPos val="l"/>
        <c:majorGridlines>
          <c:spPr>
            <a:ln w="6350">
              <a:solidFill>
                <a:schemeClr val="bg1">
                  <a:lumMod val="75000"/>
                </a:schemeClr>
              </a:solidFill>
            </a:ln>
          </c:spPr>
        </c:majorGridlines>
        <c:title>
          <c:tx>
            <c:rich>
              <a:bodyPr/>
              <a:lstStyle/>
              <a:p>
                <a:pPr>
                  <a:defRPr sz="700" b="0" i="1"/>
                </a:pPr>
                <a:r>
                  <a:rPr lang="cs-CZ" sz="700" b="0" i="1"/>
                  <a:t>Příspěvek</a:t>
                </a:r>
                <a:r>
                  <a:rPr lang="cs-CZ" sz="700" b="0" i="1" baseline="0"/>
                  <a:t> k růstu zaměstnanosti</a:t>
                </a:r>
                <a:endParaRPr lang="cs-CZ" sz="700" b="0" i="1"/>
              </a:p>
            </c:rich>
          </c:tx>
          <c:layout>
            <c:manualLayout>
              <c:xMode val="edge"/>
              <c:yMode val="edge"/>
              <c:x val="0"/>
              <c:y val="0.15110810581510684"/>
            </c:manualLayout>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Očekávání</a:t>
                </a:r>
                <a:r>
                  <a:rPr lang="cs-CZ" sz="700" b="0" i="1" baseline="0"/>
                  <a:t> vývoje zaměstnanosti</a:t>
                </a:r>
                <a:endParaRPr lang="cs-CZ" sz="700" b="0" i="1"/>
              </a:p>
            </c:rich>
          </c:tx>
          <c:layout>
            <c:manualLayout>
              <c:xMode val="edge"/>
              <c:yMode val="edge"/>
              <c:x val="0.97040343782834393"/>
              <c:y val="0.19420735772001382"/>
            </c:manualLayout>
          </c:layout>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4.692510837063792E-3"/>
          <c:y val="0.7737351285059999"/>
          <c:w val="0.96005692595618608"/>
          <c:h val="0.211946183153499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97263565753378E-2"/>
          <c:y val="1.643251153889452E-2"/>
          <c:w val="0.85454194986526066"/>
          <c:h val="0.7575347819089191"/>
        </c:manualLayout>
      </c:layout>
      <c:barChart>
        <c:barDir val="col"/>
        <c:grouping val="clustered"/>
        <c:varyColors val="0"/>
        <c:ser>
          <c:idx val="0"/>
          <c:order val="0"/>
          <c:tx>
            <c:strRef>
              <c:f>'Trh práce-2b'!$A$29</c:f>
              <c:strCache>
                <c:ptCount val="1"/>
                <c:pt idx="0">
                  <c:v>Míra nezaměstnanosti mužů (levá osa)</c:v>
                </c:pt>
              </c:strCache>
            </c:strRef>
          </c:tx>
          <c:spPr>
            <a:solidFill>
              <a:srgbClr val="BCBCBC"/>
            </a:solidFill>
          </c:spPr>
          <c:invertIfNegative val="0"/>
          <c:cat>
            <c:multiLvlStrRef>
              <c:f>'Trh práce-2b'!$B$27:$Y$28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práce-2b'!$B$29:$Y$29</c:f>
              <c:numCache>
                <c:formatCode>0.0</c:formatCode>
                <c:ptCount val="24"/>
                <c:pt idx="0">
                  <c:v>5.0341067227593648</c:v>
                </c:pt>
                <c:pt idx="1">
                  <c:v>4.3099624452626131</c:v>
                </c:pt>
                <c:pt idx="2">
                  <c:v>4.0477497332042551</c:v>
                </c:pt>
                <c:pt idx="3">
                  <c:v>3.7943887127699916</c:v>
                </c:pt>
                <c:pt idx="4">
                  <c:v>3.6613216922907266</c:v>
                </c:pt>
                <c:pt idx="5">
                  <c:v>3.5606831551369456</c:v>
                </c:pt>
                <c:pt idx="6">
                  <c:v>3.3800493692598219</c:v>
                </c:pt>
                <c:pt idx="7">
                  <c:v>3.1598504059545314</c:v>
                </c:pt>
                <c:pt idx="8">
                  <c:v>2.7022104099266144</c:v>
                </c:pt>
                <c:pt idx="9">
                  <c:v>2.4828516334937416</c:v>
                </c:pt>
                <c:pt idx="10">
                  <c:v>2.2427696484149111</c:v>
                </c:pt>
                <c:pt idx="11">
                  <c:v>2.0863540850292432</c:v>
                </c:pt>
                <c:pt idx="12">
                  <c:v>1.9007533070193514</c:v>
                </c:pt>
                <c:pt idx="13">
                  <c:v>1.8236112593931739</c:v>
                </c:pt>
                <c:pt idx="14">
                  <c:v>1.8816684710676566</c:v>
                </c:pt>
                <c:pt idx="15">
                  <c:v>1.6862568597935212</c:v>
                </c:pt>
                <c:pt idx="16">
                  <c:v>1.8090046150974268</c:v>
                </c:pt>
                <c:pt idx="17">
                  <c:v>1.6696411618106692</c:v>
                </c:pt>
                <c:pt idx="18">
                  <c:v>1.7586397001968834</c:v>
                </c:pt>
                <c:pt idx="19">
                  <c:v>1.8627672338904553</c:v>
                </c:pt>
                <c:pt idx="20">
                  <c:v>1.8501559757262964</c:v>
                </c:pt>
                <c:pt idx="21">
                  <c:v>2.2704889174824974</c:v>
                </c:pt>
                <c:pt idx="22">
                  <c:v>2.4986504016381104</c:v>
                </c:pt>
              </c:numCache>
            </c:numRef>
          </c:val>
          <c:extLst>
            <c:ext xmlns:c16="http://schemas.microsoft.com/office/drawing/2014/chart" uri="{C3380CC4-5D6E-409C-BE32-E72D297353CC}">
              <c16:uniqueId val="{00000000-F38B-46B6-9DEE-1699AEF3CDF3}"/>
            </c:ext>
          </c:extLst>
        </c:ser>
        <c:ser>
          <c:idx val="1"/>
          <c:order val="1"/>
          <c:tx>
            <c:strRef>
              <c:f>'Trh práce-2b'!$A$30</c:f>
              <c:strCache>
                <c:ptCount val="1"/>
                <c:pt idx="0">
                  <c:v>Míra nezaměstnanosti žen (levá osa)</c:v>
                </c:pt>
              </c:strCache>
            </c:strRef>
          </c:tx>
          <c:spPr>
            <a:solidFill>
              <a:srgbClr val="DBDBDB"/>
            </a:solidFill>
          </c:spPr>
          <c:invertIfNegative val="0"/>
          <c:cat>
            <c:multiLvlStrRef>
              <c:f>'Trh práce-2b'!$B$27:$Y$28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práce-2b'!$B$30:$Y$30</c:f>
              <c:numCache>
                <c:formatCode>0.0</c:formatCode>
                <c:ptCount val="24"/>
                <c:pt idx="0">
                  <c:v>6.8072911268184093</c:v>
                </c:pt>
                <c:pt idx="1">
                  <c:v>6.2589557336009705</c:v>
                </c:pt>
                <c:pt idx="2">
                  <c:v>5.9745050062576199</c:v>
                </c:pt>
                <c:pt idx="3">
                  <c:v>5.6274422151450096</c:v>
                </c:pt>
                <c:pt idx="4">
                  <c:v>5.1217733147332662</c:v>
                </c:pt>
                <c:pt idx="5">
                  <c:v>4.8394543834511508</c:v>
                </c:pt>
                <c:pt idx="6">
                  <c:v>4.7695979932502128</c:v>
                </c:pt>
                <c:pt idx="7">
                  <c:v>4.3678257913623364</c:v>
                </c:pt>
                <c:pt idx="8">
                  <c:v>4.2631620347804127</c:v>
                </c:pt>
                <c:pt idx="9">
                  <c:v>3.8827233169696034</c:v>
                </c:pt>
                <c:pt idx="10">
                  <c:v>3.3825230601807892</c:v>
                </c:pt>
                <c:pt idx="11">
                  <c:v>3.0340818133432634</c:v>
                </c:pt>
                <c:pt idx="12">
                  <c:v>3.03493814909733</c:v>
                </c:pt>
                <c:pt idx="13">
                  <c:v>2.9064695495288517</c:v>
                </c:pt>
                <c:pt idx="14">
                  <c:v>2.697779477838568</c:v>
                </c:pt>
                <c:pt idx="15">
                  <c:v>2.5796161526715662</c:v>
                </c:pt>
                <c:pt idx="16">
                  <c:v>2.4980797480947534</c:v>
                </c:pt>
                <c:pt idx="17">
                  <c:v>2.4608519756762308</c:v>
                </c:pt>
                <c:pt idx="18">
                  <c:v>2.3803783859369765</c:v>
                </c:pt>
                <c:pt idx="19">
                  <c:v>2.3503404990978241</c:v>
                </c:pt>
                <c:pt idx="20">
                  <c:v>2.3916504939784118</c:v>
                </c:pt>
                <c:pt idx="21">
                  <c:v>2.7929113857877303</c:v>
                </c:pt>
                <c:pt idx="22">
                  <c:v>3.1246412669289199</c:v>
                </c:pt>
              </c:numCache>
            </c:numRef>
          </c:val>
          <c:extLst>
            <c:ext xmlns:c16="http://schemas.microsoft.com/office/drawing/2014/chart" uri="{C3380CC4-5D6E-409C-BE32-E72D297353CC}">
              <c16:uniqueId val="{00000001-F38B-46B6-9DEE-1699AEF3CDF3}"/>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práce-2b'!$A$31</c:f>
              <c:strCache>
                <c:ptCount val="1"/>
                <c:pt idx="0">
                  <c:v>Podíl nezam. déle než 1 rok (pravá osa)</c:v>
                </c:pt>
              </c:strCache>
            </c:strRef>
          </c:tx>
          <c:spPr>
            <a:ln w="19050">
              <a:solidFill>
                <a:srgbClr val="00B050"/>
              </a:solidFill>
              <a:prstDash val="sysDash"/>
            </a:ln>
          </c:spPr>
          <c:marker>
            <c:symbol val="none"/>
          </c:marker>
          <c:cat>
            <c:multiLvlStrRef>
              <c:f>'Trh práce-2b'!$B$27:$Y$28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práce-2b'!$B$31:$Y$31</c:f>
              <c:numCache>
                <c:formatCode>0.0</c:formatCode>
                <c:ptCount val="24"/>
                <c:pt idx="0">
                  <c:v>45.762175838077162</c:v>
                </c:pt>
                <c:pt idx="1">
                  <c:v>46.715049656226128</c:v>
                </c:pt>
                <c:pt idx="2">
                  <c:v>48.521400778210108</c:v>
                </c:pt>
                <c:pt idx="3">
                  <c:v>48.542458808618512</c:v>
                </c:pt>
                <c:pt idx="4">
                  <c:v>45.847750865051907</c:v>
                </c:pt>
                <c:pt idx="5">
                  <c:v>43.490701001430608</c:v>
                </c:pt>
                <c:pt idx="6">
                  <c:v>39.295774647887328</c:v>
                </c:pt>
                <c:pt idx="7">
                  <c:v>39.196242171189979</c:v>
                </c:pt>
                <c:pt idx="8">
                  <c:v>37.093275488069416</c:v>
                </c:pt>
                <c:pt idx="9">
                  <c:v>37.366099558916197</c:v>
                </c:pt>
                <c:pt idx="10">
                  <c:v>32.798931195724784</c:v>
                </c:pt>
                <c:pt idx="11">
                  <c:v>31.546231546231553</c:v>
                </c:pt>
                <c:pt idx="12">
                  <c:v>31.741140215716484</c:v>
                </c:pt>
                <c:pt idx="13">
                  <c:v>30.28764805414551</c:v>
                </c:pt>
                <c:pt idx="14">
                  <c:v>28.796223446105422</c:v>
                </c:pt>
                <c:pt idx="15">
                  <c:v>31.317689530685922</c:v>
                </c:pt>
                <c:pt idx="16">
                  <c:v>32.360984503190522</c:v>
                </c:pt>
                <c:pt idx="17">
                  <c:v>32.2265625</c:v>
                </c:pt>
                <c:pt idx="18">
                  <c:v>26.979982593559615</c:v>
                </c:pt>
                <c:pt idx="19">
                  <c:v>28.623853211009177</c:v>
                </c:pt>
                <c:pt idx="20">
                  <c:v>27.049952874646561</c:v>
                </c:pt>
                <c:pt idx="21">
                  <c:v>20.823436262866192</c:v>
                </c:pt>
                <c:pt idx="22">
                  <c:v>20.012995451591941</c:v>
                </c:pt>
              </c:numCache>
            </c:numRef>
          </c:val>
          <c:smooth val="0"/>
          <c:extLst>
            <c:ext xmlns:c16="http://schemas.microsoft.com/office/drawing/2014/chart" uri="{C3380CC4-5D6E-409C-BE32-E72D297353CC}">
              <c16:uniqueId val="{00000002-F38B-46B6-9DEE-1699AEF3CDF3}"/>
            </c:ext>
          </c:extLst>
        </c:ser>
        <c:ser>
          <c:idx val="3"/>
          <c:order val="3"/>
          <c:tx>
            <c:strRef>
              <c:f>'Trh práce-2b'!$A$32</c:f>
              <c:strCache>
                <c:ptCount val="1"/>
                <c:pt idx="0">
                  <c:v>Podíl nezam. ve věku 50+  (pravá osa)</c:v>
                </c:pt>
              </c:strCache>
            </c:strRef>
          </c:tx>
          <c:spPr>
            <a:ln w="19050">
              <a:prstDash val="sysDash"/>
            </a:ln>
          </c:spPr>
          <c:marker>
            <c:symbol val="none"/>
          </c:marker>
          <c:cat>
            <c:multiLvlStrRef>
              <c:f>'Trh práce-2b'!$B$27:$Y$28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práce-2b'!$B$32:$Y$32</c:f>
              <c:numCache>
                <c:formatCode>0.0</c:formatCode>
                <c:ptCount val="24"/>
                <c:pt idx="0">
                  <c:v>23.213156230234031</c:v>
                </c:pt>
                <c:pt idx="1">
                  <c:v>24.140565317035907</c:v>
                </c:pt>
                <c:pt idx="2">
                  <c:v>22.451361867704282</c:v>
                </c:pt>
                <c:pt idx="3">
                  <c:v>23.954372623574148</c:v>
                </c:pt>
                <c:pt idx="4">
                  <c:v>28.157439446366784</c:v>
                </c:pt>
                <c:pt idx="5">
                  <c:v>26.180257510729614</c:v>
                </c:pt>
                <c:pt idx="6">
                  <c:v>22.86384976525822</c:v>
                </c:pt>
                <c:pt idx="7">
                  <c:v>24.947807933194156</c:v>
                </c:pt>
                <c:pt idx="8">
                  <c:v>26.138828633405641</c:v>
                </c:pt>
                <c:pt idx="9">
                  <c:v>24.763705103969755</c:v>
                </c:pt>
                <c:pt idx="10">
                  <c:v>23.380093520374086</c:v>
                </c:pt>
                <c:pt idx="11">
                  <c:v>23.931623931623935</c:v>
                </c:pt>
                <c:pt idx="12">
                  <c:v>25.808936825885976</c:v>
                </c:pt>
                <c:pt idx="13">
                  <c:v>24.957698815566832</c:v>
                </c:pt>
                <c:pt idx="14">
                  <c:v>24.311565696302122</c:v>
                </c:pt>
                <c:pt idx="15">
                  <c:v>23.285198555956679</c:v>
                </c:pt>
                <c:pt idx="16">
                  <c:v>26.253418413855972</c:v>
                </c:pt>
                <c:pt idx="17">
                  <c:v>24.58542745986605</c:v>
                </c:pt>
                <c:pt idx="18">
                  <c:v>26.053024855567621</c:v>
                </c:pt>
                <c:pt idx="19">
                  <c:v>25.797741107062055</c:v>
                </c:pt>
                <c:pt idx="20">
                  <c:v>24.994798670569267</c:v>
                </c:pt>
                <c:pt idx="21">
                  <c:v>21.604673181778114</c:v>
                </c:pt>
              </c:numCache>
            </c:numRef>
          </c:val>
          <c:smooth val="0"/>
          <c:extLst>
            <c:ext xmlns:c16="http://schemas.microsoft.com/office/drawing/2014/chart" uri="{C3380CC4-5D6E-409C-BE32-E72D297353CC}">
              <c16:uniqueId val="{00000003-F38B-46B6-9DEE-1699AEF3CDF3}"/>
            </c:ext>
          </c:extLst>
        </c:ser>
        <c:ser>
          <c:idx val="6"/>
          <c:order val="4"/>
          <c:tx>
            <c:strRef>
              <c:f>'Trh práce-2b'!$A$33</c:f>
              <c:strCache>
                <c:ptCount val="1"/>
                <c:pt idx="0">
                  <c:v>Ekon. neaktiv. chtějící pracovat (pr. osa)</c:v>
                </c:pt>
              </c:strCache>
            </c:strRef>
          </c:tx>
          <c:spPr>
            <a:ln w="19050">
              <a:solidFill>
                <a:srgbClr val="00B0F0"/>
              </a:solidFill>
              <a:prstDash val="solid"/>
            </a:ln>
          </c:spPr>
          <c:marker>
            <c:symbol val="none"/>
          </c:marker>
          <c:cat>
            <c:multiLvlStrRef>
              <c:f>'Trh práce-2b'!$B$27:$Y$28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práce-2b'!$B$33:$Y$33</c:f>
              <c:numCache>
                <c:formatCode>General</c:formatCode>
                <c:ptCount val="24"/>
                <c:pt idx="0">
                  <c:v>138.5</c:v>
                </c:pt>
                <c:pt idx="1">
                  <c:v>141.4</c:v>
                </c:pt>
                <c:pt idx="2">
                  <c:v>137.1</c:v>
                </c:pt>
                <c:pt idx="3">
                  <c:v>130.4</c:v>
                </c:pt>
                <c:pt idx="4">
                  <c:v>141</c:v>
                </c:pt>
                <c:pt idx="5">
                  <c:v>126.4</c:v>
                </c:pt>
                <c:pt idx="6">
                  <c:v>129.69999999999999</c:v>
                </c:pt>
                <c:pt idx="7">
                  <c:v>127.1</c:v>
                </c:pt>
                <c:pt idx="8" formatCode="0.0">
                  <c:v>133.1</c:v>
                </c:pt>
                <c:pt idx="9" formatCode="0.0">
                  <c:v>120.1</c:v>
                </c:pt>
                <c:pt idx="10" formatCode="0.0">
                  <c:v>121.3</c:v>
                </c:pt>
                <c:pt idx="11" formatCode="0.0">
                  <c:v>119.1</c:v>
                </c:pt>
                <c:pt idx="12" formatCode="0.0">
                  <c:v>113.5</c:v>
                </c:pt>
                <c:pt idx="13" formatCode="0.0">
                  <c:v>108.4</c:v>
                </c:pt>
                <c:pt idx="14" formatCode="0.0">
                  <c:v>110.3</c:v>
                </c:pt>
                <c:pt idx="15" formatCode="0.0">
                  <c:v>101.7</c:v>
                </c:pt>
                <c:pt idx="16" formatCode="0.0">
                  <c:v>104.6</c:v>
                </c:pt>
                <c:pt idx="17" formatCode="0.0">
                  <c:v>104.6</c:v>
                </c:pt>
                <c:pt idx="18" formatCode="0.0">
                  <c:v>97.6</c:v>
                </c:pt>
                <c:pt idx="19" formatCode="0.0">
                  <c:v>99.9</c:v>
                </c:pt>
                <c:pt idx="20" formatCode="0.0">
                  <c:v>93.4</c:v>
                </c:pt>
                <c:pt idx="21" formatCode="0.0">
                  <c:v>109.3</c:v>
                </c:pt>
                <c:pt idx="22" formatCode="0.0">
                  <c:v>98.8</c:v>
                </c:pt>
              </c:numCache>
            </c:numRef>
          </c:val>
          <c:smooth val="0"/>
          <c:extLst>
            <c:ext xmlns:c16="http://schemas.microsoft.com/office/drawing/2014/chart" uri="{C3380CC4-5D6E-409C-BE32-E72D297353CC}">
              <c16:uniqueId val="{00000004-F38B-46B6-9DEE-1699AEF3CDF3}"/>
            </c:ext>
          </c:extLst>
        </c:ser>
        <c:ser>
          <c:idx val="7"/>
          <c:order val="5"/>
          <c:tx>
            <c:strRef>
              <c:f>'Trh práce-2b'!$A$34</c:f>
              <c:strCache>
                <c:ptCount val="1"/>
                <c:pt idx="0">
                  <c:v>Očekávání vývoje nezam. (pr. osa)</c:v>
                </c:pt>
              </c:strCache>
            </c:strRef>
          </c:tx>
          <c:spPr>
            <a:ln w="6350">
              <a:solidFill>
                <a:schemeClr val="accent6">
                  <a:lumMod val="75000"/>
                </a:schemeClr>
              </a:solidFill>
              <a:prstDash val="sysDot"/>
            </a:ln>
          </c:spPr>
          <c:marker>
            <c:symbol val="circle"/>
            <c:size val="4"/>
            <c:spPr>
              <a:solidFill>
                <a:schemeClr val="accent6">
                  <a:lumMod val="75000"/>
                </a:schemeClr>
              </a:solidFill>
              <a:ln>
                <a:noFill/>
              </a:ln>
            </c:spPr>
          </c:marker>
          <c:cat>
            <c:multiLvlStrRef>
              <c:f>'Trh práce-2b'!$B$27:$Y$28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práce-2b'!$B$34:$Y$34</c:f>
              <c:numCache>
                <c:formatCode>#\ ##0.0</c:formatCode>
                <c:ptCount val="24"/>
                <c:pt idx="0">
                  <c:v>12.2</c:v>
                </c:pt>
                <c:pt idx="1">
                  <c:v>7.3</c:v>
                </c:pt>
                <c:pt idx="2">
                  <c:v>12.3</c:v>
                </c:pt>
                <c:pt idx="3">
                  <c:v>4.9000000000000004</c:v>
                </c:pt>
                <c:pt idx="4">
                  <c:v>1.1000000000000001</c:v>
                </c:pt>
                <c:pt idx="5">
                  <c:v>8.5</c:v>
                </c:pt>
                <c:pt idx="6">
                  <c:v>7</c:v>
                </c:pt>
                <c:pt idx="7">
                  <c:v>3.6</c:v>
                </c:pt>
                <c:pt idx="8">
                  <c:v>-1.6</c:v>
                </c:pt>
                <c:pt idx="9">
                  <c:v>-4.0999999999999996</c:v>
                </c:pt>
                <c:pt idx="10">
                  <c:v>3.5</c:v>
                </c:pt>
                <c:pt idx="11">
                  <c:v>-0.2</c:v>
                </c:pt>
                <c:pt idx="12">
                  <c:v>-2.8</c:v>
                </c:pt>
                <c:pt idx="13">
                  <c:v>-3.4</c:v>
                </c:pt>
                <c:pt idx="14">
                  <c:v>1.7</c:v>
                </c:pt>
                <c:pt idx="15">
                  <c:v>5.5</c:v>
                </c:pt>
                <c:pt idx="16">
                  <c:v>6</c:v>
                </c:pt>
                <c:pt idx="17">
                  <c:v>6.8</c:v>
                </c:pt>
                <c:pt idx="18">
                  <c:v>13.9</c:v>
                </c:pt>
                <c:pt idx="19">
                  <c:v>12.8</c:v>
                </c:pt>
                <c:pt idx="20">
                  <c:v>16.2</c:v>
                </c:pt>
                <c:pt idx="21">
                  <c:v>48.6</c:v>
                </c:pt>
                <c:pt idx="22">
                  <c:v>46.7</c:v>
                </c:pt>
                <c:pt idx="23">
                  <c:v>60</c:v>
                </c:pt>
              </c:numCache>
            </c:numRef>
          </c:val>
          <c:smooth val="0"/>
          <c:extLst>
            <c:ext xmlns:c16="http://schemas.microsoft.com/office/drawing/2014/chart" uri="{C3380CC4-5D6E-409C-BE32-E72D297353CC}">
              <c16:uniqueId val="{00000005-F38B-46B6-9DEE-1699AEF3CDF3}"/>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8"/>
        </c:scaling>
        <c:delete val="0"/>
        <c:axPos val="l"/>
        <c:majorGridlines>
          <c:spPr>
            <a:ln w="6350">
              <a:solidFill>
                <a:schemeClr val="bg1">
                  <a:lumMod val="75000"/>
                </a:schemeClr>
              </a:solidFill>
            </a:ln>
          </c:spPr>
        </c:majorGridlines>
        <c:title>
          <c:tx>
            <c:rich>
              <a:bodyPr/>
              <a:lstStyle/>
              <a:p>
                <a:pPr>
                  <a:defRPr sz="700" b="0" i="1"/>
                </a:pPr>
                <a:r>
                  <a:rPr lang="cs-CZ" sz="700" b="0" i="1"/>
                  <a:t>Míra</a:t>
                </a:r>
                <a:r>
                  <a:rPr lang="cs-CZ" sz="700" b="0" i="1" baseline="0"/>
                  <a:t> nezaměstnanosti</a:t>
                </a:r>
                <a:endParaRPr lang="cs-CZ" sz="700" b="0" i="1"/>
              </a:p>
            </c:rich>
          </c:tx>
          <c:overlay val="0"/>
        </c:title>
        <c:numFmt formatCode="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50"/>
          <c:min val="-10"/>
        </c:scaling>
        <c:delete val="0"/>
        <c:axPos val="r"/>
        <c:title>
          <c:tx>
            <c:rich>
              <a:bodyPr/>
              <a:lstStyle/>
              <a:p>
                <a:pPr>
                  <a:defRPr sz="700" b="0" i="1"/>
                </a:pPr>
                <a:r>
                  <a:rPr lang="cs-CZ" sz="700" b="0" i="1"/>
                  <a:t>Počet</a:t>
                </a:r>
                <a:r>
                  <a:rPr lang="cs-CZ" sz="700" b="0" i="1" baseline="0"/>
                  <a:t> ek. neaktivních, očekávání nezaměstnanosti</a:t>
                </a:r>
                <a:endParaRPr lang="cs-CZ" sz="700" b="0" i="1"/>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2.0411716257698633E-2"/>
          <c:y val="0.87009214574436677"/>
          <c:w val="0.96008712889427228"/>
          <c:h val="0.12620991153472777"/>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'Trh práce 3'!$D$29:$D$51</c:f>
              <c:numCache>
                <c:formatCode>#\ ##0.0</c:formatCode>
                <c:ptCount val="23"/>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3.9000000000000057</c:v>
                </c:pt>
                <c:pt idx="17">
                  <c:v>3.7000000000000028</c:v>
                </c:pt>
                <c:pt idx="18">
                  <c:v>3.4000000000000057</c:v>
                </c:pt>
                <c:pt idx="19">
                  <c:v>3.0999999999999943</c:v>
                </c:pt>
                <c:pt idx="20">
                  <c:v>1.4000000000000057</c:v>
                </c:pt>
                <c:pt idx="21">
                  <c:v>-2.4000000000000057</c:v>
                </c:pt>
                <c:pt idx="22" formatCode="0.0">
                  <c:v>1.7000000000000028</c:v>
                </c:pt>
              </c:numCache>
            </c:numRef>
          </c:val>
          <c:extLst>
            <c:ext xmlns:c16="http://schemas.microsoft.com/office/drawing/2014/chart" uri="{C3380CC4-5D6E-409C-BE32-E72D297353CC}">
              <c16:uniqueId val="{00000000-35DA-45E5-A0E6-50AED98ACE9F}"/>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ln>
          </c:spPr>
          <c:marker>
            <c:symbol val="none"/>
          </c:marker>
          <c:cat>
            <c:multiLvlStrRef>
              <c:f>'Trh práce 3'!$A$29:$B$51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'Trh práce 3'!$C$29:$C$51</c:f>
              <c:numCache>
                <c:formatCode>0.0</c:formatCode>
                <c:ptCount val="23"/>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6.7000000000000028</c:v>
                </c:pt>
                <c:pt idx="17">
                  <c:v>6.5999999999999943</c:v>
                </c:pt>
                <c:pt idx="18">
                  <c:v>6.2999999999999972</c:v>
                </c:pt>
                <c:pt idx="19">
                  <c:v>6.2000000000000028</c:v>
                </c:pt>
                <c:pt idx="20">
                  <c:v>5.0999999999999943</c:v>
                </c:pt>
                <c:pt idx="21">
                  <c:v>0.59999999999999432</c:v>
                </c:pt>
                <c:pt idx="22">
                  <c:v>5.0999999999999943</c:v>
                </c:pt>
              </c:numCache>
            </c:numRef>
          </c:val>
          <c:smooth val="0"/>
          <c:extLst>
            <c:ext xmlns:c16="http://schemas.microsoft.com/office/drawing/2014/chart" uri="{C3380CC4-5D6E-409C-BE32-E72D297353CC}">
              <c16:uniqueId val="{00000001-35DA-45E5-A0E6-50AED98ACE9F}"/>
            </c:ext>
          </c:extLst>
        </c:ser>
        <c:ser>
          <c:idx val="5"/>
          <c:order val="2"/>
          <c:tx>
            <c:strRef>
              <c:f>'Trh práce 3'!$E$8</c:f>
              <c:strCache>
                <c:ptCount val="1"/>
                <c:pt idx="0">
                  <c:v>Prům. mzda v průmyslu (nominálně)</c:v>
                </c:pt>
              </c:strCache>
            </c:strRef>
          </c:tx>
          <c:spPr>
            <a:ln w="9525">
              <a:solidFill>
                <a:srgbClr val="C00000"/>
              </a:solidFill>
              <a:prstDash val="solid"/>
            </a:ln>
          </c:spPr>
          <c:marker>
            <c:symbol val="none"/>
          </c:marker>
          <c:cat>
            <c:multiLvlStrRef>
              <c:f>'Trh práce 3'!$A$29:$B$51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'Trh práce 3'!$E$29:$E$51</c:f>
              <c:numCache>
                <c:formatCode>0.0</c:formatCode>
                <c:ptCount val="23"/>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5.8906444633842483</c:v>
                </c:pt>
                <c:pt idx="17">
                  <c:v>5.883790554163852</c:v>
                </c:pt>
                <c:pt idx="18">
                  <c:v>5.5271271016749779</c:v>
                </c:pt>
                <c:pt idx="19">
                  <c:v>4.4163668801731433</c:v>
                </c:pt>
                <c:pt idx="20">
                  <c:v>4.445407547286635</c:v>
                </c:pt>
                <c:pt idx="21">
                  <c:v>-3.8776687824581586</c:v>
                </c:pt>
                <c:pt idx="22">
                  <c:v>2.4245527377868825</c:v>
                </c:pt>
              </c:numCache>
            </c:numRef>
          </c:val>
          <c:smooth val="0"/>
          <c:extLst>
            <c:ext xmlns:c16="http://schemas.microsoft.com/office/drawing/2014/chart" uri="{C3380CC4-5D6E-409C-BE32-E72D297353CC}">
              <c16:uniqueId val="{00000002-35DA-45E5-A0E6-50AED98ACE9F}"/>
            </c:ext>
          </c:extLst>
        </c:ser>
        <c:ser>
          <c:idx val="1"/>
          <c:order val="3"/>
          <c:tx>
            <c:strRef>
              <c:f>'Trh práce 3'!$F$8</c:f>
              <c:strCache>
                <c:ptCount val="1"/>
                <c:pt idx="0">
                  <c:v>Prům. mzda v obchodu (nominálně)</c:v>
                </c:pt>
              </c:strCache>
            </c:strRef>
          </c:tx>
          <c:spPr>
            <a:ln w="9525">
              <a:solidFill>
                <a:srgbClr val="0070C0"/>
              </a:solidFill>
              <a:prstDash val="solid"/>
            </a:ln>
          </c:spPr>
          <c:marker>
            <c:symbol val="none"/>
          </c:marker>
          <c:cat>
            <c:multiLvlStrRef>
              <c:f>'Trh práce 3'!$A$29:$B$51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'Trh práce 3'!$F$29:$F$51</c:f>
              <c:numCache>
                <c:formatCode>0.0</c:formatCode>
                <c:ptCount val="23"/>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7.819417814188597</c:v>
                </c:pt>
                <c:pt idx="17">
                  <c:v>5.5341966815054491</c:v>
                </c:pt>
                <c:pt idx="18">
                  <c:v>6.4442351674963021</c:v>
                </c:pt>
                <c:pt idx="19">
                  <c:v>4.3541090726313172</c:v>
                </c:pt>
                <c:pt idx="20">
                  <c:v>4.1063114330056862</c:v>
                </c:pt>
                <c:pt idx="21">
                  <c:v>-0.86920397532995253</c:v>
                </c:pt>
                <c:pt idx="22">
                  <c:v>2.5941607684529799</c:v>
                </c:pt>
              </c:numCache>
            </c:numRef>
          </c:val>
          <c:smooth val="0"/>
          <c:extLst>
            <c:ext xmlns:c16="http://schemas.microsoft.com/office/drawing/2014/chart" uri="{C3380CC4-5D6E-409C-BE32-E72D297353CC}">
              <c16:uniqueId val="{00000003-35DA-45E5-A0E6-50AED98ACE9F}"/>
            </c:ext>
          </c:extLst>
        </c:ser>
        <c:ser>
          <c:idx val="2"/>
          <c:order val="4"/>
          <c:tx>
            <c:strRef>
              <c:f>'Trh práce 3'!$G$8</c:f>
              <c:strCache>
                <c:ptCount val="1"/>
                <c:pt idx="0">
                  <c:v>Prům. mzda ve veř. službách (nominálně)*</c:v>
                </c:pt>
              </c:strCache>
            </c:strRef>
          </c:tx>
          <c:spPr>
            <a:ln w="9525">
              <a:solidFill>
                <a:srgbClr val="00B050"/>
              </a:solidFill>
              <a:prstDash val="solid"/>
            </a:ln>
          </c:spPr>
          <c:marker>
            <c:symbol val="none"/>
          </c:marker>
          <c:cat>
            <c:multiLvlStrRef>
              <c:f>'Trh práce 3'!$A$29:$B$51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'Trh práce 3'!$G$29:$G$51</c:f>
              <c:numCache>
                <c:formatCode>0.0</c:formatCode>
                <c:ptCount val="23"/>
                <c:pt idx="0">
                  <c:v>3.2530785072835906</c:v>
                </c:pt>
                <c:pt idx="1">
                  <c:v>4.2345225255887042</c:v>
                </c:pt>
                <c:pt idx="2">
                  <c:v>3.7826123610902629</c:v>
                </c:pt>
                <c:pt idx="3">
                  <c:v>3.6520863050351235</c:v>
                </c:pt>
                <c:pt idx="4">
                  <c:v>4.5612595293778977</c:v>
                </c:pt>
                <c:pt idx="5">
                  <c:v>3.7795053104986027</c:v>
                </c:pt>
                <c:pt idx="6">
                  <c:v>4.8333320772190307</c:v>
                </c:pt>
                <c:pt idx="7">
                  <c:v>6.1391055152858494</c:v>
                </c:pt>
                <c:pt idx="8">
                  <c:v>5.4601382386938617</c:v>
                </c:pt>
                <c:pt idx="9">
                  <c:v>7.3051156068769734</c:v>
                </c:pt>
                <c:pt idx="10">
                  <c:v>7.9977324017314544</c:v>
                </c:pt>
                <c:pt idx="11">
                  <c:v>10.560301374473843</c:v>
                </c:pt>
                <c:pt idx="12">
                  <c:v>12.243280886238418</c:v>
                </c:pt>
                <c:pt idx="13">
                  <c:v>11.972851728597787</c:v>
                </c:pt>
                <c:pt idx="14">
                  <c:v>11.476846206392675</c:v>
                </c:pt>
                <c:pt idx="15">
                  <c:v>6.1738194342733035</c:v>
                </c:pt>
                <c:pt idx="16">
                  <c:v>8.4277306023485092</c:v>
                </c:pt>
                <c:pt idx="17">
                  <c:v>8.3006541431037011</c:v>
                </c:pt>
                <c:pt idx="18">
                  <c:v>7.3971005445620941</c:v>
                </c:pt>
                <c:pt idx="19">
                  <c:v>10.068661942530216</c:v>
                </c:pt>
                <c:pt idx="20">
                  <c:v>5.1774379809714794</c:v>
                </c:pt>
                <c:pt idx="21">
                  <c:v>5.0969396545285512</c:v>
                </c:pt>
                <c:pt idx="22">
                  <c:v>8.9001861865024825</c:v>
                </c:pt>
              </c:numCache>
            </c:numRef>
          </c:val>
          <c:smooth val="0"/>
          <c:extLst>
            <c:ext xmlns:c16="http://schemas.microsoft.com/office/drawing/2014/chart" uri="{C3380CC4-5D6E-409C-BE32-E72D297353CC}">
              <c16:uniqueId val="{00000004-35DA-45E5-A0E6-50AED98ACE9F}"/>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3'!$A$29:$B$51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'Trh práce 3'!$H$29:$H$51</c:f>
              <c:numCache>
                <c:formatCode>0.0</c:formatCode>
                <c:ptCount val="23"/>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7.0999999999999943</c:v>
                </c:pt>
                <c:pt idx="17">
                  <c:v>6.5999999999999943</c:v>
                </c:pt>
                <c:pt idx="18">
                  <c:v>7.2000000000000028</c:v>
                </c:pt>
                <c:pt idx="19">
                  <c:v>6.5999999999999943</c:v>
                </c:pt>
                <c:pt idx="20">
                  <c:v>5.9000000000000057</c:v>
                </c:pt>
                <c:pt idx="21">
                  <c:v>0.40000000000000568</c:v>
                </c:pt>
                <c:pt idx="22">
                  <c:v>5.0999999999999943</c:v>
                </c:pt>
              </c:numCache>
            </c:numRef>
          </c:val>
          <c:smooth val="0"/>
          <c:extLst>
            <c:ext xmlns:c16="http://schemas.microsoft.com/office/drawing/2014/chart" uri="{C3380CC4-5D6E-409C-BE32-E72D297353CC}">
              <c16:uniqueId val="{00000005-35DA-45E5-A0E6-50AED98ACE9F}"/>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3"/>
          <c:min val="-5"/>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1"/>
      </c:valAx>
      <c:spPr>
        <a:ln>
          <a:solidFill>
            <a:schemeClr val="tx1"/>
          </a:solidFill>
        </a:ln>
      </c:spPr>
    </c:plotArea>
    <c:legend>
      <c:legendPos val="b"/>
      <c:layout>
        <c:manualLayout>
          <c:xMode val="edge"/>
          <c:yMode val="edge"/>
          <c:x val="4.4585535014236267E-2"/>
          <c:y val="0.87578174603174608"/>
          <c:w val="0.94198822026318074"/>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05E-2"/>
          <c:y val="2.1711264016309892E-2"/>
          <c:w val="0.93508633063154345"/>
          <c:h val="0.73130361364405005"/>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1'!$A$42:$B$110</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'Měnové podmínky 1'!$C$42:$C$110</c:f>
              <c:numCache>
                <c:formatCode>0.00</c:formatCode>
                <c:ptCount val="69"/>
                <c:pt idx="0">
                  <c:v>0.05</c:v>
                </c:pt>
                <c:pt idx="1">
                  <c:v>0.05</c:v>
                </c:pt>
                <c:pt idx="2">
                  <c:v>0.05</c:v>
                </c:pt>
                <c:pt idx="3">
                  <c:v>0.05</c:v>
                </c:pt>
                <c:pt idx="4">
                  <c:v>0.05</c:v>
                </c:pt>
                <c:pt idx="5">
                  <c:v>0.05</c:v>
                </c:pt>
                <c:pt idx="6">
                  <c:v>0.05</c:v>
                </c:pt>
                <c:pt idx="7">
                  <c:v>0.05</c:v>
                </c:pt>
                <c:pt idx="8">
                  <c:v>0.05</c:v>
                </c:pt>
                <c:pt idx="9">
                  <c:v>0.05</c:v>
                </c:pt>
                <c:pt idx="10">
                  <c:v>0.05</c:v>
                </c:pt>
                <c:pt idx="11">
                  <c:v>0.05</c:v>
                </c:pt>
                <c:pt idx="12" formatCode="General">
                  <c:v>0.05</c:v>
                </c:pt>
                <c:pt idx="13" formatCode="General">
                  <c:v>0.05</c:v>
                </c:pt>
                <c:pt idx="14" formatCode="General">
                  <c:v>0.05</c:v>
                </c:pt>
                <c:pt idx="15" formatCode="General">
                  <c:v>0.05</c:v>
                </c:pt>
                <c:pt idx="16" formatCode="General">
                  <c:v>0.05</c:v>
                </c:pt>
                <c:pt idx="17" formatCode="General">
                  <c:v>0.05</c:v>
                </c:pt>
                <c:pt idx="18" formatCode="General">
                  <c:v>0.05</c:v>
                </c:pt>
                <c:pt idx="19" formatCode="General">
                  <c:v>0.05</c:v>
                </c:pt>
                <c:pt idx="20" formatCode="General">
                  <c:v>0.05</c:v>
                </c:pt>
                <c:pt idx="21" formatCode="General">
                  <c:v>0.05</c:v>
                </c:pt>
                <c:pt idx="22" formatCode="General">
                  <c:v>0.05</c:v>
                </c:pt>
                <c:pt idx="23" formatCode="General">
                  <c:v>0.05</c:v>
                </c:pt>
                <c:pt idx="24" formatCode="General">
                  <c:v>0.05</c:v>
                </c:pt>
                <c:pt idx="25" formatCode="General">
                  <c:v>0.05</c:v>
                </c:pt>
                <c:pt idx="26" formatCode="General">
                  <c:v>0.05</c:v>
                </c:pt>
                <c:pt idx="27" formatCode="General">
                  <c:v>0.05</c:v>
                </c:pt>
                <c:pt idx="28" formatCode="General">
                  <c:v>0.05</c:v>
                </c:pt>
                <c:pt idx="29" formatCode="General">
                  <c:v>0.05</c:v>
                </c:pt>
                <c:pt idx="30" formatCode="General">
                  <c:v>0.05</c:v>
                </c:pt>
                <c:pt idx="31" formatCode="General">
                  <c:v>0.25</c:v>
                </c:pt>
                <c:pt idx="32" formatCode="General">
                  <c:v>0.25</c:v>
                </c:pt>
                <c:pt idx="33" formatCode="General">
                  <c:v>0.25</c:v>
                </c:pt>
                <c:pt idx="34" formatCode="General">
                  <c:v>0.5</c:v>
                </c:pt>
                <c:pt idx="35" formatCode="General">
                  <c:v>0.5</c:v>
                </c:pt>
                <c:pt idx="36" formatCode="General">
                  <c:v>0.5</c:v>
                </c:pt>
                <c:pt idx="37" formatCode="General">
                  <c:v>0.75</c:v>
                </c:pt>
                <c:pt idx="38" formatCode="General">
                  <c:v>0.75</c:v>
                </c:pt>
                <c:pt idx="39" formatCode="General">
                  <c:v>0.75</c:v>
                </c:pt>
                <c:pt idx="40" formatCode="General">
                  <c:v>0.75</c:v>
                </c:pt>
                <c:pt idx="41" formatCode="General">
                  <c:v>1</c:v>
                </c:pt>
                <c:pt idx="42" formatCode="General">
                  <c:v>1</c:v>
                </c:pt>
                <c:pt idx="43" formatCode="General">
                  <c:v>1.25</c:v>
                </c:pt>
                <c:pt idx="44" formatCode="General">
                  <c:v>1.5</c:v>
                </c:pt>
                <c:pt idx="45" formatCode="General">
                  <c:v>1.5</c:v>
                </c:pt>
                <c:pt idx="46" formatCode="General">
                  <c:v>1.75</c:v>
                </c:pt>
                <c:pt idx="47" formatCode="General">
                  <c:v>1.75</c:v>
                </c:pt>
                <c:pt idx="48" formatCode="General">
                  <c:v>1.75</c:v>
                </c:pt>
                <c:pt idx="49" formatCode="General">
                  <c:v>1.75</c:v>
                </c:pt>
                <c:pt idx="50" formatCode="General">
                  <c:v>1.75</c:v>
                </c:pt>
                <c:pt idx="51" formatCode="General">
                  <c:v>1.75</c:v>
                </c:pt>
                <c:pt idx="52" formatCode="General">
                  <c:v>2</c:v>
                </c:pt>
                <c:pt idx="53" formatCode="General">
                  <c:v>2</c:v>
                </c:pt>
                <c:pt idx="54" formatCode="General">
                  <c:v>2</c:v>
                </c:pt>
                <c:pt idx="55" formatCode="General">
                  <c:v>2</c:v>
                </c:pt>
                <c:pt idx="56" formatCode="General">
                  <c:v>2</c:v>
                </c:pt>
                <c:pt idx="57" formatCode="General">
                  <c:v>2</c:v>
                </c:pt>
                <c:pt idx="58" formatCode="General">
                  <c:v>2</c:v>
                </c:pt>
                <c:pt idx="59" formatCode="General">
                  <c:v>2</c:v>
                </c:pt>
                <c:pt idx="60" formatCode="General">
                  <c:v>2</c:v>
                </c:pt>
                <c:pt idx="61" formatCode="General">
                  <c:v>2.25</c:v>
                </c:pt>
                <c:pt idx="62" formatCode="General">
                  <c:v>1</c:v>
                </c:pt>
                <c:pt idx="63" formatCode="General">
                  <c:v>1</c:v>
                </c:pt>
                <c:pt idx="64" formatCode="General">
                  <c:v>0.25</c:v>
                </c:pt>
                <c:pt idx="65" formatCode="General">
                  <c:v>0.25</c:v>
                </c:pt>
                <c:pt idx="66" formatCode="General">
                  <c:v>0.25</c:v>
                </c:pt>
                <c:pt idx="67" formatCode="General">
                  <c:v>0.25</c:v>
                </c:pt>
                <c:pt idx="68" formatCode="General">
                  <c:v>0.25</c:v>
                </c:pt>
              </c:numCache>
            </c:numRef>
          </c:val>
          <c:extLst>
            <c:ext xmlns:c16="http://schemas.microsoft.com/office/drawing/2014/chart" uri="{C3380CC4-5D6E-409C-BE32-E72D297353CC}">
              <c16:uniqueId val="{00000000-AA88-4BB6-9DDB-8D12485AEDAF}"/>
            </c:ext>
          </c:extLst>
        </c:ser>
        <c:dLbls>
          <c:showLegendKey val="0"/>
          <c:showVal val="0"/>
          <c:showCatName val="0"/>
          <c:showSerName val="0"/>
          <c:showPercent val="0"/>
          <c:showBubbleSize val="0"/>
        </c:dLbls>
        <c:gapWidth val="31"/>
        <c:axId val="271742464"/>
        <c:axId val="271744000"/>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1'!$A$42:$B$110</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'Měnové podmínky 1'!$F$42:$F$110</c:f>
              <c:numCache>
                <c:formatCode>General</c:formatCode>
                <c:ptCount val="69"/>
                <c:pt idx="0">
                  <c:v>0.09</c:v>
                </c:pt>
                <c:pt idx="1">
                  <c:v>0.06</c:v>
                </c:pt>
                <c:pt idx="2">
                  <c:v>0.04</c:v>
                </c:pt>
                <c:pt idx="3">
                  <c:v>-0.03</c:v>
                </c:pt>
                <c:pt idx="4">
                  <c:v>0.04</c:v>
                </c:pt>
                <c:pt idx="5">
                  <c:v>0.11</c:v>
                </c:pt>
                <c:pt idx="6">
                  <c:v>0.02</c:v>
                </c:pt>
                <c:pt idx="7">
                  <c:v>-7.0000000000000007E-2</c:v>
                </c:pt>
                <c:pt idx="8">
                  <c:v>-0.3</c:v>
                </c:pt>
                <c:pt idx="9">
                  <c:v>-0.28000000000000003</c:v>
                </c:pt>
                <c:pt idx="10">
                  <c:v>-0.33</c:v>
                </c:pt>
                <c:pt idx="11">
                  <c:v>-0.38</c:v>
                </c:pt>
                <c:pt idx="12">
                  <c:v>-0.21</c:v>
                </c:pt>
                <c:pt idx="13">
                  <c:v>-0.18</c:v>
                </c:pt>
                <c:pt idx="14">
                  <c:v>-0.17</c:v>
                </c:pt>
                <c:pt idx="15">
                  <c:v>-0.08</c:v>
                </c:pt>
                <c:pt idx="16">
                  <c:v>-0.04</c:v>
                </c:pt>
                <c:pt idx="17">
                  <c:v>-0.05</c:v>
                </c:pt>
                <c:pt idx="18">
                  <c:v>-0.13</c:v>
                </c:pt>
                <c:pt idx="19">
                  <c:v>-0.22</c:v>
                </c:pt>
                <c:pt idx="20">
                  <c:v>-0.5</c:v>
                </c:pt>
                <c:pt idx="21">
                  <c:v>-0.74</c:v>
                </c:pt>
                <c:pt idx="22">
                  <c:v>-0.73</c:v>
                </c:pt>
                <c:pt idx="23">
                  <c:v>-0.81</c:v>
                </c:pt>
                <c:pt idx="24">
                  <c:v>-0.88</c:v>
                </c:pt>
                <c:pt idx="25">
                  <c:v>-0.53</c:v>
                </c:pt>
                <c:pt idx="26">
                  <c:v>-0.44</c:v>
                </c:pt>
                <c:pt idx="27">
                  <c:v>-0.23</c:v>
                </c:pt>
                <c:pt idx="28">
                  <c:v>-0.24</c:v>
                </c:pt>
                <c:pt idx="29">
                  <c:v>-0.25</c:v>
                </c:pt>
                <c:pt idx="30">
                  <c:v>-0.28999999999999998</c:v>
                </c:pt>
                <c:pt idx="31">
                  <c:v>-0.33</c:v>
                </c:pt>
                <c:pt idx="32">
                  <c:v>-0.28999999999999998</c:v>
                </c:pt>
                <c:pt idx="33">
                  <c:v>0.12</c:v>
                </c:pt>
                <c:pt idx="34">
                  <c:v>0.31</c:v>
                </c:pt>
                <c:pt idx="35">
                  <c:v>0.19</c:v>
                </c:pt>
                <c:pt idx="36">
                  <c:v>0.46</c:v>
                </c:pt>
                <c:pt idx="37">
                  <c:v>0.55000000000000004</c:v>
                </c:pt>
                <c:pt idx="38">
                  <c:v>0.62</c:v>
                </c:pt>
                <c:pt idx="39">
                  <c:v>0.6</c:v>
                </c:pt>
                <c:pt idx="40">
                  <c:v>0.7</c:v>
                </c:pt>
                <c:pt idx="41">
                  <c:v>0.89</c:v>
                </c:pt>
                <c:pt idx="42">
                  <c:v>1.0900000000000001</c:v>
                </c:pt>
                <c:pt idx="43">
                  <c:v>1.26</c:v>
                </c:pt>
                <c:pt idx="44">
                  <c:v>1.34</c:v>
                </c:pt>
                <c:pt idx="45">
                  <c:v>1.44</c:v>
                </c:pt>
                <c:pt idx="46">
                  <c:v>1.49</c:v>
                </c:pt>
                <c:pt idx="47">
                  <c:v>1.52</c:v>
                </c:pt>
                <c:pt idx="48">
                  <c:v>1.66</c:v>
                </c:pt>
                <c:pt idx="49">
                  <c:v>1.74</c:v>
                </c:pt>
                <c:pt idx="50">
                  <c:v>1.71</c:v>
                </c:pt>
                <c:pt idx="51">
                  <c:v>1.63</c:v>
                </c:pt>
                <c:pt idx="52">
                  <c:v>1.62</c:v>
                </c:pt>
                <c:pt idx="53">
                  <c:v>1.52</c:v>
                </c:pt>
                <c:pt idx="54">
                  <c:v>1.35</c:v>
                </c:pt>
                <c:pt idx="55">
                  <c:v>0.85</c:v>
                </c:pt>
                <c:pt idx="56">
                  <c:v>1.07</c:v>
                </c:pt>
                <c:pt idx="57">
                  <c:v>1.17</c:v>
                </c:pt>
                <c:pt idx="58">
                  <c:v>1.33</c:v>
                </c:pt>
                <c:pt idx="59">
                  <c:v>1.36</c:v>
                </c:pt>
                <c:pt idx="60">
                  <c:v>1.55</c:v>
                </c:pt>
                <c:pt idx="61">
                  <c:v>1.57</c:v>
                </c:pt>
                <c:pt idx="62">
                  <c:v>1.27</c:v>
                </c:pt>
                <c:pt idx="63">
                  <c:v>0.71</c:v>
                </c:pt>
                <c:pt idx="64">
                  <c:v>0.13</c:v>
                </c:pt>
                <c:pt idx="65">
                  <c:v>0.08</c:v>
                </c:pt>
                <c:pt idx="66">
                  <c:v>0.02</c:v>
                </c:pt>
                <c:pt idx="67">
                  <c:v>0.04</c:v>
                </c:pt>
                <c:pt idx="68">
                  <c:v>0.05</c:v>
                </c:pt>
              </c:numCache>
            </c:numRef>
          </c:val>
          <c:smooth val="0"/>
          <c:extLst>
            <c:ext xmlns:c16="http://schemas.microsoft.com/office/drawing/2014/chart" uri="{C3380CC4-5D6E-409C-BE32-E72D297353CC}">
              <c16:uniqueId val="{00000001-AA88-4BB6-9DDB-8D12485AEDAF}"/>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1'!$A$42:$B$110</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'Měnové podmínky 1'!$D$42:$D$110</c:f>
              <c:numCache>
                <c:formatCode>General</c:formatCode>
                <c:ptCount val="69"/>
                <c:pt idx="0">
                  <c:v>0.33</c:v>
                </c:pt>
                <c:pt idx="1">
                  <c:v>0.33</c:v>
                </c:pt>
                <c:pt idx="2">
                  <c:v>0.32</c:v>
                </c:pt>
                <c:pt idx="3">
                  <c:v>0.31</c:v>
                </c:pt>
                <c:pt idx="4">
                  <c:v>0.31</c:v>
                </c:pt>
                <c:pt idx="5">
                  <c:v>0.31</c:v>
                </c:pt>
                <c:pt idx="6">
                  <c:v>0.31</c:v>
                </c:pt>
                <c:pt idx="7">
                  <c:v>0.31</c:v>
                </c:pt>
                <c:pt idx="8">
                  <c:v>0.3</c:v>
                </c:pt>
                <c:pt idx="9">
                  <c:v>0.28999999999999998</c:v>
                </c:pt>
                <c:pt idx="10">
                  <c:v>0.28999999999999998</c:v>
                </c:pt>
                <c:pt idx="11">
                  <c:v>0.28999999999999998</c:v>
                </c:pt>
                <c:pt idx="12">
                  <c:v>0.28999999999999998</c:v>
                </c:pt>
                <c:pt idx="13">
                  <c:v>0.28000000000000003</c:v>
                </c:pt>
                <c:pt idx="14">
                  <c:v>0.28999999999999998</c:v>
                </c:pt>
                <c:pt idx="15">
                  <c:v>0.28999999999999998</c:v>
                </c:pt>
                <c:pt idx="16">
                  <c:v>0.28999999999999998</c:v>
                </c:pt>
                <c:pt idx="17">
                  <c:v>0.28999999999999998</c:v>
                </c:pt>
                <c:pt idx="18">
                  <c:v>0.28999999999999998</c:v>
                </c:pt>
                <c:pt idx="19">
                  <c:v>0.28999999999999998</c:v>
                </c:pt>
                <c:pt idx="20">
                  <c:v>0.28999999999999998</c:v>
                </c:pt>
                <c:pt idx="21">
                  <c:v>0.28999999999999998</c:v>
                </c:pt>
                <c:pt idx="22">
                  <c:v>0.28999999999999998</c:v>
                </c:pt>
                <c:pt idx="23">
                  <c:v>0.28999999999999998</c:v>
                </c:pt>
                <c:pt idx="24">
                  <c:v>0.28000000000000003</c:v>
                </c:pt>
                <c:pt idx="25">
                  <c:v>0.28000000000000003</c:v>
                </c:pt>
                <c:pt idx="26">
                  <c:v>0.28000000000000003</c:v>
                </c:pt>
                <c:pt idx="27">
                  <c:v>0.28999999999999998</c:v>
                </c:pt>
                <c:pt idx="28">
                  <c:v>0.3</c:v>
                </c:pt>
                <c:pt idx="29">
                  <c:v>0.3</c:v>
                </c:pt>
                <c:pt idx="30">
                  <c:v>0.3</c:v>
                </c:pt>
                <c:pt idx="31">
                  <c:v>0.43</c:v>
                </c:pt>
                <c:pt idx="32">
                  <c:v>0.46</c:v>
                </c:pt>
                <c:pt idx="33">
                  <c:v>0.51</c:v>
                </c:pt>
                <c:pt idx="34">
                  <c:v>0.71</c:v>
                </c:pt>
                <c:pt idx="35">
                  <c:v>0.75</c:v>
                </c:pt>
                <c:pt idx="36">
                  <c:v>0.77</c:v>
                </c:pt>
                <c:pt idx="37">
                  <c:v>0.9</c:v>
                </c:pt>
                <c:pt idx="38">
                  <c:v>0.9</c:v>
                </c:pt>
                <c:pt idx="39">
                  <c:v>0.9</c:v>
                </c:pt>
                <c:pt idx="40">
                  <c:v>0.9</c:v>
                </c:pt>
                <c:pt idx="41">
                  <c:v>0.93</c:v>
                </c:pt>
                <c:pt idx="42">
                  <c:v>1.18</c:v>
                </c:pt>
                <c:pt idx="43">
                  <c:v>1.45</c:v>
                </c:pt>
                <c:pt idx="44">
                  <c:v>1.54</c:v>
                </c:pt>
                <c:pt idx="45">
                  <c:v>1.76</c:v>
                </c:pt>
                <c:pt idx="46">
                  <c:v>1.99</c:v>
                </c:pt>
                <c:pt idx="47">
                  <c:v>2.0099999999999998</c:v>
                </c:pt>
                <c:pt idx="48">
                  <c:v>2.0099999999999998</c:v>
                </c:pt>
                <c:pt idx="49">
                  <c:v>2.0099999999999998</c:v>
                </c:pt>
                <c:pt idx="50">
                  <c:v>2.0299999999999998</c:v>
                </c:pt>
                <c:pt idx="51">
                  <c:v>2.02</c:v>
                </c:pt>
                <c:pt idx="52">
                  <c:v>2.19</c:v>
                </c:pt>
                <c:pt idx="53">
                  <c:v>2.17</c:v>
                </c:pt>
                <c:pt idx="54">
                  <c:v>2.16</c:v>
                </c:pt>
                <c:pt idx="55">
                  <c:v>2.14</c:v>
                </c:pt>
                <c:pt idx="56">
                  <c:v>2.14</c:v>
                </c:pt>
                <c:pt idx="57">
                  <c:v>2.17</c:v>
                </c:pt>
                <c:pt idx="58">
                  <c:v>2.1800000000000002</c:v>
                </c:pt>
                <c:pt idx="59">
                  <c:v>2.1800000000000002</c:v>
                </c:pt>
                <c:pt idx="60">
                  <c:v>2.17</c:v>
                </c:pt>
                <c:pt idx="61">
                  <c:v>2.34</c:v>
                </c:pt>
                <c:pt idx="62">
                  <c:v>2</c:v>
                </c:pt>
                <c:pt idx="63">
                  <c:v>0.97</c:v>
                </c:pt>
                <c:pt idx="64">
                  <c:v>0.46</c:v>
                </c:pt>
                <c:pt idx="65">
                  <c:v>0.34</c:v>
                </c:pt>
                <c:pt idx="66">
                  <c:v>0.34</c:v>
                </c:pt>
                <c:pt idx="67">
                  <c:v>0.34</c:v>
                </c:pt>
                <c:pt idx="68">
                  <c:v>0.34</c:v>
                </c:pt>
              </c:numCache>
            </c:numRef>
          </c:val>
          <c:smooth val="0"/>
          <c:extLst>
            <c:ext xmlns:c16="http://schemas.microsoft.com/office/drawing/2014/chart" uri="{C3380CC4-5D6E-409C-BE32-E72D297353CC}">
              <c16:uniqueId val="{00000002-AA88-4BB6-9DDB-8D12485AEDAF}"/>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1'!$A$42:$B$110</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'Měnové podmínky 1'!$G$42:$G$110</c:f>
              <c:numCache>
                <c:formatCode>General</c:formatCode>
                <c:ptCount val="69"/>
                <c:pt idx="0">
                  <c:v>0.13</c:v>
                </c:pt>
                <c:pt idx="1">
                  <c:v>0.17</c:v>
                </c:pt>
                <c:pt idx="2">
                  <c:v>0.14000000000000001</c:v>
                </c:pt>
                <c:pt idx="3">
                  <c:v>0.05</c:v>
                </c:pt>
                <c:pt idx="4">
                  <c:v>0.22</c:v>
                </c:pt>
                <c:pt idx="5">
                  <c:v>0.43</c:v>
                </c:pt>
                <c:pt idx="6">
                  <c:v>0.35</c:v>
                </c:pt>
                <c:pt idx="7">
                  <c:v>0.2</c:v>
                </c:pt>
                <c:pt idx="8">
                  <c:v>0.06</c:v>
                </c:pt>
                <c:pt idx="9">
                  <c:v>-0.05</c:v>
                </c:pt>
                <c:pt idx="10">
                  <c:v>-0.05</c:v>
                </c:pt>
                <c:pt idx="11">
                  <c:v>-0.11</c:v>
                </c:pt>
                <c:pt idx="12">
                  <c:v>0.04</c:v>
                </c:pt>
                <c:pt idx="13">
                  <c:v>-0.08</c:v>
                </c:pt>
                <c:pt idx="14">
                  <c:v>-0.1</c:v>
                </c:pt>
                <c:pt idx="15">
                  <c:v>0.04</c:v>
                </c:pt>
                <c:pt idx="16">
                  <c:v>7.0000000000000007E-2</c:v>
                </c:pt>
                <c:pt idx="17">
                  <c:v>0.05</c:v>
                </c:pt>
                <c:pt idx="18">
                  <c:v>-0.02</c:v>
                </c:pt>
                <c:pt idx="19">
                  <c:v>-0.09</c:v>
                </c:pt>
                <c:pt idx="20">
                  <c:v>-0.19</c:v>
                </c:pt>
                <c:pt idx="21">
                  <c:v>-0.17</c:v>
                </c:pt>
                <c:pt idx="22">
                  <c:v>-0.17</c:v>
                </c:pt>
                <c:pt idx="23">
                  <c:v>-0.21</c:v>
                </c:pt>
                <c:pt idx="24">
                  <c:v>-0.22</c:v>
                </c:pt>
                <c:pt idx="25">
                  <c:v>0.09</c:v>
                </c:pt>
                <c:pt idx="26">
                  <c:v>0.1</c:v>
                </c:pt>
                <c:pt idx="27">
                  <c:v>0.16</c:v>
                </c:pt>
                <c:pt idx="28">
                  <c:v>0.04</c:v>
                </c:pt>
                <c:pt idx="29">
                  <c:v>-0.03</c:v>
                </c:pt>
                <c:pt idx="30">
                  <c:v>0.14000000000000001</c:v>
                </c:pt>
                <c:pt idx="31">
                  <c:v>0.09</c:v>
                </c:pt>
                <c:pt idx="32">
                  <c:v>0.1</c:v>
                </c:pt>
                <c:pt idx="33">
                  <c:v>0.63</c:v>
                </c:pt>
                <c:pt idx="34">
                  <c:v>0.87</c:v>
                </c:pt>
                <c:pt idx="35">
                  <c:v>0.68</c:v>
                </c:pt>
                <c:pt idx="36">
                  <c:v>0.99</c:v>
                </c:pt>
                <c:pt idx="37">
                  <c:v>1.07</c:v>
                </c:pt>
                <c:pt idx="38">
                  <c:v>1.0900000000000001</c:v>
                </c:pt>
                <c:pt idx="39">
                  <c:v>1.05</c:v>
                </c:pt>
                <c:pt idx="40">
                  <c:v>1.21</c:v>
                </c:pt>
                <c:pt idx="41">
                  <c:v>1.41</c:v>
                </c:pt>
                <c:pt idx="42">
                  <c:v>1.44</c:v>
                </c:pt>
                <c:pt idx="43">
                  <c:v>1.55</c:v>
                </c:pt>
                <c:pt idx="44">
                  <c:v>1.7</c:v>
                </c:pt>
                <c:pt idx="45">
                  <c:v>1.81</c:v>
                </c:pt>
                <c:pt idx="46">
                  <c:v>1.79</c:v>
                </c:pt>
                <c:pt idx="47">
                  <c:v>1.71</c:v>
                </c:pt>
                <c:pt idx="48">
                  <c:v>1.6</c:v>
                </c:pt>
                <c:pt idx="49">
                  <c:v>1.61</c:v>
                </c:pt>
                <c:pt idx="50">
                  <c:v>1.7</c:v>
                </c:pt>
                <c:pt idx="51">
                  <c:v>1.63</c:v>
                </c:pt>
                <c:pt idx="52">
                  <c:v>1.57</c:v>
                </c:pt>
                <c:pt idx="53">
                  <c:v>1.43</c:v>
                </c:pt>
                <c:pt idx="54">
                  <c:v>1.31</c:v>
                </c:pt>
                <c:pt idx="55">
                  <c:v>0.89</c:v>
                </c:pt>
                <c:pt idx="56">
                  <c:v>1.1299999999999999</c:v>
                </c:pt>
                <c:pt idx="57">
                  <c:v>1.23</c:v>
                </c:pt>
                <c:pt idx="58">
                  <c:v>1.32</c:v>
                </c:pt>
                <c:pt idx="59">
                  <c:v>1.31</c:v>
                </c:pt>
                <c:pt idx="60">
                  <c:v>1.51</c:v>
                </c:pt>
                <c:pt idx="61">
                  <c:v>1.52</c:v>
                </c:pt>
                <c:pt idx="62">
                  <c:v>1.23</c:v>
                </c:pt>
                <c:pt idx="63">
                  <c:v>1.06</c:v>
                </c:pt>
                <c:pt idx="64">
                  <c:v>0.56999999999999995</c:v>
                </c:pt>
                <c:pt idx="65">
                  <c:v>0.52</c:v>
                </c:pt>
                <c:pt idx="66">
                  <c:v>0.52</c:v>
                </c:pt>
                <c:pt idx="67">
                  <c:v>0.57999999999999996</c:v>
                </c:pt>
                <c:pt idx="68">
                  <c:v>0.57999999999999996</c:v>
                </c:pt>
              </c:numCache>
            </c:numRef>
          </c:val>
          <c:smooth val="0"/>
          <c:extLst>
            <c:ext xmlns:c16="http://schemas.microsoft.com/office/drawing/2014/chart" uri="{C3380CC4-5D6E-409C-BE32-E72D297353CC}">
              <c16:uniqueId val="{00000003-AA88-4BB6-9DDB-8D12485AEDAF}"/>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1'!$A$42:$B$110</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'Měnové podmínky 1'!$E$42:$E$110</c:f>
              <c:numCache>
                <c:formatCode>General</c:formatCode>
                <c:ptCount val="69"/>
                <c:pt idx="0">
                  <c:v>0.51</c:v>
                </c:pt>
                <c:pt idx="1">
                  <c:v>0.51</c:v>
                </c:pt>
                <c:pt idx="2">
                  <c:v>0.49</c:v>
                </c:pt>
                <c:pt idx="3">
                  <c:v>0.48</c:v>
                </c:pt>
                <c:pt idx="4">
                  <c:v>0.48</c:v>
                </c:pt>
                <c:pt idx="5">
                  <c:v>0.48</c:v>
                </c:pt>
                <c:pt idx="6">
                  <c:v>0.48</c:v>
                </c:pt>
                <c:pt idx="7">
                  <c:v>0.48</c:v>
                </c:pt>
                <c:pt idx="8">
                  <c:v>0.47</c:v>
                </c:pt>
                <c:pt idx="9">
                  <c:v>0.46</c:v>
                </c:pt>
                <c:pt idx="10">
                  <c:v>0.46</c:v>
                </c:pt>
                <c:pt idx="11">
                  <c:v>0.46</c:v>
                </c:pt>
                <c:pt idx="12">
                  <c:v>0.45</c:v>
                </c:pt>
                <c:pt idx="13">
                  <c:v>0.45</c:v>
                </c:pt>
                <c:pt idx="14">
                  <c:v>0.45</c:v>
                </c:pt>
                <c:pt idx="15">
                  <c:v>0.45</c:v>
                </c:pt>
                <c:pt idx="16">
                  <c:v>0.45</c:v>
                </c:pt>
                <c:pt idx="17">
                  <c:v>0.45</c:v>
                </c:pt>
                <c:pt idx="18">
                  <c:v>0.45</c:v>
                </c:pt>
                <c:pt idx="19">
                  <c:v>0.45</c:v>
                </c:pt>
                <c:pt idx="20">
                  <c:v>0.45</c:v>
                </c:pt>
                <c:pt idx="21">
                  <c:v>0.45</c:v>
                </c:pt>
                <c:pt idx="22">
                  <c:v>0.45</c:v>
                </c:pt>
                <c:pt idx="23">
                  <c:v>0.45</c:v>
                </c:pt>
                <c:pt idx="24">
                  <c:v>0.44</c:v>
                </c:pt>
                <c:pt idx="25">
                  <c:v>0.44</c:v>
                </c:pt>
                <c:pt idx="26">
                  <c:v>0.44</c:v>
                </c:pt>
                <c:pt idx="27">
                  <c:v>0.45</c:v>
                </c:pt>
                <c:pt idx="28">
                  <c:v>0.46</c:v>
                </c:pt>
                <c:pt idx="29">
                  <c:v>0.46</c:v>
                </c:pt>
                <c:pt idx="30">
                  <c:v>0.47</c:v>
                </c:pt>
                <c:pt idx="31">
                  <c:v>0.6</c:v>
                </c:pt>
                <c:pt idx="32">
                  <c:v>0.64</c:v>
                </c:pt>
                <c:pt idx="33">
                  <c:v>0.69</c:v>
                </c:pt>
                <c:pt idx="34">
                  <c:v>0.91</c:v>
                </c:pt>
                <c:pt idx="35">
                  <c:v>0.96</c:v>
                </c:pt>
                <c:pt idx="36">
                  <c:v>0.98</c:v>
                </c:pt>
                <c:pt idx="37">
                  <c:v>1.1100000000000001</c:v>
                </c:pt>
                <c:pt idx="38">
                  <c:v>1.1200000000000001</c:v>
                </c:pt>
                <c:pt idx="39">
                  <c:v>1.1200000000000001</c:v>
                </c:pt>
                <c:pt idx="40">
                  <c:v>1.1200000000000001</c:v>
                </c:pt>
                <c:pt idx="41">
                  <c:v>1.1499999999999999</c:v>
                </c:pt>
                <c:pt idx="42">
                  <c:v>1.39</c:v>
                </c:pt>
                <c:pt idx="43">
                  <c:v>1.67</c:v>
                </c:pt>
                <c:pt idx="44">
                  <c:v>1.79</c:v>
                </c:pt>
                <c:pt idx="45">
                  <c:v>1.95</c:v>
                </c:pt>
                <c:pt idx="46">
                  <c:v>2.1800000000000002</c:v>
                </c:pt>
                <c:pt idx="47">
                  <c:v>2.21</c:v>
                </c:pt>
                <c:pt idx="48">
                  <c:v>2.21</c:v>
                </c:pt>
                <c:pt idx="49">
                  <c:v>2.2000000000000002</c:v>
                </c:pt>
                <c:pt idx="50">
                  <c:v>2.2000000000000002</c:v>
                </c:pt>
                <c:pt idx="51">
                  <c:v>2.21</c:v>
                </c:pt>
                <c:pt idx="52">
                  <c:v>2.3199999999999998</c:v>
                </c:pt>
                <c:pt idx="53">
                  <c:v>2.29</c:v>
                </c:pt>
                <c:pt idx="54">
                  <c:v>2.2799999999999998</c:v>
                </c:pt>
                <c:pt idx="55">
                  <c:v>2.2200000000000002</c:v>
                </c:pt>
                <c:pt idx="56">
                  <c:v>2.2000000000000002</c:v>
                </c:pt>
                <c:pt idx="57">
                  <c:v>2.2799999999999998</c:v>
                </c:pt>
                <c:pt idx="58">
                  <c:v>2.2799999999999998</c:v>
                </c:pt>
                <c:pt idx="59">
                  <c:v>2.27</c:v>
                </c:pt>
                <c:pt idx="60">
                  <c:v>2.27</c:v>
                </c:pt>
                <c:pt idx="61">
                  <c:v>2.42</c:v>
                </c:pt>
                <c:pt idx="62">
                  <c:v>2.0099999999999998</c:v>
                </c:pt>
                <c:pt idx="63">
                  <c:v>0.92</c:v>
                </c:pt>
                <c:pt idx="64">
                  <c:v>0.51</c:v>
                </c:pt>
                <c:pt idx="65">
                  <c:v>0.43</c:v>
                </c:pt>
                <c:pt idx="66">
                  <c:v>0.43</c:v>
                </c:pt>
                <c:pt idx="67">
                  <c:v>0.43</c:v>
                </c:pt>
                <c:pt idx="68">
                  <c:v>0.44</c:v>
                </c:pt>
              </c:numCache>
            </c:numRef>
          </c:val>
          <c:smooth val="0"/>
          <c:extLst>
            <c:ext xmlns:c16="http://schemas.microsoft.com/office/drawing/2014/chart" uri="{C3380CC4-5D6E-409C-BE32-E72D297353CC}">
              <c16:uniqueId val="{00000004-AA88-4BB6-9DDB-8D12485AEDAF}"/>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1'!$A$42:$B$110</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2015</c:v>
                  </c:pt>
                  <c:pt idx="12">
                    <c:v>2016</c:v>
                  </c:pt>
                  <c:pt idx="24">
                    <c:v>2017</c:v>
                  </c:pt>
                  <c:pt idx="36">
                    <c:v>2018</c:v>
                  </c:pt>
                  <c:pt idx="48">
                    <c:v>2019</c:v>
                  </c:pt>
                  <c:pt idx="60">
                    <c:v>2020</c:v>
                  </c:pt>
                </c:lvl>
              </c:multiLvlStrCache>
            </c:multiLvlStrRef>
          </c:cat>
          <c:val>
            <c:numRef>
              <c:f>'Měnové podmínky 1'!$H$42:$H$110</c:f>
              <c:numCache>
                <c:formatCode>General</c:formatCode>
                <c:ptCount val="69"/>
                <c:pt idx="0">
                  <c:v>0.35</c:v>
                </c:pt>
                <c:pt idx="1">
                  <c:v>0.4</c:v>
                </c:pt>
                <c:pt idx="2">
                  <c:v>0.35</c:v>
                </c:pt>
                <c:pt idx="3">
                  <c:v>0.26</c:v>
                </c:pt>
                <c:pt idx="4">
                  <c:v>0.6</c:v>
                </c:pt>
                <c:pt idx="5">
                  <c:v>1.01</c:v>
                </c:pt>
                <c:pt idx="6">
                  <c:v>0.97</c:v>
                </c:pt>
                <c:pt idx="7">
                  <c:v>0.74</c:v>
                </c:pt>
                <c:pt idx="8">
                  <c:v>0.68</c:v>
                </c:pt>
                <c:pt idx="9">
                  <c:v>0.56000000000000005</c:v>
                </c:pt>
                <c:pt idx="10">
                  <c:v>0.49</c:v>
                </c:pt>
                <c:pt idx="11">
                  <c:v>0.49</c:v>
                </c:pt>
                <c:pt idx="12">
                  <c:v>0.62</c:v>
                </c:pt>
                <c:pt idx="13">
                  <c:v>0.46</c:v>
                </c:pt>
                <c:pt idx="14">
                  <c:v>0.35</c:v>
                </c:pt>
                <c:pt idx="15">
                  <c:v>0.43</c:v>
                </c:pt>
                <c:pt idx="16">
                  <c:v>0.46</c:v>
                </c:pt>
                <c:pt idx="17">
                  <c:v>0.45</c:v>
                </c:pt>
                <c:pt idx="18">
                  <c:v>0.37</c:v>
                </c:pt>
                <c:pt idx="19">
                  <c:v>0.28999999999999998</c:v>
                </c:pt>
                <c:pt idx="20">
                  <c:v>0.25</c:v>
                </c:pt>
                <c:pt idx="21">
                  <c:v>0.37</c:v>
                </c:pt>
                <c:pt idx="22">
                  <c:v>0.55000000000000004</c:v>
                </c:pt>
                <c:pt idx="23">
                  <c:v>0.53</c:v>
                </c:pt>
                <c:pt idx="24">
                  <c:v>0.47</c:v>
                </c:pt>
                <c:pt idx="25">
                  <c:v>0.63</c:v>
                </c:pt>
                <c:pt idx="26">
                  <c:v>0.87</c:v>
                </c:pt>
                <c:pt idx="27">
                  <c:v>0.96</c:v>
                </c:pt>
                <c:pt idx="28">
                  <c:v>0.74</c:v>
                </c:pt>
                <c:pt idx="29">
                  <c:v>0.77</c:v>
                </c:pt>
                <c:pt idx="30">
                  <c:v>0.9</c:v>
                </c:pt>
                <c:pt idx="31">
                  <c:v>0.83</c:v>
                </c:pt>
                <c:pt idx="32">
                  <c:v>0.97</c:v>
                </c:pt>
                <c:pt idx="33">
                  <c:v>1.45</c:v>
                </c:pt>
                <c:pt idx="34">
                  <c:v>1.68</c:v>
                </c:pt>
                <c:pt idx="35">
                  <c:v>1.5</c:v>
                </c:pt>
                <c:pt idx="36">
                  <c:v>1.77</c:v>
                </c:pt>
                <c:pt idx="37">
                  <c:v>1.82</c:v>
                </c:pt>
                <c:pt idx="38">
                  <c:v>1.81</c:v>
                </c:pt>
                <c:pt idx="39">
                  <c:v>1.74</c:v>
                </c:pt>
                <c:pt idx="40">
                  <c:v>1.89</c:v>
                </c:pt>
                <c:pt idx="41">
                  <c:v>2.14</c:v>
                </c:pt>
                <c:pt idx="42">
                  <c:v>2.11</c:v>
                </c:pt>
                <c:pt idx="43">
                  <c:v>2.14</c:v>
                </c:pt>
                <c:pt idx="44">
                  <c:v>2.14</c:v>
                </c:pt>
                <c:pt idx="45">
                  <c:v>2.14</c:v>
                </c:pt>
                <c:pt idx="46">
                  <c:v>2.0699999999999998</c:v>
                </c:pt>
                <c:pt idx="47">
                  <c:v>2.0099999999999998</c:v>
                </c:pt>
                <c:pt idx="48">
                  <c:v>1.85</c:v>
                </c:pt>
                <c:pt idx="49">
                  <c:v>1.76</c:v>
                </c:pt>
                <c:pt idx="50">
                  <c:v>1.82</c:v>
                </c:pt>
                <c:pt idx="51">
                  <c:v>1.82</c:v>
                </c:pt>
                <c:pt idx="52">
                  <c:v>1.86</c:v>
                </c:pt>
                <c:pt idx="53">
                  <c:v>1.58</c:v>
                </c:pt>
                <c:pt idx="54">
                  <c:v>1.36</c:v>
                </c:pt>
                <c:pt idx="55">
                  <c:v>0.99</c:v>
                </c:pt>
                <c:pt idx="56">
                  <c:v>1.24</c:v>
                </c:pt>
                <c:pt idx="57">
                  <c:v>1.32</c:v>
                </c:pt>
                <c:pt idx="58">
                  <c:v>1.47</c:v>
                </c:pt>
                <c:pt idx="59">
                  <c:v>1.51</c:v>
                </c:pt>
                <c:pt idx="60">
                  <c:v>1.62</c:v>
                </c:pt>
                <c:pt idx="61">
                  <c:v>1.47</c:v>
                </c:pt>
                <c:pt idx="62">
                  <c:v>1.28</c:v>
                </c:pt>
                <c:pt idx="63">
                  <c:v>1.28</c:v>
                </c:pt>
                <c:pt idx="64">
                  <c:v>0.92</c:v>
                </c:pt>
                <c:pt idx="65">
                  <c:v>0.86</c:v>
                </c:pt>
                <c:pt idx="66">
                  <c:v>0.86</c:v>
                </c:pt>
                <c:pt idx="67">
                  <c:v>0.95</c:v>
                </c:pt>
                <c:pt idx="68">
                  <c:v>0.98</c:v>
                </c:pt>
              </c:numCache>
            </c:numRef>
          </c:val>
          <c:smooth val="0"/>
          <c:extLst>
            <c:ext xmlns:c16="http://schemas.microsoft.com/office/drawing/2014/chart" uri="{C3380CC4-5D6E-409C-BE32-E72D297353CC}">
              <c16:uniqueId val="{00000005-AA88-4BB6-9DDB-8D12485AEDAF}"/>
            </c:ext>
          </c:extLst>
        </c:ser>
        <c:dLbls>
          <c:showLegendKey val="0"/>
          <c:showVal val="0"/>
          <c:showCatName val="0"/>
          <c:showSerName val="0"/>
          <c:showPercent val="0"/>
          <c:showBubbleSize val="0"/>
        </c:dLbls>
        <c:marker val="1"/>
        <c:smooth val="0"/>
        <c:axId val="271742464"/>
        <c:axId val="271744000"/>
      </c:lineChart>
      <c:catAx>
        <c:axId val="271742464"/>
        <c:scaling>
          <c:orientation val="minMax"/>
        </c:scaling>
        <c:delete val="0"/>
        <c:axPos val="b"/>
        <c:numFmt formatCode="General" sourceLinked="0"/>
        <c:majorTickMark val="out"/>
        <c:minorTickMark val="none"/>
        <c:tickLblPos val="low"/>
        <c:spPr>
          <a:ln>
            <a:solidFill>
              <a:schemeClr val="tx1"/>
            </a:solidFill>
          </a:ln>
        </c:spPr>
        <c:crossAx val="271744000"/>
        <c:crosses val="autoZero"/>
        <c:auto val="1"/>
        <c:lblAlgn val="ctr"/>
        <c:lblOffset val="100"/>
        <c:noMultiLvlLbl val="0"/>
      </c:catAx>
      <c:valAx>
        <c:axId val="271744000"/>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742464"/>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08338784405057E-2"/>
          <c:y val="1.7107238390107405E-2"/>
          <c:w val="0.84381833758037139"/>
          <c:h val="0.81522316394353223"/>
        </c:manualLayout>
      </c:layout>
      <c:barChart>
        <c:barDir val="col"/>
        <c:grouping val="clustered"/>
        <c:varyColors val="0"/>
        <c:ser>
          <c:idx val="4"/>
          <c:order val="3"/>
          <c:tx>
            <c:strRef>
              <c:f>'G1-Státní rozpočet-příjmy'!$A$39</c:f>
              <c:strCache>
                <c:ptCount val="1"/>
                <c:pt idx="0">
                  <c:v>Saldo státního rozpočtu (SR, pravá osa)</c:v>
                </c:pt>
              </c:strCache>
            </c:strRef>
          </c:tx>
          <c:spPr>
            <a:solidFill>
              <a:schemeClr val="bg1">
                <a:lumMod val="65000"/>
              </a:schemeClr>
            </a:solidFill>
          </c:spPr>
          <c:invertIfNegative val="0"/>
          <c:cat>
            <c:numRef>
              <c:f>'G1-Státní rozpočet-příjmy'!$B$35:$Q$35</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rozpočet-příjmy'!$B$39:$Q$39</c:f>
              <c:numCache>
                <c:formatCode>0.0</c:formatCode>
                <c:ptCount val="16"/>
                <c:pt idx="0">
                  <c:v>25.75</c:v>
                </c:pt>
                <c:pt idx="1">
                  <c:v>1.49</c:v>
                </c:pt>
                <c:pt idx="2">
                  <c:v>36.316000000000003</c:v>
                </c:pt>
                <c:pt idx="3">
                  <c:v>10.473000000000001</c:v>
                </c:pt>
                <c:pt idx="4">
                  <c:v>-87.296000000000006</c:v>
                </c:pt>
                <c:pt idx="5">
                  <c:v>-99.555000000000007</c:v>
                </c:pt>
                <c:pt idx="6">
                  <c:v>-105.13800000000001</c:v>
                </c:pt>
                <c:pt idx="7">
                  <c:v>-71.412000000000006</c:v>
                </c:pt>
                <c:pt idx="8">
                  <c:v>-38.241</c:v>
                </c:pt>
                <c:pt idx="9">
                  <c:v>-34.39</c:v>
                </c:pt>
                <c:pt idx="10">
                  <c:v>-2.77</c:v>
                </c:pt>
                <c:pt idx="11">
                  <c:v>82.27</c:v>
                </c:pt>
                <c:pt idx="12">
                  <c:v>17.399999999999999</c:v>
                </c:pt>
                <c:pt idx="13">
                  <c:v>16.77</c:v>
                </c:pt>
                <c:pt idx="14">
                  <c:v>-20.99</c:v>
                </c:pt>
                <c:pt idx="15">
                  <c:v>-252.66738666548986</c:v>
                </c:pt>
              </c:numCache>
            </c:numRef>
          </c:val>
          <c:extLst>
            <c:ext xmlns:c16="http://schemas.microsoft.com/office/drawing/2014/chart" uri="{C3380CC4-5D6E-409C-BE32-E72D297353CC}">
              <c16:uniqueId val="{00000000-6587-4147-B2F4-A0BF3D98A448}"/>
            </c:ext>
          </c:extLst>
        </c:ser>
        <c:ser>
          <c:idx val="2"/>
          <c:order val="4"/>
          <c:tx>
            <c:strRef>
              <c:f>'G1-Státní rozpočet-příjmy'!$A$40</c:f>
              <c:strCache>
                <c:ptCount val="1"/>
                <c:pt idx="0">
                  <c:v>Saldo SR očišť. o vliv EU a FM* (pr. osa)</c:v>
                </c:pt>
              </c:strCache>
            </c:strRef>
          </c:tx>
          <c:spPr>
            <a:solidFill>
              <a:schemeClr val="bg1">
                <a:lumMod val="85000"/>
              </a:schemeClr>
            </a:solidFill>
            <a:ln w="28575">
              <a:noFill/>
            </a:ln>
          </c:spPr>
          <c:invertIfNegative val="0"/>
          <c:cat>
            <c:numRef>
              <c:f>'G1-Státní rozpočet-příjmy'!$B$35:$Q$35</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rozpočet-příjmy'!$B$40:$Q$40</c:f>
              <c:numCache>
                <c:formatCode>General</c:formatCode>
                <c:ptCount val="16"/>
                <c:pt idx="8" formatCode="#\ ##0.0">
                  <c:v>-65.2</c:v>
                </c:pt>
                <c:pt idx="9" formatCode="#\ ##0.0">
                  <c:v>-52.7</c:v>
                </c:pt>
                <c:pt idx="10" formatCode="#\ ##0.0">
                  <c:v>-40.5</c:v>
                </c:pt>
                <c:pt idx="11" formatCode="#\ ##0.0">
                  <c:v>-7.2</c:v>
                </c:pt>
                <c:pt idx="12" formatCode="#\ ##0.0">
                  <c:v>0.9</c:v>
                </c:pt>
                <c:pt idx="13" formatCode="#\ ##0.0">
                  <c:v>-4.8</c:v>
                </c:pt>
                <c:pt idx="14" formatCode="#\ ##0.0">
                  <c:v>-19</c:v>
                </c:pt>
                <c:pt idx="15" formatCode="#\ ##0.0">
                  <c:v>-256.10000000000002</c:v>
                </c:pt>
              </c:numCache>
            </c:numRef>
          </c:val>
          <c:extLst>
            <c:ext xmlns:c16="http://schemas.microsoft.com/office/drawing/2014/chart" uri="{C3380CC4-5D6E-409C-BE32-E72D297353CC}">
              <c16:uniqueId val="{00000001-6587-4147-B2F4-A0BF3D98A448}"/>
            </c:ext>
          </c:extLst>
        </c:ser>
        <c:dLbls>
          <c:showLegendKey val="0"/>
          <c:showVal val="0"/>
          <c:showCatName val="0"/>
          <c:showSerName val="0"/>
          <c:showPercent val="0"/>
          <c:showBubbleSize val="0"/>
        </c:dLbls>
        <c:gapWidth val="65"/>
        <c:axId val="337259904"/>
        <c:axId val="337258656"/>
      </c:barChart>
      <c:lineChart>
        <c:grouping val="standard"/>
        <c:varyColors val="0"/>
        <c:ser>
          <c:idx val="0"/>
          <c:order val="0"/>
          <c:tx>
            <c:strRef>
              <c:f>'G1-Státní rozpočet-příjmy'!$A$36</c:f>
              <c:strCache>
                <c:ptCount val="1"/>
                <c:pt idx="0">
                  <c:v>DPH a spotřební daně</c:v>
                </c:pt>
              </c:strCache>
            </c:strRef>
          </c:tx>
          <c:spPr>
            <a:ln w="19050">
              <a:noFill/>
            </a:ln>
          </c:spPr>
          <c:marker>
            <c:symbol val="diamond"/>
            <c:size val="6"/>
            <c:spPr>
              <a:solidFill>
                <a:srgbClr val="00B050"/>
              </a:solidFill>
              <a:ln>
                <a:noFill/>
              </a:ln>
            </c:spPr>
          </c:marker>
          <c:cat>
            <c:numRef>
              <c:f>'G1-Státní rozpočet-příjmy'!$B$35:$Q$35</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rozpočet-příjmy'!$B$36:$Q$36</c:f>
              <c:numCache>
                <c:formatCode>0.0</c:formatCode>
                <c:ptCount val="16"/>
                <c:pt idx="0">
                  <c:v>19.645907749650576</c:v>
                </c:pt>
                <c:pt idx="1">
                  <c:v>5.7329525787469748</c:v>
                </c:pt>
                <c:pt idx="2">
                  <c:v>8.1761263657568435</c:v>
                </c:pt>
                <c:pt idx="3">
                  <c:v>6.3968223945526574</c:v>
                </c:pt>
                <c:pt idx="4">
                  <c:v>-1.464836805802463</c:v>
                </c:pt>
                <c:pt idx="5">
                  <c:v>7.8227610593923629</c:v>
                </c:pt>
                <c:pt idx="6">
                  <c:v>3.2527943243424176</c:v>
                </c:pt>
                <c:pt idx="7">
                  <c:v>-1.0306605302391887</c:v>
                </c:pt>
                <c:pt idx="8">
                  <c:v>6.0223997904112991</c:v>
                </c:pt>
                <c:pt idx="9">
                  <c:v>4.1328185328185327</c:v>
                </c:pt>
                <c:pt idx="10">
                  <c:v>1.4445466140657857</c:v>
                </c:pt>
                <c:pt idx="11">
                  <c:v>6.0994152046783654</c:v>
                </c:pt>
                <c:pt idx="12">
                  <c:v>8.1298572452185311</c:v>
                </c:pt>
                <c:pt idx="13">
                  <c:v>5.6198389234376691</c:v>
                </c:pt>
                <c:pt idx="14">
                  <c:v>3.3348616104823492</c:v>
                </c:pt>
                <c:pt idx="15">
                  <c:v>-2.1407457022604319</c:v>
                </c:pt>
              </c:numCache>
            </c:numRef>
          </c:val>
          <c:smooth val="0"/>
          <c:extLst>
            <c:ext xmlns:c16="http://schemas.microsoft.com/office/drawing/2014/chart" uri="{C3380CC4-5D6E-409C-BE32-E72D297353CC}">
              <c16:uniqueId val="{00000002-6587-4147-B2F4-A0BF3D98A448}"/>
            </c:ext>
          </c:extLst>
        </c:ser>
        <c:ser>
          <c:idx val="1"/>
          <c:order val="1"/>
          <c:tx>
            <c:strRef>
              <c:f>'G1-Státní rozpočet-příjmy'!$A$37</c:f>
              <c:strCache>
                <c:ptCount val="1"/>
                <c:pt idx="0">
                  <c:v>Daně z příjmů (DPFO) ze závislé činnosti</c:v>
                </c:pt>
              </c:strCache>
            </c:strRef>
          </c:tx>
          <c:spPr>
            <a:ln w="19050">
              <a:solidFill>
                <a:srgbClr val="BD1B25"/>
              </a:solidFill>
              <a:prstDash val="sysDash"/>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6587-4147-B2F4-A0BF3D98A448}"/>
                </c:ext>
              </c:extLst>
            </c:dLbl>
            <c:dLbl>
              <c:idx val="1"/>
              <c:delete val="1"/>
              <c:extLst>
                <c:ext xmlns:c15="http://schemas.microsoft.com/office/drawing/2012/chart" uri="{CE6537A1-D6FC-4f65-9D91-7224C49458BB}"/>
                <c:ext xmlns:c16="http://schemas.microsoft.com/office/drawing/2014/chart" uri="{C3380CC4-5D6E-409C-BE32-E72D297353CC}">
                  <c16:uniqueId val="{00000004-6587-4147-B2F4-A0BF3D98A448}"/>
                </c:ext>
              </c:extLst>
            </c:dLbl>
            <c:dLbl>
              <c:idx val="2"/>
              <c:delete val="1"/>
              <c:extLst>
                <c:ext xmlns:c15="http://schemas.microsoft.com/office/drawing/2012/chart" uri="{CE6537A1-D6FC-4f65-9D91-7224C49458BB}"/>
                <c:ext xmlns:c16="http://schemas.microsoft.com/office/drawing/2014/chart" uri="{C3380CC4-5D6E-409C-BE32-E72D297353CC}">
                  <c16:uniqueId val="{00000005-6587-4147-B2F4-A0BF3D98A448}"/>
                </c:ext>
              </c:extLst>
            </c:dLbl>
            <c:dLbl>
              <c:idx val="3"/>
              <c:delete val="1"/>
              <c:extLst>
                <c:ext xmlns:c15="http://schemas.microsoft.com/office/drawing/2012/chart" uri="{CE6537A1-D6FC-4f65-9D91-7224C49458BB}"/>
                <c:ext xmlns:c16="http://schemas.microsoft.com/office/drawing/2014/chart" uri="{C3380CC4-5D6E-409C-BE32-E72D297353CC}">
                  <c16:uniqueId val="{00000006-6587-4147-B2F4-A0BF3D98A448}"/>
                </c:ext>
              </c:extLst>
            </c:dLbl>
            <c:dLbl>
              <c:idx val="4"/>
              <c:delete val="1"/>
              <c:extLst>
                <c:ext xmlns:c15="http://schemas.microsoft.com/office/drawing/2012/chart" uri="{CE6537A1-D6FC-4f65-9D91-7224C49458BB}"/>
                <c:ext xmlns:c16="http://schemas.microsoft.com/office/drawing/2014/chart" uri="{C3380CC4-5D6E-409C-BE32-E72D297353CC}">
                  <c16:uniqueId val="{00000007-6587-4147-B2F4-A0BF3D98A448}"/>
                </c:ext>
              </c:extLst>
            </c:dLbl>
            <c:dLbl>
              <c:idx val="5"/>
              <c:delete val="1"/>
              <c:extLst>
                <c:ext xmlns:c15="http://schemas.microsoft.com/office/drawing/2012/chart" uri="{CE6537A1-D6FC-4f65-9D91-7224C49458BB}"/>
                <c:ext xmlns:c16="http://schemas.microsoft.com/office/drawing/2014/chart" uri="{C3380CC4-5D6E-409C-BE32-E72D297353CC}">
                  <c16:uniqueId val="{00000008-6587-4147-B2F4-A0BF3D98A448}"/>
                </c:ext>
              </c:extLst>
            </c:dLbl>
            <c:dLbl>
              <c:idx val="6"/>
              <c:delete val="1"/>
              <c:extLst>
                <c:ext xmlns:c15="http://schemas.microsoft.com/office/drawing/2012/chart" uri="{CE6537A1-D6FC-4f65-9D91-7224C49458BB}"/>
                <c:ext xmlns:c16="http://schemas.microsoft.com/office/drawing/2014/chart" uri="{C3380CC4-5D6E-409C-BE32-E72D297353CC}">
                  <c16:uniqueId val="{00000009-6587-4147-B2F4-A0BF3D98A448}"/>
                </c:ext>
              </c:extLst>
            </c:dLbl>
            <c:dLbl>
              <c:idx val="7"/>
              <c:delete val="1"/>
              <c:extLst>
                <c:ext xmlns:c15="http://schemas.microsoft.com/office/drawing/2012/chart" uri="{CE6537A1-D6FC-4f65-9D91-7224C49458BB}"/>
                <c:ext xmlns:c16="http://schemas.microsoft.com/office/drawing/2014/chart" uri="{C3380CC4-5D6E-409C-BE32-E72D297353CC}">
                  <c16:uniqueId val="{0000000A-6587-4147-B2F4-A0BF3D98A448}"/>
                </c:ext>
              </c:extLst>
            </c:dLbl>
            <c:dLbl>
              <c:idx val="8"/>
              <c:delete val="1"/>
              <c:extLst>
                <c:ext xmlns:c15="http://schemas.microsoft.com/office/drawing/2012/chart" uri="{CE6537A1-D6FC-4f65-9D91-7224C49458BB}"/>
                <c:ext xmlns:c16="http://schemas.microsoft.com/office/drawing/2014/chart" uri="{C3380CC4-5D6E-409C-BE32-E72D297353CC}">
                  <c16:uniqueId val="{0000000B-6587-4147-B2F4-A0BF3D98A448}"/>
                </c:ext>
              </c:extLst>
            </c:dLbl>
            <c:dLbl>
              <c:idx val="9"/>
              <c:delete val="1"/>
              <c:extLst>
                <c:ext xmlns:c15="http://schemas.microsoft.com/office/drawing/2012/chart" uri="{CE6537A1-D6FC-4f65-9D91-7224C49458BB}"/>
                <c:ext xmlns:c16="http://schemas.microsoft.com/office/drawing/2014/chart" uri="{C3380CC4-5D6E-409C-BE32-E72D297353CC}">
                  <c16:uniqueId val="{0000000C-6587-4147-B2F4-A0BF3D98A448}"/>
                </c:ext>
              </c:extLst>
            </c:dLbl>
            <c:dLbl>
              <c:idx val="10"/>
              <c:delete val="1"/>
              <c:extLst>
                <c:ext xmlns:c15="http://schemas.microsoft.com/office/drawing/2012/chart" uri="{CE6537A1-D6FC-4f65-9D91-7224C49458BB}"/>
                <c:ext xmlns:c16="http://schemas.microsoft.com/office/drawing/2014/chart" uri="{C3380CC4-5D6E-409C-BE32-E72D297353CC}">
                  <c16:uniqueId val="{0000000D-6587-4147-B2F4-A0BF3D98A448}"/>
                </c:ext>
              </c:extLst>
            </c:dLbl>
            <c:dLbl>
              <c:idx val="11"/>
              <c:delete val="1"/>
              <c:extLst>
                <c:ext xmlns:c15="http://schemas.microsoft.com/office/drawing/2012/chart" uri="{CE6537A1-D6FC-4f65-9D91-7224C49458BB}"/>
                <c:ext xmlns:c16="http://schemas.microsoft.com/office/drawing/2014/chart" uri="{C3380CC4-5D6E-409C-BE32-E72D297353CC}">
                  <c16:uniqueId val="{0000000E-6587-4147-B2F4-A0BF3D98A448}"/>
                </c:ext>
              </c:extLst>
            </c:dLbl>
            <c:dLbl>
              <c:idx val="12"/>
              <c:delete val="1"/>
              <c:extLst>
                <c:ext xmlns:c15="http://schemas.microsoft.com/office/drawing/2012/chart" uri="{CE6537A1-D6FC-4f65-9D91-7224C49458BB}"/>
                <c:ext xmlns:c16="http://schemas.microsoft.com/office/drawing/2014/chart" uri="{C3380CC4-5D6E-409C-BE32-E72D297353CC}">
                  <c16:uniqueId val="{0000000F-6587-4147-B2F4-A0BF3D98A448}"/>
                </c:ext>
              </c:extLst>
            </c:dLbl>
            <c:dLbl>
              <c:idx val="13"/>
              <c:layout>
                <c:manualLayout>
                  <c:x val="-8.2992648699718452E-3"/>
                  <c:y val="0.57962600904050265"/>
                </c:manualLayout>
              </c:layout>
              <c:tx>
                <c:rich>
                  <a:bodyPr/>
                  <a:lstStyle/>
                  <a:p>
                    <a:r>
                      <a:rPr lang="en-US"/>
                      <a:t>-253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6587-4147-B2F4-A0BF3D98A448}"/>
                </c:ext>
              </c:extLst>
            </c:dLbl>
            <c:dLbl>
              <c:idx val="14"/>
              <c:layout>
                <c:manualLayout>
                  <c:x val="-5.9376614952432551E-2"/>
                  <c:y val="0.5928985265834098"/>
                </c:manualLayout>
              </c:layout>
              <c:tx>
                <c:rich>
                  <a:bodyPr/>
                  <a:lstStyle/>
                  <a:p>
                    <a:r>
                      <a:rPr lang="en-US"/>
                      <a:t>-256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6587-4147-B2F4-A0BF3D98A448}"/>
                </c:ext>
              </c:extLst>
            </c:dLbl>
            <c:dLbl>
              <c:idx val="15"/>
              <c:delete val="1"/>
              <c:extLst>
                <c:ext xmlns:c15="http://schemas.microsoft.com/office/drawing/2012/chart" uri="{CE6537A1-D6FC-4f65-9D91-7224C49458BB}"/>
                <c:ext xmlns:c16="http://schemas.microsoft.com/office/drawing/2014/chart" uri="{C3380CC4-5D6E-409C-BE32-E72D297353CC}">
                  <c16:uniqueId val="{00000012-6587-4147-B2F4-A0BF3D98A448}"/>
                </c:ext>
              </c:extLst>
            </c:dLbl>
            <c:spPr>
              <a:noFill/>
              <a:ln>
                <a:noFill/>
              </a:ln>
              <a:effectLst/>
            </c:spPr>
            <c:txPr>
              <a:bodyPr wrap="square" lIns="38100" tIns="19050" rIns="38100" bIns="19050" anchor="ctr">
                <a:spAutoFit/>
              </a:bodyPr>
              <a:lstStyle/>
              <a:p>
                <a:pPr>
                  <a:defRPr sz="7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'G1-Státní rozpočet-příjmy'!$B$35:$Q$35</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rozpočet-příjmy'!$B$37:$Q$37</c:f>
              <c:numCache>
                <c:formatCode>0.0</c:formatCode>
                <c:ptCount val="16"/>
                <c:pt idx="0">
                  <c:v>8.3720930232558146</c:v>
                </c:pt>
                <c:pt idx="1">
                  <c:v>1.0224690734662971</c:v>
                </c:pt>
                <c:pt idx="2">
                  <c:v>13.007622141696856</c:v>
                </c:pt>
                <c:pt idx="3">
                  <c:v>-7.5961963732861619</c:v>
                </c:pt>
                <c:pt idx="4">
                  <c:v>-4.5470862749790655</c:v>
                </c:pt>
                <c:pt idx="5">
                  <c:v>0.46383352137395661</c:v>
                </c:pt>
                <c:pt idx="6">
                  <c:v>6.8754679311205535</c:v>
                </c:pt>
                <c:pt idx="7">
                  <c:v>0.93403385872736067</c:v>
                </c:pt>
                <c:pt idx="8">
                  <c:v>5.6217466743782438</c:v>
                </c:pt>
                <c:pt idx="9">
                  <c:v>4.1616471361296732</c:v>
                </c:pt>
                <c:pt idx="10">
                  <c:v>2.5864788140048205</c:v>
                </c:pt>
                <c:pt idx="11">
                  <c:v>10.17730859895461</c:v>
                </c:pt>
                <c:pt idx="12">
                  <c:v>12.865116279069767</c:v>
                </c:pt>
                <c:pt idx="13">
                  <c:v>15.099315915272399</c:v>
                </c:pt>
                <c:pt idx="14">
                  <c:v>12.459720730397422</c:v>
                </c:pt>
                <c:pt idx="15">
                  <c:v>-8.6605587445081227</c:v>
                </c:pt>
              </c:numCache>
            </c:numRef>
          </c:val>
          <c:smooth val="0"/>
          <c:extLst>
            <c:ext xmlns:c16="http://schemas.microsoft.com/office/drawing/2014/chart" uri="{C3380CC4-5D6E-409C-BE32-E72D297353CC}">
              <c16:uniqueId val="{00000013-6587-4147-B2F4-A0BF3D98A448}"/>
            </c:ext>
          </c:extLst>
        </c:ser>
        <c:ser>
          <c:idx val="3"/>
          <c:order val="2"/>
          <c:tx>
            <c:strRef>
              <c:f>'G1-Státní rozpočet-příjmy'!$A$38</c:f>
              <c:strCache>
                <c:ptCount val="1"/>
                <c:pt idx="0">
                  <c:v>Daně z příjmů právnických osob (DPPO)</c:v>
                </c:pt>
              </c:strCache>
            </c:strRef>
          </c:tx>
          <c:spPr>
            <a:ln w="19050">
              <a:solidFill>
                <a:srgbClr val="0071BC"/>
              </a:solidFill>
              <a:prstDash val="sysDash"/>
            </a:ln>
          </c:spPr>
          <c:marker>
            <c:symbol val="none"/>
          </c:marker>
          <c:cat>
            <c:numRef>
              <c:f>'G1-Státní rozpočet-příjmy'!$B$35:$Q$35</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rozpočet-příjmy'!$B$38:$Q$38</c:f>
              <c:numCache>
                <c:formatCode>0.0</c:formatCode>
                <c:ptCount val="16"/>
                <c:pt idx="0">
                  <c:v>24.216106474170985</c:v>
                </c:pt>
                <c:pt idx="1">
                  <c:v>-5.7568328339235251</c:v>
                </c:pt>
                <c:pt idx="2">
                  <c:v>21.023219963387604</c:v>
                </c:pt>
                <c:pt idx="3">
                  <c:v>16.598996895151672</c:v>
                </c:pt>
                <c:pt idx="4">
                  <c:v>-35.982520824798584</c:v>
                </c:pt>
                <c:pt idx="5">
                  <c:v>5.5140784982935003</c:v>
                </c:pt>
                <c:pt idx="6">
                  <c:v>-6.1356514707368888</c:v>
                </c:pt>
                <c:pt idx="7">
                  <c:v>8.9812621150118446</c:v>
                </c:pt>
                <c:pt idx="8">
                  <c:v>-5.8794466403162176</c:v>
                </c:pt>
                <c:pt idx="9">
                  <c:v>8.8503937007874214</c:v>
                </c:pt>
                <c:pt idx="10">
                  <c:v>11.140046296296305</c:v>
                </c:pt>
                <c:pt idx="11">
                  <c:v>12.9219821227111</c:v>
                </c:pt>
                <c:pt idx="12">
                  <c:v>0.20750076852134214</c:v>
                </c:pt>
                <c:pt idx="13">
                  <c:v>2.3084592376716273</c:v>
                </c:pt>
                <c:pt idx="14">
                  <c:v>8.8380809595202265</c:v>
                </c:pt>
                <c:pt idx="15">
                  <c:v>-19.592139564501679</c:v>
                </c:pt>
              </c:numCache>
            </c:numRef>
          </c:val>
          <c:smooth val="0"/>
          <c:extLst>
            <c:ext xmlns:c16="http://schemas.microsoft.com/office/drawing/2014/chart" uri="{C3380CC4-5D6E-409C-BE32-E72D297353CC}">
              <c16:uniqueId val="{00000014-6587-4147-B2F4-A0BF3D98A448}"/>
            </c:ext>
          </c:extLst>
        </c:ser>
        <c:dLbls>
          <c:showLegendKey val="0"/>
          <c:showVal val="0"/>
          <c:showCatName val="0"/>
          <c:showSerName val="0"/>
          <c:showPercent val="0"/>
          <c:showBubbleSize val="0"/>
        </c:dLbls>
        <c:marker val="1"/>
        <c:smooth val="0"/>
        <c:axId val="79288576"/>
        <c:axId val="66855296"/>
      </c:lineChart>
      <c:catAx>
        <c:axId val="79288576"/>
        <c:scaling>
          <c:orientation val="minMax"/>
        </c:scaling>
        <c:delete val="0"/>
        <c:axPos val="b"/>
        <c:numFmt formatCode="General" sourceLinked="1"/>
        <c:majorTickMark val="out"/>
        <c:minorTickMark val="none"/>
        <c:tickLblPos val="low"/>
        <c:spPr>
          <a:ln w="6350">
            <a:solidFill>
              <a:schemeClr val="tx1"/>
            </a:solidFill>
          </a:ln>
        </c:spPr>
        <c:crossAx val="66855296"/>
        <c:crosses val="autoZero"/>
        <c:auto val="1"/>
        <c:lblAlgn val="ctr"/>
        <c:lblOffset val="0"/>
        <c:noMultiLvlLbl val="0"/>
      </c:catAx>
      <c:valAx>
        <c:axId val="66855296"/>
        <c:scaling>
          <c:orientation val="minMax"/>
          <c:max val="30"/>
          <c:min val="-45"/>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baseline="0">
                    <a:effectLst/>
                  </a:rPr>
                  <a:t>Jednotlivé druhy příjmů (změna v</a:t>
                </a:r>
                <a:r>
                  <a:rPr lang="cs-CZ" sz="7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 %</a:t>
                </a:r>
                <a:r>
                  <a:rPr lang="cs-CZ" sz="700" b="0" i="1" baseline="0">
                    <a:effectLst/>
                  </a:rPr>
                  <a:t>)</a:t>
                </a:r>
                <a:endParaRPr lang="cs-CZ" sz="700" b="0" i="1">
                  <a:effectLst/>
                </a:endParaRPr>
              </a:p>
            </c:rich>
          </c:tx>
          <c:overlay val="0"/>
        </c:title>
        <c:numFmt formatCode="0" sourceLinked="0"/>
        <c:majorTickMark val="out"/>
        <c:minorTickMark val="none"/>
        <c:tickLblPos val="nextTo"/>
        <c:spPr>
          <a:ln w="6350">
            <a:solidFill>
              <a:schemeClr val="tx1"/>
            </a:solidFill>
          </a:ln>
        </c:spPr>
        <c:crossAx val="79288576"/>
        <c:crosses val="autoZero"/>
        <c:crossBetween val="between"/>
        <c:majorUnit val="5"/>
      </c:valAx>
      <c:valAx>
        <c:axId val="337258656"/>
        <c:scaling>
          <c:orientation val="minMax"/>
          <c:max val="90"/>
          <c:min val="-135"/>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baseline="0">
                    <a:effectLst/>
                  </a:rPr>
                  <a:t>Saldo státního rozpočtu (v</a:t>
                </a:r>
                <a:r>
                  <a:rPr lang="cs-CZ" sz="7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 mld.</a:t>
                </a:r>
                <a:r>
                  <a:rPr lang="cs-CZ" sz="700" b="0" i="1" baseline="0">
                    <a:effectLst/>
                  </a:rPr>
                  <a:t> korun)</a:t>
                </a:r>
                <a:endParaRPr lang="cs-CZ" sz="700" i="1">
                  <a:effectLst/>
                </a:endParaRPr>
              </a:p>
            </c:rich>
          </c:tx>
          <c:layout>
            <c:manualLayout>
              <c:xMode val="edge"/>
              <c:yMode val="edge"/>
              <c:x val="0.97027241952391585"/>
              <c:y val="0.19370288341385586"/>
            </c:manualLayout>
          </c:layout>
          <c:overlay val="0"/>
        </c:title>
        <c:numFmt formatCode="#,##0" sourceLinked="0"/>
        <c:majorTickMark val="out"/>
        <c:minorTickMark val="none"/>
        <c:tickLblPos val="nextTo"/>
        <c:spPr>
          <a:ln w="6350"/>
        </c:spPr>
        <c:crossAx val="337259904"/>
        <c:crosses val="max"/>
        <c:crossBetween val="between"/>
        <c:majorUnit val="15"/>
      </c:valAx>
      <c:catAx>
        <c:axId val="337259904"/>
        <c:scaling>
          <c:orientation val="minMax"/>
        </c:scaling>
        <c:delete val="1"/>
        <c:axPos val="b"/>
        <c:numFmt formatCode="General" sourceLinked="1"/>
        <c:majorTickMark val="out"/>
        <c:minorTickMark val="none"/>
        <c:tickLblPos val="nextTo"/>
        <c:crossAx val="337258656"/>
        <c:crosses val="autoZero"/>
        <c:auto val="1"/>
        <c:lblAlgn val="ctr"/>
        <c:lblOffset val="100"/>
        <c:noMultiLvlLbl val="0"/>
      </c:catAx>
      <c:spPr>
        <a:ln w="6350">
          <a:solidFill>
            <a:schemeClr val="tx1"/>
          </a:solidFill>
        </a:ln>
      </c:spPr>
    </c:plotArea>
    <c:legend>
      <c:legendPos val="b"/>
      <c:layout>
        <c:manualLayout>
          <c:xMode val="edge"/>
          <c:yMode val="edge"/>
          <c:x val="1.7057291008819572E-2"/>
          <c:y val="0.8871124825006298"/>
          <c:w val="0.96687376745768305"/>
          <c:h val="9.8483288509762304E-2"/>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261536239710156E-2"/>
          <c:y val="1.7112323287741892E-2"/>
          <c:w val="0.84586291999023488"/>
          <c:h val="0.7751075308524743"/>
        </c:manualLayout>
      </c:layout>
      <c:barChart>
        <c:barDir val="col"/>
        <c:grouping val="clustered"/>
        <c:varyColors val="0"/>
        <c:ser>
          <c:idx val="0"/>
          <c:order val="0"/>
          <c:tx>
            <c:strRef>
              <c:f>'G2-Stání rozpočet-výdaje'!$B$32</c:f>
              <c:strCache>
                <c:ptCount val="1"/>
                <c:pt idx="0">
                  <c:v>Běžné výdaje (pravá osa)</c:v>
                </c:pt>
              </c:strCache>
            </c:strRef>
          </c:tx>
          <c:spPr>
            <a:solidFill>
              <a:schemeClr val="bg1">
                <a:lumMod val="85000"/>
              </a:schemeClr>
            </a:solidFill>
            <a:ln>
              <a:noFill/>
            </a:ln>
          </c:spPr>
          <c:invertIfNegative val="0"/>
          <c:cat>
            <c:numRef>
              <c:f>'G2-Stání rozpočet-výdaje'!$A$33:$A$48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rozpočet-výdaje'!$B$33:$B$48</c:f>
              <c:numCache>
                <c:formatCode>0.0</c:formatCode>
                <c:ptCount val="16"/>
                <c:pt idx="0">
                  <c:v>572.85</c:v>
                </c:pt>
                <c:pt idx="1">
                  <c:v>623.23</c:v>
                </c:pt>
                <c:pt idx="2">
                  <c:v>657.36</c:v>
                </c:pt>
                <c:pt idx="3">
                  <c:v>707.04</c:v>
                </c:pt>
                <c:pt idx="4">
                  <c:v>734.05</c:v>
                </c:pt>
                <c:pt idx="5">
                  <c:v>754.15</c:v>
                </c:pt>
                <c:pt idx="6">
                  <c:v>764.93</c:v>
                </c:pt>
                <c:pt idx="7">
                  <c:v>755.57</c:v>
                </c:pt>
                <c:pt idx="8">
                  <c:v>786.27</c:v>
                </c:pt>
                <c:pt idx="9">
                  <c:v>801.1</c:v>
                </c:pt>
                <c:pt idx="10">
                  <c:v>822.78</c:v>
                </c:pt>
                <c:pt idx="11">
                  <c:v>831.33</c:v>
                </c:pt>
                <c:pt idx="12">
                  <c:v>881.38</c:v>
                </c:pt>
                <c:pt idx="13">
                  <c:v>946.49</c:v>
                </c:pt>
                <c:pt idx="14">
                  <c:v>1039.0999999999999</c:v>
                </c:pt>
                <c:pt idx="15">
                  <c:v>1205.0999999999999</c:v>
                </c:pt>
              </c:numCache>
            </c:numRef>
          </c:val>
          <c:extLst>
            <c:ext xmlns:c16="http://schemas.microsoft.com/office/drawing/2014/chart" uri="{C3380CC4-5D6E-409C-BE32-E72D297353CC}">
              <c16:uniqueId val="{00000000-3000-4375-9F78-14106F9F2DFD}"/>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'G2-Stání rozpočet-výdaje'!$C$32</c:f>
              <c:strCache>
                <c:ptCount val="1"/>
                <c:pt idx="0">
                  <c:v>Platy státních zaměstnanců*</c:v>
                </c:pt>
              </c:strCache>
            </c:strRef>
          </c:tx>
          <c:spPr>
            <a:ln w="15875">
              <a:solidFill>
                <a:srgbClr val="984807"/>
              </a:solidFill>
            </a:ln>
          </c:spPr>
          <c:marker>
            <c:symbol val="none"/>
          </c:marker>
          <c:cat>
            <c:numRef>
              <c:f>'G2-Stání rozpočet-výdaje'!$A$33:$A$48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rozpočet-výdaje'!$C$33:$C$48</c:f>
              <c:numCache>
                <c:formatCode>0.0</c:formatCode>
                <c:ptCount val="16"/>
                <c:pt idx="0">
                  <c:v>55.24</c:v>
                </c:pt>
                <c:pt idx="1">
                  <c:v>57.61</c:v>
                </c:pt>
                <c:pt idx="2">
                  <c:v>61.35</c:v>
                </c:pt>
                <c:pt idx="3">
                  <c:v>61.44</c:v>
                </c:pt>
                <c:pt idx="4">
                  <c:v>63.79</c:v>
                </c:pt>
                <c:pt idx="5">
                  <c:v>63.5</c:v>
                </c:pt>
                <c:pt idx="6">
                  <c:v>57.88</c:v>
                </c:pt>
                <c:pt idx="7">
                  <c:v>58.77</c:v>
                </c:pt>
                <c:pt idx="8">
                  <c:v>60.04</c:v>
                </c:pt>
                <c:pt idx="9">
                  <c:v>61.89</c:v>
                </c:pt>
                <c:pt idx="10">
                  <c:v>67.66</c:v>
                </c:pt>
                <c:pt idx="11">
                  <c:v>70.25</c:v>
                </c:pt>
                <c:pt idx="12">
                  <c:v>76.150000000000006</c:v>
                </c:pt>
                <c:pt idx="13">
                  <c:v>86.54</c:v>
                </c:pt>
                <c:pt idx="14">
                  <c:v>93.2</c:v>
                </c:pt>
                <c:pt idx="15">
                  <c:v>97.9</c:v>
                </c:pt>
              </c:numCache>
            </c:numRef>
          </c:val>
          <c:smooth val="0"/>
          <c:extLst>
            <c:ext xmlns:c16="http://schemas.microsoft.com/office/drawing/2014/chart" uri="{C3380CC4-5D6E-409C-BE32-E72D297353CC}">
              <c16:uniqueId val="{00000001-3000-4375-9F78-14106F9F2DFD}"/>
            </c:ext>
          </c:extLst>
        </c:ser>
        <c:ser>
          <c:idx val="6"/>
          <c:order val="2"/>
          <c:tx>
            <c:strRef>
              <c:f>'G2-Stání rozpočet-výdaje'!$D$32</c:f>
              <c:strCache>
                <c:ptCount val="1"/>
                <c:pt idx="0">
                  <c:v>Podpora v nezaměstnanosti</c:v>
                </c:pt>
              </c:strCache>
            </c:strRef>
          </c:tx>
          <c:spPr>
            <a:ln w="15875">
              <a:solidFill>
                <a:srgbClr val="48AEE7"/>
              </a:solidFill>
            </a:ln>
          </c:spPr>
          <c:marker>
            <c:symbol val="none"/>
          </c:marker>
          <c:cat>
            <c:numRef>
              <c:f>'G2-Stání rozpočet-výdaje'!$A$33:$A$48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rozpočet-výdaje'!$D$33:$D$48</c:f>
              <c:numCache>
                <c:formatCode>0.0</c:formatCode>
                <c:ptCount val="16"/>
                <c:pt idx="0">
                  <c:v>5.38</c:v>
                </c:pt>
                <c:pt idx="1">
                  <c:v>5.63</c:v>
                </c:pt>
                <c:pt idx="2">
                  <c:v>5.44</c:v>
                </c:pt>
                <c:pt idx="3">
                  <c:v>5.29</c:v>
                </c:pt>
                <c:pt idx="4">
                  <c:v>11.41</c:v>
                </c:pt>
                <c:pt idx="5">
                  <c:v>10.65</c:v>
                </c:pt>
                <c:pt idx="6">
                  <c:v>8.36</c:v>
                </c:pt>
                <c:pt idx="7">
                  <c:v>6.78</c:v>
                </c:pt>
                <c:pt idx="8">
                  <c:v>7.53</c:v>
                </c:pt>
                <c:pt idx="9">
                  <c:v>7.33</c:v>
                </c:pt>
                <c:pt idx="10">
                  <c:v>6.46</c:v>
                </c:pt>
                <c:pt idx="11">
                  <c:v>6.39</c:v>
                </c:pt>
                <c:pt idx="12">
                  <c:v>6.11</c:v>
                </c:pt>
                <c:pt idx="13">
                  <c:v>5.77</c:v>
                </c:pt>
                <c:pt idx="14">
                  <c:v>6.19</c:v>
                </c:pt>
                <c:pt idx="15">
                  <c:v>8</c:v>
                </c:pt>
              </c:numCache>
            </c:numRef>
          </c:val>
          <c:smooth val="0"/>
          <c:extLst>
            <c:ext xmlns:c16="http://schemas.microsoft.com/office/drawing/2014/chart" uri="{C3380CC4-5D6E-409C-BE32-E72D297353CC}">
              <c16:uniqueId val="{00000002-3000-4375-9F78-14106F9F2DFD}"/>
            </c:ext>
          </c:extLst>
        </c:ser>
        <c:ser>
          <c:idx val="7"/>
          <c:order val="3"/>
          <c:tx>
            <c:strRef>
              <c:f>'G2-Stání rozpočet-výdaje'!$E$32</c:f>
              <c:strCache>
                <c:ptCount val="1"/>
                <c:pt idx="0">
                  <c:v>Státní sociální podpora**</c:v>
                </c:pt>
              </c:strCache>
            </c:strRef>
          </c:tx>
          <c:spPr>
            <a:ln w="15875">
              <a:solidFill>
                <a:srgbClr val="00B050"/>
              </a:solidFill>
            </a:ln>
          </c:spPr>
          <c:marker>
            <c:symbol val="none"/>
          </c:marker>
          <c:cat>
            <c:numRef>
              <c:f>'G2-Stání rozpočet-výdaje'!$A$33:$A$48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rozpočet-výdaje'!$E$33:$E$48</c:f>
              <c:numCache>
                <c:formatCode>General</c:formatCode>
                <c:ptCount val="16"/>
                <c:pt idx="0" formatCode="0.00">
                  <c:v>25.01</c:v>
                </c:pt>
                <c:pt idx="1">
                  <c:v>25.77</c:v>
                </c:pt>
                <c:pt idx="2">
                  <c:v>36.409999999999997</c:v>
                </c:pt>
                <c:pt idx="3">
                  <c:v>31.98</c:v>
                </c:pt>
                <c:pt idx="4">
                  <c:v>30.95</c:v>
                </c:pt>
                <c:pt idx="5">
                  <c:v>30.85</c:v>
                </c:pt>
                <c:pt idx="6">
                  <c:v>27.32</c:v>
                </c:pt>
                <c:pt idx="7">
                  <c:v>26.77</c:v>
                </c:pt>
                <c:pt idx="8">
                  <c:v>28.04</c:v>
                </c:pt>
                <c:pt idx="9">
                  <c:v>28.22</c:v>
                </c:pt>
                <c:pt idx="10">
                  <c:v>28.27</c:v>
                </c:pt>
                <c:pt idx="11">
                  <c:v>28.38</c:v>
                </c:pt>
                <c:pt idx="12">
                  <c:v>28.02</c:v>
                </c:pt>
                <c:pt idx="13">
                  <c:v>29.32</c:v>
                </c:pt>
                <c:pt idx="14">
                  <c:v>28.28</c:v>
                </c:pt>
                <c:pt idx="15">
                  <c:v>38.700000000000003</c:v>
                </c:pt>
              </c:numCache>
            </c:numRef>
          </c:val>
          <c:smooth val="0"/>
          <c:extLst>
            <c:ext xmlns:c16="http://schemas.microsoft.com/office/drawing/2014/chart" uri="{C3380CC4-5D6E-409C-BE32-E72D297353CC}">
              <c16:uniqueId val="{00000003-3000-4375-9F78-14106F9F2DFD}"/>
            </c:ext>
          </c:extLst>
        </c:ser>
        <c:ser>
          <c:idx val="2"/>
          <c:order val="4"/>
          <c:tx>
            <c:strRef>
              <c:f>'G2-Stání rozpočet-výdaje'!$F$32</c:f>
              <c:strCache>
                <c:ptCount val="1"/>
                <c:pt idx="0">
                  <c:v>Dávky nemocenského pojištění</c:v>
                </c:pt>
              </c:strCache>
            </c:strRef>
          </c:tx>
          <c:spPr>
            <a:ln w="15875">
              <a:solidFill>
                <a:srgbClr val="0071BC"/>
              </a:solidFill>
            </a:ln>
          </c:spPr>
          <c:marker>
            <c:symbol val="none"/>
          </c:marker>
          <c:cat>
            <c:numRef>
              <c:f>'G2-Stání rozpočet-výdaje'!$A$33:$A$48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rozpočet-výdaje'!$F$33:$F$48</c:f>
              <c:numCache>
                <c:formatCode>0.00</c:formatCode>
                <c:ptCount val="16"/>
                <c:pt idx="0">
                  <c:v>24.5</c:v>
                </c:pt>
                <c:pt idx="1">
                  <c:v>25.2</c:v>
                </c:pt>
                <c:pt idx="2">
                  <c:v>26.13</c:v>
                </c:pt>
                <c:pt idx="3">
                  <c:v>24.12</c:v>
                </c:pt>
                <c:pt idx="4">
                  <c:v>20.07</c:v>
                </c:pt>
                <c:pt idx="5">
                  <c:v>16.8</c:v>
                </c:pt>
                <c:pt idx="6">
                  <c:v>16.82</c:v>
                </c:pt>
                <c:pt idx="7">
                  <c:v>14.84</c:v>
                </c:pt>
                <c:pt idx="8">
                  <c:v>15.44</c:v>
                </c:pt>
                <c:pt idx="9">
                  <c:v>16.649999999999999</c:v>
                </c:pt>
                <c:pt idx="10">
                  <c:v>18.23</c:v>
                </c:pt>
                <c:pt idx="11">
                  <c:v>19.88</c:v>
                </c:pt>
                <c:pt idx="12">
                  <c:v>21.43</c:v>
                </c:pt>
                <c:pt idx="13">
                  <c:v>25.48</c:v>
                </c:pt>
                <c:pt idx="14">
                  <c:v>29.3</c:v>
                </c:pt>
                <c:pt idx="15">
                  <c:v>43.2</c:v>
                </c:pt>
              </c:numCache>
            </c:numRef>
          </c:val>
          <c:smooth val="0"/>
          <c:extLst>
            <c:ext xmlns:c16="http://schemas.microsoft.com/office/drawing/2014/chart" uri="{C3380CC4-5D6E-409C-BE32-E72D297353CC}">
              <c16:uniqueId val="{00000004-3000-4375-9F78-14106F9F2DFD}"/>
            </c:ext>
          </c:extLst>
        </c:ser>
        <c:ser>
          <c:idx val="3"/>
          <c:order val="5"/>
          <c:tx>
            <c:strRef>
              <c:f>'G2-Stání rozpočet-výdaje'!$G$32</c:f>
              <c:strCache>
                <c:ptCount val="1"/>
                <c:pt idx="0">
                  <c:v>Dávky sociální péče***</c:v>
                </c:pt>
              </c:strCache>
            </c:strRef>
          </c:tx>
          <c:spPr>
            <a:ln w="15875">
              <a:solidFill>
                <a:srgbClr val="7030A0"/>
              </a:solidFill>
            </a:ln>
          </c:spPr>
          <c:marker>
            <c:symbol val="none"/>
          </c:marker>
          <c:cat>
            <c:numRef>
              <c:f>'G2-Stání rozpočet-výdaje'!$A$33:$A$48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rozpočet-výdaje'!$G$33:$G$48</c:f>
              <c:numCache>
                <c:formatCode>General</c:formatCode>
                <c:ptCount val="16"/>
                <c:pt idx="2" formatCode="0.00">
                  <c:v>16.7</c:v>
                </c:pt>
                <c:pt idx="3" formatCode="0.00">
                  <c:v>18.600000000000001</c:v>
                </c:pt>
                <c:pt idx="4" formatCode="0.00">
                  <c:v>18.899999999999999</c:v>
                </c:pt>
                <c:pt idx="5" formatCode="0.00">
                  <c:v>19.600000000000001</c:v>
                </c:pt>
                <c:pt idx="6" formatCode="0.00">
                  <c:v>19.100000000000001</c:v>
                </c:pt>
                <c:pt idx="7" formatCode="0.00">
                  <c:v>20.309999999999999</c:v>
                </c:pt>
                <c:pt idx="8" formatCode="0.00">
                  <c:v>23.73</c:v>
                </c:pt>
                <c:pt idx="9" formatCode="0.00">
                  <c:v>25.18</c:v>
                </c:pt>
                <c:pt idx="10" formatCode="0.00">
                  <c:v>25.26</c:v>
                </c:pt>
                <c:pt idx="11" formatCode="0.00">
                  <c:v>25.4</c:v>
                </c:pt>
                <c:pt idx="12" formatCode="0.00">
                  <c:v>25.96</c:v>
                </c:pt>
                <c:pt idx="13" formatCode="0.00">
                  <c:v>25.547999999999998</c:v>
                </c:pt>
                <c:pt idx="14" formatCode="0.00">
                  <c:v>27.04</c:v>
                </c:pt>
                <c:pt idx="15" formatCode="0.00">
                  <c:v>30.2</c:v>
                </c:pt>
              </c:numCache>
            </c:numRef>
          </c:val>
          <c:smooth val="0"/>
          <c:extLst>
            <c:ext xmlns:c16="http://schemas.microsoft.com/office/drawing/2014/chart" uri="{C3380CC4-5D6E-409C-BE32-E72D297353CC}">
              <c16:uniqueId val="{00000005-3000-4375-9F78-14106F9F2DFD}"/>
            </c:ext>
          </c:extLst>
        </c:ser>
        <c:ser>
          <c:idx val="4"/>
          <c:order val="6"/>
          <c:tx>
            <c:strRef>
              <c:f>'G2-Stání rozpočet-výdaje'!$H$32</c:f>
              <c:strCache>
                <c:ptCount val="1"/>
                <c:pt idx="0">
                  <c:v>Neinvestiční nákupy a souvis. výdaje****</c:v>
                </c:pt>
              </c:strCache>
            </c:strRef>
          </c:tx>
          <c:spPr>
            <a:ln w="15875">
              <a:solidFill>
                <a:srgbClr val="F8A124"/>
              </a:solidFill>
              <a:prstDash val="solid"/>
            </a:ln>
          </c:spPr>
          <c:marker>
            <c:symbol val="none"/>
          </c:marker>
          <c:cat>
            <c:numRef>
              <c:f>'G2-Stání rozpočet-výdaje'!$A$33:$A$48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rozpočet-výdaje'!$H$33:$H$48</c:f>
              <c:numCache>
                <c:formatCode>0.0</c:formatCode>
                <c:ptCount val="16"/>
                <c:pt idx="0">
                  <c:v>36.356999999999999</c:v>
                </c:pt>
                <c:pt idx="1">
                  <c:v>39.716000000000008</c:v>
                </c:pt>
                <c:pt idx="2">
                  <c:v>41.124000000000002</c:v>
                </c:pt>
                <c:pt idx="3">
                  <c:v>46.384999999999998</c:v>
                </c:pt>
                <c:pt idx="4">
                  <c:v>46.423000000000002</c:v>
                </c:pt>
                <c:pt idx="5">
                  <c:v>43.066999999999993</c:v>
                </c:pt>
                <c:pt idx="6">
                  <c:v>38.64</c:v>
                </c:pt>
                <c:pt idx="7">
                  <c:v>34.989999999999995</c:v>
                </c:pt>
                <c:pt idx="8">
                  <c:v>33.93</c:v>
                </c:pt>
                <c:pt idx="9">
                  <c:v>33.94</c:v>
                </c:pt>
                <c:pt idx="10">
                  <c:v>38.31</c:v>
                </c:pt>
                <c:pt idx="11">
                  <c:v>36.659999999999997</c:v>
                </c:pt>
                <c:pt idx="12">
                  <c:v>41.17</c:v>
                </c:pt>
                <c:pt idx="13">
                  <c:v>42.379999999999995</c:v>
                </c:pt>
                <c:pt idx="14">
                  <c:v>43.46</c:v>
                </c:pt>
                <c:pt idx="15">
                  <c:v>50.7</c:v>
                </c:pt>
              </c:numCache>
            </c:numRef>
          </c:val>
          <c:smooth val="0"/>
          <c:extLst>
            <c:ext xmlns:c16="http://schemas.microsoft.com/office/drawing/2014/chart" uri="{C3380CC4-5D6E-409C-BE32-E72D297353CC}">
              <c16:uniqueId val="{00000006-3000-4375-9F78-14106F9F2DFD}"/>
            </c:ext>
          </c:extLst>
        </c:ser>
        <c:ser>
          <c:idx val="5"/>
          <c:order val="7"/>
          <c:tx>
            <c:strRef>
              <c:f>'G2-Stání rozpočet-výdaje'!$I$32</c:f>
              <c:strCache>
                <c:ptCount val="1"/>
                <c:pt idx="0">
                  <c:v>Státní dluh (čisté výdaje)*****</c:v>
                </c:pt>
              </c:strCache>
            </c:strRef>
          </c:tx>
          <c:spPr>
            <a:ln w="15875">
              <a:solidFill>
                <a:srgbClr val="BD1B25"/>
              </a:solidFill>
            </a:ln>
          </c:spPr>
          <c:marker>
            <c:symbol val="none"/>
          </c:marker>
          <c:cat>
            <c:numRef>
              <c:f>'G2-Stání rozpočet-výdaje'!$A$33:$A$48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rozpočet-výdaje'!$I$33:$I$48</c:f>
              <c:numCache>
                <c:formatCode>0.0</c:formatCode>
                <c:ptCount val="16"/>
                <c:pt idx="0">
                  <c:v>18.248999999999999</c:v>
                </c:pt>
                <c:pt idx="1">
                  <c:v>23.291</c:v>
                </c:pt>
                <c:pt idx="2">
                  <c:v>25.084</c:v>
                </c:pt>
                <c:pt idx="3">
                  <c:v>24.46</c:v>
                </c:pt>
                <c:pt idx="4">
                  <c:v>33.33</c:v>
                </c:pt>
                <c:pt idx="5">
                  <c:v>24.92</c:v>
                </c:pt>
                <c:pt idx="6">
                  <c:v>35.89</c:v>
                </c:pt>
                <c:pt idx="7">
                  <c:v>35.86</c:v>
                </c:pt>
                <c:pt idx="8">
                  <c:v>44.55</c:v>
                </c:pt>
                <c:pt idx="9">
                  <c:v>43.16</c:v>
                </c:pt>
                <c:pt idx="10">
                  <c:v>41.03</c:v>
                </c:pt>
                <c:pt idx="11">
                  <c:v>38.1</c:v>
                </c:pt>
                <c:pt idx="12">
                  <c:v>33.849999999999994</c:v>
                </c:pt>
                <c:pt idx="13">
                  <c:v>32.616999999999997</c:v>
                </c:pt>
                <c:pt idx="14">
                  <c:v>33.350999999999999</c:v>
                </c:pt>
                <c:pt idx="15">
                  <c:v>32.1</c:v>
                </c:pt>
              </c:numCache>
            </c:numRef>
          </c:val>
          <c:smooth val="0"/>
          <c:extLst>
            <c:ext xmlns:c16="http://schemas.microsoft.com/office/drawing/2014/chart" uri="{C3380CC4-5D6E-409C-BE32-E72D297353CC}">
              <c16:uniqueId val="{00000007-3000-4375-9F78-14106F9F2DFD}"/>
            </c:ext>
          </c:extLst>
        </c:ser>
        <c:ser>
          <c:idx val="8"/>
          <c:order val="8"/>
          <c:tx>
            <c:strRef>
              <c:f>'G2-Stání rozpočet-výdaje'!$J$32</c:f>
              <c:strCache>
                <c:ptCount val="1"/>
                <c:pt idx="0">
                  <c:v>Kapitálové výdaje</c:v>
                </c:pt>
              </c:strCache>
            </c:strRef>
          </c:tx>
          <c:spPr>
            <a:ln w="15875">
              <a:solidFill>
                <a:schemeClr val="tx1">
                  <a:lumMod val="95000"/>
                  <a:lumOff val="5000"/>
                </a:schemeClr>
              </a:solidFill>
              <a:prstDash val="sysDash"/>
            </a:ln>
          </c:spPr>
          <c:marker>
            <c:symbol val="none"/>
          </c:marker>
          <c:cat>
            <c:numRef>
              <c:f>'G2-Stání rozpočet-výdaje'!$A$33:$A$48</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rozpočet-výdaje'!$J$33:$J$48</c:f>
              <c:numCache>
                <c:formatCode>0.0</c:formatCode>
                <c:ptCount val="16"/>
                <c:pt idx="0">
                  <c:v>35.47</c:v>
                </c:pt>
                <c:pt idx="1">
                  <c:v>48.78</c:v>
                </c:pt>
                <c:pt idx="2">
                  <c:v>54.85</c:v>
                </c:pt>
                <c:pt idx="3">
                  <c:v>76.95</c:v>
                </c:pt>
                <c:pt idx="4">
                  <c:v>80.024000000000001</c:v>
                </c:pt>
                <c:pt idx="5">
                  <c:v>91.36</c:v>
                </c:pt>
                <c:pt idx="6">
                  <c:v>82.07</c:v>
                </c:pt>
                <c:pt idx="7">
                  <c:v>72.98</c:v>
                </c:pt>
                <c:pt idx="8">
                  <c:v>58.39</c:v>
                </c:pt>
                <c:pt idx="9">
                  <c:v>59.67</c:v>
                </c:pt>
                <c:pt idx="10">
                  <c:v>88.53</c:v>
                </c:pt>
                <c:pt idx="11">
                  <c:v>51.6</c:v>
                </c:pt>
                <c:pt idx="12">
                  <c:v>41.37</c:v>
                </c:pt>
                <c:pt idx="13">
                  <c:v>60.93</c:v>
                </c:pt>
                <c:pt idx="14">
                  <c:v>85.1</c:v>
                </c:pt>
                <c:pt idx="15">
                  <c:v>105.9</c:v>
                </c:pt>
              </c:numCache>
            </c:numRef>
          </c:val>
          <c:smooth val="0"/>
          <c:extLst>
            <c:ext xmlns:c16="http://schemas.microsoft.com/office/drawing/2014/chart" uri="{C3380CC4-5D6E-409C-BE32-E72D297353CC}">
              <c16:uniqueId val="{00000008-3000-4375-9F78-14106F9F2DFD}"/>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121"/>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baseline="0">
                    <a:effectLst/>
                  </a:rPr>
                  <a:t>Ostatní výdaje (v</a:t>
                </a:r>
                <a:r>
                  <a:rPr lang="cs-CZ" sz="7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 mld.</a:t>
                </a:r>
                <a:r>
                  <a:rPr lang="cs-CZ" sz="700" b="0" i="1" baseline="0">
                    <a:effectLst/>
                  </a:rPr>
                  <a:t> korun)</a:t>
                </a:r>
                <a:endParaRPr lang="cs-CZ" sz="700">
                  <a:effectLst/>
                </a:endParaRPr>
              </a:p>
            </c:rich>
          </c:tx>
          <c:layout>
            <c:manualLayout>
              <c:xMode val="edge"/>
              <c:yMode val="edge"/>
              <c:x val="0"/>
              <c:y val="0.22613499913827934"/>
            </c:manualLayout>
          </c:layout>
          <c:overlay val="0"/>
        </c:title>
        <c:numFmt formatCode="0" sourceLinked="0"/>
        <c:majorTickMark val="out"/>
        <c:minorTickMark val="none"/>
        <c:tickLblPos val="nextTo"/>
        <c:spPr>
          <a:ln w="6350">
            <a:solidFill>
              <a:schemeClr val="tx1"/>
            </a:solidFill>
          </a:ln>
        </c:spPr>
        <c:crossAx val="72827648"/>
        <c:crosses val="autoZero"/>
        <c:crossBetween val="between"/>
        <c:majorUnit val="10"/>
      </c:valAx>
      <c:valAx>
        <c:axId val="72835072"/>
        <c:scaling>
          <c:orientation val="minMax"/>
          <c:max val="1210"/>
          <c:min val="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baseline="0">
                    <a:effectLst/>
                  </a:rPr>
                  <a:t>Běžné výdaje celkem (v</a:t>
                </a:r>
                <a:r>
                  <a:rPr lang="cs-CZ" sz="7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 mld.</a:t>
                </a:r>
                <a:r>
                  <a:rPr lang="cs-CZ" sz="700" b="0" i="1" baseline="0">
                    <a:effectLst/>
                  </a:rPr>
                  <a:t> korun)</a:t>
                </a:r>
                <a:endParaRPr lang="cs-CZ" sz="700" i="1">
                  <a:effectLst/>
                </a:endParaRPr>
              </a:p>
            </c:rich>
          </c:tx>
          <c:layout>
            <c:manualLayout>
              <c:xMode val="edge"/>
              <c:yMode val="edge"/>
              <c:x val="0.97053250319037876"/>
              <c:y val="0.18723657086670256"/>
            </c:manualLayout>
          </c:layout>
          <c:overlay val="0"/>
        </c:title>
        <c:numFmt formatCode="0" sourceLinked="0"/>
        <c:majorTickMark val="out"/>
        <c:minorTickMark val="none"/>
        <c:tickLblPos val="nextTo"/>
        <c:spPr>
          <a:ln w="6350">
            <a:solidFill>
              <a:schemeClr val="tx1"/>
            </a:solidFill>
          </a:ln>
        </c:spPr>
        <c:crossAx val="72836608"/>
        <c:crosses val="max"/>
        <c:crossBetween val="between"/>
        <c:majorUnit val="10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1.3103505681009297E-2"/>
          <c:y val="0.8410389783953548"/>
          <c:w val="0.95277458561056982"/>
          <c:h val="0.15537724601441247"/>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45E-2"/>
          <c:y val="2.8458510079622041E-2"/>
          <c:w val="0.93688386524822698"/>
          <c:h val="0.6497469886299676"/>
        </c:manualLayout>
      </c:layout>
      <c:barChart>
        <c:barDir val="col"/>
        <c:grouping val="stacked"/>
        <c:varyColors val="0"/>
        <c:ser>
          <c:idx val="5"/>
          <c:order val="1"/>
          <c:tx>
            <c:strRef>
              <c:f>'souhrnná výkonnost 3'!$D$5</c:f>
              <c:strCache>
                <c:ptCount val="1"/>
                <c:pt idx="0">
                  <c:v>Výdaje na konečnou spotřebu domácností (vč. nezisk. inst.)</c:v>
                </c:pt>
              </c:strCache>
            </c:strRef>
          </c:tx>
          <c:spPr>
            <a:solidFill>
              <a:srgbClr val="0071BC"/>
            </a:solidFill>
            <a:ln>
              <a:noFill/>
            </a:ln>
          </c:spPr>
          <c:invertIfNegative val="0"/>
          <c:val>
            <c:numRef>
              <c:f>'souhrnná výkonnost 3'!$D$18:$D$40</c:f>
              <c:numCache>
                <c:formatCode>#,##0.0</c:formatCode>
                <c:ptCount val="23"/>
                <c:pt idx="0">
                  <c:v>1.0004416838991848</c:v>
                </c:pt>
                <c:pt idx="1">
                  <c:v>1.1245121794719866</c:v>
                </c:pt>
                <c:pt idx="2">
                  <c:v>1.2521979797185689</c:v>
                </c:pt>
                <c:pt idx="3">
                  <c:v>1.5140922770621217</c:v>
                </c:pt>
                <c:pt idx="4">
                  <c:v>1.011033178528604</c:v>
                </c:pt>
                <c:pt idx="5">
                  <c:v>0.84092037321111202</c:v>
                </c:pt>
                <c:pt idx="6">
                  <c:v>1.0599389176360645</c:v>
                </c:pt>
                <c:pt idx="7">
                  <c:v>0.97961312874423945</c:v>
                </c:pt>
                <c:pt idx="8">
                  <c:v>1.0820067439812537</c:v>
                </c:pt>
                <c:pt idx="9">
                  <c:v>1.4390025136660056</c:v>
                </c:pt>
                <c:pt idx="10">
                  <c:v>1.3061872269069228</c:v>
                </c:pt>
                <c:pt idx="11">
                  <c:v>1.0872722376357689</c:v>
                </c:pt>
                <c:pt idx="12">
                  <c:v>1.4841358084274829</c:v>
                </c:pt>
                <c:pt idx="13">
                  <c:v>1.2073185637569239</c:v>
                </c:pt>
                <c:pt idx="14">
                  <c:v>1.0110919461066379</c:v>
                </c:pt>
                <c:pt idx="15">
                  <c:v>0.91827339775759576</c:v>
                </c:pt>
                <c:pt idx="16">
                  <c:v>0.95709419842434051</c:v>
                </c:pt>
                <c:pt idx="17">
                  <c:v>1.3452005145206245</c:v>
                </c:pt>
                <c:pt idx="18">
                  <c:v>1.1867517998339108</c:v>
                </c:pt>
                <c:pt idx="19">
                  <c:v>1.3517576838625602</c:v>
                </c:pt>
                <c:pt idx="20">
                  <c:v>9.1193736138592343E-2</c:v>
                </c:pt>
                <c:pt idx="21">
                  <c:v>-2.2995473068930297</c:v>
                </c:pt>
                <c:pt idx="22">
                  <c:v>-1.349958333307862</c:v>
                </c:pt>
              </c:numCache>
            </c:numRef>
          </c:val>
          <c:extLst>
            <c:ext xmlns:c16="http://schemas.microsoft.com/office/drawing/2014/chart" uri="{C3380CC4-5D6E-409C-BE32-E72D297353CC}">
              <c16:uniqueId val="{00000000-6667-45DD-9BF4-C64F4EB22ED9}"/>
            </c:ext>
          </c:extLst>
        </c:ser>
        <c:ser>
          <c:idx val="4"/>
          <c:order val="2"/>
          <c:tx>
            <c:strRef>
              <c:f>'souhrnná výkonnost 3'!$E$5</c:f>
              <c:strCache>
                <c:ptCount val="1"/>
                <c:pt idx="0">
                  <c:v>Výdaje na konečnou spotřebu vládních institucí</c:v>
                </c:pt>
              </c:strCache>
            </c:strRef>
          </c:tx>
          <c:spPr>
            <a:solidFill>
              <a:srgbClr val="A6CDE8"/>
            </a:solidFill>
            <a:ln>
              <a:noFill/>
            </a:ln>
          </c:spPr>
          <c:invertIfNegative val="0"/>
          <c:val>
            <c:numRef>
              <c:f>'souhrnná výkonnost 3'!$E$18:$E$40</c:f>
              <c:numCache>
                <c:formatCode>#,##0.0</c:formatCode>
                <c:ptCount val="23"/>
                <c:pt idx="0">
                  <c:v>0.36711313994295081</c:v>
                </c:pt>
                <c:pt idx="1">
                  <c:v>0.38184726381267609</c:v>
                </c:pt>
                <c:pt idx="2">
                  <c:v>0.5911601763482196</c:v>
                </c:pt>
                <c:pt idx="3">
                  <c:v>0.43670380992842678</c:v>
                </c:pt>
                <c:pt idx="4">
                  <c:v>0.42501610259126504</c:v>
                </c:pt>
                <c:pt idx="5">
                  <c:v>0.47017789747807115</c:v>
                </c:pt>
                <c:pt idx="6">
                  <c:v>0.42973407124759544</c:v>
                </c:pt>
                <c:pt idx="7">
                  <c:v>0.47700779378045444</c:v>
                </c:pt>
                <c:pt idx="8">
                  <c:v>0.4285629075979569</c:v>
                </c:pt>
                <c:pt idx="9">
                  <c:v>0.36487116628719296</c:v>
                </c:pt>
                <c:pt idx="10">
                  <c:v>0.22397478701370191</c:v>
                </c:pt>
                <c:pt idx="11">
                  <c:v>0.25198788808759842</c:v>
                </c:pt>
                <c:pt idx="12">
                  <c:v>0.55090223595657939</c:v>
                </c:pt>
                <c:pt idx="13">
                  <c:v>0.5614476104031324</c:v>
                </c:pt>
                <c:pt idx="14">
                  <c:v>0.87498347752231842</c:v>
                </c:pt>
                <c:pt idx="15">
                  <c:v>0.79469994126147958</c:v>
                </c:pt>
                <c:pt idx="16">
                  <c:v>0.36969712355591594</c:v>
                </c:pt>
                <c:pt idx="17">
                  <c:v>0.50543252930386484</c:v>
                </c:pt>
                <c:pt idx="18">
                  <c:v>0.40522723257515153</c:v>
                </c:pt>
                <c:pt idx="19">
                  <c:v>0.4012060779431087</c:v>
                </c:pt>
                <c:pt idx="20">
                  <c:v>0.94374121695343438</c:v>
                </c:pt>
                <c:pt idx="21">
                  <c:v>0.39608344904897302</c:v>
                </c:pt>
                <c:pt idx="22">
                  <c:v>3.7135758390534353E-2</c:v>
                </c:pt>
              </c:numCache>
            </c:numRef>
          </c:val>
          <c:extLst>
            <c:ext xmlns:c16="http://schemas.microsoft.com/office/drawing/2014/chart" uri="{C3380CC4-5D6E-409C-BE32-E72D297353CC}">
              <c16:uniqueId val="{00000001-6667-45DD-9BF4-C64F4EB22ED9}"/>
            </c:ext>
          </c:extLst>
        </c:ser>
        <c:ser>
          <c:idx val="3"/>
          <c:order val="3"/>
          <c:tx>
            <c:strRef>
              <c:f>'souhrnná výkonnost 3'!$G$5</c:f>
              <c:strCache>
                <c:ptCount val="1"/>
                <c:pt idx="0">
                  <c:v>Tvorba hrubého kapitálu</c:v>
                </c:pt>
              </c:strCache>
            </c:strRef>
          </c:tx>
          <c:spPr>
            <a:solidFill>
              <a:srgbClr val="BD1B21"/>
            </a:solidFill>
            <a:ln>
              <a:noFill/>
            </a:ln>
          </c:spPr>
          <c:invertIfNegative val="0"/>
          <c:val>
            <c:numRef>
              <c:f>'souhrnná výkonnost 3'!$G$18:$G$40</c:f>
              <c:numCache>
                <c:formatCode>#,##0.0</c:formatCode>
                <c:ptCount val="23"/>
                <c:pt idx="0">
                  <c:v>3.1310050244124823</c:v>
                </c:pt>
                <c:pt idx="1">
                  <c:v>3.7310848346723087</c:v>
                </c:pt>
                <c:pt idx="2">
                  <c:v>2.34505813454797</c:v>
                </c:pt>
                <c:pt idx="3">
                  <c:v>1.0284887473308018</c:v>
                </c:pt>
                <c:pt idx="4">
                  <c:v>0.1426787206126395</c:v>
                </c:pt>
                <c:pt idx="5">
                  <c:v>-1.4507925661177268</c:v>
                </c:pt>
                <c:pt idx="6">
                  <c:v>-0.98123446043739548</c:v>
                </c:pt>
                <c:pt idx="7">
                  <c:v>-0.61353806390597054</c:v>
                </c:pt>
                <c:pt idx="8">
                  <c:v>-0.96942712410588472</c:v>
                </c:pt>
                <c:pt idx="9">
                  <c:v>0.73262216993952523</c:v>
                </c:pt>
                <c:pt idx="10">
                  <c:v>1.5238713260674783</c:v>
                </c:pt>
                <c:pt idx="11">
                  <c:v>2.2323726403134958</c:v>
                </c:pt>
                <c:pt idx="12">
                  <c:v>3.1139088122024097</c:v>
                </c:pt>
                <c:pt idx="13">
                  <c:v>1.5785709692492593</c:v>
                </c:pt>
                <c:pt idx="14">
                  <c:v>1.7413269758016987</c:v>
                </c:pt>
                <c:pt idx="15">
                  <c:v>0.51220455181690849</c:v>
                </c:pt>
                <c:pt idx="16">
                  <c:v>0.91852512375984641</c:v>
                </c:pt>
                <c:pt idx="17">
                  <c:v>-1.1054000753810638</c:v>
                </c:pt>
                <c:pt idx="18">
                  <c:v>-1.1725505853239804</c:v>
                </c:pt>
                <c:pt idx="19">
                  <c:v>1.02328337892609</c:v>
                </c:pt>
                <c:pt idx="20">
                  <c:v>-2.3930122953049486</c:v>
                </c:pt>
                <c:pt idx="21">
                  <c:v>-0.79319726736412166</c:v>
                </c:pt>
                <c:pt idx="22">
                  <c:v>-4.0530224397134731</c:v>
                </c:pt>
              </c:numCache>
            </c:numRef>
          </c:val>
          <c:extLst>
            <c:ext xmlns:c16="http://schemas.microsoft.com/office/drawing/2014/chart" uri="{C3380CC4-5D6E-409C-BE32-E72D297353CC}">
              <c16:uniqueId val="{00000002-6667-45DD-9BF4-C64F4EB22ED9}"/>
            </c:ext>
          </c:extLst>
        </c:ser>
        <c:ser>
          <c:idx val="1"/>
          <c:order val="4"/>
          <c:tx>
            <c:strRef>
              <c:f>'souhrnná výkonnost 3'!$F$5</c:f>
              <c:strCache>
                <c:ptCount val="1"/>
                <c:pt idx="0">
                  <c:v>Bilance zahraničního obchodu</c:v>
                </c:pt>
              </c:strCache>
            </c:strRef>
          </c:tx>
          <c:spPr>
            <a:solidFill>
              <a:srgbClr val="7DBB2D"/>
            </a:solidFill>
            <a:ln>
              <a:noFill/>
            </a:ln>
          </c:spPr>
          <c:invertIfNegative val="0"/>
          <c:val>
            <c:numRef>
              <c:f>'souhrnná výkonnost 3'!$F$18:$F$40</c:f>
              <c:numCache>
                <c:formatCode>#,##0.0</c:formatCode>
                <c:ptCount val="23"/>
                <c:pt idx="0">
                  <c:v>0.85358800053760486</c:v>
                </c:pt>
                <c:pt idx="1">
                  <c:v>0.50682849323072787</c:v>
                </c:pt>
                <c:pt idx="2">
                  <c:v>1.4713169429104394</c:v>
                </c:pt>
                <c:pt idx="3">
                  <c:v>2.0731040792572153</c:v>
                </c:pt>
                <c:pt idx="4">
                  <c:v>1.7620830562499514</c:v>
                </c:pt>
                <c:pt idx="5">
                  <c:v>2.3990552594367274</c:v>
                </c:pt>
                <c:pt idx="6">
                  <c:v>1.370993307029881</c:v>
                </c:pt>
                <c:pt idx="7">
                  <c:v>1.2526206333504177</c:v>
                </c:pt>
                <c:pt idx="8">
                  <c:v>3.0648181369329626</c:v>
                </c:pt>
                <c:pt idx="9">
                  <c:v>3.4601141630489307</c:v>
                </c:pt>
                <c:pt idx="10">
                  <c:v>2.7091491429512415</c:v>
                </c:pt>
                <c:pt idx="11">
                  <c:v>2.1602088091475098</c:v>
                </c:pt>
                <c:pt idx="12">
                  <c:v>-0.49012514161118581</c:v>
                </c:pt>
                <c:pt idx="13">
                  <c:v>-0.81047776037827601</c:v>
                </c:pt>
                <c:pt idx="14">
                  <c:v>-1.04647898349734</c:v>
                </c:pt>
                <c:pt idx="15">
                  <c:v>0.26106115108900063</c:v>
                </c:pt>
                <c:pt idx="16">
                  <c:v>0.12604869637815186</c:v>
                </c:pt>
                <c:pt idx="17">
                  <c:v>1.5557019835323573</c:v>
                </c:pt>
                <c:pt idx="18">
                  <c:v>1.7857076729316352</c:v>
                </c:pt>
                <c:pt idx="19">
                  <c:v>-0.89056835169597359</c:v>
                </c:pt>
                <c:pt idx="20">
                  <c:v>-0.57728417657846076</c:v>
                </c:pt>
                <c:pt idx="21">
                  <c:v>-8.0032378632536929</c:v>
                </c:pt>
                <c:pt idx="22">
                  <c:v>0.43331236263029993</c:v>
                </c:pt>
              </c:numCache>
            </c:numRef>
          </c:val>
          <c:extLst>
            <c:ext xmlns:c16="http://schemas.microsoft.com/office/drawing/2014/chart" uri="{C3380CC4-5D6E-409C-BE32-E72D297353CC}">
              <c16:uniqueId val="{00000003-6667-45DD-9BF4-C64F4EB22ED9}"/>
            </c:ext>
          </c:extLst>
        </c:ser>
        <c:dLbls>
          <c:showLegendKey val="0"/>
          <c:showVal val="0"/>
          <c:showCatName val="0"/>
          <c:showSerName val="0"/>
          <c:showPercent val="0"/>
          <c:showBubbleSize val="0"/>
        </c:dLbls>
        <c:gapWidth val="40"/>
        <c:overlap val="100"/>
        <c:axId val="267591040"/>
        <c:axId val="267605120"/>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'souhrnná výkonnost 3'!$C$18:$C$40</c:f>
              <c:numCache>
                <c:formatCode>#,##0.0</c:formatCode>
                <c:ptCount val="23"/>
                <c:pt idx="0">
                  <c:v>5.3541479116968844</c:v>
                </c:pt>
                <c:pt idx="1">
                  <c:v>5.7580987456543795</c:v>
                </c:pt>
                <c:pt idx="2">
                  <c:v>5.6783364148190572</c:v>
                </c:pt>
                <c:pt idx="3">
                  <c:v>5.0736477020698771</c:v>
                </c:pt>
                <c:pt idx="4">
                  <c:v>3.4010558338826229</c:v>
                </c:pt>
                <c:pt idx="5">
                  <c:v>2.3184007606832324</c:v>
                </c:pt>
                <c:pt idx="6">
                  <c:v>1.9346258296187244</c:v>
                </c:pt>
                <c:pt idx="7">
                  <c:v>2.1527861842497913</c:v>
                </c:pt>
                <c:pt idx="8">
                  <c:v>3.6789755923611835</c:v>
                </c:pt>
                <c:pt idx="9">
                  <c:v>6.0785791748313187</c:v>
                </c:pt>
                <c:pt idx="10">
                  <c:v>5.8461673142579968</c:v>
                </c:pt>
                <c:pt idx="11">
                  <c:v>5.8135294348367665</c:v>
                </c:pt>
                <c:pt idx="12">
                  <c:v>4.7768522995265954</c:v>
                </c:pt>
                <c:pt idx="13">
                  <c:v>2.647594839576044</c:v>
                </c:pt>
                <c:pt idx="14">
                  <c:v>2.6903782593896892</c:v>
                </c:pt>
                <c:pt idx="15">
                  <c:v>2.5948102218219304</c:v>
                </c:pt>
                <c:pt idx="16">
                  <c:v>2.4492683454218138</c:v>
                </c:pt>
                <c:pt idx="17">
                  <c:v>2.3738828500299576</c:v>
                </c:pt>
                <c:pt idx="18">
                  <c:v>2.2829391747994663</c:v>
                </c:pt>
                <c:pt idx="19">
                  <c:v>1.9683208351430466</c:v>
                </c:pt>
                <c:pt idx="20">
                  <c:v>-1.9117753893330587</c:v>
                </c:pt>
                <c:pt idx="21">
                  <c:v>-10.708635183939975</c:v>
                </c:pt>
                <c:pt idx="22">
                  <c:v>-4.9657278840176815</c:v>
                </c:pt>
              </c:numCache>
            </c:numRef>
          </c:val>
          <c:smooth val="0"/>
          <c:extLst>
            <c:ext xmlns:c16="http://schemas.microsoft.com/office/drawing/2014/chart" uri="{C3380CC4-5D6E-409C-BE32-E72D297353CC}">
              <c16:uniqueId val="{00000004-6667-45DD-9BF4-C64F4EB22ED9}"/>
            </c:ext>
          </c:extLst>
        </c:ser>
        <c:dLbls>
          <c:showLegendKey val="0"/>
          <c:showVal val="0"/>
          <c:showCatName val="0"/>
          <c:showSerName val="0"/>
          <c:showPercent val="0"/>
          <c:showBubbleSize val="0"/>
        </c:dLbls>
        <c:marker val="1"/>
        <c:smooth val="0"/>
        <c:axId val="267591040"/>
        <c:axId val="267605120"/>
      </c:lineChart>
      <c:catAx>
        <c:axId val="267591040"/>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7605120"/>
        <c:crosses val="autoZero"/>
        <c:auto val="1"/>
        <c:lblAlgn val="ctr"/>
        <c:lblOffset val="100"/>
        <c:noMultiLvlLbl val="0"/>
      </c:catAx>
      <c:valAx>
        <c:axId val="267605120"/>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591040"/>
        <c:crosses val="autoZero"/>
        <c:crossBetween val="between"/>
        <c:majorUnit val="3"/>
      </c:valAx>
      <c:spPr>
        <a:ln>
          <a:solidFill>
            <a:schemeClr val="tx1"/>
          </a:solidFill>
        </a:ln>
      </c:spPr>
    </c:plotArea>
    <c:legend>
      <c:legendPos val="b"/>
      <c:layout>
        <c:manualLayout>
          <c:xMode val="edge"/>
          <c:yMode val="edge"/>
          <c:x val="4.7571766295170556E-2"/>
          <c:y val="0.79301446583361457"/>
          <c:w val="0.9378159827760891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82E-2"/>
          <c:y val="3.7154479717354444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4'!$C$18:$C$40</c:f>
              <c:numCache>
                <c:formatCode>#,##0.0</c:formatCode>
                <c:ptCount val="23"/>
                <c:pt idx="0">
                  <c:v>0.30368485614942081</c:v>
                </c:pt>
                <c:pt idx="1">
                  <c:v>0.2304988905076614</c:v>
                </c:pt>
                <c:pt idx="2">
                  <c:v>0.11798809635792069</c:v>
                </c:pt>
                <c:pt idx="3">
                  <c:v>7.2282252647939291E-2</c:v>
                </c:pt>
                <c:pt idx="4">
                  <c:v>5.3855687366031392E-2</c:v>
                </c:pt>
                <c:pt idx="5">
                  <c:v>0.14849879547587463</c:v>
                </c:pt>
                <c:pt idx="6">
                  <c:v>0.21032935295139474</c:v>
                </c:pt>
                <c:pt idx="7">
                  <c:v>0.10195129284322399</c:v>
                </c:pt>
                <c:pt idx="8">
                  <c:v>-9.6443702202456318E-3</c:v>
                </c:pt>
                <c:pt idx="9">
                  <c:v>-0.1183984267345688</c:v>
                </c:pt>
                <c:pt idx="10">
                  <c:v>-0.19416190528766372</c:v>
                </c:pt>
                <c:pt idx="11">
                  <c:v>-3.0322150838633197E-2</c:v>
                </c:pt>
                <c:pt idx="12">
                  <c:v>4.7508651359557938E-2</c:v>
                </c:pt>
                <c:pt idx="13">
                  <c:v>7.2085897061104368E-2</c:v>
                </c:pt>
                <c:pt idx="14">
                  <c:v>0.13381218456459662</c:v>
                </c:pt>
                <c:pt idx="15">
                  <c:v>0.11519772003582743</c:v>
                </c:pt>
                <c:pt idx="16">
                  <c:v>7.457032591061126E-2</c:v>
                </c:pt>
                <c:pt idx="17">
                  <c:v>6.6379351512401832E-2</c:v>
                </c:pt>
                <c:pt idx="18">
                  <c:v>0.13821919543862568</c:v>
                </c:pt>
                <c:pt idx="19">
                  <c:v>0.18322443828145188</c:v>
                </c:pt>
                <c:pt idx="20">
                  <c:v>0.15102733828836876</c:v>
                </c:pt>
                <c:pt idx="21">
                  <c:v>4.5453442047112706E-2</c:v>
                </c:pt>
                <c:pt idx="22">
                  <c:v>7.8639952220000253E-2</c:v>
                </c:pt>
              </c:numCache>
            </c:numRef>
          </c:val>
          <c:extLst>
            <c:ext xmlns:c16="http://schemas.microsoft.com/office/drawing/2014/chart" uri="{C3380CC4-5D6E-409C-BE32-E72D297353CC}">
              <c16:uniqueId val="{00000000-2891-4C50-BD91-4FCB5D6DEE4A}"/>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4'!$D$18:$D$40</c:f>
              <c:numCache>
                <c:formatCode>#,##0.0</c:formatCode>
                <c:ptCount val="23"/>
                <c:pt idx="0">
                  <c:v>2.2974970288931655</c:v>
                </c:pt>
                <c:pt idx="1">
                  <c:v>2.1003819539683337</c:v>
                </c:pt>
                <c:pt idx="2">
                  <c:v>2.161753605301608</c:v>
                </c:pt>
                <c:pt idx="3">
                  <c:v>1.6515907003433452</c:v>
                </c:pt>
                <c:pt idx="4">
                  <c:v>1.5749274984416446</c:v>
                </c:pt>
                <c:pt idx="5">
                  <c:v>0.83208666717303936</c:v>
                </c:pt>
                <c:pt idx="6">
                  <c:v>0.93499427724552242</c:v>
                </c:pt>
                <c:pt idx="7">
                  <c:v>1.2180600651181106</c:v>
                </c:pt>
                <c:pt idx="8">
                  <c:v>1.3791245235480027</c:v>
                </c:pt>
                <c:pt idx="9">
                  <c:v>3.156295399272143</c:v>
                </c:pt>
                <c:pt idx="10">
                  <c:v>3.0056722211992475</c:v>
                </c:pt>
                <c:pt idx="11">
                  <c:v>2.3263082145418474</c:v>
                </c:pt>
                <c:pt idx="12">
                  <c:v>1.5546773349415703</c:v>
                </c:pt>
                <c:pt idx="13">
                  <c:v>0.22194728168834105</c:v>
                </c:pt>
                <c:pt idx="14">
                  <c:v>2.6880525117532916E-2</c:v>
                </c:pt>
                <c:pt idx="15">
                  <c:v>0.25993633689265211</c:v>
                </c:pt>
                <c:pt idx="16">
                  <c:v>0.65103012374599667</c:v>
                </c:pt>
                <c:pt idx="17">
                  <c:v>0.89397063689155354</c:v>
                </c:pt>
                <c:pt idx="18">
                  <c:v>0.93507380037800703</c:v>
                </c:pt>
                <c:pt idx="19">
                  <c:v>0.4321570928817503</c:v>
                </c:pt>
                <c:pt idx="20">
                  <c:v>-0.75716758532043549</c:v>
                </c:pt>
                <c:pt idx="21">
                  <c:v>-4.49722384600783</c:v>
                </c:pt>
                <c:pt idx="22">
                  <c:v>-1.2301440796610801</c:v>
                </c:pt>
              </c:numCache>
            </c:numRef>
          </c:val>
          <c:extLst>
            <c:ext xmlns:c16="http://schemas.microsoft.com/office/drawing/2014/chart" uri="{C3380CC4-5D6E-409C-BE32-E72D297353CC}">
              <c16:uniqueId val="{00000001-2891-4C50-BD91-4FCB5D6DEE4A}"/>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4'!$E$18:$E$40</c:f>
              <c:numCache>
                <c:formatCode>#,##0.0</c:formatCode>
                <c:ptCount val="23"/>
                <c:pt idx="0">
                  <c:v>-0.2238083391325838</c:v>
                </c:pt>
                <c:pt idx="1">
                  <c:v>-0.23838971368947015</c:v>
                </c:pt>
                <c:pt idx="2">
                  <c:v>-0.2053609549377069</c:v>
                </c:pt>
                <c:pt idx="3">
                  <c:v>-0.35147060330963598</c:v>
                </c:pt>
                <c:pt idx="4">
                  <c:v>-0.61869060635239537</c:v>
                </c:pt>
                <c:pt idx="5">
                  <c:v>-0.25512934357205408</c:v>
                </c:pt>
                <c:pt idx="6">
                  <c:v>-0.19959002476284948</c:v>
                </c:pt>
                <c:pt idx="7">
                  <c:v>3.2746825671393198E-2</c:v>
                </c:pt>
                <c:pt idx="8">
                  <c:v>0.18450614676852783</c:v>
                </c:pt>
                <c:pt idx="9">
                  <c:v>9.0995210938591864E-2</c:v>
                </c:pt>
                <c:pt idx="10">
                  <c:v>9.3791960410576802E-2</c:v>
                </c:pt>
                <c:pt idx="11">
                  <c:v>9.7481504130754182E-3</c:v>
                </c:pt>
                <c:pt idx="12">
                  <c:v>-2.2551156456915189E-2</c:v>
                </c:pt>
                <c:pt idx="13">
                  <c:v>-2.698234320952228E-2</c:v>
                </c:pt>
                <c:pt idx="14" formatCode="General">
                  <c:v>6.5626615130826169E-2</c:v>
                </c:pt>
                <c:pt idx="15" formatCode="General">
                  <c:v>-0.13276822997746235</c:v>
                </c:pt>
                <c:pt idx="16" formatCode="General">
                  <c:v>-0.16605613821776544</c:v>
                </c:pt>
                <c:pt idx="17" formatCode="General">
                  <c:v>-0.17578686521880382</c:v>
                </c:pt>
                <c:pt idx="18" formatCode="General">
                  <c:v>-0.17747063964733789</c:v>
                </c:pt>
                <c:pt idx="19" formatCode="General">
                  <c:v>8.7594056433330181E-2</c:v>
                </c:pt>
                <c:pt idx="20" formatCode="General">
                  <c:v>-0.24297118440564047</c:v>
                </c:pt>
                <c:pt idx="21" formatCode="General">
                  <c:v>-0.67420301930346227</c:v>
                </c:pt>
                <c:pt idx="22" formatCode="General">
                  <c:v>-0.38217533262047776</c:v>
                </c:pt>
              </c:numCache>
            </c:numRef>
          </c:val>
          <c:extLst>
            <c:ext xmlns:c16="http://schemas.microsoft.com/office/drawing/2014/chart" uri="{C3380CC4-5D6E-409C-BE32-E72D297353CC}">
              <c16:uniqueId val="{00000002-2891-4C50-BD91-4FCB5D6DEE4A}"/>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4'!$F$18:$F$40</c:f>
              <c:numCache>
                <c:formatCode>#,##0.0</c:formatCode>
                <c:ptCount val="23"/>
                <c:pt idx="0">
                  <c:v>0.13087923173458302</c:v>
                </c:pt>
                <c:pt idx="1">
                  <c:v>0.16519036862091754</c:v>
                </c:pt>
                <c:pt idx="2">
                  <c:v>0.21120786680843179</c:v>
                </c:pt>
                <c:pt idx="3">
                  <c:v>-1.2415147928913664E-2</c:v>
                </c:pt>
                <c:pt idx="4">
                  <c:v>-0.10952448541686127</c:v>
                </c:pt>
                <c:pt idx="5">
                  <c:v>-0.28214741197780213</c:v>
                </c:pt>
                <c:pt idx="6">
                  <c:v>-0.27168672817032663</c:v>
                </c:pt>
                <c:pt idx="7">
                  <c:v>-0.20754684715757324</c:v>
                </c:pt>
                <c:pt idx="8">
                  <c:v>-8.524394743114426E-2</c:v>
                </c:pt>
                <c:pt idx="9">
                  <c:v>0.11383434006711636</c:v>
                </c:pt>
                <c:pt idx="10">
                  <c:v>4.3349635308544285E-2</c:v>
                </c:pt>
                <c:pt idx="11">
                  <c:v>0.17858744375528909</c:v>
                </c:pt>
                <c:pt idx="12">
                  <c:v>0.11808587682306973</c:v>
                </c:pt>
                <c:pt idx="13">
                  <c:v>6.8021503066315213E-3</c:v>
                </c:pt>
                <c:pt idx="14">
                  <c:v>-1.6571363358896852E-2</c:v>
                </c:pt>
                <c:pt idx="15">
                  <c:v>-0.14898361382784628</c:v>
                </c:pt>
                <c:pt idx="16">
                  <c:v>-0.20748910270418172</c:v>
                </c:pt>
                <c:pt idx="17">
                  <c:v>-0.16731055129880157</c:v>
                </c:pt>
                <c:pt idx="18">
                  <c:v>-0.12605835918279604</c:v>
                </c:pt>
                <c:pt idx="19">
                  <c:v>-7.4487643149214286E-2</c:v>
                </c:pt>
                <c:pt idx="20">
                  <c:v>3.8553744056270094E-2</c:v>
                </c:pt>
                <c:pt idx="21">
                  <c:v>-0.3438777371985457</c:v>
                </c:pt>
                <c:pt idx="22">
                  <c:v>-0.14219725948438569</c:v>
                </c:pt>
              </c:numCache>
            </c:numRef>
          </c:val>
          <c:extLst>
            <c:ext xmlns:c16="http://schemas.microsoft.com/office/drawing/2014/chart" uri="{C3380CC4-5D6E-409C-BE32-E72D297353CC}">
              <c16:uniqueId val="{00000003-2891-4C50-BD91-4FCB5D6DEE4A}"/>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4'!$G$18:$G$40</c:f>
              <c:numCache>
                <c:formatCode>#,##0.0</c:formatCode>
                <c:ptCount val="23"/>
                <c:pt idx="0">
                  <c:v>2.2069915595993166</c:v>
                </c:pt>
                <c:pt idx="1">
                  <c:v>2.8395836710030271</c:v>
                </c:pt>
                <c:pt idx="2">
                  <c:v>2.9673304933717439</c:v>
                </c:pt>
                <c:pt idx="3">
                  <c:v>3.1996488393000861</c:v>
                </c:pt>
                <c:pt idx="4">
                  <c:v>2.2669828358604827</c:v>
                </c:pt>
                <c:pt idx="5">
                  <c:v>1.7472095584606271</c:v>
                </c:pt>
                <c:pt idx="6">
                  <c:v>1.2199893940422677</c:v>
                </c:pt>
                <c:pt idx="7">
                  <c:v>1.2038927401746593</c:v>
                </c:pt>
                <c:pt idx="8">
                  <c:v>2.1828063096576567</c:v>
                </c:pt>
                <c:pt idx="9">
                  <c:v>3.1402341655549573</c:v>
                </c:pt>
                <c:pt idx="10">
                  <c:v>2.9649621789836469</c:v>
                </c:pt>
                <c:pt idx="11">
                  <c:v>3.2019367955598788</c:v>
                </c:pt>
                <c:pt idx="12">
                  <c:v>3.1991581139545291</c:v>
                </c:pt>
                <c:pt idx="13">
                  <c:v>2.4596297734516672</c:v>
                </c:pt>
                <c:pt idx="14" formatCode="General">
                  <c:v>2.8096801810569541</c:v>
                </c:pt>
                <c:pt idx="15" formatCode="General">
                  <c:v>2.633591469545653</c:v>
                </c:pt>
                <c:pt idx="16" formatCode="General">
                  <c:v>2.1778121572999853</c:v>
                </c:pt>
                <c:pt idx="17" formatCode="General">
                  <c:v>1.5872692836963305</c:v>
                </c:pt>
                <c:pt idx="18" formatCode="General">
                  <c:v>1.2887133109854405</c:v>
                </c:pt>
                <c:pt idx="19" formatCode="General">
                  <c:v>1.0856896115678327</c:v>
                </c:pt>
                <c:pt idx="20" formatCode="General">
                  <c:v>-0.48124590267359491</c:v>
                </c:pt>
                <c:pt idx="21" formatCode="General">
                  <c:v>-5.4415065478229661</c:v>
                </c:pt>
                <c:pt idx="22" formatCode="General">
                  <c:v>-3.1422176458583198</c:v>
                </c:pt>
              </c:numCache>
            </c:numRef>
          </c:val>
          <c:extLst>
            <c:ext xmlns:c16="http://schemas.microsoft.com/office/drawing/2014/chart" uri="{C3380CC4-5D6E-409C-BE32-E72D297353CC}">
              <c16:uniqueId val="{00000004-2891-4C50-BD91-4FCB5D6DEE4A}"/>
            </c:ext>
          </c:extLst>
        </c:ser>
        <c:dLbls>
          <c:showLegendKey val="0"/>
          <c:showVal val="0"/>
          <c:showCatName val="0"/>
          <c:showSerName val="0"/>
          <c:showPercent val="0"/>
          <c:showBubbleSize val="0"/>
        </c:dLbls>
        <c:gapWidth val="70"/>
        <c:overlap val="100"/>
        <c:axId val="269005952"/>
        <c:axId val="269007488"/>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'souhrnná výkonnost 4'!$H$18:$H$40</c:f>
              <c:numCache>
                <c:formatCode>#,##0.0</c:formatCode>
                <c:ptCount val="23"/>
                <c:pt idx="0">
                  <c:v>4.715513587220201</c:v>
                </c:pt>
                <c:pt idx="1">
                  <c:v>5.0971004057791305</c:v>
                </c:pt>
                <c:pt idx="2">
                  <c:v>5.2530196431134613</c:v>
                </c:pt>
                <c:pt idx="3">
                  <c:v>4.5592485406007199</c:v>
                </c:pt>
                <c:pt idx="4">
                  <c:v>3.1674424411731508</c:v>
                </c:pt>
                <c:pt idx="5">
                  <c:v>2.1906580742636379</c:v>
                </c:pt>
                <c:pt idx="6">
                  <c:v>1.8939325302629584</c:v>
                </c:pt>
                <c:pt idx="7">
                  <c:v>2.3492580716968376</c:v>
                </c:pt>
                <c:pt idx="8">
                  <c:v>3.6516543205207768</c:v>
                </c:pt>
                <c:pt idx="9">
                  <c:v>6.3830027976023729</c:v>
                </c:pt>
                <c:pt idx="10">
                  <c:v>5.9135095065788903</c:v>
                </c:pt>
                <c:pt idx="11">
                  <c:v>5.6861848632479877</c:v>
                </c:pt>
                <c:pt idx="12">
                  <c:v>4.9690415467186284</c:v>
                </c:pt>
                <c:pt idx="13">
                  <c:v>2.7334464292361815</c:v>
                </c:pt>
                <c:pt idx="14">
                  <c:v>3.0193557965321673</c:v>
                </c:pt>
                <c:pt idx="15">
                  <c:v>2.7273005906640861</c:v>
                </c:pt>
                <c:pt idx="16">
                  <c:v>2.5300143206718104</c:v>
                </c:pt>
                <c:pt idx="17">
                  <c:v>2.204495611197089</c:v>
                </c:pt>
                <c:pt idx="18">
                  <c:v>2.0584748568752218</c:v>
                </c:pt>
                <c:pt idx="19">
                  <c:v>1.7139510638243536</c:v>
                </c:pt>
                <c:pt idx="20">
                  <c:v>-1.2918902380627486</c:v>
                </c:pt>
                <c:pt idx="21">
                  <c:v>-10.911350133964973</c:v>
                </c:pt>
                <c:pt idx="22">
                  <c:v>-4.817934328097266</c:v>
                </c:pt>
              </c:numCache>
            </c:numRef>
          </c:val>
          <c:smooth val="0"/>
          <c:extLst>
            <c:ext xmlns:c16="http://schemas.microsoft.com/office/drawing/2014/chart" uri="{C3380CC4-5D6E-409C-BE32-E72D297353CC}">
              <c16:uniqueId val="{00000005-2891-4C50-BD91-4FCB5D6DEE4A}"/>
            </c:ext>
          </c:extLst>
        </c:ser>
        <c:dLbls>
          <c:showLegendKey val="0"/>
          <c:showVal val="0"/>
          <c:showCatName val="0"/>
          <c:showSerName val="0"/>
          <c:showPercent val="0"/>
          <c:showBubbleSize val="0"/>
        </c:dLbls>
        <c:marker val="1"/>
        <c:smooth val="0"/>
        <c:axId val="269005952"/>
        <c:axId val="269007488"/>
      </c:lineChart>
      <c:catAx>
        <c:axId val="26900595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9007488"/>
        <c:crosses val="autoZero"/>
        <c:auto val="1"/>
        <c:lblAlgn val="ctr"/>
        <c:lblOffset val="100"/>
        <c:noMultiLvlLbl val="0"/>
      </c:catAx>
      <c:valAx>
        <c:axId val="269007488"/>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9005952"/>
        <c:crosses val="autoZero"/>
        <c:crossBetween val="between"/>
        <c:majorUnit val="3"/>
      </c:valAx>
      <c:spPr>
        <a:ln>
          <a:solidFill>
            <a:schemeClr val="tx1"/>
          </a:solidFill>
        </a:ln>
      </c:spPr>
    </c:plotArea>
    <c:legend>
      <c:legendPos val="b"/>
      <c:layout>
        <c:manualLayout>
          <c:xMode val="edge"/>
          <c:yMode val="edge"/>
          <c:x val="5.4144292468760548E-2"/>
          <c:y val="0.79016604750647301"/>
          <c:w val="0.92386482607227283"/>
          <c:h val="0.1946248452099494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6203544707895996E-2"/>
          <c:w val="0.84974974879787502"/>
          <c:h val="0.72649397233372848"/>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IPP'!$R$27:$AO$27</c:f>
              <c:numCache>
                <c:formatCode>0.0</c:formatCode>
                <c:ptCount val="24"/>
                <c:pt idx="0">
                  <c:v>1.5449159659659168</c:v>
                </c:pt>
                <c:pt idx="1">
                  <c:v>2.1749281656592205</c:v>
                </c:pt>
                <c:pt idx="2">
                  <c:v>2.3300582377623109</c:v>
                </c:pt>
                <c:pt idx="3">
                  <c:v>2.8883547821003916</c:v>
                </c:pt>
                <c:pt idx="4">
                  <c:v>3.2974613335821723</c:v>
                </c:pt>
                <c:pt idx="5">
                  <c:v>2.7788016600022574</c:v>
                </c:pt>
                <c:pt idx="6">
                  <c:v>1.4641693240331413</c:v>
                </c:pt>
                <c:pt idx="7">
                  <c:v>1.0301621596218218</c:v>
                </c:pt>
                <c:pt idx="8">
                  <c:v>1.8188073708028707</c:v>
                </c:pt>
                <c:pt idx="9">
                  <c:v>2.0559452389437172</c:v>
                </c:pt>
                <c:pt idx="10">
                  <c:v>1.5681820744985684</c:v>
                </c:pt>
                <c:pt idx="11">
                  <c:v>1.6876490608562387</c:v>
                </c:pt>
                <c:pt idx="12">
                  <c:v>0.71498061102748001</c:v>
                </c:pt>
                <c:pt idx="13">
                  <c:v>0.55787229008071415</c:v>
                </c:pt>
                <c:pt idx="14">
                  <c:v>0.24148179021483879</c:v>
                </c:pt>
                <c:pt idx="15">
                  <c:v>0.98792003638593584</c:v>
                </c:pt>
                <c:pt idx="16">
                  <c:v>-0.22879955190936746</c:v>
                </c:pt>
                <c:pt idx="17">
                  <c:v>0.48596502401582797</c:v>
                </c:pt>
                <c:pt idx="18">
                  <c:v>0.84413746094259168</c:v>
                </c:pt>
                <c:pt idx="19">
                  <c:v>-1.1047009843732671</c:v>
                </c:pt>
                <c:pt idx="20">
                  <c:v>-1.6426517214777709</c:v>
                </c:pt>
                <c:pt idx="21">
                  <c:v>-9.4687838124956212</c:v>
                </c:pt>
                <c:pt idx="22">
                  <c:v>-0.2512849397151154</c:v>
                </c:pt>
              </c:numCache>
            </c:numRef>
          </c:val>
          <c:extLst>
            <c:ext xmlns:c16="http://schemas.microsoft.com/office/drawing/2014/chart" uri="{C3380CC4-5D6E-409C-BE32-E72D297353CC}">
              <c16:uniqueId val="{00000000-A35F-4708-B019-56C9889AC9E1}"/>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IPP'!$R$28:$AO$28</c:f>
              <c:numCache>
                <c:formatCode>0.0</c:formatCode>
                <c:ptCount val="24"/>
                <c:pt idx="0">
                  <c:v>1.0321564707423598</c:v>
                </c:pt>
                <c:pt idx="1">
                  <c:v>1.2396893147517036</c:v>
                </c:pt>
                <c:pt idx="2">
                  <c:v>1.4257126645761891</c:v>
                </c:pt>
                <c:pt idx="3">
                  <c:v>0.62646054654871031</c:v>
                </c:pt>
                <c:pt idx="4">
                  <c:v>0.70239864046330858</c:v>
                </c:pt>
                <c:pt idx="5">
                  <c:v>0.14957031030982187</c:v>
                </c:pt>
                <c:pt idx="6">
                  <c:v>0.27646532302098098</c:v>
                </c:pt>
                <c:pt idx="7">
                  <c:v>0.42916912474109054</c:v>
                </c:pt>
                <c:pt idx="8">
                  <c:v>0.91361476755678694</c:v>
                </c:pt>
                <c:pt idx="9">
                  <c:v>1.458720321695594</c:v>
                </c:pt>
                <c:pt idx="10">
                  <c:v>0.87170226971120912</c:v>
                </c:pt>
                <c:pt idx="11">
                  <c:v>1.646875240438054</c:v>
                </c:pt>
                <c:pt idx="12">
                  <c:v>0.99783080896461818</c:v>
                </c:pt>
                <c:pt idx="13">
                  <c:v>0.32761654080678082</c:v>
                </c:pt>
                <c:pt idx="14">
                  <c:v>0.42786481660655967</c:v>
                </c:pt>
                <c:pt idx="15">
                  <c:v>-5.3703633303731985E-2</c:v>
                </c:pt>
                <c:pt idx="16">
                  <c:v>0.49959628008816359</c:v>
                </c:pt>
                <c:pt idx="17">
                  <c:v>0.40595551047968725</c:v>
                </c:pt>
                <c:pt idx="18">
                  <c:v>0.21646597333917381</c:v>
                </c:pt>
                <c:pt idx="19">
                  <c:v>0.40808768099230008</c:v>
                </c:pt>
                <c:pt idx="20">
                  <c:v>-0.52255915788257001</c:v>
                </c:pt>
                <c:pt idx="21">
                  <c:v>-4.1280188186384441</c:v>
                </c:pt>
                <c:pt idx="22">
                  <c:v>-0.4652364533917222</c:v>
                </c:pt>
              </c:numCache>
            </c:numRef>
          </c:val>
          <c:extLst>
            <c:ext xmlns:c16="http://schemas.microsoft.com/office/drawing/2014/chart" uri="{C3380CC4-5D6E-409C-BE32-E72D297353CC}">
              <c16:uniqueId val="{00000001-A35F-4708-B019-56C9889AC9E1}"/>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IPP'!$R$29:$AO$29</c:f>
              <c:numCache>
                <c:formatCode>0.0</c:formatCode>
                <c:ptCount val="24"/>
                <c:pt idx="0">
                  <c:v>0.27334106694035171</c:v>
                </c:pt>
                <c:pt idx="1">
                  <c:v>0.29428298533741609</c:v>
                </c:pt>
                <c:pt idx="2">
                  <c:v>0.38533015320769515</c:v>
                </c:pt>
                <c:pt idx="3">
                  <c:v>1.9183488529804775E-2</c:v>
                </c:pt>
                <c:pt idx="4">
                  <c:v>0.36307045023871931</c:v>
                </c:pt>
                <c:pt idx="5">
                  <c:v>-6.7572945378872373E-2</c:v>
                </c:pt>
                <c:pt idx="6">
                  <c:v>0.19574075945275773</c:v>
                </c:pt>
                <c:pt idx="7">
                  <c:v>0.31979046599858157</c:v>
                </c:pt>
                <c:pt idx="8">
                  <c:v>0.3600654733750322</c:v>
                </c:pt>
                <c:pt idx="9">
                  <c:v>1.0705741294559918</c:v>
                </c:pt>
                <c:pt idx="10">
                  <c:v>0.84942343358716554</c:v>
                </c:pt>
                <c:pt idx="11">
                  <c:v>0.80110319510701655</c:v>
                </c:pt>
                <c:pt idx="12">
                  <c:v>0.47293555109852903</c:v>
                </c:pt>
                <c:pt idx="13">
                  <c:v>0.1452079187580578</c:v>
                </c:pt>
                <c:pt idx="14">
                  <c:v>0.18970333111993243</c:v>
                </c:pt>
                <c:pt idx="15">
                  <c:v>-0.19465162699433602</c:v>
                </c:pt>
                <c:pt idx="16">
                  <c:v>0.14541427898814158</c:v>
                </c:pt>
                <c:pt idx="17">
                  <c:v>-1.5665441422013964E-2</c:v>
                </c:pt>
                <c:pt idx="18">
                  <c:v>-0.26873964884989882</c:v>
                </c:pt>
                <c:pt idx="19">
                  <c:v>-0.13555285629534911</c:v>
                </c:pt>
                <c:pt idx="20">
                  <c:v>-0.76039990795238854</c:v>
                </c:pt>
                <c:pt idx="21">
                  <c:v>-2.1165350057699164</c:v>
                </c:pt>
                <c:pt idx="22">
                  <c:v>-0.73643989585435099</c:v>
                </c:pt>
              </c:numCache>
            </c:numRef>
          </c:val>
          <c:extLst>
            <c:ext xmlns:c16="http://schemas.microsoft.com/office/drawing/2014/chart" uri="{C3380CC4-5D6E-409C-BE32-E72D297353CC}">
              <c16:uniqueId val="{00000002-A35F-4708-B019-56C9889AC9E1}"/>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IPP'!$R$30:$AO$30</c:f>
              <c:numCache>
                <c:formatCode>0.0</c:formatCode>
                <c:ptCount val="24"/>
                <c:pt idx="0">
                  <c:v>0.7002997305470311</c:v>
                </c:pt>
                <c:pt idx="1">
                  <c:v>0.78598516282691366</c:v>
                </c:pt>
                <c:pt idx="2">
                  <c:v>0.92607458938072496</c:v>
                </c:pt>
                <c:pt idx="3">
                  <c:v>0.625152359437114</c:v>
                </c:pt>
                <c:pt idx="4">
                  <c:v>0.76444806762191553</c:v>
                </c:pt>
                <c:pt idx="5">
                  <c:v>0.38468982602991308</c:v>
                </c:pt>
                <c:pt idx="6">
                  <c:v>0.20052528439839029</c:v>
                </c:pt>
                <c:pt idx="7">
                  <c:v>0.2505464784956295</c:v>
                </c:pt>
                <c:pt idx="8">
                  <c:v>0.5110945332466369</c:v>
                </c:pt>
                <c:pt idx="9">
                  <c:v>0.91827111587790722</c:v>
                </c:pt>
                <c:pt idx="10">
                  <c:v>0.82344311009183468</c:v>
                </c:pt>
                <c:pt idx="11">
                  <c:v>0.97625242210301566</c:v>
                </c:pt>
                <c:pt idx="12">
                  <c:v>0.6543071266859497</c:v>
                </c:pt>
                <c:pt idx="13">
                  <c:v>0.44399142916192974</c:v>
                </c:pt>
                <c:pt idx="14">
                  <c:v>0.43632885025014273</c:v>
                </c:pt>
                <c:pt idx="15">
                  <c:v>0.16425112174648246</c:v>
                </c:pt>
                <c:pt idx="16">
                  <c:v>0.22884015348191217</c:v>
                </c:pt>
                <c:pt idx="17">
                  <c:v>4.0423703863651109E-3</c:v>
                </c:pt>
                <c:pt idx="18">
                  <c:v>-0.22185425265951442</c:v>
                </c:pt>
                <c:pt idx="19">
                  <c:v>-0.36859979361627881</c:v>
                </c:pt>
                <c:pt idx="20">
                  <c:v>-0.68487239362344454</c:v>
                </c:pt>
                <c:pt idx="21">
                  <c:v>-2.2451355575291205</c:v>
                </c:pt>
                <c:pt idx="22">
                  <c:v>-0.7496635219980845</c:v>
                </c:pt>
              </c:numCache>
            </c:numRef>
          </c:val>
          <c:extLst>
            <c:ext xmlns:c16="http://schemas.microsoft.com/office/drawing/2014/chart" uri="{C3380CC4-5D6E-409C-BE32-E72D297353CC}">
              <c16:uniqueId val="{00000003-A35F-4708-B019-56C9889AC9E1}"/>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IPP'!$R$31:$AO$31</c:f>
              <c:numCache>
                <c:formatCode>0.0</c:formatCode>
                <c:ptCount val="24"/>
                <c:pt idx="0">
                  <c:v>0.10098933939964477</c:v>
                </c:pt>
                <c:pt idx="1">
                  <c:v>1.4989983457542287E-2</c:v>
                </c:pt>
                <c:pt idx="2">
                  <c:v>4.8131776575975969E-2</c:v>
                </c:pt>
                <c:pt idx="3">
                  <c:v>-7.7003986202186223E-2</c:v>
                </c:pt>
                <c:pt idx="4">
                  <c:v>2.5800791974177746E-4</c:v>
                </c:pt>
                <c:pt idx="5">
                  <c:v>4.8125354447826493E-2</c:v>
                </c:pt>
                <c:pt idx="6">
                  <c:v>5.4761934658599951E-2</c:v>
                </c:pt>
                <c:pt idx="7">
                  <c:v>0.16221619241546678</c:v>
                </c:pt>
                <c:pt idx="8">
                  <c:v>0.1266562574913582</c:v>
                </c:pt>
                <c:pt idx="9">
                  <c:v>0.37648265280216536</c:v>
                </c:pt>
                <c:pt idx="10">
                  <c:v>0.23505971681229232</c:v>
                </c:pt>
                <c:pt idx="11">
                  <c:v>0.23512493906047929</c:v>
                </c:pt>
                <c:pt idx="12">
                  <c:v>0.40852046691006588</c:v>
                </c:pt>
                <c:pt idx="13">
                  <c:v>0.15033665549578873</c:v>
                </c:pt>
                <c:pt idx="14">
                  <c:v>0.63742581900112127</c:v>
                </c:pt>
                <c:pt idx="15">
                  <c:v>0.30596497918419047</c:v>
                </c:pt>
                <c:pt idx="16">
                  <c:v>-0.11307637304192975</c:v>
                </c:pt>
                <c:pt idx="17">
                  <c:v>-3.7956703682871726E-2</c:v>
                </c:pt>
                <c:pt idx="18">
                  <c:v>-0.62718009855364965</c:v>
                </c:pt>
                <c:pt idx="19">
                  <c:v>-0.3411213800722247</c:v>
                </c:pt>
                <c:pt idx="20">
                  <c:v>-0.12820169957455954</c:v>
                </c:pt>
                <c:pt idx="21">
                  <c:v>-0.303404466179518</c:v>
                </c:pt>
                <c:pt idx="22">
                  <c:v>-1.3417750474677479E-2</c:v>
                </c:pt>
              </c:numCache>
            </c:numRef>
          </c:val>
          <c:extLst>
            <c:ext xmlns:c16="http://schemas.microsoft.com/office/drawing/2014/chart" uri="{C3380CC4-5D6E-409C-BE32-E72D297353CC}">
              <c16:uniqueId val="{00000004-A35F-4708-B019-56C9889AC9E1}"/>
            </c:ext>
          </c:extLst>
        </c:ser>
        <c:ser>
          <c:idx val="5"/>
          <c:order val="5"/>
          <c:tx>
            <c:strRef>
              <c:f>'GRAF příspěvky IPP'!$A$32</c:f>
              <c:strCache>
                <c:ptCount val="1"/>
                <c:pt idx="0">
                  <c:v>Chemický a farmaceutický pr. (20, 21)</c:v>
                </c:pt>
              </c:strCache>
            </c:strRef>
          </c:tx>
          <c:spPr>
            <a:solidFill>
              <a:srgbClr val="F8A124"/>
            </a:solidFill>
          </c:spPr>
          <c:invertIfNegative val="0"/>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IPP'!$R$32:$AO$32</c:f>
              <c:numCache>
                <c:formatCode>0.0</c:formatCode>
                <c:ptCount val="24"/>
                <c:pt idx="0">
                  <c:v>7.7350431314437765E-2</c:v>
                </c:pt>
                <c:pt idx="1">
                  <c:v>0.23593761593130141</c:v>
                </c:pt>
                <c:pt idx="2">
                  <c:v>-0.16669952986343833</c:v>
                </c:pt>
                <c:pt idx="3">
                  <c:v>-0.33320285815360856</c:v>
                </c:pt>
                <c:pt idx="4">
                  <c:v>-0.42004567083081795</c:v>
                </c:pt>
                <c:pt idx="5">
                  <c:v>-0.42026397840181545</c:v>
                </c:pt>
                <c:pt idx="6">
                  <c:v>-0.10965943805062672</c:v>
                </c:pt>
                <c:pt idx="7">
                  <c:v>0.23764174190673226</c:v>
                </c:pt>
                <c:pt idx="8">
                  <c:v>0.52969781101036639</c:v>
                </c:pt>
                <c:pt idx="9">
                  <c:v>0.81629581332897672</c:v>
                </c:pt>
                <c:pt idx="10">
                  <c:v>0.6490077008448305</c:v>
                </c:pt>
                <c:pt idx="11">
                  <c:v>0.50550039995300478</c:v>
                </c:pt>
                <c:pt idx="12">
                  <c:v>0.39836280707384325</c:v>
                </c:pt>
                <c:pt idx="13">
                  <c:v>8.2769801878325527E-2</c:v>
                </c:pt>
                <c:pt idx="14">
                  <c:v>-5.1200962998572921E-2</c:v>
                </c:pt>
                <c:pt idx="15">
                  <c:v>-6.7051149583539513E-2</c:v>
                </c:pt>
                <c:pt idx="16">
                  <c:v>0.10491719287806039</c:v>
                </c:pt>
                <c:pt idx="17">
                  <c:v>4.8672766566223546E-2</c:v>
                </c:pt>
                <c:pt idx="18">
                  <c:v>0.22996607761503507</c:v>
                </c:pt>
                <c:pt idx="19">
                  <c:v>2.9382185934869076E-2</c:v>
                </c:pt>
                <c:pt idx="20">
                  <c:v>-6.2940817695855952E-2</c:v>
                </c:pt>
                <c:pt idx="21">
                  <c:v>-0.59627683384204855</c:v>
                </c:pt>
                <c:pt idx="22">
                  <c:v>-0.24018716073280522</c:v>
                </c:pt>
              </c:numCache>
            </c:numRef>
          </c:val>
          <c:extLst>
            <c:ext xmlns:c16="http://schemas.microsoft.com/office/drawing/2014/chart" uri="{C3380CC4-5D6E-409C-BE32-E72D297353CC}">
              <c16:uniqueId val="{00000005-A35F-4708-B019-56C9889AC9E1}"/>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IPP'!$R$33:$AO$33</c:f>
              <c:numCache>
                <c:formatCode>0.0</c:formatCode>
                <c:ptCount val="24"/>
                <c:pt idx="0">
                  <c:v>0.99830218869293852</c:v>
                </c:pt>
                <c:pt idx="1">
                  <c:v>0.90243657634684482</c:v>
                </c:pt>
                <c:pt idx="2">
                  <c:v>0.97767572263994862</c:v>
                </c:pt>
                <c:pt idx="3">
                  <c:v>-0.2213241477378568</c:v>
                </c:pt>
                <c:pt idx="4">
                  <c:v>3.756973895839455E-2</c:v>
                </c:pt>
                <c:pt idx="5">
                  <c:v>-0.30016704241037895</c:v>
                </c:pt>
                <c:pt idx="6">
                  <c:v>4.1230596798874086E-2</c:v>
                </c:pt>
                <c:pt idx="7">
                  <c:v>0.57694869576716468</c:v>
                </c:pt>
                <c:pt idx="8">
                  <c:v>0.33188448583663555</c:v>
                </c:pt>
                <c:pt idx="9">
                  <c:v>1.4323707076505112</c:v>
                </c:pt>
                <c:pt idx="10">
                  <c:v>0.74281336901524297</c:v>
                </c:pt>
                <c:pt idx="11">
                  <c:v>0.99254851716260917</c:v>
                </c:pt>
                <c:pt idx="12">
                  <c:v>1.1174634788597479</c:v>
                </c:pt>
                <c:pt idx="13">
                  <c:v>0.68739640698572546</c:v>
                </c:pt>
                <c:pt idx="14">
                  <c:v>1.0605384736132186</c:v>
                </c:pt>
                <c:pt idx="15">
                  <c:v>0.51351046269379941</c:v>
                </c:pt>
                <c:pt idx="16">
                  <c:v>-9.0990040456507548E-2</c:v>
                </c:pt>
                <c:pt idx="17">
                  <c:v>-4.1034246273828345E-3</c:v>
                </c:pt>
                <c:pt idx="18">
                  <c:v>-0.5349128541736905</c:v>
                </c:pt>
                <c:pt idx="19">
                  <c:v>-0.24657958325904372</c:v>
                </c:pt>
                <c:pt idx="20">
                  <c:v>-0.20998442517187021</c:v>
                </c:pt>
                <c:pt idx="21">
                  <c:v>-3.1629136185947946</c:v>
                </c:pt>
                <c:pt idx="22">
                  <c:v>-0.43709650259352351</c:v>
                </c:pt>
              </c:numCache>
            </c:numRef>
          </c:val>
          <c:extLst>
            <c:ext xmlns:c16="http://schemas.microsoft.com/office/drawing/2014/chart" uri="{C3380CC4-5D6E-409C-BE32-E72D297353CC}">
              <c16:uniqueId val="{00000006-A35F-4708-B019-56C9889AC9E1}"/>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IPP'!$R$34:$AO$34</c:f>
              <c:numCache>
                <c:formatCode>0.0</c:formatCode>
                <c:ptCount val="24"/>
                <c:pt idx="0">
                  <c:v>0.14603886659731855</c:v>
                </c:pt>
                <c:pt idx="1">
                  <c:v>-0.34005382041093413</c:v>
                </c:pt>
                <c:pt idx="2">
                  <c:v>-0.37898483167936881</c:v>
                </c:pt>
                <c:pt idx="3">
                  <c:v>-1.1248323803223828</c:v>
                </c:pt>
                <c:pt idx="4">
                  <c:v>-0.66857701045346751</c:v>
                </c:pt>
                <c:pt idx="5">
                  <c:v>0.10137361870125999</c:v>
                </c:pt>
                <c:pt idx="6">
                  <c:v>-0.46808235891211047</c:v>
                </c:pt>
                <c:pt idx="7">
                  <c:v>0.50534236475350525</c:v>
                </c:pt>
                <c:pt idx="8">
                  <c:v>0.66795249028030279</c:v>
                </c:pt>
                <c:pt idx="9">
                  <c:v>-0.18424188685486914</c:v>
                </c:pt>
                <c:pt idx="10">
                  <c:v>0.78008174883886461</c:v>
                </c:pt>
                <c:pt idx="11">
                  <c:v>0.73049787951958134</c:v>
                </c:pt>
                <c:pt idx="12">
                  <c:v>-0.53969025522024028</c:v>
                </c:pt>
                <c:pt idx="13">
                  <c:v>9.9992532326696609E-3</c:v>
                </c:pt>
                <c:pt idx="14">
                  <c:v>0.78144454779276418</c:v>
                </c:pt>
                <c:pt idx="15">
                  <c:v>0.32566803227119129</c:v>
                </c:pt>
                <c:pt idx="16">
                  <c:v>0.21311479917148479</c:v>
                </c:pt>
                <c:pt idx="17">
                  <c:v>4.6518008284160361E-2</c:v>
                </c:pt>
                <c:pt idx="18">
                  <c:v>-0.66951658986007201</c:v>
                </c:pt>
                <c:pt idx="19">
                  <c:v>-0.32613458261100525</c:v>
                </c:pt>
                <c:pt idx="20">
                  <c:v>-0.97769559242154935</c:v>
                </c:pt>
                <c:pt idx="21">
                  <c:v>-1.5899479133505348</c:v>
                </c:pt>
                <c:pt idx="22">
                  <c:v>-0.732223926239713</c:v>
                </c:pt>
              </c:numCache>
            </c:numRef>
          </c:val>
          <c:extLst>
            <c:ext xmlns:c16="http://schemas.microsoft.com/office/drawing/2014/chart" uri="{C3380CC4-5D6E-409C-BE32-E72D297353CC}">
              <c16:uniqueId val="{00000007-A35F-4708-B019-56C9889AC9E1}"/>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Průmysl celkem (NACE B, C,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IPP'!$R$35:$AO$35</c:f>
              <c:numCache>
                <c:formatCode>0.0</c:formatCode>
                <c:ptCount val="24"/>
                <c:pt idx="0">
                  <c:v>4.8733940601999999</c:v>
                </c:pt>
                <c:pt idx="1">
                  <c:v>5.3081959839000072</c:v>
                </c:pt>
                <c:pt idx="2">
                  <c:v>5.5472987826000359</c:v>
                </c:pt>
                <c:pt idx="3">
                  <c:v>2.4027878041999866</c:v>
                </c:pt>
                <c:pt idx="4">
                  <c:v>4.0765835574999674</c:v>
                </c:pt>
                <c:pt idx="5">
                  <c:v>2.6745568033000122</c:v>
                </c:pt>
                <c:pt idx="6">
                  <c:v>1.6551514254000079</c:v>
                </c:pt>
                <c:pt idx="7">
                  <c:v>3.5118172236999929</c:v>
                </c:pt>
                <c:pt idx="8">
                  <c:v>5.2597731895999891</c:v>
                </c:pt>
                <c:pt idx="9">
                  <c:v>7.9444180928999941</c:v>
                </c:pt>
                <c:pt idx="10">
                  <c:v>6.5197134234000087</c:v>
                </c:pt>
                <c:pt idx="11">
                  <c:v>7.5755516541999981</c:v>
                </c:pt>
                <c:pt idx="12">
                  <c:v>4.2247105953999942</c:v>
                </c:pt>
                <c:pt idx="13">
                  <c:v>2.4051902963999918</c:v>
                </c:pt>
                <c:pt idx="14">
                  <c:v>3.7235866656000045</c:v>
                </c:pt>
                <c:pt idx="15">
                  <c:v>1.9819082223999918</c:v>
                </c:pt>
                <c:pt idx="16">
                  <c:v>0.75901673919995771</c:v>
                </c:pt>
                <c:pt idx="17">
                  <c:v>0.93342810999999581</c:v>
                </c:pt>
                <c:pt idx="18">
                  <c:v>-1.0316339322000248</c:v>
                </c:pt>
                <c:pt idx="19">
                  <c:v>-2.0852193132999997</c:v>
                </c:pt>
                <c:pt idx="20">
                  <c:v>-4.9893057158000085</c:v>
                </c:pt>
                <c:pt idx="21">
                  <c:v>-23.611016026399998</c:v>
                </c:pt>
                <c:pt idx="22">
                  <c:v>-3.6255501509999921</c:v>
                </c:pt>
              </c:numCache>
            </c:numRef>
          </c:val>
          <c:smooth val="0"/>
          <c:extLst>
            <c:ext xmlns:c16="http://schemas.microsoft.com/office/drawing/2014/chart" uri="{C3380CC4-5D6E-409C-BE32-E72D297353CC}">
              <c16:uniqueId val="{00000008-A35F-4708-B019-56C9889AC9E1}"/>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IPP'!$R$25:$AO$26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'GRAF příspěvky IPP'!$R$36:$AO$36</c:f>
              <c:numCache>
                <c:formatCode>0.0</c:formatCode>
                <c:ptCount val="24"/>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-25.3</c:v>
                </c:pt>
                <c:pt idx="22">
                  <c:v>-6.3</c:v>
                </c:pt>
                <c:pt idx="23">
                  <c:v>-10</c:v>
                </c:pt>
              </c:numCache>
            </c:numRef>
          </c:val>
          <c:smooth val="0"/>
          <c:extLst>
            <c:ext xmlns:c16="http://schemas.microsoft.com/office/drawing/2014/chart" uri="{C3380CC4-5D6E-409C-BE32-E72D297353CC}">
              <c16:uniqueId val="{00000009-A35F-4708-B019-56C9889AC9E1}"/>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9"/>
          <c:min val="-27"/>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Průmyslová</a:t>
                </a:r>
                <a:r>
                  <a:rPr lang="cs-CZ" sz="700" b="0" i="1" baseline="0">
                    <a:latin typeface="Arial" panose="020B0604020202020204" pitchFamily="34" charset="0"/>
                    <a:cs typeface="Arial" panose="020B0604020202020204" pitchFamily="34" charset="0"/>
                  </a:rPr>
                  <a:t> produkce</a:t>
                </a:r>
                <a:endParaRPr lang="cs-CZ" sz="700" b="0" i="1">
                  <a:latin typeface="Arial" panose="020B0604020202020204" pitchFamily="34" charset="0"/>
                  <a:cs typeface="Arial" panose="020B0604020202020204" pitchFamily="34" charset="0"/>
                </a:endParaRPr>
              </a:p>
            </c:rich>
          </c:tx>
          <c:layout>
            <c:manualLayout>
              <c:xMode val="edge"/>
              <c:yMode val="edge"/>
              <c:x val="0"/>
              <c:y val="0.2024453460319801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3"/>
      </c:valAx>
      <c:valAx>
        <c:axId val="1513729024"/>
        <c:scaling>
          <c:orientation val="minMax"/>
          <c:max val="3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a:t>
                </a:r>
                <a:r>
                  <a:rPr lang="cs-CZ" sz="700" b="0" i="1" baseline="0">
                    <a:latin typeface="Arial" panose="020B0604020202020204" pitchFamily="34" charset="0"/>
                    <a:cs typeface="Arial" panose="020B0604020202020204" pitchFamily="34" charset="0"/>
                  </a:rPr>
                  <a:t> indikátoru důvěry</a:t>
                </a:r>
                <a:endParaRPr lang="cs-CZ" sz="700" b="0" i="1">
                  <a:latin typeface="Arial" panose="020B0604020202020204" pitchFamily="34" charset="0"/>
                  <a:cs typeface="Arial" panose="020B0604020202020204" pitchFamily="34" charset="0"/>
                </a:endParaRPr>
              </a:p>
            </c:rich>
          </c:tx>
          <c:layout>
            <c:manualLayout>
              <c:xMode val="edge"/>
              <c:yMode val="edge"/>
              <c:x val="0.97073916983354047"/>
              <c:y val="0.191915607754587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0"/>
          <c:y val="0.8245301077934194"/>
          <c:w val="0.99058820242360202"/>
          <c:h val="0.17197591189447189"/>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76336766858043459"/>
        </c:manualLayout>
      </c:layout>
      <c:barChart>
        <c:barDir val="col"/>
        <c:grouping val="clustered"/>
        <c:varyColors val="0"/>
        <c:ser>
          <c:idx val="0"/>
          <c:order val="0"/>
          <c:tx>
            <c:strRef>
              <c:f>'výkonnost odvětví 2'!$A$31</c:f>
              <c:strCache>
                <c:ptCount val="1"/>
                <c:pt idx="0">
                  <c:v>Průmyslové zakázky celkem</c:v>
                </c:pt>
              </c:strCache>
            </c:strRef>
          </c:tx>
          <c:spPr>
            <a:solidFill>
              <a:schemeClr val="bg1">
                <a:lumMod val="65000"/>
              </a:schemeClr>
            </a:solidFill>
            <a:ln w="12700">
              <a:noFill/>
              <a:prstDash val="solid"/>
            </a:ln>
          </c:spPr>
          <c:invertIfNegative val="0"/>
          <c:cat>
            <c:multiLvlStrRef>
              <c:f>'výkonnost odvětví 2'!$R$29:$AO$30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2'!$R$31:$AO$31</c:f>
              <c:numCache>
                <c:formatCode>#\ ##0.0__</c:formatCode>
                <c:ptCount val="24"/>
                <c:pt idx="0">
                  <c:v>8.5397251010390391</c:v>
                </c:pt>
                <c:pt idx="1">
                  <c:v>6.4894834031568251</c:v>
                </c:pt>
                <c:pt idx="2">
                  <c:v>4.1045761314248068</c:v>
                </c:pt>
                <c:pt idx="3">
                  <c:v>6.0151063810169205</c:v>
                </c:pt>
                <c:pt idx="4">
                  <c:v>1.3550678522953064</c:v>
                </c:pt>
                <c:pt idx="5">
                  <c:v>10.856046878525433</c:v>
                </c:pt>
                <c:pt idx="6">
                  <c:v>1.6431282237439291</c:v>
                </c:pt>
                <c:pt idx="7">
                  <c:v>6.7220844736941103</c:v>
                </c:pt>
                <c:pt idx="8">
                  <c:v>10.841479121555906</c:v>
                </c:pt>
                <c:pt idx="9">
                  <c:v>4.5315942367003714</c:v>
                </c:pt>
                <c:pt idx="10">
                  <c:v>6.9082617878945598</c:v>
                </c:pt>
                <c:pt idx="11">
                  <c:v>7.5112613571588724</c:v>
                </c:pt>
                <c:pt idx="12">
                  <c:v>1.6339188767607453</c:v>
                </c:pt>
                <c:pt idx="13">
                  <c:v>4.6301209797549205</c:v>
                </c:pt>
                <c:pt idx="14">
                  <c:v>3.6945404784506337</c:v>
                </c:pt>
                <c:pt idx="15">
                  <c:v>4.2467023509658759</c:v>
                </c:pt>
                <c:pt idx="16">
                  <c:v>3.2159327201169816</c:v>
                </c:pt>
                <c:pt idx="17">
                  <c:v>0.65858715061426665</c:v>
                </c:pt>
                <c:pt idx="18">
                  <c:v>2.2747163836690305</c:v>
                </c:pt>
                <c:pt idx="19">
                  <c:v>-4.7832000111320241</c:v>
                </c:pt>
                <c:pt idx="20">
                  <c:v>-5.4552563188195791</c:v>
                </c:pt>
                <c:pt idx="21">
                  <c:v>-27.840083401835727</c:v>
                </c:pt>
                <c:pt idx="22">
                  <c:v>-2.5368281783831037</c:v>
                </c:pt>
              </c:numCache>
            </c:numRef>
          </c:val>
          <c:extLst>
            <c:ext xmlns:c16="http://schemas.microsoft.com/office/drawing/2014/chart" uri="{C3380CC4-5D6E-409C-BE32-E72D297353CC}">
              <c16:uniqueId val="{00000000-C32F-448F-9851-BB1FD911E367}"/>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Průmyslové zakázky z tuzemska</c:v>
                </c:pt>
              </c:strCache>
            </c:strRef>
          </c:tx>
          <c:spPr>
            <a:ln w="15875">
              <a:solidFill>
                <a:srgbClr val="0070C0"/>
              </a:solidFill>
              <a:prstDash val="solid"/>
            </a:ln>
          </c:spPr>
          <c:marker>
            <c:symbol val="none"/>
          </c:marker>
          <c:cat>
            <c:multiLvlStrRef>
              <c:f>'výkonnost odvětví 2'!$R$29:$AO$30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2'!$R$32:$AO$32</c:f>
              <c:numCache>
                <c:formatCode>#\ ##0.0__</c:formatCode>
                <c:ptCount val="24"/>
                <c:pt idx="0">
                  <c:v>4.341961301010727</c:v>
                </c:pt>
                <c:pt idx="1">
                  <c:v>10.024449168168019</c:v>
                </c:pt>
                <c:pt idx="2">
                  <c:v>-4.7604240586837108</c:v>
                </c:pt>
                <c:pt idx="3">
                  <c:v>0.56107209694786775</c:v>
                </c:pt>
                <c:pt idx="4">
                  <c:v>0.20304376106223287</c:v>
                </c:pt>
                <c:pt idx="5">
                  <c:v>4.9376200007964286</c:v>
                </c:pt>
                <c:pt idx="6">
                  <c:v>-0.65834656713856532</c:v>
                </c:pt>
                <c:pt idx="7">
                  <c:v>2.873089889380708</c:v>
                </c:pt>
                <c:pt idx="8">
                  <c:v>16.722989365311648</c:v>
                </c:pt>
                <c:pt idx="9">
                  <c:v>11.567742610098009</c:v>
                </c:pt>
                <c:pt idx="10">
                  <c:v>14.702871802754672</c:v>
                </c:pt>
                <c:pt idx="11">
                  <c:v>15.641374658030259</c:v>
                </c:pt>
                <c:pt idx="12">
                  <c:v>-0.54655499165191657</c:v>
                </c:pt>
                <c:pt idx="13">
                  <c:v>3.3862320433243838</c:v>
                </c:pt>
                <c:pt idx="14">
                  <c:v>4.5707977831681177</c:v>
                </c:pt>
                <c:pt idx="15">
                  <c:v>4.8009732818449038</c:v>
                </c:pt>
                <c:pt idx="16">
                  <c:v>8.0074778782798006</c:v>
                </c:pt>
                <c:pt idx="17">
                  <c:v>4.3685672275757952</c:v>
                </c:pt>
                <c:pt idx="18">
                  <c:v>3.2795252635021939</c:v>
                </c:pt>
                <c:pt idx="19">
                  <c:v>-2.4886565019466786</c:v>
                </c:pt>
                <c:pt idx="20">
                  <c:v>-4.1287288035399854</c:v>
                </c:pt>
                <c:pt idx="21">
                  <c:v>-25.915339029383787</c:v>
                </c:pt>
                <c:pt idx="22">
                  <c:v>-4.4236066957755185</c:v>
                </c:pt>
              </c:numCache>
            </c:numRef>
          </c:val>
          <c:smooth val="0"/>
          <c:extLst>
            <c:ext xmlns:c16="http://schemas.microsoft.com/office/drawing/2014/chart" uri="{C3380CC4-5D6E-409C-BE32-E72D297353CC}">
              <c16:uniqueId val="{00000001-C32F-448F-9851-BB1FD911E367}"/>
            </c:ext>
          </c:extLst>
        </c:ser>
        <c:ser>
          <c:idx val="5"/>
          <c:order val="2"/>
          <c:tx>
            <c:strRef>
              <c:f>'výkonnost odvětví 2'!$A$33</c:f>
              <c:strCache>
                <c:ptCount val="1"/>
                <c:pt idx="0">
                  <c:v>Celk. zakázky ve výrobě motor. voz.</c:v>
                </c:pt>
              </c:strCache>
            </c:strRef>
          </c:tx>
          <c:spPr>
            <a:ln w="15875">
              <a:solidFill>
                <a:srgbClr val="BD1B21"/>
              </a:solidFill>
              <a:prstDash val="solid"/>
            </a:ln>
          </c:spPr>
          <c:marker>
            <c:symbol val="none"/>
          </c:marker>
          <c:cat>
            <c:multiLvlStrRef>
              <c:f>'výkonnost odvětví 2'!$R$29:$AO$30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2'!$R$33:$AO$33</c:f>
              <c:numCache>
                <c:formatCode>#\ ##0.0__</c:formatCode>
                <c:ptCount val="24"/>
                <c:pt idx="0">
                  <c:v>15.316352438277931</c:v>
                </c:pt>
                <c:pt idx="1">
                  <c:v>5.584343456517459</c:v>
                </c:pt>
                <c:pt idx="2">
                  <c:v>13.898535777390734</c:v>
                </c:pt>
                <c:pt idx="3">
                  <c:v>18.975191723154538</c:v>
                </c:pt>
                <c:pt idx="4">
                  <c:v>11.460497347422447</c:v>
                </c:pt>
                <c:pt idx="5">
                  <c:v>33.085131031292235</c:v>
                </c:pt>
                <c:pt idx="6">
                  <c:v>5.912380139380474</c:v>
                </c:pt>
                <c:pt idx="7">
                  <c:v>12.001000805244416</c:v>
                </c:pt>
                <c:pt idx="8">
                  <c:v>7.9804719471503205</c:v>
                </c:pt>
                <c:pt idx="9">
                  <c:v>-1.7592612473364966</c:v>
                </c:pt>
                <c:pt idx="10">
                  <c:v>3.8626497182263222</c:v>
                </c:pt>
                <c:pt idx="11">
                  <c:v>0.37376710568412364</c:v>
                </c:pt>
                <c:pt idx="12">
                  <c:v>0.60861960894675349</c:v>
                </c:pt>
                <c:pt idx="13">
                  <c:v>3.6675371997157811</c:v>
                </c:pt>
                <c:pt idx="14">
                  <c:v>0.69699979014031044</c:v>
                </c:pt>
                <c:pt idx="15">
                  <c:v>1.0371076901644045</c:v>
                </c:pt>
                <c:pt idx="16">
                  <c:v>2.3844519038519962</c:v>
                </c:pt>
                <c:pt idx="17">
                  <c:v>3.1505861553301884</c:v>
                </c:pt>
                <c:pt idx="18">
                  <c:v>7.8772894879504776</c:v>
                </c:pt>
                <c:pt idx="19">
                  <c:v>-0.27078960340936931</c:v>
                </c:pt>
                <c:pt idx="20">
                  <c:v>-6.8002473186692924</c:v>
                </c:pt>
                <c:pt idx="21">
                  <c:v>-43.589067662393489</c:v>
                </c:pt>
                <c:pt idx="22">
                  <c:v>3.3890444903468904</c:v>
                </c:pt>
              </c:numCache>
            </c:numRef>
          </c:val>
          <c:smooth val="0"/>
          <c:extLst>
            <c:ext xmlns:c16="http://schemas.microsoft.com/office/drawing/2014/chart" uri="{C3380CC4-5D6E-409C-BE32-E72D297353CC}">
              <c16:uniqueId val="{00000002-C32F-448F-9851-BB1FD911E367}"/>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3"/>
          <c:order val="3"/>
          <c:tx>
            <c:strRef>
              <c:f>'výkonnost odvětví 2'!$A$34</c:f>
              <c:strCache>
                <c:ptCount val="1"/>
                <c:pt idx="0">
                  <c:v>Využití výrob. kapacit v prům. (pr. osa)</c:v>
                </c:pt>
              </c:strCache>
            </c:strRef>
          </c:tx>
          <c:spPr>
            <a:ln w="19050">
              <a:solidFill>
                <a:srgbClr val="00B050"/>
              </a:solidFill>
              <a:prstDash val="solid"/>
            </a:ln>
          </c:spPr>
          <c:marker>
            <c:symbol val="none"/>
          </c:marker>
          <c:cat>
            <c:multiLvlStrRef>
              <c:f>'výkonnost odvětví 2'!$R$29:$AO$30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2'!$R$34:$AO$34</c:f>
              <c:numCache>
                <c:formatCode>#\ ##0.0</c:formatCode>
                <c:ptCount val="24"/>
                <c:pt idx="0">
                  <c:v>86.2</c:v>
                </c:pt>
                <c:pt idx="1">
                  <c:v>85</c:v>
                </c:pt>
                <c:pt idx="2">
                  <c:v>85.6</c:v>
                </c:pt>
                <c:pt idx="3">
                  <c:v>83.9</c:v>
                </c:pt>
                <c:pt idx="4">
                  <c:v>84.5</c:v>
                </c:pt>
                <c:pt idx="5">
                  <c:v>84.7</c:v>
                </c:pt>
                <c:pt idx="6">
                  <c:v>84.7</c:v>
                </c:pt>
                <c:pt idx="7">
                  <c:v>84.1</c:v>
                </c:pt>
                <c:pt idx="8">
                  <c:v>84.9</c:v>
                </c:pt>
                <c:pt idx="9">
                  <c:v>83.1</c:v>
                </c:pt>
                <c:pt idx="10">
                  <c:v>84.4</c:v>
                </c:pt>
                <c:pt idx="11">
                  <c:v>84.3</c:v>
                </c:pt>
                <c:pt idx="12">
                  <c:v>85.8</c:v>
                </c:pt>
                <c:pt idx="13">
                  <c:v>85.4</c:v>
                </c:pt>
                <c:pt idx="14">
                  <c:v>86.2</c:v>
                </c:pt>
                <c:pt idx="15">
                  <c:v>85.8</c:v>
                </c:pt>
                <c:pt idx="16">
                  <c:v>85.8</c:v>
                </c:pt>
                <c:pt idx="17">
                  <c:v>85.9</c:v>
                </c:pt>
                <c:pt idx="18">
                  <c:v>84.8</c:v>
                </c:pt>
                <c:pt idx="19">
                  <c:v>84.1</c:v>
                </c:pt>
                <c:pt idx="20">
                  <c:v>84.2</c:v>
                </c:pt>
                <c:pt idx="21">
                  <c:v>71</c:v>
                </c:pt>
                <c:pt idx="22">
                  <c:v>75.5</c:v>
                </c:pt>
                <c:pt idx="23">
                  <c:v>81.099999999999994</c:v>
                </c:pt>
              </c:numCache>
            </c:numRef>
          </c:val>
          <c:smooth val="0"/>
          <c:extLst>
            <c:ext xmlns:c16="http://schemas.microsoft.com/office/drawing/2014/chart" uri="{C3380CC4-5D6E-409C-BE32-E72D297353CC}">
              <c16:uniqueId val="{00000003-C32F-448F-9851-BB1FD911E367}"/>
            </c:ext>
          </c:extLst>
        </c:ser>
        <c:ser>
          <c:idx val="1"/>
          <c:order val="4"/>
          <c:tx>
            <c:strRef>
              <c:f>'výkonnost odvětví 2'!$A$35</c:f>
              <c:strCache>
                <c:ptCount val="1"/>
                <c:pt idx="0">
                  <c:v>Využití kapac. v automobil. pr. (pr. osa)</c:v>
                </c:pt>
              </c:strCache>
            </c:strRef>
          </c:tx>
          <c:spPr>
            <a:ln w="15875">
              <a:solidFill>
                <a:srgbClr val="00B050"/>
              </a:solidFill>
              <a:prstDash val="sysDash"/>
            </a:ln>
          </c:spPr>
          <c:marker>
            <c:symbol val="none"/>
          </c:marker>
          <c:cat>
            <c:multiLvlStrRef>
              <c:f>'výkonnost odvětví 2'!$R$29:$AO$30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2'!$R$35:$AO$35</c:f>
              <c:numCache>
                <c:formatCode>0.0</c:formatCode>
                <c:ptCount val="24"/>
                <c:pt idx="0">
                  <c:v>92.8</c:v>
                </c:pt>
                <c:pt idx="1">
                  <c:v>91.1</c:v>
                </c:pt>
                <c:pt idx="2">
                  <c:v>93.1</c:v>
                </c:pt>
                <c:pt idx="3">
                  <c:v>88.7</c:v>
                </c:pt>
                <c:pt idx="4">
                  <c:v>91.6</c:v>
                </c:pt>
                <c:pt idx="5">
                  <c:v>90.3</c:v>
                </c:pt>
                <c:pt idx="6">
                  <c:v>93.1</c:v>
                </c:pt>
                <c:pt idx="7">
                  <c:v>90.9</c:v>
                </c:pt>
                <c:pt idx="8">
                  <c:v>93.2</c:v>
                </c:pt>
                <c:pt idx="9">
                  <c:v>87.3</c:v>
                </c:pt>
                <c:pt idx="10">
                  <c:v>90.7</c:v>
                </c:pt>
                <c:pt idx="11">
                  <c:v>90.5</c:v>
                </c:pt>
                <c:pt idx="12">
                  <c:v>91.1</c:v>
                </c:pt>
                <c:pt idx="13">
                  <c:v>91.6</c:v>
                </c:pt>
                <c:pt idx="14">
                  <c:v>92.1</c:v>
                </c:pt>
                <c:pt idx="15">
                  <c:v>93</c:v>
                </c:pt>
                <c:pt idx="16">
                  <c:v>92.8</c:v>
                </c:pt>
                <c:pt idx="17">
                  <c:v>93.6</c:v>
                </c:pt>
                <c:pt idx="18">
                  <c:v>92.3</c:v>
                </c:pt>
                <c:pt idx="19">
                  <c:v>93.4</c:v>
                </c:pt>
                <c:pt idx="20">
                  <c:v>90.5</c:v>
                </c:pt>
                <c:pt idx="21">
                  <c:v>50.8</c:v>
                </c:pt>
                <c:pt idx="22" formatCode="General">
                  <c:v>75.3</c:v>
                </c:pt>
                <c:pt idx="23" formatCode="General">
                  <c:v>90.9</c:v>
                </c:pt>
              </c:numCache>
            </c:numRef>
          </c:val>
          <c:smooth val="0"/>
          <c:extLst>
            <c:ext xmlns:c16="http://schemas.microsoft.com/office/drawing/2014/chart" uri="{C3380CC4-5D6E-409C-BE32-E72D297353CC}">
              <c16:uniqueId val="{00000004-C32F-448F-9851-BB1FD911E367}"/>
            </c:ext>
          </c:extLst>
        </c:ser>
        <c:ser>
          <c:idx val="4"/>
          <c:order val="5"/>
          <c:tx>
            <c:strRef>
              <c:f>'výkonnost odvětví 2'!$A$36</c:f>
              <c:strCache>
                <c:ptCount val="1"/>
                <c:pt idx="0">
                  <c:v>Bariéra růstu: nedost. poptávka (pr. osa)</c:v>
                </c:pt>
              </c:strCache>
            </c:strRef>
          </c:tx>
          <c:spPr>
            <a:ln w="15875">
              <a:solidFill>
                <a:srgbClr val="D2CD00"/>
              </a:solidFill>
              <a:prstDash val="solid"/>
            </a:ln>
          </c:spPr>
          <c:marker>
            <c:symbol val="none"/>
          </c:marker>
          <c:cat>
            <c:multiLvlStrRef>
              <c:f>'výkonnost odvětví 2'!$R$29:$AO$30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2'!$R$36:$AO$36</c:f>
              <c:numCache>
                <c:formatCode>#\ ##0.0</c:formatCode>
                <c:ptCount val="24"/>
                <c:pt idx="0">
                  <c:v>43.6</c:v>
                </c:pt>
                <c:pt idx="1">
                  <c:v>49.6</c:v>
                </c:pt>
                <c:pt idx="2">
                  <c:v>47.8</c:v>
                </c:pt>
                <c:pt idx="3">
                  <c:v>47.8</c:v>
                </c:pt>
                <c:pt idx="4">
                  <c:v>45.7</c:v>
                </c:pt>
                <c:pt idx="5">
                  <c:v>45.5</c:v>
                </c:pt>
                <c:pt idx="6">
                  <c:v>43</c:v>
                </c:pt>
                <c:pt idx="7">
                  <c:v>43.8</c:v>
                </c:pt>
                <c:pt idx="8">
                  <c:v>42.7</c:v>
                </c:pt>
                <c:pt idx="9">
                  <c:v>41.6</c:v>
                </c:pt>
                <c:pt idx="10">
                  <c:v>40.299999999999997</c:v>
                </c:pt>
                <c:pt idx="11">
                  <c:v>37.299999999999997</c:v>
                </c:pt>
                <c:pt idx="12">
                  <c:v>35.4</c:v>
                </c:pt>
                <c:pt idx="13">
                  <c:v>36</c:v>
                </c:pt>
                <c:pt idx="14">
                  <c:v>31.6</c:v>
                </c:pt>
                <c:pt idx="15">
                  <c:v>33.4</c:v>
                </c:pt>
                <c:pt idx="16">
                  <c:v>33.700000000000003</c:v>
                </c:pt>
                <c:pt idx="17">
                  <c:v>35.299999999999997</c:v>
                </c:pt>
                <c:pt idx="18">
                  <c:v>40.1</c:v>
                </c:pt>
                <c:pt idx="19">
                  <c:v>47.3</c:v>
                </c:pt>
                <c:pt idx="20">
                  <c:v>50.4</c:v>
                </c:pt>
                <c:pt idx="21">
                  <c:v>58.4</c:v>
                </c:pt>
                <c:pt idx="22">
                  <c:v>63.2</c:v>
                </c:pt>
                <c:pt idx="23">
                  <c:v>47.9</c:v>
                </c:pt>
              </c:numCache>
            </c:numRef>
          </c:val>
          <c:smooth val="0"/>
          <c:extLst>
            <c:ext xmlns:c16="http://schemas.microsoft.com/office/drawing/2014/chart" uri="{C3380CC4-5D6E-409C-BE32-E72D297353CC}">
              <c16:uniqueId val="{00000005-C32F-448F-9851-BB1FD911E367}"/>
            </c:ext>
          </c:extLst>
        </c:ser>
        <c:ser>
          <c:idx val="6"/>
          <c:order val="6"/>
          <c:tx>
            <c:strRef>
              <c:f>'výkonnost odvětví 2'!$A$37</c:f>
              <c:strCache>
                <c:ptCount val="1"/>
                <c:pt idx="0">
                  <c:v>Bariéra růstu: nedost. pracovníků (pr. osa)</c:v>
                </c:pt>
              </c:strCache>
            </c:strRef>
          </c:tx>
          <c:spPr>
            <a:ln w="19050">
              <a:solidFill>
                <a:srgbClr val="D2CD00"/>
              </a:solidFill>
              <a:prstDash val="sysDash"/>
            </a:ln>
          </c:spPr>
          <c:marker>
            <c:symbol val="none"/>
          </c:marker>
          <c:cat>
            <c:multiLvlStrRef>
              <c:f>'výkonnost odvětví 2'!$R$29:$AO$30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2'!$R$37:$AO$37</c:f>
              <c:numCache>
                <c:formatCode>#\ ##0.0</c:formatCode>
                <c:ptCount val="24"/>
                <c:pt idx="0">
                  <c:v>6.7</c:v>
                </c:pt>
                <c:pt idx="1">
                  <c:v>6.9</c:v>
                </c:pt>
                <c:pt idx="2">
                  <c:v>8.1</c:v>
                </c:pt>
                <c:pt idx="3">
                  <c:v>13.9</c:v>
                </c:pt>
                <c:pt idx="4">
                  <c:v>15.4</c:v>
                </c:pt>
                <c:pt idx="5">
                  <c:v>16.899999999999999</c:v>
                </c:pt>
                <c:pt idx="6">
                  <c:v>18.8</c:v>
                </c:pt>
                <c:pt idx="7">
                  <c:v>28.8</c:v>
                </c:pt>
                <c:pt idx="8">
                  <c:v>32.799999999999997</c:v>
                </c:pt>
                <c:pt idx="9">
                  <c:v>34.700000000000003</c:v>
                </c:pt>
                <c:pt idx="10">
                  <c:v>41.3</c:v>
                </c:pt>
                <c:pt idx="11">
                  <c:v>38.299999999999997</c:v>
                </c:pt>
                <c:pt idx="12">
                  <c:v>43.4</c:v>
                </c:pt>
                <c:pt idx="13">
                  <c:v>43.7</c:v>
                </c:pt>
                <c:pt idx="14">
                  <c:v>43.7</c:v>
                </c:pt>
                <c:pt idx="15">
                  <c:v>44.8</c:v>
                </c:pt>
                <c:pt idx="16">
                  <c:v>38.799999999999997</c:v>
                </c:pt>
                <c:pt idx="17">
                  <c:v>36.4</c:v>
                </c:pt>
                <c:pt idx="18">
                  <c:v>39.5</c:v>
                </c:pt>
                <c:pt idx="19">
                  <c:v>37.200000000000003</c:v>
                </c:pt>
                <c:pt idx="20">
                  <c:v>28.2</c:v>
                </c:pt>
                <c:pt idx="21">
                  <c:v>16.600000000000001</c:v>
                </c:pt>
                <c:pt idx="22">
                  <c:v>15.1</c:v>
                </c:pt>
                <c:pt idx="23">
                  <c:v>13.7</c:v>
                </c:pt>
              </c:numCache>
            </c:numRef>
          </c:val>
          <c:smooth val="0"/>
          <c:extLst>
            <c:ext xmlns:c16="http://schemas.microsoft.com/office/drawing/2014/chart" uri="{C3380CC4-5D6E-409C-BE32-E72D297353CC}">
              <c16:uniqueId val="{00000006-C32F-448F-9851-BB1FD911E367}"/>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50"/>
          <c:min val="-50"/>
        </c:scaling>
        <c:delete val="0"/>
        <c:axPos val="l"/>
        <c:majorGridlines>
          <c:spPr>
            <a:ln w="6350">
              <a:solidFill>
                <a:schemeClr val="bg1">
                  <a:lumMod val="75000"/>
                </a:schemeClr>
              </a:solidFill>
            </a:ln>
          </c:spPr>
        </c:majorGridlines>
        <c:title>
          <c:tx>
            <c:rich>
              <a:bodyPr/>
              <a:lstStyle/>
              <a:p>
                <a:pPr>
                  <a:defRPr sz="700" i="1"/>
                </a:pPr>
                <a:r>
                  <a:rPr lang="cs-CZ" sz="700" i="1"/>
                  <a:t>Zakázky</a:t>
                </a:r>
              </a:p>
            </c:rich>
          </c:tx>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a:defRPr sz="700" b="0" i="1"/>
                </a:pPr>
                <a:r>
                  <a:rPr lang="cs-CZ" sz="700" b="0" i="1"/>
                  <a:t>Využití výrobních kapacit, bariéry</a:t>
                </a:r>
                <a:r>
                  <a:rPr lang="cs-CZ" sz="700" b="0" i="1" baseline="0"/>
                  <a:t> růstu</a:t>
                </a:r>
                <a:endParaRPr lang="cs-CZ" sz="700" b="0" i="1"/>
              </a:p>
            </c:rich>
          </c:tx>
          <c:layout>
            <c:manualLayout>
              <c:xMode val="edge"/>
              <c:yMode val="edge"/>
              <c:x val="0.97051506350706762"/>
              <c:y val="0.16321710007880222"/>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8.1990961748686711E-3"/>
          <c:y val="0.86823820781267591"/>
          <c:w val="0.98379594369130352"/>
          <c:h val="0.12461330631543398"/>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24534441567209E-2"/>
          <c:y val="1.6563187842952781E-2"/>
          <c:w val="0.84237834302862169"/>
          <c:h val="0.76133625371490121"/>
        </c:manualLayout>
      </c:layout>
      <c:barChart>
        <c:barDir val="col"/>
        <c:grouping val="stacked"/>
        <c:varyColors val="0"/>
        <c:ser>
          <c:idx val="1"/>
          <c:order val="1"/>
          <c:tx>
            <c:strRef>
              <c:f>'výkonnost odvětví 3'!$Y$10</c:f>
              <c:strCache>
                <c:ptCount val="1"/>
                <c:pt idx="0">
                  <c:v>Pozemní stavitelství (příspěvek v p. b.)</c:v>
                </c:pt>
              </c:strCache>
            </c:strRef>
          </c:tx>
          <c:spPr>
            <a:solidFill>
              <a:srgbClr val="A6CDE9"/>
            </a:solidFill>
            <a:ln w="19050">
              <a:noFill/>
              <a:prstDash val="solid"/>
            </a:ln>
          </c:spPr>
          <c:invertIfNegative val="0"/>
          <c:cat>
            <c:multiLvlStrRef>
              <c:f>'výkonnost odvětví 3'!$V$31:$W$54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3'!$Y$31:$Y$54</c:f>
              <c:numCache>
                <c:formatCode>0.0</c:formatCode>
                <c:ptCount val="24"/>
                <c:pt idx="0">
                  <c:v>6.0353577921717445</c:v>
                </c:pt>
                <c:pt idx="1">
                  <c:v>5.0344336360092665</c:v>
                </c:pt>
                <c:pt idx="2">
                  <c:v>0.83991405631930482</c:v>
                </c:pt>
                <c:pt idx="3">
                  <c:v>-1.7679268242611799</c:v>
                </c:pt>
                <c:pt idx="4">
                  <c:v>-4.961386469684145</c:v>
                </c:pt>
                <c:pt idx="5">
                  <c:v>-5.0053651904143113</c:v>
                </c:pt>
                <c:pt idx="6">
                  <c:v>0.79008219209763464</c:v>
                </c:pt>
                <c:pt idx="7">
                  <c:v>3.9330775151819215</c:v>
                </c:pt>
                <c:pt idx="8">
                  <c:v>2.2587535649834822</c:v>
                </c:pt>
                <c:pt idx="9">
                  <c:v>9.9714493572031255</c:v>
                </c:pt>
                <c:pt idx="10">
                  <c:v>3.4298058301565888</c:v>
                </c:pt>
                <c:pt idx="11">
                  <c:v>2.6432589514824341</c:v>
                </c:pt>
                <c:pt idx="12">
                  <c:v>13.647835234619775</c:v>
                </c:pt>
                <c:pt idx="13">
                  <c:v>6.2810239468473954</c:v>
                </c:pt>
                <c:pt idx="14">
                  <c:v>7.6980094046369123</c:v>
                </c:pt>
                <c:pt idx="15">
                  <c:v>2.4633978461714738</c:v>
                </c:pt>
                <c:pt idx="16">
                  <c:v>2.9029043089585449</c:v>
                </c:pt>
                <c:pt idx="17">
                  <c:v>2.4455524106356248</c:v>
                </c:pt>
                <c:pt idx="18">
                  <c:v>-0.74527535294463099</c:v>
                </c:pt>
                <c:pt idx="19">
                  <c:v>2.4468386873770127</c:v>
                </c:pt>
                <c:pt idx="20">
                  <c:v>-0.70739206031474666</c:v>
                </c:pt>
                <c:pt idx="21">
                  <c:v>-9.2460761671764207</c:v>
                </c:pt>
                <c:pt idx="22">
                  <c:v>-7.0797797326893033</c:v>
                </c:pt>
              </c:numCache>
            </c:numRef>
          </c:val>
          <c:extLst>
            <c:ext xmlns:c16="http://schemas.microsoft.com/office/drawing/2014/chart" uri="{C3380CC4-5D6E-409C-BE32-E72D297353CC}">
              <c16:uniqueId val="{00000000-328C-45D5-A111-8886BE58E7F9}"/>
            </c:ext>
          </c:extLst>
        </c:ser>
        <c:ser>
          <c:idx val="2"/>
          <c:order val="2"/>
          <c:tx>
            <c:strRef>
              <c:f>'výkonnost odvětví 3'!$Z$10</c:f>
              <c:strCache>
                <c:ptCount val="1"/>
                <c:pt idx="0">
                  <c:v>Inženýrské stavitelství  (příspěvek v p. b.)</c:v>
                </c:pt>
              </c:strCache>
            </c:strRef>
          </c:tx>
          <c:spPr>
            <a:solidFill>
              <a:srgbClr val="E8AFB2"/>
            </a:solidFill>
            <a:ln w="19050">
              <a:noFill/>
              <a:prstDash val="solid"/>
            </a:ln>
          </c:spPr>
          <c:invertIfNegative val="0"/>
          <c:cat>
            <c:multiLvlStrRef>
              <c:f>'výkonnost odvětví 3'!$V$31:$W$54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3'!$Z$31:$Z$54</c:f>
              <c:numCache>
                <c:formatCode>0.0</c:formatCode>
                <c:ptCount val="24"/>
                <c:pt idx="0">
                  <c:v>3.2351294000699085</c:v>
                </c:pt>
                <c:pt idx="1">
                  <c:v>7.2125745130865599</c:v>
                </c:pt>
                <c:pt idx="2">
                  <c:v>7.4071447926227538</c:v>
                </c:pt>
                <c:pt idx="3">
                  <c:v>2.850850423983232</c:v>
                </c:pt>
                <c:pt idx="4">
                  <c:v>-1.2706926320683201</c:v>
                </c:pt>
                <c:pt idx="5">
                  <c:v>-5.42942411354933</c:v>
                </c:pt>
                <c:pt idx="6">
                  <c:v>-7.0580585191959884</c:v>
                </c:pt>
                <c:pt idx="7">
                  <c:v>-5.9123339322346631</c:v>
                </c:pt>
                <c:pt idx="8">
                  <c:v>-3.4039052840280202</c:v>
                </c:pt>
                <c:pt idx="9">
                  <c:v>-1.1834944971684989</c:v>
                </c:pt>
                <c:pt idx="10">
                  <c:v>-1.5252170086094223</c:v>
                </c:pt>
                <c:pt idx="11">
                  <c:v>0.24653782492947451</c:v>
                </c:pt>
                <c:pt idx="12">
                  <c:v>1.7596520825550204</c:v>
                </c:pt>
                <c:pt idx="13">
                  <c:v>1.2026244713491214</c:v>
                </c:pt>
                <c:pt idx="14">
                  <c:v>4.7165713141994141</c:v>
                </c:pt>
                <c:pt idx="15">
                  <c:v>1.8924803138896273</c:v>
                </c:pt>
                <c:pt idx="16">
                  <c:v>0.73628332261378748</c:v>
                </c:pt>
                <c:pt idx="17">
                  <c:v>1.8757678334174788</c:v>
                </c:pt>
                <c:pt idx="18">
                  <c:v>0.74313850681855098</c:v>
                </c:pt>
                <c:pt idx="19">
                  <c:v>0.85052102183779066</c:v>
                </c:pt>
                <c:pt idx="20">
                  <c:v>2.776271513774506</c:v>
                </c:pt>
                <c:pt idx="21">
                  <c:v>0.44641975157599134</c:v>
                </c:pt>
                <c:pt idx="22">
                  <c:v>-2.2344005172782966</c:v>
                </c:pt>
              </c:numCache>
            </c:numRef>
          </c:val>
          <c:extLst>
            <c:ext xmlns:c16="http://schemas.microsoft.com/office/drawing/2014/chart" uri="{C3380CC4-5D6E-409C-BE32-E72D297353CC}">
              <c16:uniqueId val="{00000001-328C-45D5-A111-8886BE58E7F9}"/>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7"/>
            <c:spPr>
              <a:solidFill>
                <a:schemeClr val="tx1">
                  <a:lumMod val="95000"/>
                  <a:lumOff val="5000"/>
                </a:schemeClr>
              </a:solidFill>
              <a:ln>
                <a:noFill/>
              </a:ln>
            </c:spPr>
          </c:marker>
          <c:cat>
            <c:multiLvlStrRef>
              <c:f>'výkonnost odvětví 3'!$V$31:$W$54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3'!$X$31:$X$54</c:f>
              <c:numCache>
                <c:formatCode>0.0</c:formatCode>
                <c:ptCount val="24"/>
                <c:pt idx="0">
                  <c:v>9.1876021118166449</c:v>
                </c:pt>
                <c:pt idx="1">
                  <c:v>11.97691942753147</c:v>
                </c:pt>
                <c:pt idx="2">
                  <c:v>7.889177604600988</c:v>
                </c:pt>
                <c:pt idx="3">
                  <c:v>0.9195521189888467</c:v>
                </c:pt>
                <c:pt idx="4">
                  <c:v>-6.2426723579692265</c:v>
                </c:pt>
                <c:pt idx="5">
                  <c:v>-10.289790791761504</c:v>
                </c:pt>
                <c:pt idx="6">
                  <c:v>-5.8970357530591286</c:v>
                </c:pt>
                <c:pt idx="7">
                  <c:v>-1.6504944399537607</c:v>
                </c:pt>
                <c:pt idx="8">
                  <c:v>-0.91846812136236622</c:v>
                </c:pt>
                <c:pt idx="9">
                  <c:v>9.0714963727292997</c:v>
                </c:pt>
                <c:pt idx="10">
                  <c:v>2.0771697340975948</c:v>
                </c:pt>
                <c:pt idx="11">
                  <c:v>2.9334352107099164</c:v>
                </c:pt>
                <c:pt idx="12">
                  <c:v>15.405770399310882</c:v>
                </c:pt>
                <c:pt idx="13">
                  <c:v>7.4840552808242791</c:v>
                </c:pt>
                <c:pt idx="14">
                  <c:v>12.409910024392062</c:v>
                </c:pt>
                <c:pt idx="15">
                  <c:v>4.281326368449669</c:v>
                </c:pt>
                <c:pt idx="16">
                  <c:v>3.6388234822049839</c:v>
                </c:pt>
                <c:pt idx="17">
                  <c:v>4.3227262409269827</c:v>
                </c:pt>
                <c:pt idx="18">
                  <c:v>-1.2048027836186748E-3</c:v>
                </c:pt>
                <c:pt idx="19">
                  <c:v>3.29737895298301</c:v>
                </c:pt>
                <c:pt idx="20">
                  <c:v>2.0686516223357785</c:v>
                </c:pt>
                <c:pt idx="21">
                  <c:v>-8.7991105648086858</c:v>
                </c:pt>
                <c:pt idx="22">
                  <c:v>-9.3149574142645264</c:v>
                </c:pt>
              </c:numCache>
            </c:numRef>
          </c:val>
          <c:smooth val="0"/>
          <c:extLst>
            <c:ext xmlns:c16="http://schemas.microsoft.com/office/drawing/2014/chart" uri="{C3380CC4-5D6E-409C-BE32-E72D297353CC}">
              <c16:uniqueId val="{00000002-328C-45D5-A111-8886BE58E7F9}"/>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Nové stavební zakázky (pravá osa)</c:v>
                </c:pt>
              </c:strCache>
            </c:strRef>
          </c:tx>
          <c:spPr>
            <a:ln w="15875">
              <a:solidFill>
                <a:srgbClr val="984807"/>
              </a:solidFill>
              <a:prstDash val="solid"/>
            </a:ln>
          </c:spPr>
          <c:marker>
            <c:symbol val="none"/>
          </c:marker>
          <c:cat>
            <c:multiLvlStrRef>
              <c:f>'výkonnost odvětví 3'!$V$31:$W$54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3'!$AA$31:$AA$54</c:f>
              <c:numCache>
                <c:formatCode>0.0</c:formatCode>
                <c:ptCount val="24"/>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-13.192451392856526</c:v>
                </c:pt>
                <c:pt idx="21">
                  <c:v>6.9046194347657632</c:v>
                </c:pt>
                <c:pt idx="22">
                  <c:v>2.1031732593324222</c:v>
                </c:pt>
              </c:numCache>
            </c:numRef>
          </c:val>
          <c:smooth val="0"/>
          <c:extLst>
            <c:ext xmlns:c16="http://schemas.microsoft.com/office/drawing/2014/chart" uri="{C3380CC4-5D6E-409C-BE32-E72D297353CC}">
              <c16:uniqueId val="{00000003-328C-45D5-A111-8886BE58E7F9}"/>
            </c:ext>
          </c:extLst>
        </c:ser>
        <c:ser>
          <c:idx val="4"/>
          <c:order val="4"/>
          <c:tx>
            <c:strRef>
              <c:f>'výkonnost odvětví 3'!$AB$10</c:f>
              <c:strCache>
                <c:ptCount val="1"/>
                <c:pt idx="0">
                  <c:v>Bariéra růstu: nedost. poptávka (pr. osa)</c:v>
                </c:pt>
              </c:strCache>
            </c:strRef>
          </c:tx>
          <c:spPr>
            <a:ln w="15875">
              <a:solidFill>
                <a:srgbClr val="00B050"/>
              </a:solidFill>
            </a:ln>
          </c:spPr>
          <c:marker>
            <c:symbol val="none"/>
          </c:marker>
          <c:cat>
            <c:multiLvlStrRef>
              <c:f>'výkonnost odvětví 3'!$V$31:$W$54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3'!$AB$31:$AB$54</c:f>
              <c:numCache>
                <c:formatCode>#\ ##0.0</c:formatCode>
                <c:ptCount val="24"/>
                <c:pt idx="0">
                  <c:v>65.8</c:v>
                </c:pt>
                <c:pt idx="1">
                  <c:v>60.4</c:v>
                </c:pt>
                <c:pt idx="2">
                  <c:v>58.9</c:v>
                </c:pt>
                <c:pt idx="3">
                  <c:v>57.6</c:v>
                </c:pt>
                <c:pt idx="4">
                  <c:v>54.5</c:v>
                </c:pt>
                <c:pt idx="5">
                  <c:v>61.1</c:v>
                </c:pt>
                <c:pt idx="6">
                  <c:v>60.4</c:v>
                </c:pt>
                <c:pt idx="7">
                  <c:v>57</c:v>
                </c:pt>
                <c:pt idx="8">
                  <c:v>53.9</c:v>
                </c:pt>
                <c:pt idx="9">
                  <c:v>54.3</c:v>
                </c:pt>
                <c:pt idx="10">
                  <c:v>50</c:v>
                </c:pt>
                <c:pt idx="11">
                  <c:v>48.3</c:v>
                </c:pt>
                <c:pt idx="12">
                  <c:v>40.299999999999997</c:v>
                </c:pt>
                <c:pt idx="13">
                  <c:v>38.200000000000003</c:v>
                </c:pt>
                <c:pt idx="14">
                  <c:v>33.4</c:v>
                </c:pt>
                <c:pt idx="15">
                  <c:v>24.1</c:v>
                </c:pt>
                <c:pt idx="16">
                  <c:v>25.4</c:v>
                </c:pt>
                <c:pt idx="17">
                  <c:v>23.3</c:v>
                </c:pt>
                <c:pt idx="18">
                  <c:v>17.899999999999999</c:v>
                </c:pt>
                <c:pt idx="19">
                  <c:v>20.9</c:v>
                </c:pt>
                <c:pt idx="20">
                  <c:v>30.3</c:v>
                </c:pt>
                <c:pt idx="21">
                  <c:v>29.3</c:v>
                </c:pt>
                <c:pt idx="22">
                  <c:v>38.799999999999997</c:v>
                </c:pt>
                <c:pt idx="23" formatCode="General">
                  <c:v>41.2</c:v>
                </c:pt>
              </c:numCache>
            </c:numRef>
          </c:val>
          <c:smooth val="0"/>
          <c:extLst>
            <c:ext xmlns:c16="http://schemas.microsoft.com/office/drawing/2014/chart" uri="{C3380CC4-5D6E-409C-BE32-E72D297353CC}">
              <c16:uniqueId val="{00000004-328C-45D5-A111-8886BE58E7F9}"/>
            </c:ext>
          </c:extLst>
        </c:ser>
        <c:ser>
          <c:idx val="5"/>
          <c:order val="5"/>
          <c:tx>
            <c:strRef>
              <c:f>'výkonnost odvětví 3'!$AC$10</c:f>
              <c:strCache>
                <c:ptCount val="1"/>
                <c:pt idx="0">
                  <c:v>Bariéra růstu: nedost. pracovníků (pr. osa)</c:v>
                </c:pt>
              </c:strCache>
            </c:strRef>
          </c:tx>
          <c:spPr>
            <a:ln w="15875">
              <a:solidFill>
                <a:srgbClr val="00B050"/>
              </a:solidFill>
              <a:prstDash val="sysDash"/>
            </a:ln>
          </c:spPr>
          <c:marker>
            <c:symbol val="none"/>
          </c:marker>
          <c:cat>
            <c:multiLvlStrRef>
              <c:f>'výkonnost odvětví 3'!$V$31:$W$54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3'!$AC$31:$AC$54</c:f>
              <c:numCache>
                <c:formatCode>#\ ##0.0</c:formatCode>
                <c:ptCount val="24"/>
                <c:pt idx="0">
                  <c:v>6.8</c:v>
                </c:pt>
                <c:pt idx="1">
                  <c:v>7.9</c:v>
                </c:pt>
                <c:pt idx="2">
                  <c:v>7.2</c:v>
                </c:pt>
                <c:pt idx="3">
                  <c:v>7</c:v>
                </c:pt>
                <c:pt idx="4">
                  <c:v>5.8</c:v>
                </c:pt>
                <c:pt idx="5">
                  <c:v>6.7</c:v>
                </c:pt>
                <c:pt idx="6">
                  <c:v>7.8</c:v>
                </c:pt>
                <c:pt idx="7">
                  <c:v>10.7</c:v>
                </c:pt>
                <c:pt idx="8">
                  <c:v>11.5</c:v>
                </c:pt>
                <c:pt idx="9">
                  <c:v>14</c:v>
                </c:pt>
                <c:pt idx="10">
                  <c:v>22.7</c:v>
                </c:pt>
                <c:pt idx="11">
                  <c:v>23.1</c:v>
                </c:pt>
                <c:pt idx="12">
                  <c:v>23.5</c:v>
                </c:pt>
                <c:pt idx="13">
                  <c:v>29.3</c:v>
                </c:pt>
                <c:pt idx="14">
                  <c:v>30.4</c:v>
                </c:pt>
                <c:pt idx="15">
                  <c:v>40.799999999999997</c:v>
                </c:pt>
                <c:pt idx="16">
                  <c:v>34.299999999999997</c:v>
                </c:pt>
                <c:pt idx="17">
                  <c:v>43</c:v>
                </c:pt>
                <c:pt idx="18">
                  <c:v>55</c:v>
                </c:pt>
                <c:pt idx="19">
                  <c:v>49.7</c:v>
                </c:pt>
                <c:pt idx="20">
                  <c:v>50</c:v>
                </c:pt>
                <c:pt idx="21">
                  <c:v>46.3</c:v>
                </c:pt>
                <c:pt idx="22">
                  <c:v>38.200000000000003</c:v>
                </c:pt>
                <c:pt idx="23" formatCode="0.0">
                  <c:v>34</c:v>
                </c:pt>
              </c:numCache>
            </c:numRef>
          </c:val>
          <c:smooth val="0"/>
          <c:extLst>
            <c:ext xmlns:c16="http://schemas.microsoft.com/office/drawing/2014/chart" uri="{C3380CC4-5D6E-409C-BE32-E72D297353CC}">
              <c16:uniqueId val="{00000005-328C-45D5-A111-8886BE58E7F9}"/>
            </c:ext>
          </c:extLst>
        </c:ser>
        <c:ser>
          <c:idx val="6"/>
          <c:order val="6"/>
          <c:tx>
            <c:strRef>
              <c:f>'výkonnost odvětví 3'!$AD$10</c:f>
              <c:strCache>
                <c:ptCount val="1"/>
                <c:pt idx="0">
                  <c:v>Saldo indik.důvěry ve stavebnictví (pr.osa)</c:v>
                </c:pt>
              </c:strCache>
            </c:strRef>
          </c:tx>
          <c:spPr>
            <a:ln w="6350">
              <a:solidFill>
                <a:schemeClr val="bg1">
                  <a:lumMod val="50000"/>
                </a:schemeClr>
              </a:solidFill>
              <a:prstDash val="sysDash"/>
            </a:ln>
          </c:spPr>
          <c:marker>
            <c:symbol val="circle"/>
            <c:size val="5"/>
            <c:spPr>
              <a:solidFill>
                <a:srgbClr val="FFFF00"/>
              </a:solidFill>
              <a:ln>
                <a:solidFill>
                  <a:prstClr val="black">
                    <a:lumMod val="95000"/>
                    <a:lumOff val="5000"/>
                  </a:prstClr>
                </a:solidFill>
              </a:ln>
            </c:spPr>
          </c:marker>
          <c:cat>
            <c:multiLvlStrRef>
              <c:f>'výkonnost odvětví 3'!$V$31:$W$54</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'výkonnost odvětví 3'!$AD$31:$AD$54</c:f>
              <c:numCache>
                <c:formatCode>0.0</c:formatCode>
                <c:ptCount val="24"/>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numCache>
            </c:numRef>
          </c:val>
          <c:smooth val="0"/>
          <c:extLst>
            <c:ext xmlns:c16="http://schemas.microsoft.com/office/drawing/2014/chart" uri="{C3380CC4-5D6E-409C-BE32-E72D297353CC}">
              <c16:uniqueId val="{00000006-328C-45D5-A111-8886BE58E7F9}"/>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a:defRPr sz="700" i="1"/>
                </a:pPr>
                <a:r>
                  <a:rPr lang="cs-CZ"/>
                  <a:t>Příspěvek</a:t>
                </a:r>
                <a:r>
                  <a:rPr lang="cs-CZ" baseline="0"/>
                  <a:t> k</a:t>
                </a:r>
                <a:r>
                  <a:rPr lang="cs-CZ" sz="700" b="0" i="1" u="none" strike="noStrike" kern="1200" baseline="0">
                    <a:solidFill>
                      <a:srgbClr val="000000"/>
                    </a:solidFill>
                    <a:latin typeface="Arial CE"/>
                    <a:cs typeface="Arial CE"/>
                  </a:rPr>
                  <a:t> </a:t>
                </a:r>
                <a:r>
                  <a:rPr lang="cs-CZ" baseline="0"/>
                  <a:t>růstu s</a:t>
                </a:r>
                <a:r>
                  <a:rPr lang="cs-CZ"/>
                  <a:t>tavební produkce</a:t>
                </a:r>
              </a:p>
            </c:rich>
          </c:tx>
          <c:layout>
            <c:manualLayout>
              <c:xMode val="edge"/>
              <c:yMode val="edge"/>
              <c:x val="2.6741790744013471E-3"/>
              <c:y val="0.18222167882907486"/>
            </c:manualLayout>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a:defRPr sz="700" i="1"/>
                </a:pPr>
                <a:r>
                  <a:rPr lang="cs-CZ" sz="700" b="0" i="1" u="none" strike="noStrike" baseline="0">
                    <a:effectLst/>
                  </a:rPr>
                  <a:t>Zakázky, S</a:t>
                </a:r>
                <a:r>
                  <a:rPr lang="cs-CZ"/>
                  <a:t>aldo indikátoru důvěry, Bariéry růstu</a:t>
                </a:r>
              </a:p>
            </c:rich>
          </c:tx>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8.0289395857067181E-3"/>
          <c:y val="0.86714554937397748"/>
          <c:w val="0.98289481343746343"/>
          <c:h val="0.1233574576253902"/>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72096235494860583"/>
        </c:manualLayout>
      </c:layout>
      <c:barChart>
        <c:barDir val="col"/>
        <c:grouping val="stacked"/>
        <c:varyColors val="0"/>
        <c:ser>
          <c:idx val="0"/>
          <c:order val="1"/>
          <c:tx>
            <c:strRef>
              <c:f>'Služby-příspěvkyk růstu'!$D$25</c:f>
              <c:strCache>
                <c:ptCount val="1"/>
                <c:pt idx="0">
                  <c:v>Doprava a skladování</c:v>
                </c:pt>
              </c:strCache>
            </c:strRef>
          </c:tx>
          <c:spPr>
            <a:solidFill>
              <a:srgbClr val="92D050"/>
            </a:solidFill>
            <a:ln>
              <a:noFill/>
            </a:ln>
          </c:spPr>
          <c:invertIfNegative val="0"/>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růstu'!$D$38:$D$61</c:f>
              <c:numCache>
                <c:formatCode>0.0</c:formatCode>
                <c:ptCount val="24"/>
                <c:pt idx="0">
                  <c:v>0.17664665608652994</c:v>
                </c:pt>
                <c:pt idx="1">
                  <c:v>-4.1191806268856823E-2</c:v>
                </c:pt>
                <c:pt idx="2">
                  <c:v>0.20050592493597819</c:v>
                </c:pt>
                <c:pt idx="3">
                  <c:v>4.2621733225056455E-2</c:v>
                </c:pt>
                <c:pt idx="4">
                  <c:v>0.2847890086816679</c:v>
                </c:pt>
                <c:pt idx="5">
                  <c:v>0.2013437768354992</c:v>
                </c:pt>
                <c:pt idx="6">
                  <c:v>0.13973435240156135</c:v>
                </c:pt>
                <c:pt idx="7">
                  <c:v>0.86054675864751384</c:v>
                </c:pt>
                <c:pt idx="8">
                  <c:v>1.6292630224051583</c:v>
                </c:pt>
                <c:pt idx="9">
                  <c:v>1.0923510311792821</c:v>
                </c:pt>
                <c:pt idx="10">
                  <c:v>1.1372534149644835</c:v>
                </c:pt>
                <c:pt idx="11">
                  <c:v>0.60479588760532188</c:v>
                </c:pt>
                <c:pt idx="12">
                  <c:v>1.7511692205268421</c:v>
                </c:pt>
                <c:pt idx="13">
                  <c:v>1.919432195003689</c:v>
                </c:pt>
                <c:pt idx="14">
                  <c:v>1.468778873734859</c:v>
                </c:pt>
                <c:pt idx="15">
                  <c:v>0.4982794536687275</c:v>
                </c:pt>
                <c:pt idx="16">
                  <c:v>0.78783162617261848</c:v>
                </c:pt>
                <c:pt idx="17">
                  <c:v>-7.9591460920066054E-2</c:v>
                </c:pt>
                <c:pt idx="18">
                  <c:v>-0.6745980802607312</c:v>
                </c:pt>
                <c:pt idx="19">
                  <c:v>-0.53852513438112048</c:v>
                </c:pt>
                <c:pt idx="20">
                  <c:v>-1.8193079383000845</c:v>
                </c:pt>
                <c:pt idx="21">
                  <c:v>-6.9009284183907846</c:v>
                </c:pt>
                <c:pt idx="22">
                  <c:v>-4.3994289771399169</c:v>
                </c:pt>
              </c:numCache>
            </c:numRef>
          </c:val>
          <c:extLst>
            <c:ext xmlns:c16="http://schemas.microsoft.com/office/drawing/2014/chart" uri="{C3380CC4-5D6E-409C-BE32-E72D297353CC}">
              <c16:uniqueId val="{00000000-72B1-4BE6-90C6-A42E0EFFEC16}"/>
            </c:ext>
          </c:extLst>
        </c:ser>
        <c:ser>
          <c:idx val="1"/>
          <c:order val="2"/>
          <c:tx>
            <c:strRef>
              <c:f>'Služby-příspěvkyk růstu'!$E$25</c:f>
              <c:strCache>
                <c:ptCount val="1"/>
                <c:pt idx="0">
                  <c:v>Ubytování, stravování a pohostinství</c:v>
                </c:pt>
              </c:strCache>
            </c:strRef>
          </c:tx>
          <c:spPr>
            <a:solidFill>
              <a:srgbClr val="00B0F0"/>
            </a:solidFill>
            <a:ln>
              <a:noFill/>
            </a:ln>
          </c:spPr>
          <c:invertIfNegative val="0"/>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růstu'!$E$38:$E$61</c:f>
              <c:numCache>
                <c:formatCode>0.0</c:formatCode>
                <c:ptCount val="24"/>
                <c:pt idx="0">
                  <c:v>0.23129656285271435</c:v>
                </c:pt>
                <c:pt idx="1">
                  <c:v>0.65512527744013138</c:v>
                </c:pt>
                <c:pt idx="2">
                  <c:v>0.65435384244755412</c:v>
                </c:pt>
                <c:pt idx="3">
                  <c:v>0.4022878434054255</c:v>
                </c:pt>
                <c:pt idx="4">
                  <c:v>0.42778529924397274</c:v>
                </c:pt>
                <c:pt idx="5">
                  <c:v>0.19282991881639683</c:v>
                </c:pt>
                <c:pt idx="6">
                  <c:v>0.56722386353934195</c:v>
                </c:pt>
                <c:pt idx="7">
                  <c:v>0.59850713498642405</c:v>
                </c:pt>
                <c:pt idx="8">
                  <c:v>0.95344619394002372</c:v>
                </c:pt>
                <c:pt idx="9">
                  <c:v>1.2083424521444015</c:v>
                </c:pt>
                <c:pt idx="10">
                  <c:v>0.55138916431274998</c:v>
                </c:pt>
                <c:pt idx="11">
                  <c:v>0.45464922880720454</c:v>
                </c:pt>
                <c:pt idx="12">
                  <c:v>0.18144865877241922</c:v>
                </c:pt>
                <c:pt idx="13">
                  <c:v>6.8047966010392827E-2</c:v>
                </c:pt>
                <c:pt idx="14">
                  <c:v>5.8849522681225439E-2</c:v>
                </c:pt>
                <c:pt idx="15">
                  <c:v>-3.63484737997853E-2</c:v>
                </c:pt>
                <c:pt idx="16">
                  <c:v>0.21874428606442176</c:v>
                </c:pt>
                <c:pt idx="17">
                  <c:v>0.16811767963389121</c:v>
                </c:pt>
                <c:pt idx="18">
                  <c:v>-1.5516486556566463E-2</c:v>
                </c:pt>
                <c:pt idx="19">
                  <c:v>-1.9964119515928132E-2</c:v>
                </c:pt>
                <c:pt idx="20">
                  <c:v>-1.0886720275564792</c:v>
                </c:pt>
                <c:pt idx="21">
                  <c:v>-4.9536646060457636</c:v>
                </c:pt>
                <c:pt idx="22">
                  <c:v>-1.9321474173347557</c:v>
                </c:pt>
              </c:numCache>
            </c:numRef>
          </c:val>
          <c:extLst>
            <c:ext xmlns:c16="http://schemas.microsoft.com/office/drawing/2014/chart" uri="{C3380CC4-5D6E-409C-BE32-E72D297353CC}">
              <c16:uniqueId val="{00000001-72B1-4BE6-90C6-A42E0EFFEC16}"/>
            </c:ext>
          </c:extLst>
        </c:ser>
        <c:ser>
          <c:idx val="2"/>
          <c:order val="3"/>
          <c:tx>
            <c:strRef>
              <c:f>'Služby-příspěvkyk růstu'!$F$25</c:f>
              <c:strCache>
                <c:ptCount val="1"/>
                <c:pt idx="0">
                  <c:v>Informační a komunikační činnosti</c:v>
                </c:pt>
              </c:strCache>
            </c:strRef>
          </c:tx>
          <c:spPr>
            <a:solidFill>
              <a:srgbClr val="E6E100"/>
            </a:solidFill>
            <a:ln>
              <a:noFill/>
            </a:ln>
          </c:spPr>
          <c:invertIfNegative val="0"/>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růstu'!$F$38:$F$61</c:f>
              <c:numCache>
                <c:formatCode>0.0</c:formatCode>
                <c:ptCount val="24"/>
                <c:pt idx="0">
                  <c:v>1.406135426754914</c:v>
                </c:pt>
                <c:pt idx="1">
                  <c:v>0.82436921704224986</c:v>
                </c:pt>
                <c:pt idx="2">
                  <c:v>0.81882390944147387</c:v>
                </c:pt>
                <c:pt idx="3">
                  <c:v>1.3066587801814382</c:v>
                </c:pt>
                <c:pt idx="4">
                  <c:v>0.37006165311793565</c:v>
                </c:pt>
                <c:pt idx="5">
                  <c:v>0.13188818524752718</c:v>
                </c:pt>
                <c:pt idx="6">
                  <c:v>0.33340534388535614</c:v>
                </c:pt>
                <c:pt idx="7">
                  <c:v>0.17729116925865968</c:v>
                </c:pt>
                <c:pt idx="8">
                  <c:v>0.73514247229341834</c:v>
                </c:pt>
                <c:pt idx="9">
                  <c:v>1.0091673493229187</c:v>
                </c:pt>
                <c:pt idx="10">
                  <c:v>0.7782751393660321</c:v>
                </c:pt>
                <c:pt idx="11">
                  <c:v>0.59050679451815402</c:v>
                </c:pt>
                <c:pt idx="12">
                  <c:v>1.4571786542074963</c:v>
                </c:pt>
                <c:pt idx="13">
                  <c:v>0.76023226586947656</c:v>
                </c:pt>
                <c:pt idx="14">
                  <c:v>1.4180945031018091</c:v>
                </c:pt>
                <c:pt idx="15">
                  <c:v>0.98127037080708135</c:v>
                </c:pt>
                <c:pt idx="16">
                  <c:v>1.2376549564823249</c:v>
                </c:pt>
                <c:pt idx="17">
                  <c:v>1.1687835637095845</c:v>
                </c:pt>
                <c:pt idx="18">
                  <c:v>0.89259025644613299</c:v>
                </c:pt>
                <c:pt idx="19">
                  <c:v>1.1682422746326189</c:v>
                </c:pt>
                <c:pt idx="20">
                  <c:v>0.70027864018557973</c:v>
                </c:pt>
                <c:pt idx="21">
                  <c:v>-1.3151831511925907E-2</c:v>
                </c:pt>
                <c:pt idx="22">
                  <c:v>-0.21964297298174101</c:v>
                </c:pt>
              </c:numCache>
            </c:numRef>
          </c:val>
          <c:extLst>
            <c:ext xmlns:c16="http://schemas.microsoft.com/office/drawing/2014/chart" uri="{C3380CC4-5D6E-409C-BE32-E72D297353CC}">
              <c16:uniqueId val="{00000002-72B1-4BE6-90C6-A42E0EFFEC16}"/>
            </c:ext>
          </c:extLst>
        </c:ser>
        <c:ser>
          <c:idx val="4"/>
          <c:order val="4"/>
          <c:tx>
            <c:strRef>
              <c:f>'Služby-příspěvkyk růstu'!$G$25</c:f>
              <c:strCache>
                <c:ptCount val="1"/>
                <c:pt idx="0">
                  <c:v>Činnosti v oblasti nemovitostí</c:v>
                </c:pt>
              </c:strCache>
            </c:strRef>
          </c:tx>
          <c:spPr>
            <a:solidFill>
              <a:schemeClr val="accent5">
                <a:lumMod val="60000"/>
                <a:lumOff val="40000"/>
              </a:schemeClr>
            </a:solidFill>
            <a:ln>
              <a:noFill/>
              <a:prstDash val="sysDash"/>
            </a:ln>
          </c:spPr>
          <c:invertIfNegative val="0"/>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růstu'!$G$38:$G$61</c:f>
              <c:numCache>
                <c:formatCode>0.0</c:formatCode>
                <c:ptCount val="24"/>
                <c:pt idx="0">
                  <c:v>4.5114687229023245E-2</c:v>
                </c:pt>
                <c:pt idx="1">
                  <c:v>-4.6332032044239775E-3</c:v>
                </c:pt>
                <c:pt idx="2">
                  <c:v>8.501573906631088E-2</c:v>
                </c:pt>
                <c:pt idx="3">
                  <c:v>4.2208307670905748E-2</c:v>
                </c:pt>
                <c:pt idx="4">
                  <c:v>0.22367935728325808</c:v>
                </c:pt>
                <c:pt idx="5">
                  <c:v>6.8179121728202077E-2</c:v>
                </c:pt>
                <c:pt idx="6">
                  <c:v>0.11569139996329859</c:v>
                </c:pt>
                <c:pt idx="7">
                  <c:v>-7.0466111464403208E-2</c:v>
                </c:pt>
                <c:pt idx="8">
                  <c:v>0.28170347429286569</c:v>
                </c:pt>
                <c:pt idx="9">
                  <c:v>0.36183937476132333</c:v>
                </c:pt>
                <c:pt idx="10">
                  <c:v>-3.8722622297636566E-2</c:v>
                </c:pt>
                <c:pt idx="11">
                  <c:v>0.13751786345915923</c:v>
                </c:pt>
                <c:pt idx="12">
                  <c:v>-1.6524920273683675E-2</c:v>
                </c:pt>
                <c:pt idx="13">
                  <c:v>-0.22648211104296087</c:v>
                </c:pt>
                <c:pt idx="14">
                  <c:v>-0.12424593628184907</c:v>
                </c:pt>
                <c:pt idx="15">
                  <c:v>-0.20693626254554429</c:v>
                </c:pt>
                <c:pt idx="16">
                  <c:v>0.14696794950550035</c:v>
                </c:pt>
                <c:pt idx="17">
                  <c:v>-2.7570979798889395E-2</c:v>
                </c:pt>
                <c:pt idx="18">
                  <c:v>-0.16565733749784456</c:v>
                </c:pt>
                <c:pt idx="19">
                  <c:v>-0.11837811878645006</c:v>
                </c:pt>
                <c:pt idx="20">
                  <c:v>0.19249038617600897</c:v>
                </c:pt>
                <c:pt idx="21">
                  <c:v>-0.41025731878421701</c:v>
                </c:pt>
                <c:pt idx="22">
                  <c:v>-0.22383004434364484</c:v>
                </c:pt>
              </c:numCache>
            </c:numRef>
          </c:val>
          <c:extLst>
            <c:ext xmlns:c16="http://schemas.microsoft.com/office/drawing/2014/chart" uri="{C3380CC4-5D6E-409C-BE32-E72D297353CC}">
              <c16:uniqueId val="{00000003-72B1-4BE6-90C6-A42E0EFFEC16}"/>
            </c:ext>
          </c:extLst>
        </c:ser>
        <c:ser>
          <c:idx val="5"/>
          <c:order val="5"/>
          <c:tx>
            <c:strRef>
              <c:f>'Služby-příspěvkyk růstu'!$H$25</c:f>
              <c:strCache>
                <c:ptCount val="1"/>
                <c:pt idx="0">
                  <c:v>Profesní, vědecké a technické činnosti</c:v>
                </c:pt>
              </c:strCache>
            </c:strRef>
          </c:tx>
          <c:spPr>
            <a:solidFill>
              <a:schemeClr val="accent6">
                <a:lumMod val="60000"/>
                <a:lumOff val="40000"/>
              </a:schemeClr>
            </a:solidFill>
            <a:ln>
              <a:noFill/>
            </a:ln>
          </c:spPr>
          <c:invertIfNegative val="0"/>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růstu'!$H$38:$H$61</c:f>
              <c:numCache>
                <c:formatCode>0.0</c:formatCode>
                <c:ptCount val="24"/>
                <c:pt idx="0">
                  <c:v>1.0479591562413866</c:v>
                </c:pt>
                <c:pt idx="1">
                  <c:v>0.71969962293987355</c:v>
                </c:pt>
                <c:pt idx="2">
                  <c:v>1.1295672614701802</c:v>
                </c:pt>
                <c:pt idx="3">
                  <c:v>-6.0066108957639967E-2</c:v>
                </c:pt>
                <c:pt idx="4">
                  <c:v>-0.35082040507946849</c:v>
                </c:pt>
                <c:pt idx="5">
                  <c:v>-1.3959582370116637</c:v>
                </c:pt>
                <c:pt idx="6">
                  <c:v>2.5986068888917958E-2</c:v>
                </c:pt>
                <c:pt idx="7">
                  <c:v>-0.33300568911978784</c:v>
                </c:pt>
                <c:pt idx="8">
                  <c:v>0.85547754285117605</c:v>
                </c:pt>
                <c:pt idx="9">
                  <c:v>0.67059702934732313</c:v>
                </c:pt>
                <c:pt idx="10">
                  <c:v>0.30942289865299605</c:v>
                </c:pt>
                <c:pt idx="11">
                  <c:v>0.4286605627369825</c:v>
                </c:pt>
                <c:pt idx="12">
                  <c:v>1.1045103780905805</c:v>
                </c:pt>
                <c:pt idx="13">
                  <c:v>0.53164385977728257</c:v>
                </c:pt>
                <c:pt idx="14">
                  <c:v>0.35977038412315243</c:v>
                </c:pt>
                <c:pt idx="15">
                  <c:v>-0.26571599613923336</c:v>
                </c:pt>
                <c:pt idx="16">
                  <c:v>0.75328605452031216</c:v>
                </c:pt>
                <c:pt idx="17">
                  <c:v>0.60971571991103668</c:v>
                </c:pt>
                <c:pt idx="18">
                  <c:v>-0.8212667004168428</c:v>
                </c:pt>
                <c:pt idx="19">
                  <c:v>-0.54861616969830773</c:v>
                </c:pt>
                <c:pt idx="20">
                  <c:v>-0.337912732040002</c:v>
                </c:pt>
                <c:pt idx="21">
                  <c:v>-3.2743650104791762</c:v>
                </c:pt>
                <c:pt idx="22">
                  <c:v>-1.0932854443799191</c:v>
                </c:pt>
              </c:numCache>
            </c:numRef>
          </c:val>
          <c:extLst>
            <c:ext xmlns:c16="http://schemas.microsoft.com/office/drawing/2014/chart" uri="{C3380CC4-5D6E-409C-BE32-E72D297353CC}">
              <c16:uniqueId val="{00000004-72B1-4BE6-90C6-A42E0EFFEC16}"/>
            </c:ext>
          </c:extLst>
        </c:ser>
        <c:ser>
          <c:idx val="6"/>
          <c:order val="6"/>
          <c:tx>
            <c:strRef>
              <c:f>'Služby-příspěvkyk růstu'!$I$25</c:f>
              <c:strCache>
                <c:ptCount val="1"/>
                <c:pt idx="0">
                  <c:v>Administrativní a podpůrné činnosti</c:v>
                </c:pt>
              </c:strCache>
            </c:strRef>
          </c:tx>
          <c:spPr>
            <a:solidFill>
              <a:schemeClr val="accent1">
                <a:lumMod val="20000"/>
                <a:lumOff val="80000"/>
              </a:schemeClr>
            </a:solidFill>
            <a:ln>
              <a:noFill/>
            </a:ln>
          </c:spPr>
          <c:invertIfNegative val="0"/>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růstu'!$I$38:$I$61</c:f>
              <c:numCache>
                <c:formatCode>0.0</c:formatCode>
                <c:ptCount val="24"/>
                <c:pt idx="0">
                  <c:v>0.51440215318243465</c:v>
                </c:pt>
                <c:pt idx="1">
                  <c:v>0.62115960470863207</c:v>
                </c:pt>
                <c:pt idx="2">
                  <c:v>0.43401453891286046</c:v>
                </c:pt>
                <c:pt idx="3">
                  <c:v>0.50281220016564265</c:v>
                </c:pt>
                <c:pt idx="4">
                  <c:v>0.52419839920051392</c:v>
                </c:pt>
                <c:pt idx="5">
                  <c:v>0.16599789347818159</c:v>
                </c:pt>
                <c:pt idx="6">
                  <c:v>0.26955520094101676</c:v>
                </c:pt>
                <c:pt idx="7">
                  <c:v>0.51433346571065852</c:v>
                </c:pt>
                <c:pt idx="8">
                  <c:v>1.2357717194790949</c:v>
                </c:pt>
                <c:pt idx="9">
                  <c:v>1.0863857236804175</c:v>
                </c:pt>
                <c:pt idx="10">
                  <c:v>0.64106908989186184</c:v>
                </c:pt>
                <c:pt idx="11">
                  <c:v>0.30440747123981599</c:v>
                </c:pt>
                <c:pt idx="12">
                  <c:v>0.53272062163062639</c:v>
                </c:pt>
                <c:pt idx="13">
                  <c:v>0.37833296302356378</c:v>
                </c:pt>
                <c:pt idx="14">
                  <c:v>0.43545533031232775</c:v>
                </c:pt>
                <c:pt idx="15">
                  <c:v>-1.2584742734802987E-2</c:v>
                </c:pt>
                <c:pt idx="16">
                  <c:v>0.48672782972125456</c:v>
                </c:pt>
                <c:pt idx="17">
                  <c:v>0.12905110832865488</c:v>
                </c:pt>
                <c:pt idx="18">
                  <c:v>-0.12206684052688305</c:v>
                </c:pt>
                <c:pt idx="19">
                  <c:v>-0.21581588760233156</c:v>
                </c:pt>
                <c:pt idx="20">
                  <c:v>-1.1792165485628452</c:v>
                </c:pt>
                <c:pt idx="21">
                  <c:v>-4.4490829389674564</c:v>
                </c:pt>
                <c:pt idx="22">
                  <c:v>-4.5164968690022587</c:v>
                </c:pt>
              </c:numCache>
            </c:numRef>
          </c:val>
          <c:extLst>
            <c:ext xmlns:c16="http://schemas.microsoft.com/office/drawing/2014/chart" uri="{C3380CC4-5D6E-409C-BE32-E72D297353CC}">
              <c16:uniqueId val="{00000005-72B1-4BE6-90C6-A42E0EFFEC16}"/>
            </c:ext>
          </c:extLst>
        </c:ser>
        <c:dLbls>
          <c:showLegendKey val="0"/>
          <c:showVal val="0"/>
          <c:showCatName val="0"/>
          <c:showSerName val="0"/>
          <c:showPercent val="0"/>
          <c:showBubbleSize val="0"/>
        </c:dLbls>
        <c:gapWidth val="40"/>
        <c:overlap val="100"/>
        <c:axId val="156100864"/>
        <c:axId val="156573696"/>
      </c:barChart>
      <c:lineChart>
        <c:grouping val="standard"/>
        <c:varyColors val="0"/>
        <c:ser>
          <c:idx val="3"/>
          <c:order val="0"/>
          <c:tx>
            <c:strRef>
              <c:f>'Služby-příspěvkyk růstu'!$C$25</c:f>
              <c:strCache>
                <c:ptCount val="1"/>
                <c:pt idx="0">
                  <c:v>Služby celkem</c:v>
                </c:pt>
              </c:strCache>
            </c:strRef>
          </c:tx>
          <c:spPr>
            <a:ln>
              <a:noFill/>
            </a:ln>
          </c:spPr>
          <c:marker>
            <c:symbol val="dash"/>
            <c:size val="7"/>
            <c:spPr>
              <a:solidFill>
                <a:schemeClr val="tx1">
                  <a:lumMod val="95000"/>
                  <a:lumOff val="5000"/>
                </a:schemeClr>
              </a:solidFill>
              <a:ln>
                <a:noFill/>
              </a:ln>
            </c:spPr>
          </c:marker>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růstu'!$C$38:$C$61</c:f>
              <c:numCache>
                <c:formatCode>0.0</c:formatCode>
                <c:ptCount val="24"/>
                <c:pt idx="0">
                  <c:v>3.4215546423470031</c:v>
                </c:pt>
                <c:pt idx="1">
                  <c:v>2.7745287126576059</c:v>
                </c:pt>
                <c:pt idx="2">
                  <c:v>3.3222812162743578</c:v>
                </c:pt>
                <c:pt idx="3">
                  <c:v>2.2365227556908285</c:v>
                </c:pt>
                <c:pt idx="4">
                  <c:v>1.4796933124478797</c:v>
                </c:pt>
                <c:pt idx="5">
                  <c:v>-0.6357193409058568</c:v>
                </c:pt>
                <c:pt idx="6">
                  <c:v>1.4515962296194929</c:v>
                </c:pt>
                <c:pt idx="7">
                  <c:v>1.7472067280190648</c:v>
                </c:pt>
                <c:pt idx="8">
                  <c:v>5.6908044252617369</c:v>
                </c:pt>
                <c:pt idx="9">
                  <c:v>5.4286829604356663</c:v>
                </c:pt>
                <c:pt idx="10">
                  <c:v>3.3786870848904869</c:v>
                </c:pt>
                <c:pt idx="11">
                  <c:v>2.5205378083666381</c:v>
                </c:pt>
                <c:pt idx="12">
                  <c:v>5.0105026129542809</c:v>
                </c:pt>
                <c:pt idx="13">
                  <c:v>3.4312071386414438</c:v>
                </c:pt>
                <c:pt idx="14">
                  <c:v>3.6167026776715248</c:v>
                </c:pt>
                <c:pt idx="15">
                  <c:v>0.95796434925644292</c:v>
                </c:pt>
                <c:pt idx="16">
                  <c:v>3.6312127024664322</c:v>
                </c:pt>
                <c:pt idx="17">
                  <c:v>1.9685056308642119</c:v>
                </c:pt>
                <c:pt idx="18">
                  <c:v>-0.90651518881273496</c:v>
                </c:pt>
                <c:pt idx="19">
                  <c:v>-0.27305715535151909</c:v>
                </c:pt>
                <c:pt idx="20">
                  <c:v>-3.5323402200978227</c:v>
                </c:pt>
                <c:pt idx="21">
                  <c:v>-20.001450124179325</c:v>
                </c:pt>
                <c:pt idx="22">
                  <c:v>-12.384831725182236</c:v>
                </c:pt>
              </c:numCache>
            </c:numRef>
          </c:val>
          <c:smooth val="0"/>
          <c:extLst>
            <c:ext xmlns:c16="http://schemas.microsoft.com/office/drawing/2014/chart" uri="{C3380CC4-5D6E-409C-BE32-E72D297353CC}">
              <c16:uniqueId val="{00000006-72B1-4BE6-90C6-A42E0EFFEC16}"/>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Saldo indik.důvěry ve službách (pr. osa)</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růstu'!$J$38:$J$61</c:f>
              <c:numCache>
                <c:formatCode>0.0</c:formatCode>
                <c:ptCount val="24"/>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numCache>
            </c:numRef>
          </c:val>
          <c:smooth val="0"/>
          <c:extLst>
            <c:ext xmlns:c16="http://schemas.microsoft.com/office/drawing/2014/chart" uri="{C3380CC4-5D6E-409C-BE32-E72D297353CC}">
              <c16:uniqueId val="{00000007-72B1-4BE6-90C6-A42E0EFFEC16}"/>
            </c:ext>
          </c:extLst>
        </c:ser>
        <c:ser>
          <c:idx val="8"/>
          <c:order val="8"/>
          <c:tx>
            <c:strRef>
              <c:f>'Služby-příspěvkyk růstu'!$K$25</c:f>
              <c:strCache>
                <c:ptCount val="1"/>
                <c:pt idx="0">
                  <c:v>Bariéra růstu: nedost. poptávka (pr. osa)</c:v>
                </c:pt>
              </c:strCache>
            </c:strRef>
          </c:tx>
          <c:spPr>
            <a:ln w="19050">
              <a:solidFill>
                <a:srgbClr val="00B050"/>
              </a:solidFill>
            </a:ln>
          </c:spPr>
          <c:marker>
            <c:symbol val="none"/>
          </c:marker>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růstu'!$K$38:$K$61</c:f>
              <c:numCache>
                <c:formatCode>#\ ##0.0</c:formatCode>
                <c:ptCount val="24"/>
                <c:pt idx="0">
                  <c:v>26.2</c:v>
                </c:pt>
                <c:pt idx="1">
                  <c:v>29</c:v>
                </c:pt>
                <c:pt idx="2">
                  <c:v>26.9</c:v>
                </c:pt>
                <c:pt idx="3">
                  <c:v>23.3</c:v>
                </c:pt>
                <c:pt idx="4">
                  <c:v>24</c:v>
                </c:pt>
                <c:pt idx="5">
                  <c:v>24.5</c:v>
                </c:pt>
                <c:pt idx="6">
                  <c:v>21</c:v>
                </c:pt>
                <c:pt idx="7">
                  <c:v>23.3</c:v>
                </c:pt>
                <c:pt idx="8">
                  <c:v>26.2</c:v>
                </c:pt>
                <c:pt idx="9">
                  <c:v>20.5</c:v>
                </c:pt>
                <c:pt idx="10">
                  <c:v>19.899999999999999</c:v>
                </c:pt>
                <c:pt idx="11">
                  <c:v>20.9</c:v>
                </c:pt>
                <c:pt idx="12">
                  <c:v>17.3</c:v>
                </c:pt>
                <c:pt idx="13">
                  <c:v>18.600000000000001</c:v>
                </c:pt>
                <c:pt idx="14">
                  <c:v>18.899999999999999</c:v>
                </c:pt>
                <c:pt idx="15">
                  <c:v>19.8</c:v>
                </c:pt>
                <c:pt idx="16">
                  <c:v>20.7</c:v>
                </c:pt>
                <c:pt idx="17">
                  <c:v>17.100000000000001</c:v>
                </c:pt>
                <c:pt idx="18">
                  <c:v>21.7</c:v>
                </c:pt>
                <c:pt idx="19">
                  <c:v>14.1</c:v>
                </c:pt>
                <c:pt idx="20">
                  <c:v>20.399999999999999</c:v>
                </c:pt>
                <c:pt idx="21">
                  <c:v>29.1</c:v>
                </c:pt>
                <c:pt idx="22">
                  <c:v>30.9</c:v>
                </c:pt>
                <c:pt idx="23">
                  <c:v>39</c:v>
                </c:pt>
              </c:numCache>
            </c:numRef>
          </c:val>
          <c:smooth val="0"/>
          <c:extLst>
            <c:ext xmlns:c16="http://schemas.microsoft.com/office/drawing/2014/chart" uri="{C3380CC4-5D6E-409C-BE32-E72D297353CC}">
              <c16:uniqueId val="{00000008-72B1-4BE6-90C6-A42E0EFFEC16}"/>
            </c:ext>
          </c:extLst>
        </c:ser>
        <c:ser>
          <c:idx val="9"/>
          <c:order val="9"/>
          <c:tx>
            <c:strRef>
              <c:f>'Služby-příspěvkyk růstu'!$L$25</c:f>
              <c:strCache>
                <c:ptCount val="1"/>
                <c:pt idx="0">
                  <c:v>Bariéra růstu: nedost. pracovníků (pr. osa)</c:v>
                </c:pt>
              </c:strCache>
            </c:strRef>
          </c:tx>
          <c:spPr>
            <a:ln w="19050">
              <a:solidFill>
                <a:srgbClr val="00B050"/>
              </a:solidFill>
              <a:prstDash val="sysDash"/>
            </a:ln>
          </c:spPr>
          <c:marker>
            <c:symbol val="none"/>
          </c:marker>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růstu'!$L$38:$L$61</c:f>
              <c:numCache>
                <c:formatCode>#\ ##0.0</c:formatCode>
                <c:ptCount val="24"/>
                <c:pt idx="0">
                  <c:v>2.8</c:v>
                </c:pt>
                <c:pt idx="1">
                  <c:v>5.7</c:v>
                </c:pt>
                <c:pt idx="2">
                  <c:v>5.9</c:v>
                </c:pt>
                <c:pt idx="3">
                  <c:v>5.8</c:v>
                </c:pt>
                <c:pt idx="4">
                  <c:v>8.6999999999999993</c:v>
                </c:pt>
                <c:pt idx="5">
                  <c:v>4.5999999999999996</c:v>
                </c:pt>
                <c:pt idx="6">
                  <c:v>7.1</c:v>
                </c:pt>
                <c:pt idx="7">
                  <c:v>9.1</c:v>
                </c:pt>
                <c:pt idx="8">
                  <c:v>10.1</c:v>
                </c:pt>
                <c:pt idx="9">
                  <c:v>10</c:v>
                </c:pt>
                <c:pt idx="10">
                  <c:v>9.3000000000000007</c:v>
                </c:pt>
                <c:pt idx="11">
                  <c:v>12.2</c:v>
                </c:pt>
                <c:pt idx="12">
                  <c:v>14.2</c:v>
                </c:pt>
                <c:pt idx="13">
                  <c:v>16.600000000000001</c:v>
                </c:pt>
                <c:pt idx="14">
                  <c:v>17.3</c:v>
                </c:pt>
                <c:pt idx="15">
                  <c:v>18.600000000000001</c:v>
                </c:pt>
                <c:pt idx="16">
                  <c:v>19.600000000000001</c:v>
                </c:pt>
                <c:pt idx="17">
                  <c:v>16.600000000000001</c:v>
                </c:pt>
                <c:pt idx="18">
                  <c:v>21.2</c:v>
                </c:pt>
                <c:pt idx="19">
                  <c:v>19.100000000000001</c:v>
                </c:pt>
                <c:pt idx="20">
                  <c:v>19.7</c:v>
                </c:pt>
                <c:pt idx="21">
                  <c:v>12.1</c:v>
                </c:pt>
                <c:pt idx="22">
                  <c:v>9.8000000000000007</c:v>
                </c:pt>
                <c:pt idx="23">
                  <c:v>11.1</c:v>
                </c:pt>
              </c:numCache>
            </c:numRef>
          </c:val>
          <c:smooth val="0"/>
          <c:extLst>
            <c:ext xmlns:c16="http://schemas.microsoft.com/office/drawing/2014/chart" uri="{C3380CC4-5D6E-409C-BE32-E72D297353CC}">
              <c16:uniqueId val="{00000009-72B1-4BE6-90C6-A42E0EFFEC16}"/>
            </c:ext>
          </c:extLst>
        </c:ser>
        <c:ser>
          <c:idx val="10"/>
          <c:order val="10"/>
          <c:tx>
            <c:strRef>
              <c:f>'Služby-příspěvkyk růstu'!$M$25</c:f>
              <c:strCache>
                <c:ptCount val="1"/>
                <c:pt idx="0">
                  <c:v>Bariéry růstu podniků: žádné (pravá osa)</c:v>
                </c:pt>
              </c:strCache>
            </c:strRef>
          </c:tx>
          <c:spPr>
            <a:ln w="19050">
              <a:solidFill>
                <a:srgbClr val="00B050"/>
              </a:solidFill>
              <a:prstDash val="sysDot"/>
            </a:ln>
          </c:spPr>
          <c:marker>
            <c:symbol val="none"/>
          </c:marker>
          <c:cat>
            <c:multiLvlStrRef>
              <c:f>'Služby-příspěvkyk růstu'!$A$38:$B$61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'Služby-příspěvkyk růstu'!$M$38:$M$61</c:f>
              <c:numCache>
                <c:formatCode>#\ ##0.0</c:formatCode>
                <c:ptCount val="24"/>
                <c:pt idx="0">
                  <c:v>43.8</c:v>
                </c:pt>
                <c:pt idx="1">
                  <c:v>42.8</c:v>
                </c:pt>
                <c:pt idx="2">
                  <c:v>46.2</c:v>
                </c:pt>
                <c:pt idx="3">
                  <c:v>50.3</c:v>
                </c:pt>
                <c:pt idx="4">
                  <c:v>47</c:v>
                </c:pt>
                <c:pt idx="5">
                  <c:v>46.5</c:v>
                </c:pt>
                <c:pt idx="6">
                  <c:v>51.8</c:v>
                </c:pt>
                <c:pt idx="7">
                  <c:v>48.6</c:v>
                </c:pt>
                <c:pt idx="8">
                  <c:v>45.5</c:v>
                </c:pt>
                <c:pt idx="9">
                  <c:v>47.7</c:v>
                </c:pt>
                <c:pt idx="10">
                  <c:v>48.2</c:v>
                </c:pt>
                <c:pt idx="11">
                  <c:v>46.6</c:v>
                </c:pt>
                <c:pt idx="12">
                  <c:v>49.6</c:v>
                </c:pt>
                <c:pt idx="13">
                  <c:v>45.4</c:v>
                </c:pt>
                <c:pt idx="14">
                  <c:v>43.4</c:v>
                </c:pt>
                <c:pt idx="15">
                  <c:v>46.4</c:v>
                </c:pt>
                <c:pt idx="16">
                  <c:v>45</c:v>
                </c:pt>
                <c:pt idx="17">
                  <c:v>46.4</c:v>
                </c:pt>
                <c:pt idx="18">
                  <c:v>45.9</c:v>
                </c:pt>
                <c:pt idx="19">
                  <c:v>47.5</c:v>
                </c:pt>
                <c:pt idx="20">
                  <c:v>44.4</c:v>
                </c:pt>
                <c:pt idx="21">
                  <c:v>32.9</c:v>
                </c:pt>
                <c:pt idx="22">
                  <c:v>27.1</c:v>
                </c:pt>
                <c:pt idx="23">
                  <c:v>26.4</c:v>
                </c:pt>
              </c:numCache>
            </c:numRef>
          </c:val>
          <c:smooth val="0"/>
          <c:extLst>
            <c:ext xmlns:c16="http://schemas.microsoft.com/office/drawing/2014/chart" uri="{C3380CC4-5D6E-409C-BE32-E72D297353CC}">
              <c16:uniqueId val="{0000000A-72B1-4BE6-90C6-A42E0EFFEC16}"/>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6"/>
          <c:min val="-24"/>
        </c:scaling>
        <c:delete val="0"/>
        <c:axPos val="l"/>
        <c:majorGridlines>
          <c:spPr>
            <a:ln w="6350">
              <a:solidFill>
                <a:schemeClr val="bg1">
                  <a:lumMod val="75000"/>
                </a:schemeClr>
              </a:solidFill>
            </a:ln>
          </c:spPr>
        </c:majorGridlines>
        <c:title>
          <c:tx>
            <c:rich>
              <a:bodyPr/>
              <a:lstStyle/>
              <a:p>
                <a:pPr>
                  <a:defRPr sz="700" b="0" i="1"/>
                </a:pPr>
                <a:r>
                  <a:rPr lang="cs-CZ" sz="700" b="0" i="1"/>
                  <a:t>Příspěvě</a:t>
                </a:r>
                <a:r>
                  <a:rPr lang="cs-CZ" sz="700" b="0" i="1" u="none" strike="noStrike" kern="1200" baseline="0">
                    <a:solidFill>
                      <a:sysClr val="windowText" lastClr="000000"/>
                    </a:solidFill>
                    <a:latin typeface="Arial" pitchFamily="34" charset="0"/>
                    <a:ea typeface="+mn-ea"/>
                    <a:cs typeface="+mn-cs"/>
                  </a:rPr>
                  <a:t>k k </a:t>
                </a:r>
                <a:r>
                  <a:rPr lang="cs-CZ" sz="700" b="0" i="1"/>
                  <a:t>růstu tržeb</a:t>
                </a:r>
              </a:p>
            </c:rich>
          </c:tx>
          <c:layout>
            <c:manualLayout>
              <c:xMode val="edge"/>
              <c:yMode val="edge"/>
              <c:x val="0"/>
              <c:y val="0.21427956658597461"/>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80"/>
          <c:min val="-15"/>
        </c:scaling>
        <c:delete val="0"/>
        <c:axPos val="r"/>
        <c:title>
          <c:tx>
            <c:rich>
              <a:bodyPr/>
              <a:lstStyle/>
              <a:p>
                <a:pPr>
                  <a:defRPr sz="700" b="0" i="1"/>
                </a:pPr>
                <a:r>
                  <a:rPr lang="cs-CZ" sz="700" b="0" i="1"/>
                  <a:t>Saldo indikátoru důvěry, Bariéry růstu</a:t>
                </a:r>
              </a:p>
            </c:rich>
          </c:tx>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6.4054887921738678E-5"/>
          <c:y val="0.82175247960207154"/>
          <c:w val="0.98850193828834876"/>
          <c:h val="0.16763527754636032"/>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481551840594413E-2"/>
          <c:y val="2.3304908251716772E-2"/>
          <c:w val="0.90781408308004052"/>
          <c:h val="0.612553754362265"/>
        </c:manualLayout>
      </c:layout>
      <c:barChart>
        <c:barDir val="col"/>
        <c:grouping val="clustered"/>
        <c:varyColors val="0"/>
        <c:ser>
          <c:idx val="0"/>
          <c:order val="0"/>
          <c:tx>
            <c:strRef>
              <c:f>'Vnější vztahy 2'!$A$6</c:f>
              <c:strCache>
                <c:ptCount val="1"/>
                <c:pt idx="0">
                  <c:v>2019</c:v>
                </c:pt>
              </c:strCache>
            </c:strRef>
          </c:tx>
          <c:spPr>
            <a:solidFill>
              <a:schemeClr val="tx1">
                <a:lumMod val="50000"/>
                <a:lumOff val="50000"/>
              </a:schemeClr>
            </a:solidFill>
            <a:ln>
              <a:noFill/>
            </a:ln>
          </c:spPr>
          <c:invertIfNegative val="0"/>
          <c:cat>
            <c:strRef>
              <c:f>'Vnější vztahy 2'!$B$5:$N$5</c:f>
              <c:strCache>
                <c:ptCount val="13"/>
                <c:pt idx="0">
                  <c:v>Ropa a zemní plyn</c:v>
                </c:pt>
                <c:pt idx="1">
                  <c:v>Potrav. výrobky</c:v>
                </c:pt>
                <c:pt idx="2">
                  <c:v>Oděvy</c:v>
                </c:pt>
                <c:pt idx="3">
                  <c:v>Koks, raf. ropné prod.</c:v>
                </c:pt>
                <c:pt idx="4">
                  <c:v>Chem. látky a přípr.</c:v>
                </c:pt>
                <c:pt idx="5">
                  <c:v>Farmac. výrobky</c:v>
                </c:pt>
                <c:pt idx="6">
                  <c:v>Ostat. nekov. minerály</c:v>
                </c:pt>
                <c:pt idx="7">
                  <c:v>Základní kovy</c:v>
                </c:pt>
                <c:pt idx="8">
                  <c:v>Kovodělné výrobky</c:v>
                </c:pt>
                <c:pt idx="9">
                  <c:v>Počítače, opt.                                          a elektron. přístr.</c:v>
                </c:pt>
                <c:pt idx="10">
                  <c:v>Elektrická zařízení</c:v>
                </c:pt>
                <c:pt idx="11">
                  <c:v>Stroje a zařízení j. n.</c:v>
                </c:pt>
                <c:pt idx="12">
                  <c:v>Motorová vozidla</c:v>
                </c:pt>
              </c:strCache>
            </c:strRef>
          </c:cat>
          <c:val>
            <c:numRef>
              <c:f>'Vnější vztahy 2'!$B$6:$N$6</c:f>
              <c:numCache>
                <c:formatCode>General</c:formatCode>
                <c:ptCount val="13"/>
                <c:pt idx="0">
                  <c:v>-93.004999999999995</c:v>
                </c:pt>
                <c:pt idx="1">
                  <c:v>-31.91</c:v>
                </c:pt>
                <c:pt idx="2">
                  <c:v>-24.768000000000001</c:v>
                </c:pt>
                <c:pt idx="3">
                  <c:v>-16.138999999999999</c:v>
                </c:pt>
                <c:pt idx="4">
                  <c:v>-83.789000000000001</c:v>
                </c:pt>
                <c:pt idx="5">
                  <c:v>-40.218000000000004</c:v>
                </c:pt>
                <c:pt idx="6">
                  <c:v>17.417999999999999</c:v>
                </c:pt>
                <c:pt idx="7">
                  <c:v>-93.156999999999996</c:v>
                </c:pt>
                <c:pt idx="8">
                  <c:v>44.210999999999999</c:v>
                </c:pt>
                <c:pt idx="9">
                  <c:v>-8.2789999999999999</c:v>
                </c:pt>
                <c:pt idx="10">
                  <c:v>32.54</c:v>
                </c:pt>
                <c:pt idx="11">
                  <c:v>46.786999999999999</c:v>
                </c:pt>
                <c:pt idx="12">
                  <c:v>352.59300000000002</c:v>
                </c:pt>
              </c:numCache>
            </c:numRef>
          </c:val>
          <c:extLst>
            <c:ext xmlns:c16="http://schemas.microsoft.com/office/drawing/2014/chart" uri="{C3380CC4-5D6E-409C-BE32-E72D297353CC}">
              <c16:uniqueId val="{00000000-7DC2-4BBF-90C0-B9EF75334A73}"/>
            </c:ext>
          </c:extLst>
        </c:ser>
        <c:ser>
          <c:idx val="1"/>
          <c:order val="1"/>
          <c:tx>
            <c:strRef>
              <c:f>'Vnější vztahy 2'!$A$7</c:f>
              <c:strCache>
                <c:ptCount val="1"/>
                <c:pt idx="0">
                  <c:v>2020</c:v>
                </c:pt>
              </c:strCache>
            </c:strRef>
          </c:tx>
          <c:spPr>
            <a:solidFill>
              <a:schemeClr val="bg1">
                <a:lumMod val="65000"/>
              </a:schemeClr>
            </a:solidFill>
          </c:spPr>
          <c:invertIfNegative val="0"/>
          <c:val>
            <c:numRef>
              <c:f>'Vnější vztahy 2'!$B$7:$N$7</c:f>
              <c:numCache>
                <c:formatCode>General</c:formatCode>
                <c:ptCount val="13"/>
                <c:pt idx="0">
                  <c:v>-51.183999999999997</c:v>
                </c:pt>
                <c:pt idx="1">
                  <c:v>-32.11</c:v>
                </c:pt>
                <c:pt idx="2">
                  <c:v>-22.696000000000002</c:v>
                </c:pt>
                <c:pt idx="3">
                  <c:v>-16.937000000000001</c:v>
                </c:pt>
                <c:pt idx="4">
                  <c:v>-76.917000000000002</c:v>
                </c:pt>
                <c:pt idx="5">
                  <c:v>-45.789000000000001</c:v>
                </c:pt>
                <c:pt idx="6">
                  <c:v>17.745999999999999</c:v>
                </c:pt>
                <c:pt idx="7">
                  <c:v>-72.03</c:v>
                </c:pt>
                <c:pt idx="8">
                  <c:v>41.183</c:v>
                </c:pt>
                <c:pt idx="9">
                  <c:v>-28.396000000000001</c:v>
                </c:pt>
                <c:pt idx="10">
                  <c:v>16.907</c:v>
                </c:pt>
                <c:pt idx="11">
                  <c:v>44.728000000000002</c:v>
                </c:pt>
                <c:pt idx="12">
                  <c:v>299.96499999999997</c:v>
                </c:pt>
              </c:numCache>
            </c:numRef>
          </c:val>
          <c:extLst>
            <c:ext xmlns:c16="http://schemas.microsoft.com/office/drawing/2014/chart" uri="{C3380CC4-5D6E-409C-BE32-E72D297353CC}">
              <c16:uniqueId val="{00000001-7DC2-4BBF-90C0-B9EF75334A73}"/>
            </c:ext>
          </c:extLst>
        </c:ser>
        <c:dLbls>
          <c:showLegendKey val="0"/>
          <c:showVal val="0"/>
          <c:showCatName val="0"/>
          <c:showSerName val="0"/>
          <c:showPercent val="0"/>
          <c:showBubbleSize val="0"/>
        </c:dLbls>
        <c:gapWidth val="97"/>
        <c:axId val="269967744"/>
        <c:axId val="269969280"/>
      </c:barChart>
      <c:catAx>
        <c:axId val="269967744"/>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269969280"/>
        <c:crosses val="autoZero"/>
        <c:auto val="1"/>
        <c:lblAlgn val="ctr"/>
        <c:lblOffset val="100"/>
        <c:noMultiLvlLbl val="0"/>
      </c:catAx>
      <c:valAx>
        <c:axId val="269969280"/>
        <c:scaling>
          <c:orientation val="minMax"/>
          <c:min val="-10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269967744"/>
        <c:crosses val="autoZero"/>
        <c:crossBetween val="between"/>
      </c:valAx>
      <c:spPr>
        <a:ln>
          <a:solidFill>
            <a:schemeClr val="tx1"/>
          </a:solidFill>
        </a:ln>
      </c:spPr>
    </c:plotArea>
    <c:legend>
      <c:legendPos val="b"/>
      <c:layout>
        <c:manualLayout>
          <c:xMode val="edge"/>
          <c:yMode val="edge"/>
          <c:x val="7.9999155690645057E-2"/>
          <c:y val="0.93271781816746591"/>
          <c:w val="0.90181273218507263"/>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299E-2"/>
          <c:w val="0.92237743255066085"/>
          <c:h val="0.71840716586326991"/>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2'!$C$18:$C$40</c:f>
              <c:numCache>
                <c:formatCode>0.0</c:formatCode>
                <c:ptCount val="23"/>
                <c:pt idx="0">
                  <c:v>9.9999999999994316E-2</c:v>
                </c:pt>
                <c:pt idx="1">
                  <c:v>0.70000000000000284</c:v>
                </c:pt>
                <c:pt idx="2">
                  <c:v>0.40000000000000568</c:v>
                </c:pt>
                <c:pt idx="3">
                  <c:v>9.9999999999994316E-2</c:v>
                </c:pt>
                <c:pt idx="4">
                  <c:v>0.5</c:v>
                </c:pt>
                <c:pt idx="5">
                  <c:v>0.20000000000000284</c:v>
                </c:pt>
                <c:pt idx="6">
                  <c:v>0.5</c:v>
                </c:pt>
                <c:pt idx="7">
                  <c:v>1.4000000000000057</c:v>
                </c:pt>
                <c:pt idx="8" formatCode="General">
                  <c:v>2.4000000000000057</c:v>
                </c:pt>
                <c:pt idx="9" formatCode="General">
                  <c:v>2.2000000000000028</c:v>
                </c:pt>
                <c:pt idx="10">
                  <c:v>2.5</c:v>
                </c:pt>
                <c:pt idx="11">
                  <c:v>2.6</c:v>
                </c:pt>
                <c:pt idx="12">
                  <c:v>1.9</c:v>
                </c:pt>
                <c:pt idx="13">
                  <c:v>2.2999999999999998</c:v>
                </c:pt>
                <c:pt idx="14">
                  <c:v>2.4</c:v>
                </c:pt>
                <c:pt idx="15">
                  <c:v>2.1</c:v>
                </c:pt>
                <c:pt idx="16">
                  <c:v>2.7</c:v>
                </c:pt>
                <c:pt idx="17">
                  <c:v>2.8</c:v>
                </c:pt>
                <c:pt idx="18">
                  <c:v>2.8</c:v>
                </c:pt>
                <c:pt idx="19">
                  <c:v>3</c:v>
                </c:pt>
                <c:pt idx="20">
                  <c:v>3.6</c:v>
                </c:pt>
                <c:pt idx="21">
                  <c:v>3.1</c:v>
                </c:pt>
                <c:pt idx="22">
                  <c:v>3.3</c:v>
                </c:pt>
              </c:numCache>
            </c:numRef>
          </c:val>
          <c:extLst>
            <c:ext xmlns:c16="http://schemas.microsoft.com/office/drawing/2014/chart" uri="{C3380CC4-5D6E-409C-BE32-E72D297353CC}">
              <c16:uniqueId val="{00000000-B6DC-4BCA-A084-DD2DEA3866A6}"/>
            </c:ext>
          </c:extLst>
        </c:ser>
        <c:dLbls>
          <c:showLegendKey val="0"/>
          <c:showVal val="0"/>
          <c:showCatName val="0"/>
          <c:showSerName val="0"/>
          <c:showPercent val="0"/>
          <c:showBubbleSize val="0"/>
        </c:dLbls>
        <c:gapWidth val="95"/>
        <c:axId val="270120064"/>
        <c:axId val="270121600"/>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2'!$D$18:$D$40</c:f>
              <c:numCache>
                <c:formatCode>0.0</c:formatCode>
                <c:ptCount val="23"/>
                <c:pt idx="0">
                  <c:v>-1.5999999999999943</c:v>
                </c:pt>
                <c:pt idx="1">
                  <c:v>-9.9999999999994316E-2</c:v>
                </c:pt>
                <c:pt idx="2">
                  <c:v>-0.90000000000000568</c:v>
                </c:pt>
                <c:pt idx="3">
                  <c:v>-1.5999999999999943</c:v>
                </c:pt>
                <c:pt idx="4">
                  <c:v>-1.7000000000000028</c:v>
                </c:pt>
                <c:pt idx="5">
                  <c:v>-2.4000000000000057</c:v>
                </c:pt>
                <c:pt idx="6">
                  <c:v>-0.79999999999999716</c:v>
                </c:pt>
                <c:pt idx="7">
                  <c:v>1.2000000000000028</c:v>
                </c:pt>
                <c:pt idx="8" formatCode="General">
                  <c:v>4.2000000000000028</c:v>
                </c:pt>
                <c:pt idx="9" formatCode="General">
                  <c:v>4.5</c:v>
                </c:pt>
                <c:pt idx="10">
                  <c:v>5.7</c:v>
                </c:pt>
                <c:pt idx="11">
                  <c:v>6.3</c:v>
                </c:pt>
                <c:pt idx="12">
                  <c:v>2.9</c:v>
                </c:pt>
                <c:pt idx="13" formatCode="#,##0.0_ ;\-#,##0.0\ ">
                  <c:v>2.2999999999999998</c:v>
                </c:pt>
                <c:pt idx="14">
                  <c:v>0.6</c:v>
                </c:pt>
                <c:pt idx="15">
                  <c:v>-0.5</c:v>
                </c:pt>
                <c:pt idx="16">
                  <c:v>1</c:v>
                </c:pt>
                <c:pt idx="17">
                  <c:v>2.5</c:v>
                </c:pt>
                <c:pt idx="18">
                  <c:v>3.5</c:v>
                </c:pt>
                <c:pt idx="19">
                  <c:v>4.3</c:v>
                </c:pt>
                <c:pt idx="20">
                  <c:v>6.1</c:v>
                </c:pt>
                <c:pt idx="21">
                  <c:v>6.5</c:v>
                </c:pt>
                <c:pt idx="22">
                  <c:v>4</c:v>
                </c:pt>
              </c:numCache>
            </c:numRef>
          </c:val>
          <c:smooth val="0"/>
          <c:extLst>
            <c:ext xmlns:c16="http://schemas.microsoft.com/office/drawing/2014/chart" uri="{C3380CC4-5D6E-409C-BE32-E72D297353CC}">
              <c16:uniqueId val="{00000001-B6DC-4BCA-A084-DD2DEA3866A6}"/>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2'!$F$18:$F$40</c:f>
              <c:numCache>
                <c:formatCode>0.0</c:formatCode>
                <c:ptCount val="23"/>
                <c:pt idx="0">
                  <c:v>1.0999999999999943</c:v>
                </c:pt>
                <c:pt idx="1">
                  <c:v>1.2000000000000028</c:v>
                </c:pt>
                <c:pt idx="2">
                  <c:v>0.79999999999999716</c:v>
                </c:pt>
                <c:pt idx="3">
                  <c:v>0.90000000000000568</c:v>
                </c:pt>
                <c:pt idx="4">
                  <c:v>0.90000000000000568</c:v>
                </c:pt>
                <c:pt idx="5">
                  <c:v>0.5</c:v>
                </c:pt>
                <c:pt idx="6">
                  <c:v>0.40000000000000568</c:v>
                </c:pt>
                <c:pt idx="7">
                  <c:v>0.59999999999999432</c:v>
                </c:pt>
                <c:pt idx="8" formatCode="General">
                  <c:v>0.79999999999999716</c:v>
                </c:pt>
                <c:pt idx="9" formatCode="General">
                  <c:v>1.5</c:v>
                </c:pt>
                <c:pt idx="10">
                  <c:v>2.1</c:v>
                </c:pt>
                <c:pt idx="11">
                  <c:v>2.2000000000000002</c:v>
                </c:pt>
                <c:pt idx="12">
                  <c:v>2.2999999999999998</c:v>
                </c:pt>
                <c:pt idx="13">
                  <c:v>2.6</c:v>
                </c:pt>
                <c:pt idx="14">
                  <c:v>3.2</c:v>
                </c:pt>
                <c:pt idx="15">
                  <c:v>3.8</c:v>
                </c:pt>
                <c:pt idx="16">
                  <c:v>5.4</c:v>
                </c:pt>
                <c:pt idx="17">
                  <c:v>5.7</c:v>
                </c:pt>
                <c:pt idx="18">
                  <c:v>5.2</c:v>
                </c:pt>
                <c:pt idx="19">
                  <c:v>5</c:v>
                </c:pt>
                <c:pt idx="20">
                  <c:v>4.2</c:v>
                </c:pt>
                <c:pt idx="21">
                  <c:v>3.2</c:v>
                </c:pt>
                <c:pt idx="22">
                  <c:v>2.7</c:v>
                </c:pt>
              </c:numCache>
            </c:numRef>
          </c:val>
          <c:smooth val="0"/>
          <c:extLst>
            <c:ext xmlns:c16="http://schemas.microsoft.com/office/drawing/2014/chart" uri="{C3380CC4-5D6E-409C-BE32-E72D297353CC}">
              <c16:uniqueId val="{00000002-B6DC-4BCA-A084-DD2DEA3866A6}"/>
            </c:ext>
          </c:extLst>
        </c:ser>
        <c:ser>
          <c:idx val="4"/>
          <c:order val="3"/>
          <c:tx>
            <c:strRef>
              <c:f>'Ceny 2'!$G$5</c:f>
              <c:strCache>
                <c:ptCount val="1"/>
                <c:pt idx="0">
                  <c:v>Doprava</c:v>
                </c:pt>
              </c:strCache>
            </c:strRef>
          </c:tx>
          <c:spPr>
            <a:ln w="19050">
              <a:solidFill>
                <a:srgbClr val="FFC000"/>
              </a:solidFill>
            </a:ln>
          </c:spPr>
          <c:marker>
            <c:symbol val="none"/>
          </c:marker>
          <c:cat>
            <c:multiLvlStrRef>
              <c:f>'Ceny 2'!$A$18:$B$40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2'!$G$18:$G$40</c:f>
              <c:numCache>
                <c:formatCode>General</c:formatCode>
                <c:ptCount val="23"/>
                <c:pt idx="0">
                  <c:v>-4.9000000000000057</c:v>
                </c:pt>
                <c:pt idx="1">
                  <c:v>-3.2999999999999972</c:v>
                </c:pt>
                <c:pt idx="2">
                  <c:v>-3.7999999999999972</c:v>
                </c:pt>
                <c:pt idx="3">
                  <c:v>-4.7000000000000028</c:v>
                </c:pt>
                <c:pt idx="4">
                  <c:v>-2.7000000000000028</c:v>
                </c:pt>
                <c:pt idx="5">
                  <c:v>-2.9000000000000057</c:v>
                </c:pt>
                <c:pt idx="6">
                  <c:v>-2.2999999999999972</c:v>
                </c:pt>
                <c:pt idx="7">
                  <c:v>1.0999999999999943</c:v>
                </c:pt>
                <c:pt idx="8">
                  <c:v>6</c:v>
                </c:pt>
                <c:pt idx="9">
                  <c:v>3.9000000000000057</c:v>
                </c:pt>
                <c:pt idx="10" formatCode="0.0">
                  <c:v>2.5</c:v>
                </c:pt>
                <c:pt idx="11" formatCode="0.0">
                  <c:v>2.5</c:v>
                </c:pt>
                <c:pt idx="12" formatCode="0.0">
                  <c:v>1</c:v>
                </c:pt>
                <c:pt idx="13" formatCode="0.0">
                  <c:v>3</c:v>
                </c:pt>
                <c:pt idx="14" formatCode="0.0">
                  <c:v>4.5</c:v>
                </c:pt>
                <c:pt idx="15" formatCode="0.0">
                  <c:v>2.6</c:v>
                </c:pt>
                <c:pt idx="16" formatCode="0.0">
                  <c:v>0.6</c:v>
                </c:pt>
                <c:pt idx="17" formatCode="0.0">
                  <c:v>0.8</c:v>
                </c:pt>
                <c:pt idx="18" formatCode="0.0">
                  <c:v>-0.2</c:v>
                </c:pt>
                <c:pt idx="19" formatCode="0.0">
                  <c:v>0.5</c:v>
                </c:pt>
                <c:pt idx="20">
                  <c:v>1.7</c:v>
                </c:pt>
                <c:pt idx="21" formatCode="0.0">
                  <c:v>-3.4</c:v>
                </c:pt>
                <c:pt idx="22" formatCode="0.0">
                  <c:v>-0.2</c:v>
                </c:pt>
              </c:numCache>
            </c:numRef>
          </c:val>
          <c:smooth val="0"/>
          <c:extLst>
            <c:ext xmlns:c16="http://schemas.microsoft.com/office/drawing/2014/chart" uri="{C3380CC4-5D6E-409C-BE32-E72D297353CC}">
              <c16:uniqueId val="{00000003-B6DC-4BCA-A084-DD2DEA3866A6}"/>
            </c:ext>
          </c:extLst>
        </c:ser>
        <c:ser>
          <c:idx val="2"/>
          <c:order val="4"/>
          <c:tx>
            <c:strRef>
              <c:f>'Ceny 2'!$E$5</c:f>
              <c:strCache>
                <c:ptCount val="1"/>
                <c:pt idx="0">
                  <c:v>Alkoholické nápoje a tabák</c:v>
                </c:pt>
              </c:strCache>
            </c:strRef>
          </c:tx>
          <c:spPr>
            <a:ln w="19050">
              <a:solidFill>
                <a:schemeClr val="accent2"/>
              </a:solidFill>
            </a:ln>
          </c:spPr>
          <c:marker>
            <c:symbol val="none"/>
          </c:marker>
          <c:cat>
            <c:multiLvlStrRef>
              <c:f>'Ceny 2'!$A$18:$B$40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2'!$E$18:$E$40</c:f>
              <c:numCache>
                <c:formatCode>0.0</c:formatCode>
                <c:ptCount val="23"/>
                <c:pt idx="0">
                  <c:v>3.4000000000000057</c:v>
                </c:pt>
                <c:pt idx="1">
                  <c:v>5.4000000000000057</c:v>
                </c:pt>
                <c:pt idx="2">
                  <c:v>5.2000000000000028</c:v>
                </c:pt>
                <c:pt idx="3">
                  <c:v>4.7000000000000028</c:v>
                </c:pt>
                <c:pt idx="4">
                  <c:v>3.5</c:v>
                </c:pt>
                <c:pt idx="5">
                  <c:v>4.4000000000000057</c:v>
                </c:pt>
                <c:pt idx="6">
                  <c:v>4.5</c:v>
                </c:pt>
                <c:pt idx="7">
                  <c:v>5.2000000000000028</c:v>
                </c:pt>
                <c:pt idx="8" formatCode="General">
                  <c:v>3.4000000000000057</c:v>
                </c:pt>
                <c:pt idx="9" formatCode="General">
                  <c:v>0.79999999999999716</c:v>
                </c:pt>
                <c:pt idx="10">
                  <c:v>1.3</c:v>
                </c:pt>
                <c:pt idx="11">
                  <c:v>1.5</c:v>
                </c:pt>
                <c:pt idx="12">
                  <c:v>2.5</c:v>
                </c:pt>
                <c:pt idx="13">
                  <c:v>3.6</c:v>
                </c:pt>
                <c:pt idx="14">
                  <c:v>2.8</c:v>
                </c:pt>
                <c:pt idx="15">
                  <c:v>3.1</c:v>
                </c:pt>
                <c:pt idx="16">
                  <c:v>3.3</c:v>
                </c:pt>
                <c:pt idx="17">
                  <c:v>1.7</c:v>
                </c:pt>
                <c:pt idx="18">
                  <c:v>1.9</c:v>
                </c:pt>
                <c:pt idx="19">
                  <c:v>1.8</c:v>
                </c:pt>
                <c:pt idx="20" formatCode="General">
                  <c:v>3.5</c:v>
                </c:pt>
                <c:pt idx="21">
                  <c:v>6.6</c:v>
                </c:pt>
                <c:pt idx="22">
                  <c:v>10.3</c:v>
                </c:pt>
              </c:numCache>
            </c:numRef>
          </c:val>
          <c:smooth val="0"/>
          <c:extLst>
            <c:ext xmlns:c16="http://schemas.microsoft.com/office/drawing/2014/chart" uri="{C3380CC4-5D6E-409C-BE32-E72D297353CC}">
              <c16:uniqueId val="{00000004-B6DC-4BCA-A084-DD2DEA3866A6}"/>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2'!$A$18:$B$40</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2015</c:v>
                  </c:pt>
                  <c:pt idx="4">
                    <c:v>2016</c:v>
                  </c:pt>
                  <c:pt idx="8">
                    <c:v>2017</c:v>
                  </c:pt>
                  <c:pt idx="12">
                    <c:v>2018</c:v>
                  </c:pt>
                  <c:pt idx="16">
                    <c:v>2019</c:v>
                  </c:pt>
                  <c:pt idx="20">
                    <c:v>2020</c:v>
                  </c:pt>
                </c:lvl>
              </c:multiLvlStrCache>
            </c:multiLvlStrRef>
          </c:cat>
          <c:val>
            <c:numRef>
              <c:f>'Ceny 2'!$H$18:$H$40</c:f>
              <c:numCache>
                <c:formatCode>###,###,##0.0</c:formatCode>
                <c:ptCount val="23"/>
                <c:pt idx="0">
                  <c:v>1.7000000000000028</c:v>
                </c:pt>
                <c:pt idx="1">
                  <c:v>1.5999999999999943</c:v>
                </c:pt>
                <c:pt idx="2">
                  <c:v>1.4000000000000057</c:v>
                </c:pt>
                <c:pt idx="3">
                  <c:v>1.2999999999999972</c:v>
                </c:pt>
                <c:pt idx="4">
                  <c:v>1.2000000000000028</c:v>
                </c:pt>
                <c:pt idx="5">
                  <c:v>1.0999999999999943</c:v>
                </c:pt>
                <c:pt idx="6">
                  <c:v>1.2000000000000028</c:v>
                </c:pt>
                <c:pt idx="7">
                  <c:v>2.7000000000000028</c:v>
                </c:pt>
                <c:pt idx="8">
                  <c:v>5.2000000000000028</c:v>
                </c:pt>
                <c:pt idx="9">
                  <c:v>5.7999999999999972</c:v>
                </c:pt>
                <c:pt idx="10">
                  <c:v>6.2999999999999972</c:v>
                </c:pt>
                <c:pt idx="11" formatCode="0.0">
                  <c:v>5.6</c:v>
                </c:pt>
                <c:pt idx="12" formatCode="0.0">
                  <c:v>3.5</c:v>
                </c:pt>
                <c:pt idx="13" formatCode="0.0">
                  <c:v>3.6</c:v>
                </c:pt>
                <c:pt idx="14" formatCode="0.0">
                  <c:v>3.5</c:v>
                </c:pt>
                <c:pt idx="15" formatCode="0.0">
                  <c:v>3.7</c:v>
                </c:pt>
                <c:pt idx="16" formatCode="0.0">
                  <c:v>3.8</c:v>
                </c:pt>
                <c:pt idx="17" formatCode="0.0">
                  <c:v>4</c:v>
                </c:pt>
                <c:pt idx="18" formatCode="0.0">
                  <c:v>4.5</c:v>
                </c:pt>
                <c:pt idx="19" formatCode="0.0">
                  <c:v>4.5999999999999996</c:v>
                </c:pt>
                <c:pt idx="20" formatCode="0.0">
                  <c:v>5.5</c:v>
                </c:pt>
                <c:pt idx="21" formatCode="0.0">
                  <c:v>5.0999999999999996</c:v>
                </c:pt>
                <c:pt idx="22" formatCode="0.0">
                  <c:v>4.9000000000000004</c:v>
                </c:pt>
              </c:numCache>
            </c:numRef>
          </c:val>
          <c:smooth val="0"/>
          <c:extLst>
            <c:ext xmlns:c16="http://schemas.microsoft.com/office/drawing/2014/chart" uri="{C3380CC4-5D6E-409C-BE32-E72D297353CC}">
              <c16:uniqueId val="{00000005-B6DC-4BCA-A084-DD2DEA3866A6}"/>
            </c:ext>
          </c:extLst>
        </c:ser>
        <c:dLbls>
          <c:showLegendKey val="0"/>
          <c:showVal val="0"/>
          <c:showCatName val="0"/>
          <c:showSerName val="0"/>
          <c:showPercent val="0"/>
          <c:showBubbleSize val="0"/>
        </c:dLbls>
        <c:marker val="1"/>
        <c:smooth val="0"/>
        <c:axId val="270120064"/>
        <c:axId val="270121600"/>
      </c:lineChart>
      <c:catAx>
        <c:axId val="27012006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121600"/>
        <c:crosses val="autoZero"/>
        <c:auto val="1"/>
        <c:lblAlgn val="ctr"/>
        <c:lblOffset val="100"/>
        <c:noMultiLvlLbl val="0"/>
      </c:catAx>
      <c:valAx>
        <c:axId val="270121600"/>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120064"/>
        <c:crosses val="autoZero"/>
        <c:crossBetween val="between"/>
        <c:majorUnit val="1"/>
      </c:valAx>
      <c:spPr>
        <a:ln>
          <a:solidFill>
            <a:schemeClr val="tx1"/>
          </a:solidFill>
        </a:ln>
      </c:spPr>
    </c:plotArea>
    <c:legend>
      <c:legendPos val="b"/>
      <c:layout>
        <c:manualLayout>
          <c:xMode val="edge"/>
          <c:yMode val="edge"/>
          <c:x val="5.6562816616008108E-2"/>
          <c:y val="0.86183552853765621"/>
          <c:w val="0.92202296521445437"/>
          <c:h val="0.1270841421830581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0.85282</cdr:x>
      <cdr:y>0.6918</cdr:y>
    </cdr:from>
    <cdr:to>
      <cdr:x>0.91862</cdr:x>
      <cdr:y>0.72239</cdr:y>
    </cdr:to>
    <cdr:sp macro="" textlink="">
      <cdr:nvSpPr>
        <cdr:cNvPr id="2" name="Kosoúhelník 1"/>
        <cdr:cNvSpPr/>
      </cdr:nvSpPr>
      <cdr:spPr bwMode="auto">
        <a:xfrm xmlns:a="http://schemas.openxmlformats.org/drawingml/2006/main" rot="19738280">
          <a:off x="4054657" y="2433708"/>
          <a:ext cx="312839" cy="107614"/>
        </a:xfrm>
        <a:prstGeom xmlns:a="http://schemas.openxmlformats.org/drawingml/2006/main" prst="parallelogram">
          <a:avLst/>
        </a:prstGeom>
        <a:solidFill xmlns:a="http://schemas.openxmlformats.org/drawingml/2006/main">
          <a:srgbClr val="FFFFFF"/>
        </a:solidFill>
        <a:ln xmlns:a="http://schemas.openxmlformats.org/drawingml/2006/main" w="9525" cap="flat" cmpd="sng" algn="ctr">
          <a:no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cs-CZ"/>
        </a:p>
      </cdr:txBody>
    </cdr:sp>
  </cdr:relSizeAnchor>
  <cdr:relSizeAnchor xmlns:cdr="http://schemas.openxmlformats.org/drawingml/2006/chartDrawing">
    <cdr:from>
      <cdr:x>0.84231</cdr:x>
      <cdr:y>0.75667</cdr:y>
    </cdr:from>
    <cdr:to>
      <cdr:x>0.88007</cdr:x>
      <cdr:y>0.75822</cdr:y>
    </cdr:to>
    <cdr:cxnSp macro="">
      <cdr:nvCxnSpPr>
        <cdr:cNvPr id="4" name="Přímá spojnice se šipkou 3"/>
        <cdr:cNvCxnSpPr/>
      </cdr:nvCxnSpPr>
      <cdr:spPr bwMode="auto">
        <a:xfrm xmlns:a="http://schemas.openxmlformats.org/drawingml/2006/main" flipV="1">
          <a:off x="4004677" y="2661933"/>
          <a:ext cx="179526" cy="5453"/>
        </a:xfrm>
        <a:prstGeom xmlns:a="http://schemas.openxmlformats.org/drawingml/2006/main" prst="straightConnector1">
          <a:avLst/>
        </a:prstGeom>
        <a:solidFill xmlns:a="http://schemas.openxmlformats.org/drawingml/2006/main">
          <a:srgbClr val="FFFFFF"/>
        </a:solidFill>
        <a:ln xmlns:a="http://schemas.openxmlformats.org/drawingml/2006/main" w="6350" cap="flat" cmpd="sng" algn="ctr">
          <a:solidFill>
            <a:schemeClr val="bg1">
              <a:lumMod val="50000"/>
            </a:schemeClr>
          </a:solidFill>
          <a:prstDash val="solid"/>
          <a:round/>
          <a:headEnd type="none" w="med" len="med"/>
          <a:tailEnd type="triangle" w="sm" len="med"/>
        </a:ln>
        <a:effectLst xmlns:a="http://schemas.openxmlformats.org/drawingml/2006/main"/>
      </cdr:spPr>
    </cdr:cxnSp>
  </cdr:relSizeAnchor>
  <cdr:relSizeAnchor xmlns:cdr="http://schemas.openxmlformats.org/drawingml/2006/chartDrawing">
    <cdr:from>
      <cdr:x>0.84228</cdr:x>
      <cdr:y>0.80159</cdr:y>
    </cdr:from>
    <cdr:to>
      <cdr:x>0.90411</cdr:x>
      <cdr:y>0.81182</cdr:y>
    </cdr:to>
    <cdr:cxnSp macro="">
      <cdr:nvCxnSpPr>
        <cdr:cNvPr id="5" name="Přímá spojnice se šipkou 4"/>
        <cdr:cNvCxnSpPr/>
      </cdr:nvCxnSpPr>
      <cdr:spPr bwMode="auto">
        <a:xfrm xmlns:a="http://schemas.openxmlformats.org/drawingml/2006/main">
          <a:off x="4004553" y="2819963"/>
          <a:ext cx="293945" cy="35973"/>
        </a:xfrm>
        <a:prstGeom xmlns:a="http://schemas.openxmlformats.org/drawingml/2006/main" prst="straightConnector1">
          <a:avLst/>
        </a:prstGeom>
        <a:solidFill xmlns:a="http://schemas.openxmlformats.org/drawingml/2006/main">
          <a:srgbClr val="FFFFFF"/>
        </a:solidFill>
        <a:ln xmlns:a="http://schemas.openxmlformats.org/drawingml/2006/main" w="6350" cap="flat" cmpd="sng" algn="ctr">
          <a:solidFill>
            <a:schemeClr val="bg1">
              <a:lumMod val="50000"/>
            </a:schemeClr>
          </a:solidFill>
          <a:prstDash val="solid"/>
          <a:round/>
          <a:headEnd type="none" w="med" len="med"/>
          <a:tailEnd type="triangle" w="sm" len="med"/>
        </a:ln>
        <a:effectLst xmlns:a="http://schemas.openxmlformats.org/drawingml/2006/main"/>
      </cdr:spPr>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FEEC-555B-468C-9496-7B0F163A8B6D}">
  <ds:schemaRefs>
    <ds:schemaRef ds:uri="http://schemas.openxmlformats.org/officeDocument/2006/bibliography"/>
  </ds:schemaRefs>
</ds:datastoreItem>
</file>

<file path=customXml/itemProps2.xml><?xml version="1.0" encoding="utf-8"?>
<ds:datastoreItem xmlns:ds="http://schemas.openxmlformats.org/officeDocument/2006/customXml" ds:itemID="{844627F8-3586-452C-A4C4-A11705E0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TotalTime>
  <Pages>35</Pages>
  <Words>14134</Words>
  <Characters>83394</Characters>
  <Application>Microsoft Office Word</Application>
  <DocSecurity>0</DocSecurity>
  <Lines>694</Lines>
  <Paragraphs>194</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97334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2020-12-16T06:31:00Z</dcterms:created>
  <dcterms:modified xsi:type="dcterms:W3CDTF">2020-12-16T07:50:00Z</dcterms:modified>
</cp:coreProperties>
</file>