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EB718" w14:textId="78F6A285" w:rsidR="009B553D" w:rsidRPr="006347C6" w:rsidRDefault="009B553D" w:rsidP="009B553D">
      <w:pPr>
        <w:pStyle w:val="Nadpis11"/>
        <w:rPr>
          <w:lang w:val="en-GB"/>
        </w:rPr>
      </w:pPr>
      <w:bookmarkStart w:id="0" w:name="_Toc90395913"/>
      <w:bookmarkStart w:id="1" w:name="_Toc50712130"/>
      <w:bookmarkStart w:id="2" w:name="_Toc58605377"/>
      <w:bookmarkStart w:id="3" w:name="_Toc26865023"/>
      <w:bookmarkStart w:id="4" w:name="_Toc74246554"/>
      <w:bookmarkStart w:id="5" w:name="_Toc66719933"/>
      <w:bookmarkStart w:id="6" w:name="_Toc50712132"/>
      <w:bookmarkStart w:id="7" w:name="_Toc98756081"/>
      <w:r w:rsidRPr="009110F7">
        <w:t>5</w:t>
      </w:r>
      <w:r>
        <w:t>. </w:t>
      </w:r>
      <w:r w:rsidR="000B5C9C" w:rsidRPr="006347C6">
        <w:rPr>
          <w:lang w:val="en-GB"/>
        </w:rPr>
        <w:t>Prices</w:t>
      </w:r>
      <w:bookmarkEnd w:id="0"/>
      <w:bookmarkEnd w:id="7"/>
    </w:p>
    <w:tbl>
      <w:tblPr>
        <w:tblW w:w="9639" w:type="dxa"/>
        <w:tblInd w:w="-15" w:type="dxa"/>
        <w:tblCellMar>
          <w:left w:w="0" w:type="dxa"/>
          <w:right w:w="0" w:type="dxa"/>
        </w:tblCellMar>
        <w:tblLook w:val="00A0" w:firstRow="1" w:lastRow="0" w:firstColumn="1" w:lastColumn="0" w:noHBand="0" w:noVBand="0"/>
      </w:tblPr>
      <w:tblGrid>
        <w:gridCol w:w="1805"/>
        <w:gridCol w:w="224"/>
        <w:gridCol w:w="7610"/>
      </w:tblGrid>
      <w:tr w:rsidR="009B553D" w:rsidRPr="006347C6" w14:paraId="5E9509D1" w14:textId="77777777" w:rsidTr="00913237">
        <w:trPr>
          <w:trHeight w:val="145"/>
        </w:trPr>
        <w:tc>
          <w:tcPr>
            <w:tcW w:w="1805" w:type="dxa"/>
            <w:shd w:val="clear" w:color="auto" w:fill="auto"/>
            <w:tcMar>
              <w:left w:w="0" w:type="dxa"/>
            </w:tcMar>
          </w:tcPr>
          <w:p w14:paraId="6CF3200F" w14:textId="767F6AC8" w:rsidR="009B553D" w:rsidRPr="006347C6" w:rsidRDefault="006347C6" w:rsidP="00913237">
            <w:pPr>
              <w:pStyle w:val="Marginlie"/>
              <w:rPr>
                <w:spacing w:val="0"/>
                <w:lang w:val="en-GB"/>
              </w:rPr>
            </w:pPr>
            <w:r>
              <w:rPr>
                <w:spacing w:val="0"/>
                <w:lang w:val="en-GB"/>
              </w:rPr>
              <w:t xml:space="preserve">Total price level in the economy was markedly higher year-on-year. </w:t>
            </w:r>
          </w:p>
        </w:tc>
        <w:tc>
          <w:tcPr>
            <w:tcW w:w="224" w:type="dxa"/>
            <w:shd w:val="clear" w:color="auto" w:fill="auto"/>
            <w:tcMar>
              <w:left w:w="0" w:type="dxa"/>
            </w:tcMar>
          </w:tcPr>
          <w:p w14:paraId="4621C188" w14:textId="77777777" w:rsidR="009B553D" w:rsidRPr="006347C6" w:rsidRDefault="009B553D" w:rsidP="00913237">
            <w:pPr>
              <w:pStyle w:val="Textpoznpodarou1"/>
              <w:jc w:val="both"/>
              <w:rPr>
                <w:lang w:val="en-GB"/>
              </w:rPr>
            </w:pPr>
          </w:p>
        </w:tc>
        <w:tc>
          <w:tcPr>
            <w:tcW w:w="7610" w:type="dxa"/>
            <w:shd w:val="clear" w:color="auto" w:fill="auto"/>
            <w:tcMar>
              <w:left w:w="0" w:type="dxa"/>
            </w:tcMar>
          </w:tcPr>
          <w:p w14:paraId="180A4F68" w14:textId="7B8D739B" w:rsidR="009B553D" w:rsidRPr="006347C6" w:rsidRDefault="006347C6" w:rsidP="00913237">
            <w:pPr>
              <w:rPr>
                <w:szCs w:val="20"/>
                <w:lang w:val="en-GB"/>
              </w:rPr>
            </w:pPr>
            <w:r>
              <w:rPr>
                <w:szCs w:val="20"/>
                <w:lang w:val="en-GB"/>
              </w:rPr>
              <w:t xml:space="preserve">Total growth of the price level in the domestic economy according to the GDP deflator reached 4.1% in </w:t>
            </w:r>
            <w:r w:rsidR="009B553D" w:rsidRPr="006347C6">
              <w:rPr>
                <w:szCs w:val="20"/>
                <w:lang w:val="en-GB"/>
              </w:rPr>
              <w:t>2021</w:t>
            </w:r>
            <w:r>
              <w:rPr>
                <w:szCs w:val="20"/>
                <w:lang w:val="en-GB"/>
              </w:rPr>
              <w:t xml:space="preserve">. The price level of both consumption </w:t>
            </w:r>
            <w:r w:rsidR="009B553D" w:rsidRPr="006347C6">
              <w:rPr>
                <w:szCs w:val="20"/>
                <w:lang w:val="en-GB"/>
              </w:rPr>
              <w:t>(3</w:t>
            </w:r>
            <w:r>
              <w:rPr>
                <w:szCs w:val="20"/>
                <w:lang w:val="en-GB"/>
              </w:rPr>
              <w:t>.</w:t>
            </w:r>
            <w:r w:rsidR="009B553D" w:rsidRPr="006347C6">
              <w:rPr>
                <w:szCs w:val="20"/>
                <w:lang w:val="en-GB"/>
              </w:rPr>
              <w:t>4%)</w:t>
            </w:r>
            <w:r>
              <w:rPr>
                <w:szCs w:val="20"/>
                <w:lang w:val="en-GB"/>
              </w:rPr>
              <w:t xml:space="preserve"> and capital goods </w:t>
            </w:r>
            <w:r w:rsidR="009B553D" w:rsidRPr="006347C6">
              <w:rPr>
                <w:szCs w:val="20"/>
                <w:lang w:val="en-GB"/>
              </w:rPr>
              <w:t>(5</w:t>
            </w:r>
            <w:r>
              <w:rPr>
                <w:szCs w:val="20"/>
                <w:lang w:val="en-GB"/>
              </w:rPr>
              <w:t>.</w:t>
            </w:r>
            <w:r w:rsidR="009B553D" w:rsidRPr="006347C6">
              <w:rPr>
                <w:szCs w:val="20"/>
                <w:lang w:val="en-GB"/>
              </w:rPr>
              <w:t>6%)</w:t>
            </w:r>
            <w:r>
              <w:rPr>
                <w:szCs w:val="20"/>
                <w:lang w:val="en-GB"/>
              </w:rPr>
              <w:t xml:space="preserve"> grew</w:t>
            </w:r>
            <w:r w:rsidR="009B553D" w:rsidRPr="006347C6">
              <w:rPr>
                <w:szCs w:val="20"/>
                <w:lang w:val="en-GB"/>
              </w:rPr>
              <w:t>.</w:t>
            </w:r>
            <w:r>
              <w:rPr>
                <w:szCs w:val="20"/>
                <w:lang w:val="en-GB"/>
              </w:rPr>
              <w:t xml:space="preserve"> The terms of trade of the foreign trade achieved </w:t>
            </w:r>
            <w:r w:rsidR="009B553D" w:rsidRPr="006347C6">
              <w:rPr>
                <w:szCs w:val="20"/>
                <w:lang w:val="en-GB"/>
              </w:rPr>
              <w:t>100</w:t>
            </w:r>
            <w:r>
              <w:rPr>
                <w:szCs w:val="20"/>
                <w:lang w:val="en-GB"/>
              </w:rPr>
              <w:t>.</w:t>
            </w:r>
            <w:r w:rsidR="009B553D" w:rsidRPr="006347C6">
              <w:rPr>
                <w:szCs w:val="20"/>
                <w:lang w:val="en-GB"/>
              </w:rPr>
              <w:t>1%</w:t>
            </w:r>
            <w:r>
              <w:rPr>
                <w:szCs w:val="20"/>
                <w:lang w:val="en-GB"/>
              </w:rPr>
              <w:t xml:space="preserve"> last year</w:t>
            </w:r>
            <w:r w:rsidR="009B553D" w:rsidRPr="006347C6">
              <w:rPr>
                <w:szCs w:val="20"/>
                <w:lang w:val="en-GB"/>
              </w:rPr>
              <w:t xml:space="preserve">. </w:t>
            </w:r>
            <w:r w:rsidR="005C016A">
              <w:rPr>
                <w:szCs w:val="20"/>
                <w:lang w:val="en-GB"/>
              </w:rPr>
              <w:t xml:space="preserve">Year-on-year growth of the price level in total rose to </w:t>
            </w:r>
            <w:r w:rsidR="009B553D" w:rsidRPr="006347C6">
              <w:rPr>
                <w:szCs w:val="20"/>
                <w:lang w:val="en-GB"/>
              </w:rPr>
              <w:t>3</w:t>
            </w:r>
            <w:r w:rsidR="005C016A">
              <w:rPr>
                <w:szCs w:val="20"/>
                <w:lang w:val="en-GB"/>
              </w:rPr>
              <w:t>.</w:t>
            </w:r>
            <w:r w:rsidR="009B553D" w:rsidRPr="006347C6">
              <w:rPr>
                <w:szCs w:val="20"/>
                <w:lang w:val="en-GB"/>
              </w:rPr>
              <w:t>3%</w:t>
            </w:r>
            <w:r w:rsidR="005C016A">
              <w:rPr>
                <w:szCs w:val="20"/>
                <w:lang w:val="en-GB"/>
              </w:rPr>
              <w:t xml:space="preserve"> in Q4 2021</w:t>
            </w:r>
            <w:r w:rsidR="009B553D" w:rsidRPr="006347C6">
              <w:rPr>
                <w:szCs w:val="20"/>
                <w:lang w:val="en-GB"/>
              </w:rPr>
              <w:t xml:space="preserve">. </w:t>
            </w:r>
            <w:r w:rsidR="005C016A">
              <w:rPr>
                <w:szCs w:val="20"/>
                <w:lang w:val="en-GB"/>
              </w:rPr>
              <w:t xml:space="preserve">In that, the prices of consumer goods were raised by </w:t>
            </w:r>
            <w:r w:rsidR="009B553D" w:rsidRPr="006347C6">
              <w:rPr>
                <w:szCs w:val="20"/>
                <w:lang w:val="en-GB"/>
              </w:rPr>
              <w:t>4</w:t>
            </w:r>
            <w:r w:rsidR="005C016A">
              <w:rPr>
                <w:szCs w:val="20"/>
                <w:lang w:val="en-GB"/>
              </w:rPr>
              <w:t>.</w:t>
            </w:r>
            <w:r w:rsidR="009B553D" w:rsidRPr="006347C6">
              <w:rPr>
                <w:szCs w:val="20"/>
                <w:lang w:val="en-GB"/>
              </w:rPr>
              <w:t>0%,</w:t>
            </w:r>
            <w:r w:rsidR="005C016A">
              <w:rPr>
                <w:szCs w:val="20"/>
                <w:lang w:val="en-GB"/>
              </w:rPr>
              <w:t xml:space="preserve"> mainly due to the strengthening dynamics of the prices of household consumption </w:t>
            </w:r>
            <w:r w:rsidR="009B553D" w:rsidRPr="006347C6">
              <w:rPr>
                <w:szCs w:val="20"/>
                <w:lang w:val="en-GB"/>
              </w:rPr>
              <w:t>(4</w:t>
            </w:r>
            <w:r w:rsidR="005C016A">
              <w:rPr>
                <w:szCs w:val="20"/>
                <w:lang w:val="en-GB"/>
              </w:rPr>
              <w:t>.</w:t>
            </w:r>
            <w:r w:rsidR="009B553D" w:rsidRPr="006347C6">
              <w:rPr>
                <w:szCs w:val="20"/>
                <w:lang w:val="en-GB"/>
              </w:rPr>
              <w:t xml:space="preserve">7%). </w:t>
            </w:r>
            <w:r w:rsidR="005C016A">
              <w:rPr>
                <w:szCs w:val="20"/>
                <w:lang w:val="en-GB"/>
              </w:rPr>
              <w:t xml:space="preserve">Prices of capital goods increased by </w:t>
            </w:r>
            <w:r w:rsidR="009B553D" w:rsidRPr="006347C6">
              <w:rPr>
                <w:szCs w:val="20"/>
                <w:lang w:val="en-GB"/>
              </w:rPr>
              <w:t>6</w:t>
            </w:r>
            <w:r w:rsidR="005C016A">
              <w:rPr>
                <w:szCs w:val="20"/>
                <w:lang w:val="en-GB"/>
              </w:rPr>
              <w:t>.</w:t>
            </w:r>
            <w:r w:rsidR="009B553D" w:rsidRPr="006347C6">
              <w:rPr>
                <w:szCs w:val="20"/>
                <w:lang w:val="en-GB"/>
              </w:rPr>
              <w:t>0%</w:t>
            </w:r>
            <w:r w:rsidR="005C016A">
              <w:rPr>
                <w:szCs w:val="20"/>
                <w:lang w:val="en-GB"/>
              </w:rPr>
              <w:t xml:space="preserve">. The terms of trade were negative </w:t>
            </w:r>
            <w:r w:rsidR="009B553D" w:rsidRPr="006347C6">
              <w:rPr>
                <w:szCs w:val="20"/>
                <w:lang w:val="en-GB"/>
              </w:rPr>
              <w:t>(98</w:t>
            </w:r>
            <w:r w:rsidR="005C016A">
              <w:rPr>
                <w:szCs w:val="20"/>
                <w:lang w:val="en-GB"/>
              </w:rPr>
              <w:t>.</w:t>
            </w:r>
            <w:r w:rsidR="009B553D" w:rsidRPr="006347C6">
              <w:rPr>
                <w:szCs w:val="20"/>
                <w:lang w:val="en-GB"/>
              </w:rPr>
              <w:t>0%),</w:t>
            </w:r>
            <w:r w:rsidR="005C016A">
              <w:rPr>
                <w:szCs w:val="20"/>
                <w:lang w:val="en-GB"/>
              </w:rPr>
              <w:t xml:space="preserve"> especially due to the trade with goods </w:t>
            </w:r>
            <w:r w:rsidR="009B553D" w:rsidRPr="006347C6">
              <w:rPr>
                <w:szCs w:val="20"/>
                <w:lang w:val="en-GB"/>
              </w:rPr>
              <w:t>(97</w:t>
            </w:r>
            <w:r w:rsidR="005C016A">
              <w:rPr>
                <w:szCs w:val="20"/>
                <w:lang w:val="en-GB"/>
              </w:rPr>
              <w:t>.</w:t>
            </w:r>
            <w:r w:rsidR="009B553D" w:rsidRPr="006347C6">
              <w:rPr>
                <w:szCs w:val="20"/>
                <w:lang w:val="en-GB"/>
              </w:rPr>
              <w:t>7%),</w:t>
            </w:r>
            <w:r w:rsidR="005C016A">
              <w:rPr>
                <w:szCs w:val="20"/>
                <w:lang w:val="en-GB"/>
              </w:rPr>
              <w:t xml:space="preserve"> where </w:t>
            </w:r>
            <w:r w:rsidR="0088220D">
              <w:rPr>
                <w:szCs w:val="20"/>
                <w:lang w:val="en-GB"/>
              </w:rPr>
              <w:t>the sharp growth of import prices had an effect. The price leve</w:t>
            </w:r>
            <w:r w:rsidR="008407EA">
              <w:rPr>
                <w:szCs w:val="20"/>
                <w:lang w:val="en-GB"/>
              </w:rPr>
              <w:t>l</w:t>
            </w:r>
            <w:r w:rsidR="0088220D">
              <w:rPr>
                <w:szCs w:val="20"/>
                <w:lang w:val="en-GB"/>
              </w:rPr>
              <w:t xml:space="preserve"> decreased by </w:t>
            </w:r>
            <w:r w:rsidR="009B553D" w:rsidRPr="006347C6">
              <w:rPr>
                <w:szCs w:val="20"/>
                <w:lang w:val="en-GB"/>
              </w:rPr>
              <w:t>0</w:t>
            </w:r>
            <w:r w:rsidR="0088220D">
              <w:rPr>
                <w:szCs w:val="20"/>
                <w:lang w:val="en-GB"/>
              </w:rPr>
              <w:t>.</w:t>
            </w:r>
            <w:r w:rsidR="009B553D" w:rsidRPr="006347C6">
              <w:rPr>
                <w:szCs w:val="20"/>
                <w:lang w:val="en-GB"/>
              </w:rPr>
              <w:t>6%</w:t>
            </w:r>
            <w:r w:rsidR="0088220D">
              <w:rPr>
                <w:szCs w:val="20"/>
                <w:lang w:val="en-GB"/>
              </w:rPr>
              <w:t xml:space="preserve"> compared to Q3 2021</w:t>
            </w:r>
            <w:r w:rsidR="009B553D" w:rsidRPr="006347C6">
              <w:rPr>
                <w:szCs w:val="20"/>
                <w:lang w:val="en-GB"/>
              </w:rPr>
              <w:t xml:space="preserve">. </w:t>
            </w:r>
            <w:r w:rsidR="0088220D">
              <w:rPr>
                <w:szCs w:val="20"/>
                <w:lang w:val="en-GB"/>
              </w:rPr>
              <w:t xml:space="preserve">Prices of consumption grew by 1.0% quarter-on-quarter, but prices of the capital goods went down by </w:t>
            </w:r>
            <w:r w:rsidR="009B553D" w:rsidRPr="006347C6">
              <w:rPr>
                <w:szCs w:val="20"/>
                <w:lang w:val="en-GB"/>
              </w:rPr>
              <w:t>0</w:t>
            </w:r>
            <w:r w:rsidR="0088220D">
              <w:rPr>
                <w:szCs w:val="20"/>
                <w:lang w:val="en-GB"/>
              </w:rPr>
              <w:t>.</w:t>
            </w:r>
            <w:r w:rsidR="009B553D" w:rsidRPr="006347C6">
              <w:rPr>
                <w:szCs w:val="20"/>
                <w:lang w:val="en-GB"/>
              </w:rPr>
              <w:t>1%</w:t>
            </w:r>
            <w:r w:rsidR="0088220D">
              <w:rPr>
                <w:szCs w:val="20"/>
                <w:lang w:val="en-GB"/>
              </w:rPr>
              <w:t xml:space="preserve"> and the terms of trade were negative </w:t>
            </w:r>
            <w:r w:rsidR="009B553D" w:rsidRPr="006347C6">
              <w:rPr>
                <w:szCs w:val="20"/>
                <w:lang w:val="en-GB"/>
              </w:rPr>
              <w:t>(98</w:t>
            </w:r>
            <w:r w:rsidR="0088220D">
              <w:rPr>
                <w:szCs w:val="20"/>
                <w:lang w:val="en-GB"/>
              </w:rPr>
              <w:t>.</w:t>
            </w:r>
            <w:r w:rsidR="009B553D" w:rsidRPr="006347C6">
              <w:rPr>
                <w:szCs w:val="20"/>
                <w:lang w:val="en-GB"/>
              </w:rPr>
              <w:t>2%).</w:t>
            </w:r>
          </w:p>
        </w:tc>
      </w:tr>
      <w:tr w:rsidR="009B553D" w:rsidRPr="009110F7" w14:paraId="0F686B8E" w14:textId="77777777" w:rsidTr="00913237">
        <w:trPr>
          <w:trHeight w:val="145"/>
        </w:trPr>
        <w:tc>
          <w:tcPr>
            <w:tcW w:w="1805" w:type="dxa"/>
            <w:shd w:val="clear" w:color="auto" w:fill="auto"/>
            <w:tcMar>
              <w:left w:w="0" w:type="dxa"/>
            </w:tcMar>
          </w:tcPr>
          <w:p w14:paraId="16A68A3E" w14:textId="68E1358D" w:rsidR="009B553D" w:rsidRPr="0088220D" w:rsidRDefault="006347C6" w:rsidP="00913237">
            <w:pPr>
              <w:pStyle w:val="Marginlie"/>
              <w:rPr>
                <w:spacing w:val="0"/>
                <w:lang w:val="en-GB"/>
              </w:rPr>
            </w:pPr>
            <w:r w:rsidRPr="0088220D">
              <w:rPr>
                <w:spacing w:val="0"/>
                <w:lang w:val="en-GB"/>
              </w:rPr>
              <w:t xml:space="preserve">Consumer prices increased the strongest since year 2008 last year. </w:t>
            </w:r>
          </w:p>
          <w:p w14:paraId="0E1234E8" w14:textId="77777777" w:rsidR="009B553D" w:rsidRPr="0088220D" w:rsidRDefault="009B553D" w:rsidP="00913237">
            <w:pPr>
              <w:pStyle w:val="Marginlie"/>
              <w:rPr>
                <w:spacing w:val="0"/>
                <w:lang w:val="en-GB"/>
              </w:rPr>
            </w:pPr>
          </w:p>
          <w:p w14:paraId="6B846D96" w14:textId="77777777" w:rsidR="009B553D" w:rsidRPr="0088220D" w:rsidRDefault="009B553D" w:rsidP="00913237">
            <w:pPr>
              <w:pStyle w:val="Marginlie"/>
              <w:rPr>
                <w:spacing w:val="0"/>
                <w:lang w:val="en-GB"/>
              </w:rPr>
            </w:pPr>
          </w:p>
          <w:p w14:paraId="526D145E" w14:textId="77777777" w:rsidR="009B553D" w:rsidRPr="0088220D" w:rsidRDefault="009B553D" w:rsidP="00913237">
            <w:pPr>
              <w:pStyle w:val="Marginlie"/>
              <w:rPr>
                <w:spacing w:val="0"/>
                <w:lang w:val="en-GB"/>
              </w:rPr>
            </w:pPr>
          </w:p>
          <w:p w14:paraId="3DB3442C" w14:textId="77777777" w:rsidR="009B553D" w:rsidRPr="0088220D" w:rsidRDefault="009B553D" w:rsidP="00913237">
            <w:pPr>
              <w:pStyle w:val="Marginlie"/>
              <w:rPr>
                <w:spacing w:val="0"/>
                <w:lang w:val="en-GB"/>
              </w:rPr>
            </w:pPr>
          </w:p>
          <w:p w14:paraId="214B26A6" w14:textId="77777777" w:rsidR="009B553D" w:rsidRPr="0088220D" w:rsidRDefault="009B553D" w:rsidP="00913237">
            <w:pPr>
              <w:pStyle w:val="Marginlie"/>
              <w:rPr>
                <w:spacing w:val="0"/>
                <w:lang w:val="en-GB"/>
              </w:rPr>
            </w:pPr>
          </w:p>
          <w:p w14:paraId="5B167FE6" w14:textId="77777777" w:rsidR="009B553D" w:rsidRPr="0088220D" w:rsidRDefault="009B553D" w:rsidP="00913237">
            <w:pPr>
              <w:pStyle w:val="Marginlie"/>
              <w:rPr>
                <w:spacing w:val="0"/>
                <w:lang w:val="en-GB"/>
              </w:rPr>
            </w:pPr>
          </w:p>
          <w:p w14:paraId="09359358" w14:textId="77777777" w:rsidR="009B553D" w:rsidRPr="0088220D" w:rsidRDefault="009B553D" w:rsidP="00913237">
            <w:pPr>
              <w:pStyle w:val="Marginlie"/>
              <w:rPr>
                <w:spacing w:val="0"/>
                <w:lang w:val="en-GB"/>
              </w:rPr>
            </w:pPr>
          </w:p>
          <w:p w14:paraId="676242F3" w14:textId="6C75B761" w:rsidR="009B553D" w:rsidRPr="0088220D" w:rsidRDefault="00D96515" w:rsidP="00913237">
            <w:pPr>
              <w:pStyle w:val="Marginlie"/>
              <w:rPr>
                <w:spacing w:val="0"/>
                <w:lang w:val="en-GB"/>
              </w:rPr>
            </w:pPr>
            <w:r>
              <w:rPr>
                <w:spacing w:val="0"/>
                <w:lang w:val="en-GB"/>
              </w:rPr>
              <w:t xml:space="preserve">Year-on-year growth of the consumer prices accelerated during the year. </w:t>
            </w:r>
          </w:p>
        </w:tc>
        <w:tc>
          <w:tcPr>
            <w:tcW w:w="224" w:type="dxa"/>
            <w:shd w:val="clear" w:color="auto" w:fill="auto"/>
            <w:tcMar>
              <w:left w:w="0" w:type="dxa"/>
            </w:tcMar>
          </w:tcPr>
          <w:p w14:paraId="3FAF5605" w14:textId="77777777" w:rsidR="009B553D" w:rsidRPr="0088220D" w:rsidRDefault="009B553D" w:rsidP="00913237">
            <w:pPr>
              <w:pStyle w:val="Textpoznpodarou1"/>
              <w:jc w:val="both"/>
              <w:rPr>
                <w:highlight w:val="yellow"/>
                <w:lang w:val="en-GB"/>
              </w:rPr>
            </w:pPr>
          </w:p>
        </w:tc>
        <w:tc>
          <w:tcPr>
            <w:tcW w:w="7610" w:type="dxa"/>
            <w:shd w:val="clear" w:color="auto" w:fill="auto"/>
            <w:tcMar>
              <w:left w:w="0" w:type="dxa"/>
            </w:tcMar>
          </w:tcPr>
          <w:p w14:paraId="4483CD51" w14:textId="7C98FFDC" w:rsidR="009B553D" w:rsidRPr="0088220D" w:rsidRDefault="00D96515" w:rsidP="00FF0989">
            <w:pPr>
              <w:rPr>
                <w:lang w:val="en-GB"/>
              </w:rPr>
            </w:pPr>
            <w:r>
              <w:rPr>
                <w:lang w:val="en-GB"/>
              </w:rPr>
              <w:t xml:space="preserve">Consumer price index increased by </w:t>
            </w:r>
            <w:r w:rsidR="009B553D" w:rsidRPr="0088220D">
              <w:rPr>
                <w:lang w:val="en-GB"/>
              </w:rPr>
              <w:t>3</w:t>
            </w:r>
            <w:r>
              <w:rPr>
                <w:lang w:val="en-GB"/>
              </w:rPr>
              <w:t>.</w:t>
            </w:r>
            <w:r w:rsidR="009B553D" w:rsidRPr="0088220D">
              <w:rPr>
                <w:lang w:val="en-GB"/>
              </w:rPr>
              <w:t>8%</w:t>
            </w:r>
            <w:r>
              <w:rPr>
                <w:lang w:val="en-GB"/>
              </w:rPr>
              <w:t xml:space="preserve"> in total compared to year 2020</w:t>
            </w:r>
            <w:r w:rsidR="009B553D" w:rsidRPr="0088220D">
              <w:rPr>
                <w:lang w:val="en-GB"/>
              </w:rPr>
              <w:t>.</w:t>
            </w:r>
            <w:r>
              <w:rPr>
                <w:lang w:val="en-GB"/>
              </w:rPr>
              <w:t xml:space="preserve"> It represented the largest increase since year </w:t>
            </w:r>
            <w:r w:rsidR="009B553D" w:rsidRPr="0088220D">
              <w:rPr>
                <w:lang w:val="en-GB"/>
              </w:rPr>
              <w:t>2008.</w:t>
            </w:r>
            <w:r>
              <w:rPr>
                <w:lang w:val="en-GB"/>
              </w:rPr>
              <w:t xml:space="preserve"> The development of prices of transportation, alcoholic beverages and tobacco and housing, water, energies and fuels (further housing and energies) contributed the most to this increase. </w:t>
            </w:r>
            <w:r w:rsidR="005E30A8">
              <w:rPr>
                <w:lang w:val="en-GB"/>
              </w:rPr>
              <w:t xml:space="preserve">The prices were however higher in nearly all divisions </w:t>
            </w:r>
            <w:r w:rsidR="008407EA">
              <w:rPr>
                <w:lang w:val="en-GB"/>
              </w:rPr>
              <w:t>o</w:t>
            </w:r>
            <w:r w:rsidR="005E30A8">
              <w:rPr>
                <w:lang w:val="en-GB"/>
              </w:rPr>
              <w:t xml:space="preserve">f the consumer basket (except for prices of post offices and telecommunication). The development of prices of clothing and </w:t>
            </w:r>
            <w:r w:rsidR="00497FD4">
              <w:rPr>
                <w:lang w:val="en-GB"/>
              </w:rPr>
              <w:t>footwear</w:t>
            </w:r>
            <w:r w:rsidR="005E30A8">
              <w:rPr>
                <w:lang w:val="en-GB"/>
              </w:rPr>
              <w:t xml:space="preserve"> or household equipment </w:t>
            </w:r>
            <w:r w:rsidR="00497FD4">
              <w:rPr>
                <w:lang w:val="en-GB"/>
              </w:rPr>
              <w:t>and appliances, which were items affected by the counter pandemic measures in retail and at the same time by disruption of the international supplier chains, were reflected in the price growth more than usually especially in Q</w:t>
            </w:r>
            <w:r w:rsidR="009B553D" w:rsidRPr="0088220D">
              <w:rPr>
                <w:lang w:val="en-GB"/>
              </w:rPr>
              <w:t>2</w:t>
            </w:r>
            <w:r w:rsidR="00497FD4">
              <w:rPr>
                <w:lang w:val="en-GB"/>
              </w:rPr>
              <w:t xml:space="preserve">. </w:t>
            </w:r>
            <w:r w:rsidR="005E30A8">
              <w:rPr>
                <w:lang w:val="en-GB"/>
              </w:rPr>
              <w:t xml:space="preserve">The growth of prices of some services also accelerated. The year-on-year growth of the consumer prices gained pace during the whole year </w:t>
            </w:r>
            <w:r w:rsidR="009B553D" w:rsidRPr="0088220D">
              <w:rPr>
                <w:lang w:val="en-GB"/>
              </w:rPr>
              <w:t>2021</w:t>
            </w:r>
            <w:r w:rsidR="005E30A8">
              <w:rPr>
                <w:lang w:val="en-GB"/>
              </w:rPr>
              <w:t xml:space="preserve"> and it reached </w:t>
            </w:r>
            <w:r w:rsidR="009B553D" w:rsidRPr="0088220D">
              <w:rPr>
                <w:lang w:val="en-GB"/>
              </w:rPr>
              <w:t>6</w:t>
            </w:r>
            <w:r w:rsidR="005E30A8">
              <w:rPr>
                <w:lang w:val="en-GB"/>
              </w:rPr>
              <w:t>.</w:t>
            </w:r>
            <w:r w:rsidR="009B553D" w:rsidRPr="0088220D">
              <w:rPr>
                <w:lang w:val="en-GB"/>
              </w:rPr>
              <w:t>1%</w:t>
            </w:r>
            <w:r w:rsidR="005E30A8">
              <w:rPr>
                <w:lang w:val="en-GB"/>
              </w:rPr>
              <w:t xml:space="preserve"> in Q4</w:t>
            </w:r>
            <w:r w:rsidR="009B553D" w:rsidRPr="0088220D">
              <w:rPr>
                <w:lang w:val="en-GB"/>
              </w:rPr>
              <w:t xml:space="preserve"> (</w:t>
            </w:r>
            <w:r w:rsidR="005E30A8">
              <w:rPr>
                <w:lang w:val="en-GB"/>
              </w:rPr>
              <w:t xml:space="preserve">the most since Q3 </w:t>
            </w:r>
            <w:r w:rsidR="009B553D" w:rsidRPr="0088220D">
              <w:rPr>
                <w:lang w:val="en-GB"/>
              </w:rPr>
              <w:t>2008).</w:t>
            </w:r>
            <w:r w:rsidR="00CF1183">
              <w:rPr>
                <w:lang w:val="en-GB"/>
              </w:rPr>
              <w:t xml:space="preserve"> Increase of prices of transportation, housing and energies and alcoholic beverages and tobacco contributed the most. Housing and transportation were also the main factors in the sharp acceleration of the total year-on-year dynamics. </w:t>
            </w:r>
            <w:r w:rsidR="001843D0">
              <w:rPr>
                <w:lang w:val="en-GB"/>
              </w:rPr>
              <w:t>The contribution of prices of clothing and footwear, recreation and culture, food and non-alcoholic beverages and food service and accommodation was however also very significant. Prices increased by 1.6% compared to Q</w:t>
            </w:r>
            <w:r w:rsidR="009B553D" w:rsidRPr="0088220D">
              <w:rPr>
                <w:lang w:val="en-GB"/>
              </w:rPr>
              <w:t>3.</w:t>
            </w:r>
          </w:p>
        </w:tc>
      </w:tr>
      <w:tr w:rsidR="009B553D" w:rsidRPr="00D75AC1" w14:paraId="52D9EA72" w14:textId="77777777" w:rsidTr="00913237">
        <w:trPr>
          <w:trHeight w:val="170"/>
        </w:trPr>
        <w:tc>
          <w:tcPr>
            <w:tcW w:w="1805" w:type="dxa"/>
            <w:vMerge w:val="restart"/>
            <w:shd w:val="clear" w:color="auto" w:fill="auto"/>
            <w:tcMar>
              <w:left w:w="0" w:type="dxa"/>
            </w:tcMar>
          </w:tcPr>
          <w:p w14:paraId="33F2D2DF" w14:textId="77777777" w:rsidR="009B553D" w:rsidRDefault="009B553D" w:rsidP="00913237">
            <w:pPr>
              <w:pStyle w:val="Marginlie"/>
              <w:rPr>
                <w:spacing w:val="0"/>
              </w:rPr>
            </w:pPr>
          </w:p>
        </w:tc>
        <w:tc>
          <w:tcPr>
            <w:tcW w:w="224" w:type="dxa"/>
            <w:vMerge w:val="restart"/>
            <w:shd w:val="clear" w:color="auto" w:fill="auto"/>
            <w:tcMar>
              <w:left w:w="0" w:type="dxa"/>
            </w:tcMar>
          </w:tcPr>
          <w:p w14:paraId="059075E7" w14:textId="77777777" w:rsidR="009B553D" w:rsidRPr="00793D78" w:rsidRDefault="009B553D" w:rsidP="00913237">
            <w:pPr>
              <w:pStyle w:val="Textpoznpodarou1"/>
              <w:jc w:val="both"/>
              <w:rPr>
                <w:highlight w:val="yellow"/>
              </w:rPr>
            </w:pPr>
          </w:p>
        </w:tc>
        <w:tc>
          <w:tcPr>
            <w:tcW w:w="7610" w:type="dxa"/>
            <w:shd w:val="clear" w:color="auto" w:fill="auto"/>
            <w:tcMar>
              <w:left w:w="0" w:type="dxa"/>
            </w:tcMar>
          </w:tcPr>
          <w:p w14:paraId="1207DDF0" w14:textId="0320C2D9" w:rsidR="009B553D" w:rsidRPr="00D75AC1" w:rsidRDefault="0088220D" w:rsidP="00913237">
            <w:pPr>
              <w:spacing w:after="0"/>
              <w:rPr>
                <w:b/>
                <w:szCs w:val="20"/>
              </w:rPr>
            </w:pPr>
            <w:r>
              <w:rPr>
                <w:rFonts w:cs="Arial"/>
                <w:b/>
                <w:bCs/>
                <w:color w:val="000000"/>
                <w:sz w:val="18"/>
                <w:szCs w:val="18"/>
              </w:rPr>
              <w:t xml:space="preserve">Chart </w:t>
            </w:r>
            <w:r w:rsidR="00A02E8B">
              <w:rPr>
                <w:rFonts w:cs="Arial"/>
                <w:b/>
                <w:bCs/>
                <w:color w:val="000000"/>
                <w:sz w:val="18"/>
                <w:szCs w:val="18"/>
              </w:rPr>
              <w:t>11</w:t>
            </w:r>
            <w:r w:rsidR="009B553D">
              <w:rPr>
                <w:rFonts w:cs="Arial"/>
                <w:b/>
                <w:bCs/>
                <w:color w:val="000000"/>
                <w:sz w:val="18"/>
                <w:szCs w:val="18"/>
              </w:rPr>
              <w:t xml:space="preserve"> </w:t>
            </w:r>
            <w:r w:rsidR="009B553D" w:rsidRPr="00793D78">
              <w:rPr>
                <w:rFonts w:cs="Arial"/>
                <w:b/>
                <w:bCs/>
                <w:color w:val="000000"/>
                <w:sz w:val="18"/>
                <w:szCs w:val="18"/>
              </w:rPr>
              <w:t xml:space="preserve"> </w:t>
            </w:r>
            <w:r w:rsidR="008407EA" w:rsidRPr="000A5DBC">
              <w:rPr>
                <w:rFonts w:cs="Arial"/>
                <w:b/>
                <w:bCs/>
                <w:color w:val="000000"/>
                <w:sz w:val="18"/>
                <w:szCs w:val="18"/>
                <w:lang w:val="en-GB"/>
              </w:rPr>
              <w:t xml:space="preserve">Prices in the selected divisions of the consumer price index </w:t>
            </w:r>
            <w:r w:rsidR="008407EA" w:rsidRPr="000A5DBC">
              <w:rPr>
                <w:rFonts w:cs="Arial"/>
                <w:color w:val="000000"/>
                <w:sz w:val="18"/>
                <w:szCs w:val="18"/>
                <w:lang w:val="en-GB"/>
              </w:rPr>
              <w:t>(year-on-year in %)</w:t>
            </w:r>
          </w:p>
        </w:tc>
      </w:tr>
      <w:tr w:rsidR="009B553D" w:rsidRPr="009110F7" w14:paraId="0046282E" w14:textId="77777777" w:rsidTr="00005613">
        <w:tblPrEx>
          <w:tblCellMar>
            <w:left w:w="70" w:type="dxa"/>
            <w:right w:w="70" w:type="dxa"/>
          </w:tblCellMar>
        </w:tblPrEx>
        <w:trPr>
          <w:trHeight w:val="170"/>
        </w:trPr>
        <w:tc>
          <w:tcPr>
            <w:tcW w:w="1805" w:type="dxa"/>
            <w:vMerge/>
            <w:shd w:val="clear" w:color="auto" w:fill="auto"/>
          </w:tcPr>
          <w:p w14:paraId="0D040257" w14:textId="77777777" w:rsidR="009B553D" w:rsidRPr="00793D78" w:rsidRDefault="009B553D" w:rsidP="00913237">
            <w:pPr>
              <w:pStyle w:val="Marginlie"/>
              <w:rPr>
                <w:spacing w:val="0"/>
              </w:rPr>
            </w:pPr>
          </w:p>
        </w:tc>
        <w:tc>
          <w:tcPr>
            <w:tcW w:w="224" w:type="dxa"/>
            <w:vMerge/>
            <w:shd w:val="clear" w:color="auto" w:fill="auto"/>
          </w:tcPr>
          <w:p w14:paraId="6DDA7ECC" w14:textId="77777777" w:rsidR="009B553D" w:rsidRPr="00793D78" w:rsidRDefault="009B553D" w:rsidP="00913237">
            <w:pPr>
              <w:pStyle w:val="Textpoznpodarou"/>
              <w:jc w:val="both"/>
            </w:pPr>
          </w:p>
        </w:tc>
        <w:tc>
          <w:tcPr>
            <w:tcW w:w="7610" w:type="dxa"/>
            <w:shd w:val="clear" w:color="auto" w:fill="auto"/>
          </w:tcPr>
          <w:p w14:paraId="723F44FA" w14:textId="0B1469CB" w:rsidR="009B553D" w:rsidRPr="00793D78" w:rsidRDefault="00005613" w:rsidP="00913237">
            <w:pPr>
              <w:spacing w:after="0"/>
            </w:pPr>
            <w:r>
              <w:rPr>
                <w:noProof/>
              </w:rPr>
              <w:drawing>
                <wp:inline distT="0" distB="0" distL="0" distR="0" wp14:anchorId="292B37A3" wp14:editId="1FDD608C">
                  <wp:extent cx="4737600" cy="3420000"/>
                  <wp:effectExtent l="0" t="0" r="6350" b="0"/>
                  <wp:docPr id="43" name="Graf 43">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9B553D" w:rsidRPr="009110F7" w14:paraId="124117F3" w14:textId="77777777" w:rsidTr="00913237">
        <w:trPr>
          <w:trHeight w:val="170"/>
        </w:trPr>
        <w:tc>
          <w:tcPr>
            <w:tcW w:w="1805" w:type="dxa"/>
            <w:vMerge/>
            <w:shd w:val="clear" w:color="auto" w:fill="auto"/>
            <w:tcMar>
              <w:left w:w="0" w:type="dxa"/>
            </w:tcMar>
          </w:tcPr>
          <w:p w14:paraId="1E801BD8" w14:textId="77777777" w:rsidR="009B553D" w:rsidRPr="00793D78" w:rsidRDefault="009B553D" w:rsidP="00913237">
            <w:pPr>
              <w:pStyle w:val="Marginlie"/>
              <w:rPr>
                <w:spacing w:val="0"/>
              </w:rPr>
            </w:pPr>
          </w:p>
        </w:tc>
        <w:tc>
          <w:tcPr>
            <w:tcW w:w="224" w:type="dxa"/>
            <w:vMerge/>
            <w:shd w:val="clear" w:color="auto" w:fill="auto"/>
            <w:tcMar>
              <w:left w:w="0" w:type="dxa"/>
            </w:tcMar>
          </w:tcPr>
          <w:p w14:paraId="33B8EA9D" w14:textId="77777777" w:rsidR="009B553D" w:rsidRPr="00793D78" w:rsidRDefault="009B553D" w:rsidP="00913237">
            <w:pPr>
              <w:pStyle w:val="Textpoznpodarou"/>
              <w:jc w:val="both"/>
            </w:pPr>
          </w:p>
        </w:tc>
        <w:tc>
          <w:tcPr>
            <w:tcW w:w="7610" w:type="dxa"/>
            <w:shd w:val="clear" w:color="auto" w:fill="auto"/>
            <w:tcMar>
              <w:left w:w="0" w:type="dxa"/>
            </w:tcMar>
          </w:tcPr>
          <w:p w14:paraId="580D534A" w14:textId="1EC7401B" w:rsidR="00EB3882" w:rsidRPr="008407EA" w:rsidRDefault="00CF1183" w:rsidP="009B0A5E">
            <w:pPr>
              <w:spacing w:after="0"/>
              <w:rPr>
                <w:b/>
                <w:bCs/>
                <w:sz w:val="16"/>
                <w:szCs w:val="16"/>
              </w:rPr>
            </w:pPr>
            <w:r>
              <w:rPr>
                <w:sz w:val="14"/>
                <w:szCs w:val="14"/>
              </w:rPr>
              <w:t>Source</w:t>
            </w:r>
            <w:r w:rsidR="009B553D" w:rsidRPr="00793D78">
              <w:rPr>
                <w:sz w:val="14"/>
                <w:szCs w:val="14"/>
              </w:rPr>
              <w:t xml:space="preserve">: </w:t>
            </w:r>
            <w:r>
              <w:rPr>
                <w:sz w:val="14"/>
                <w:szCs w:val="14"/>
              </w:rPr>
              <w:t>CZSO</w:t>
            </w:r>
          </w:p>
        </w:tc>
      </w:tr>
      <w:tr w:rsidR="009B553D" w:rsidRPr="009110F7" w14:paraId="7786A1D6" w14:textId="77777777" w:rsidTr="00913237">
        <w:trPr>
          <w:trHeight w:val="145"/>
        </w:trPr>
        <w:tc>
          <w:tcPr>
            <w:tcW w:w="1805" w:type="dxa"/>
            <w:shd w:val="clear" w:color="auto" w:fill="auto"/>
            <w:tcMar>
              <w:left w:w="0" w:type="dxa"/>
            </w:tcMar>
          </w:tcPr>
          <w:p w14:paraId="6640857D" w14:textId="256B08C1" w:rsidR="009B553D" w:rsidRPr="001843D0" w:rsidRDefault="00B10DFD" w:rsidP="00913237">
            <w:pPr>
              <w:pStyle w:val="Marginlie"/>
              <w:rPr>
                <w:spacing w:val="0"/>
                <w:lang w:val="en-GB"/>
              </w:rPr>
            </w:pPr>
            <w:r>
              <w:rPr>
                <w:spacing w:val="0"/>
                <w:lang w:val="en-GB"/>
              </w:rPr>
              <w:lastRenderedPageBreak/>
              <w:t xml:space="preserve">Especially the imputed rent stood behind the significant increase of prices of housing and energies. </w:t>
            </w:r>
          </w:p>
        </w:tc>
        <w:tc>
          <w:tcPr>
            <w:tcW w:w="224" w:type="dxa"/>
            <w:shd w:val="clear" w:color="auto" w:fill="auto"/>
            <w:tcMar>
              <w:left w:w="0" w:type="dxa"/>
            </w:tcMar>
          </w:tcPr>
          <w:p w14:paraId="544DFFCC" w14:textId="77777777" w:rsidR="009B553D" w:rsidRPr="001843D0" w:rsidRDefault="009B553D" w:rsidP="00913237">
            <w:pPr>
              <w:pStyle w:val="Textpoznpodarou1"/>
              <w:jc w:val="both"/>
              <w:rPr>
                <w:lang w:val="en-GB"/>
              </w:rPr>
            </w:pPr>
          </w:p>
        </w:tc>
        <w:tc>
          <w:tcPr>
            <w:tcW w:w="7610" w:type="dxa"/>
            <w:shd w:val="clear" w:color="auto" w:fill="auto"/>
            <w:tcMar>
              <w:left w:w="0" w:type="dxa"/>
            </w:tcMar>
          </w:tcPr>
          <w:p w14:paraId="4F5B2AD2" w14:textId="7A395B25" w:rsidR="009B553D" w:rsidRPr="001843D0" w:rsidRDefault="00B10DFD" w:rsidP="00683EB8">
            <w:pPr>
              <w:rPr>
                <w:lang w:val="en-GB"/>
              </w:rPr>
            </w:pPr>
            <w:r>
              <w:rPr>
                <w:lang w:val="en-GB"/>
              </w:rPr>
              <w:t xml:space="preserve">Prices of housing and energies increased by </w:t>
            </w:r>
            <w:r w:rsidR="009B553D" w:rsidRPr="001843D0">
              <w:rPr>
                <w:lang w:val="en-GB"/>
              </w:rPr>
              <w:t>2</w:t>
            </w:r>
            <w:r>
              <w:rPr>
                <w:lang w:val="en-GB"/>
              </w:rPr>
              <w:t>.</w:t>
            </w:r>
            <w:r w:rsidR="009B553D" w:rsidRPr="001843D0">
              <w:rPr>
                <w:lang w:val="en-GB"/>
              </w:rPr>
              <w:t>8%</w:t>
            </w:r>
            <w:r>
              <w:rPr>
                <w:lang w:val="en-GB"/>
              </w:rPr>
              <w:t xml:space="preserve"> in year 2021</w:t>
            </w:r>
            <w:r w:rsidR="009B553D" w:rsidRPr="001843D0">
              <w:rPr>
                <w:lang w:val="en-GB"/>
              </w:rPr>
              <w:t xml:space="preserve">. </w:t>
            </w:r>
            <w:r w:rsidR="00E371BE">
              <w:rPr>
                <w:lang w:val="en-GB"/>
              </w:rPr>
              <w:t>Items of imputed rent</w:t>
            </w:r>
            <w:r w:rsidR="00683EB8">
              <w:rPr>
                <w:lang w:val="en-GB"/>
              </w:rPr>
              <w:t>al</w:t>
            </w:r>
            <w:r w:rsidR="00E371BE">
              <w:rPr>
                <w:lang w:val="en-GB"/>
              </w:rPr>
              <w:t>s</w:t>
            </w:r>
            <w:r w:rsidR="009B553D" w:rsidRPr="001843D0">
              <w:rPr>
                <w:rStyle w:val="Znakapoznpodarou"/>
                <w:lang w:val="en-GB"/>
              </w:rPr>
              <w:footnoteReference w:id="1"/>
            </w:r>
            <w:r w:rsidR="009B553D" w:rsidRPr="001843D0">
              <w:rPr>
                <w:lang w:val="en-GB"/>
              </w:rPr>
              <w:t xml:space="preserve"> (7</w:t>
            </w:r>
            <w:r w:rsidR="00E371BE">
              <w:rPr>
                <w:lang w:val="en-GB"/>
              </w:rPr>
              <w:t>.</w:t>
            </w:r>
            <w:r w:rsidR="009B553D" w:rsidRPr="001843D0">
              <w:rPr>
                <w:lang w:val="en-GB"/>
              </w:rPr>
              <w:t xml:space="preserve">0%), </w:t>
            </w:r>
            <w:r w:rsidR="00E371BE">
              <w:rPr>
                <w:lang w:val="en-GB"/>
              </w:rPr>
              <w:t xml:space="preserve">prices of common maintenance and small repairs </w:t>
            </w:r>
            <w:r w:rsidR="009B553D" w:rsidRPr="001843D0">
              <w:rPr>
                <w:lang w:val="en-GB"/>
              </w:rPr>
              <w:t>(5</w:t>
            </w:r>
            <w:r w:rsidR="00E371BE">
              <w:rPr>
                <w:lang w:val="en-GB"/>
              </w:rPr>
              <w:t>.</w:t>
            </w:r>
            <w:r w:rsidR="009B553D" w:rsidRPr="001843D0">
              <w:rPr>
                <w:lang w:val="en-GB"/>
              </w:rPr>
              <w:t>6%)</w:t>
            </w:r>
            <w:r w:rsidR="00E371BE">
              <w:rPr>
                <w:lang w:val="en-GB"/>
              </w:rPr>
              <w:t xml:space="preserve"> and other services associated with housing </w:t>
            </w:r>
            <w:r w:rsidR="009B553D" w:rsidRPr="001843D0">
              <w:rPr>
                <w:lang w:val="en-GB"/>
              </w:rPr>
              <w:t>(4</w:t>
            </w:r>
            <w:r w:rsidR="00E371BE">
              <w:rPr>
                <w:lang w:val="en-GB"/>
              </w:rPr>
              <w:t>.</w:t>
            </w:r>
            <w:r w:rsidR="009B553D" w:rsidRPr="001843D0">
              <w:rPr>
                <w:lang w:val="en-GB"/>
              </w:rPr>
              <w:t>0%)</w:t>
            </w:r>
            <w:r>
              <w:rPr>
                <w:lang w:val="en-GB"/>
              </w:rPr>
              <w:t xml:space="preserve"> grew the most</w:t>
            </w:r>
            <w:r w:rsidR="009B553D" w:rsidRPr="001843D0">
              <w:rPr>
                <w:lang w:val="en-GB"/>
              </w:rPr>
              <w:t>.</w:t>
            </w:r>
            <w:r w:rsidR="00E371BE">
              <w:rPr>
                <w:lang w:val="en-GB"/>
              </w:rPr>
              <w:t xml:space="preserve"> Then rent</w:t>
            </w:r>
            <w:r w:rsidR="00683EB8">
              <w:rPr>
                <w:lang w:val="en-GB"/>
              </w:rPr>
              <w:t>al</w:t>
            </w:r>
            <w:r w:rsidR="00E371BE">
              <w:rPr>
                <w:lang w:val="en-GB"/>
              </w:rPr>
              <w:t xml:space="preserve">s </w:t>
            </w:r>
            <w:r w:rsidR="00683EB8">
              <w:rPr>
                <w:lang w:val="en-GB"/>
              </w:rPr>
              <w:t>paid for the flat</w:t>
            </w:r>
            <w:r w:rsidR="00E371BE">
              <w:rPr>
                <w:lang w:val="en-GB"/>
              </w:rPr>
              <w:t xml:space="preserve"> were raised by </w:t>
            </w:r>
            <w:r w:rsidR="009B553D" w:rsidRPr="001843D0">
              <w:rPr>
                <w:lang w:val="en-GB"/>
              </w:rPr>
              <w:t>2</w:t>
            </w:r>
            <w:r w:rsidR="00E371BE">
              <w:rPr>
                <w:lang w:val="en-GB"/>
              </w:rPr>
              <w:t>.</w:t>
            </w:r>
            <w:r w:rsidR="009B553D" w:rsidRPr="001843D0">
              <w:rPr>
                <w:lang w:val="en-GB"/>
              </w:rPr>
              <w:t>4%</w:t>
            </w:r>
            <w:r w:rsidR="00E371BE">
              <w:rPr>
                <w:lang w:val="en-GB"/>
              </w:rPr>
              <w:t xml:space="preserve"> last year</w:t>
            </w:r>
            <w:r w:rsidR="009B553D" w:rsidRPr="001843D0">
              <w:rPr>
                <w:lang w:val="en-GB"/>
              </w:rPr>
              <w:t xml:space="preserve">. </w:t>
            </w:r>
            <w:r w:rsidR="00E371BE">
              <w:rPr>
                <w:lang w:val="en-GB"/>
              </w:rPr>
              <w:t xml:space="preserve">By contrast the prices of electricity, gas and fuels dropped by </w:t>
            </w:r>
            <w:r w:rsidR="009B553D" w:rsidRPr="001843D0">
              <w:rPr>
                <w:lang w:val="en-GB"/>
              </w:rPr>
              <w:t>3</w:t>
            </w:r>
            <w:r w:rsidR="00E371BE">
              <w:rPr>
                <w:lang w:val="en-GB"/>
              </w:rPr>
              <w:t>.</w:t>
            </w:r>
            <w:r w:rsidR="009B553D" w:rsidRPr="001843D0">
              <w:rPr>
                <w:lang w:val="en-GB"/>
              </w:rPr>
              <w:t>2%</w:t>
            </w:r>
            <w:r w:rsidR="00E371BE">
              <w:rPr>
                <w:lang w:val="en-GB"/>
              </w:rPr>
              <w:t xml:space="preserve"> last year</w:t>
            </w:r>
            <w:r w:rsidR="009B553D" w:rsidRPr="001843D0">
              <w:rPr>
                <w:lang w:val="en-GB"/>
              </w:rPr>
              <w:t>.</w:t>
            </w:r>
            <w:r w:rsidR="00E371BE">
              <w:rPr>
                <w:lang w:val="en-GB"/>
              </w:rPr>
              <w:t xml:space="preserve"> </w:t>
            </w:r>
            <w:r w:rsidR="00757A01">
              <w:rPr>
                <w:lang w:val="en-GB"/>
              </w:rPr>
              <w:t xml:space="preserve">This was partially also assisted by the temporary waiver of VAT on energies, which was put in place towards the end of the year as a reaction on the sharp </w:t>
            </w:r>
            <w:r w:rsidR="008E3174">
              <w:rPr>
                <w:lang w:val="en-GB"/>
              </w:rPr>
              <w:t>hike of prices of electricity on the world markets. In Q</w:t>
            </w:r>
            <w:r w:rsidR="009B553D" w:rsidRPr="001843D0">
              <w:rPr>
                <w:lang w:val="en-GB"/>
              </w:rPr>
              <w:t>4</w:t>
            </w:r>
            <w:r w:rsidR="008E3174">
              <w:rPr>
                <w:lang w:val="en-GB"/>
              </w:rPr>
              <w:t xml:space="preserve"> itself, the prices of housing and energies increased by </w:t>
            </w:r>
            <w:r w:rsidR="009B553D" w:rsidRPr="001843D0">
              <w:rPr>
                <w:lang w:val="en-GB"/>
              </w:rPr>
              <w:t>5</w:t>
            </w:r>
            <w:r w:rsidR="008E3174">
              <w:rPr>
                <w:lang w:val="en-GB"/>
              </w:rPr>
              <w:t>.</w:t>
            </w:r>
            <w:r w:rsidR="009B553D" w:rsidRPr="001843D0">
              <w:rPr>
                <w:lang w:val="en-GB"/>
              </w:rPr>
              <w:t>6%</w:t>
            </w:r>
            <w:r w:rsidR="008E3174">
              <w:rPr>
                <w:lang w:val="en-GB"/>
              </w:rPr>
              <w:t xml:space="preserve"> year-on-year and their growth swiftly accelerated compared to the preceding quarter. </w:t>
            </w:r>
            <w:r w:rsidR="00050CD8">
              <w:rPr>
                <w:lang w:val="en-GB"/>
              </w:rPr>
              <w:t>It mainly resulted from the sharp rise of imputed rent</w:t>
            </w:r>
            <w:r w:rsidR="00683EB8">
              <w:rPr>
                <w:lang w:val="en-GB"/>
              </w:rPr>
              <w:t>als</w:t>
            </w:r>
            <w:r w:rsidR="00050CD8">
              <w:rPr>
                <w:lang w:val="en-GB"/>
              </w:rPr>
              <w:t xml:space="preserve"> </w:t>
            </w:r>
            <w:r w:rsidR="009B553D" w:rsidRPr="001843D0">
              <w:rPr>
                <w:lang w:val="en-GB"/>
              </w:rPr>
              <w:t>(13</w:t>
            </w:r>
            <w:r w:rsidR="00050CD8">
              <w:rPr>
                <w:lang w:val="en-GB"/>
              </w:rPr>
              <w:t>.</w:t>
            </w:r>
            <w:r w:rsidR="009B553D" w:rsidRPr="001843D0">
              <w:rPr>
                <w:lang w:val="en-GB"/>
              </w:rPr>
              <w:t>9%).</w:t>
            </w:r>
            <w:r w:rsidR="00050CD8">
              <w:rPr>
                <w:lang w:val="en-GB"/>
              </w:rPr>
              <w:t xml:space="preserve"> Prices of common maintenance and repairs were by </w:t>
            </w:r>
            <w:r w:rsidR="009B553D" w:rsidRPr="001843D0">
              <w:rPr>
                <w:lang w:val="en-GB"/>
              </w:rPr>
              <w:t>9</w:t>
            </w:r>
            <w:r w:rsidR="00050CD8">
              <w:rPr>
                <w:lang w:val="en-GB"/>
              </w:rPr>
              <w:t>.</w:t>
            </w:r>
            <w:r w:rsidR="009B553D" w:rsidRPr="001843D0">
              <w:rPr>
                <w:lang w:val="en-GB"/>
              </w:rPr>
              <w:t>6%</w:t>
            </w:r>
            <w:r w:rsidR="00050CD8">
              <w:rPr>
                <w:lang w:val="en-GB"/>
              </w:rPr>
              <w:t xml:space="preserve"> higher</w:t>
            </w:r>
            <w:r w:rsidR="009B553D" w:rsidRPr="001843D0">
              <w:rPr>
                <w:lang w:val="en-GB"/>
              </w:rPr>
              <w:t>,</w:t>
            </w:r>
            <w:r w:rsidR="00050CD8">
              <w:rPr>
                <w:lang w:val="en-GB"/>
              </w:rPr>
              <w:t xml:space="preserve"> other services associated with housing by </w:t>
            </w:r>
            <w:r w:rsidR="009B553D" w:rsidRPr="001843D0">
              <w:rPr>
                <w:lang w:val="en-GB"/>
              </w:rPr>
              <w:t>4</w:t>
            </w:r>
            <w:r w:rsidR="00050CD8">
              <w:rPr>
                <w:lang w:val="en-GB"/>
              </w:rPr>
              <w:t>.</w:t>
            </w:r>
            <w:r w:rsidR="009B553D" w:rsidRPr="001843D0">
              <w:rPr>
                <w:lang w:val="en-GB"/>
              </w:rPr>
              <w:t>7% a</w:t>
            </w:r>
            <w:r w:rsidR="00050CD8">
              <w:rPr>
                <w:lang w:val="en-GB"/>
              </w:rPr>
              <w:t>nd rent</w:t>
            </w:r>
            <w:r w:rsidR="00683EB8">
              <w:rPr>
                <w:lang w:val="en-GB"/>
              </w:rPr>
              <w:t>al</w:t>
            </w:r>
            <w:r w:rsidR="00050CD8">
              <w:rPr>
                <w:lang w:val="en-GB"/>
              </w:rPr>
              <w:t xml:space="preserve">s </w:t>
            </w:r>
            <w:r w:rsidR="00683EB8">
              <w:rPr>
                <w:lang w:val="en-GB"/>
              </w:rPr>
              <w:t>paid for the flat</w:t>
            </w:r>
            <w:r w:rsidR="00050CD8">
              <w:rPr>
                <w:lang w:val="en-GB"/>
              </w:rPr>
              <w:t xml:space="preserve"> by </w:t>
            </w:r>
            <w:r w:rsidR="009B553D" w:rsidRPr="001843D0">
              <w:rPr>
                <w:lang w:val="en-GB"/>
              </w:rPr>
              <w:t>3</w:t>
            </w:r>
            <w:r w:rsidR="00050CD8">
              <w:rPr>
                <w:lang w:val="en-GB"/>
              </w:rPr>
              <w:t>.</w:t>
            </w:r>
            <w:r w:rsidR="009B553D" w:rsidRPr="001843D0">
              <w:rPr>
                <w:lang w:val="en-GB"/>
              </w:rPr>
              <w:t xml:space="preserve">7%. </w:t>
            </w:r>
            <w:r w:rsidR="00050CD8">
              <w:rPr>
                <w:lang w:val="en-GB"/>
              </w:rPr>
              <w:t xml:space="preserve">Prices of electricity, gas and fuels decreased by </w:t>
            </w:r>
            <w:r w:rsidR="009B553D" w:rsidRPr="001843D0">
              <w:rPr>
                <w:lang w:val="en-GB"/>
              </w:rPr>
              <w:t>4</w:t>
            </w:r>
            <w:r w:rsidR="00050CD8">
              <w:rPr>
                <w:lang w:val="en-GB"/>
              </w:rPr>
              <w:t>.</w:t>
            </w:r>
            <w:r w:rsidR="009B553D" w:rsidRPr="001843D0">
              <w:rPr>
                <w:lang w:val="en-GB"/>
              </w:rPr>
              <w:t>9%</w:t>
            </w:r>
            <w:r w:rsidR="00050CD8">
              <w:rPr>
                <w:lang w:val="en-GB"/>
              </w:rPr>
              <w:t xml:space="preserve"> year-on-year in Q4 and their decrease deepened thanks to the above mentioned VAT waiver. </w:t>
            </w:r>
          </w:p>
        </w:tc>
      </w:tr>
      <w:tr w:rsidR="009B553D" w:rsidRPr="009110F7" w14:paraId="32ACFA0D" w14:textId="77777777" w:rsidTr="00913237">
        <w:trPr>
          <w:trHeight w:val="145"/>
        </w:trPr>
        <w:tc>
          <w:tcPr>
            <w:tcW w:w="1805" w:type="dxa"/>
            <w:shd w:val="clear" w:color="auto" w:fill="auto"/>
            <w:tcMar>
              <w:left w:w="0" w:type="dxa"/>
            </w:tcMar>
          </w:tcPr>
          <w:p w14:paraId="02FB8FFF" w14:textId="161E4697" w:rsidR="009B553D" w:rsidRPr="00B10DFD" w:rsidRDefault="00B10DFD" w:rsidP="00913237">
            <w:pPr>
              <w:pStyle w:val="Marginlie"/>
              <w:rPr>
                <w:spacing w:val="0"/>
                <w:lang w:val="en-GB"/>
              </w:rPr>
            </w:pPr>
            <w:r>
              <w:rPr>
                <w:spacing w:val="0"/>
                <w:lang w:val="en-GB"/>
              </w:rPr>
              <w:t xml:space="preserve">Prices of purchases </w:t>
            </w:r>
            <w:r w:rsidR="00864FA4">
              <w:rPr>
                <w:spacing w:val="0"/>
                <w:lang w:val="en-GB"/>
              </w:rPr>
              <w:t>o</w:t>
            </w:r>
            <w:r>
              <w:rPr>
                <w:spacing w:val="0"/>
                <w:lang w:val="en-GB"/>
              </w:rPr>
              <w:t xml:space="preserve">f transportation equipment as well as the cost of their operation grew strongly. </w:t>
            </w:r>
          </w:p>
        </w:tc>
        <w:tc>
          <w:tcPr>
            <w:tcW w:w="224" w:type="dxa"/>
            <w:shd w:val="clear" w:color="auto" w:fill="auto"/>
            <w:tcMar>
              <w:left w:w="0" w:type="dxa"/>
            </w:tcMar>
          </w:tcPr>
          <w:p w14:paraId="07CFE9DB" w14:textId="77777777" w:rsidR="009B553D" w:rsidRPr="00EB06EF" w:rsidRDefault="009B553D" w:rsidP="00913237">
            <w:pPr>
              <w:pStyle w:val="Textpoznpodarou1"/>
              <w:jc w:val="both"/>
            </w:pPr>
          </w:p>
        </w:tc>
        <w:tc>
          <w:tcPr>
            <w:tcW w:w="7610" w:type="dxa"/>
            <w:shd w:val="clear" w:color="auto" w:fill="auto"/>
            <w:tcMar>
              <w:left w:w="0" w:type="dxa"/>
            </w:tcMar>
          </w:tcPr>
          <w:p w14:paraId="4E4B1D39" w14:textId="08200E7B" w:rsidR="009B553D" w:rsidRPr="00050CD8" w:rsidRDefault="008C1537" w:rsidP="000743F9">
            <w:pPr>
              <w:rPr>
                <w:lang w:val="en-GB"/>
              </w:rPr>
            </w:pPr>
            <w:r>
              <w:rPr>
                <w:lang w:val="en-GB"/>
              </w:rPr>
              <w:t xml:space="preserve">Prices of transport increased by </w:t>
            </w:r>
            <w:r w:rsidR="009B553D" w:rsidRPr="00050CD8">
              <w:rPr>
                <w:lang w:val="en-GB"/>
              </w:rPr>
              <w:t>8</w:t>
            </w:r>
            <w:r>
              <w:rPr>
                <w:lang w:val="en-GB"/>
              </w:rPr>
              <w:t>.</w:t>
            </w:r>
            <w:r w:rsidR="009B553D" w:rsidRPr="00050CD8">
              <w:rPr>
                <w:lang w:val="en-GB"/>
              </w:rPr>
              <w:t>4%</w:t>
            </w:r>
            <w:r>
              <w:rPr>
                <w:lang w:val="en-GB"/>
              </w:rPr>
              <w:t xml:space="preserve"> in total in year 2021</w:t>
            </w:r>
            <w:r w:rsidR="009B553D" w:rsidRPr="00050CD8">
              <w:rPr>
                <w:lang w:val="en-GB"/>
              </w:rPr>
              <w:t>.</w:t>
            </w:r>
            <w:r w:rsidR="00E21E9A">
              <w:rPr>
                <w:lang w:val="en-GB"/>
              </w:rPr>
              <w:t xml:space="preserve"> Strong growth of cost of </w:t>
            </w:r>
            <w:r w:rsidR="00176D0A">
              <w:rPr>
                <w:lang w:val="en-GB"/>
              </w:rPr>
              <w:t xml:space="preserve">operating a personal transport </w:t>
            </w:r>
            <w:r w:rsidR="000743F9">
              <w:rPr>
                <w:lang w:val="en-GB"/>
              </w:rPr>
              <w:t>equipment</w:t>
            </w:r>
            <w:r w:rsidR="00176D0A">
              <w:rPr>
                <w:lang w:val="en-GB"/>
              </w:rPr>
              <w:t xml:space="preserve"> </w:t>
            </w:r>
            <w:r w:rsidR="009B553D" w:rsidRPr="00050CD8">
              <w:rPr>
                <w:lang w:val="en-GB"/>
              </w:rPr>
              <w:t>(11</w:t>
            </w:r>
            <w:r w:rsidR="00176D0A">
              <w:rPr>
                <w:lang w:val="en-GB"/>
              </w:rPr>
              <w:t>.</w:t>
            </w:r>
            <w:r w:rsidR="009B553D" w:rsidRPr="00050CD8">
              <w:rPr>
                <w:lang w:val="en-GB"/>
              </w:rPr>
              <w:t>2%)</w:t>
            </w:r>
            <w:r w:rsidR="00176D0A">
              <w:rPr>
                <w:lang w:val="en-GB"/>
              </w:rPr>
              <w:t xml:space="preserve"> contributed the most</w:t>
            </w:r>
            <w:r w:rsidR="009B553D" w:rsidRPr="00050CD8">
              <w:rPr>
                <w:lang w:val="en-GB"/>
              </w:rPr>
              <w:t xml:space="preserve">, </w:t>
            </w:r>
            <w:r w:rsidR="00176D0A">
              <w:rPr>
                <w:lang w:val="en-GB"/>
              </w:rPr>
              <w:t xml:space="preserve">reflecting </w:t>
            </w:r>
            <w:r w:rsidR="00E21E9A">
              <w:rPr>
                <w:lang w:val="en-GB"/>
              </w:rPr>
              <w:t xml:space="preserve">the high jump of oil prices. </w:t>
            </w:r>
            <w:r w:rsidR="00A90335">
              <w:rPr>
                <w:lang w:val="en-GB"/>
              </w:rPr>
              <w:t xml:space="preserve">Prices of </w:t>
            </w:r>
            <w:r w:rsidR="000743F9">
              <w:rPr>
                <w:lang w:val="en-GB"/>
              </w:rPr>
              <w:t>purchase of vehicles</w:t>
            </w:r>
            <w:r w:rsidR="00A90335">
              <w:rPr>
                <w:lang w:val="en-GB"/>
              </w:rPr>
              <w:t xml:space="preserve"> </w:t>
            </w:r>
            <w:r w:rsidR="009B553D" w:rsidRPr="00050CD8">
              <w:rPr>
                <w:lang w:val="en-GB"/>
              </w:rPr>
              <w:t>(7</w:t>
            </w:r>
            <w:r w:rsidR="00864FA4">
              <w:rPr>
                <w:lang w:val="en-GB"/>
              </w:rPr>
              <w:t>.</w:t>
            </w:r>
            <w:r w:rsidR="009B553D" w:rsidRPr="00050CD8">
              <w:rPr>
                <w:lang w:val="en-GB"/>
              </w:rPr>
              <w:t>5%)</w:t>
            </w:r>
            <w:r w:rsidR="00A90335">
              <w:rPr>
                <w:lang w:val="en-GB"/>
              </w:rPr>
              <w:t xml:space="preserve"> rose also significantly</w:t>
            </w:r>
            <w:r w:rsidR="009B553D" w:rsidRPr="00050CD8">
              <w:rPr>
                <w:lang w:val="en-GB"/>
              </w:rPr>
              <w:t xml:space="preserve">. </w:t>
            </w:r>
            <w:r w:rsidR="00A90335">
              <w:rPr>
                <w:lang w:val="en-GB"/>
              </w:rPr>
              <w:t xml:space="preserve">Their year-on-year increases accelerated already in year </w:t>
            </w:r>
            <w:r w:rsidR="009B553D" w:rsidRPr="00050CD8">
              <w:rPr>
                <w:lang w:val="en-GB"/>
              </w:rPr>
              <w:t>2020,</w:t>
            </w:r>
            <w:r w:rsidR="00A90335">
              <w:rPr>
                <w:lang w:val="en-GB"/>
              </w:rPr>
              <w:t xml:space="preserve"> when the temporary suspension of foreign trade and industry occurred and also the weakening of the foreign exchange specifically in the Czech case, which raised the prices of import.</w:t>
            </w:r>
            <w:r w:rsidR="00D81E79">
              <w:rPr>
                <w:lang w:val="en-GB"/>
              </w:rPr>
              <w:t xml:space="preserve"> Difficulties with shortage of components further deepened in the motor vehicle manufacturing and logistics last year, which pushed the prices of transportation equipment further up</w:t>
            </w:r>
            <w:r w:rsidR="009B553D" w:rsidRPr="00050CD8">
              <w:rPr>
                <w:lang w:val="en-GB"/>
              </w:rPr>
              <w:t xml:space="preserve">. </w:t>
            </w:r>
            <w:r w:rsidR="00D81E79">
              <w:rPr>
                <w:lang w:val="en-GB"/>
              </w:rPr>
              <w:t xml:space="preserve">Prices of transport services rose by </w:t>
            </w:r>
            <w:r w:rsidR="009B553D" w:rsidRPr="00050CD8">
              <w:rPr>
                <w:lang w:val="en-GB"/>
              </w:rPr>
              <w:t>2</w:t>
            </w:r>
            <w:r w:rsidR="00D81E79">
              <w:rPr>
                <w:lang w:val="en-GB"/>
              </w:rPr>
              <w:t>.</w:t>
            </w:r>
            <w:r w:rsidR="009B553D" w:rsidRPr="00050CD8">
              <w:rPr>
                <w:lang w:val="en-GB"/>
              </w:rPr>
              <w:t>4%</w:t>
            </w:r>
            <w:r w:rsidR="00D81E79">
              <w:rPr>
                <w:lang w:val="en-GB"/>
              </w:rPr>
              <w:t xml:space="preserve"> last year</w:t>
            </w:r>
            <w:r w:rsidR="009B553D" w:rsidRPr="00050CD8">
              <w:rPr>
                <w:lang w:val="en-GB"/>
              </w:rPr>
              <w:t>.</w:t>
            </w:r>
            <w:r w:rsidR="00D81E79">
              <w:rPr>
                <w:lang w:val="en-GB"/>
              </w:rPr>
              <w:t xml:space="preserve"> The year-on-year growth of prices of transport sharply accelerated towards the end of the year and it attained 13.1% in Q</w:t>
            </w:r>
            <w:r w:rsidR="009B553D" w:rsidRPr="00050CD8">
              <w:rPr>
                <w:lang w:val="en-GB"/>
              </w:rPr>
              <w:t>4.</w:t>
            </w:r>
            <w:r w:rsidR="00D81E79">
              <w:rPr>
                <w:lang w:val="en-GB"/>
              </w:rPr>
              <w:t xml:space="preserve"> </w:t>
            </w:r>
            <w:r w:rsidR="00F56700">
              <w:rPr>
                <w:lang w:val="en-GB"/>
              </w:rPr>
              <w:t>At the same time, the cost of operati</w:t>
            </w:r>
            <w:r w:rsidR="00F34AF4">
              <w:rPr>
                <w:lang w:val="en-GB"/>
              </w:rPr>
              <w:t>ng</w:t>
            </w:r>
            <w:r w:rsidR="00F56700">
              <w:rPr>
                <w:lang w:val="en-GB"/>
              </w:rPr>
              <w:t xml:space="preserve"> the </w:t>
            </w:r>
            <w:r w:rsidR="000743F9">
              <w:rPr>
                <w:lang w:val="en-GB"/>
              </w:rPr>
              <w:t xml:space="preserve">personal </w:t>
            </w:r>
            <w:r w:rsidR="00F56700">
              <w:rPr>
                <w:lang w:val="en-GB"/>
              </w:rPr>
              <w:t xml:space="preserve">transport </w:t>
            </w:r>
            <w:r w:rsidR="000743F9">
              <w:rPr>
                <w:lang w:val="en-GB"/>
              </w:rPr>
              <w:t>equipment</w:t>
            </w:r>
            <w:r w:rsidR="00F56700">
              <w:rPr>
                <w:lang w:val="en-GB"/>
              </w:rPr>
              <w:t xml:space="preserve"> were by 20.9% higher in Q4 and prices of </w:t>
            </w:r>
            <w:r w:rsidR="000743F9">
              <w:rPr>
                <w:lang w:val="en-GB"/>
              </w:rPr>
              <w:t xml:space="preserve">purchase of vehicles </w:t>
            </w:r>
            <w:r w:rsidR="00F56700">
              <w:rPr>
                <w:lang w:val="en-GB"/>
              </w:rPr>
              <w:t xml:space="preserve">grew by </w:t>
            </w:r>
            <w:r w:rsidR="009B553D" w:rsidRPr="00050CD8">
              <w:rPr>
                <w:lang w:val="en-GB"/>
              </w:rPr>
              <w:t>8</w:t>
            </w:r>
            <w:r w:rsidR="00F56700">
              <w:rPr>
                <w:lang w:val="en-GB"/>
              </w:rPr>
              <w:t>.</w:t>
            </w:r>
            <w:r w:rsidR="009B553D" w:rsidRPr="00050CD8">
              <w:rPr>
                <w:lang w:val="en-GB"/>
              </w:rPr>
              <w:t>2%.</w:t>
            </w:r>
            <w:r w:rsidR="00F56700">
              <w:rPr>
                <w:lang w:val="en-GB"/>
              </w:rPr>
              <w:t xml:space="preserve"> Prices of transport services expanded by </w:t>
            </w:r>
            <w:r w:rsidR="009B553D" w:rsidRPr="00050CD8">
              <w:rPr>
                <w:lang w:val="en-GB"/>
              </w:rPr>
              <w:t>5</w:t>
            </w:r>
            <w:r w:rsidR="00F56700">
              <w:rPr>
                <w:lang w:val="en-GB"/>
              </w:rPr>
              <w:t>.</w:t>
            </w:r>
            <w:r w:rsidR="009B553D" w:rsidRPr="00050CD8">
              <w:rPr>
                <w:lang w:val="en-GB"/>
              </w:rPr>
              <w:t>2%.</w:t>
            </w:r>
          </w:p>
        </w:tc>
      </w:tr>
      <w:tr w:rsidR="009B553D" w:rsidRPr="009110F7" w14:paraId="2B71579F" w14:textId="77777777" w:rsidTr="00913237">
        <w:trPr>
          <w:trHeight w:val="145"/>
        </w:trPr>
        <w:tc>
          <w:tcPr>
            <w:tcW w:w="1805" w:type="dxa"/>
            <w:shd w:val="clear" w:color="auto" w:fill="auto"/>
            <w:tcMar>
              <w:left w:w="0" w:type="dxa"/>
            </w:tcMar>
          </w:tcPr>
          <w:p w14:paraId="310193EC" w14:textId="402EB45D" w:rsidR="009B553D" w:rsidRPr="00E21E9A" w:rsidRDefault="00EF072A" w:rsidP="00913237">
            <w:pPr>
              <w:pStyle w:val="Marginlie"/>
              <w:rPr>
                <w:spacing w:val="0"/>
                <w:lang w:val="en-GB"/>
              </w:rPr>
            </w:pPr>
            <w:r>
              <w:rPr>
                <w:spacing w:val="0"/>
                <w:lang w:val="en-GB"/>
              </w:rPr>
              <w:t xml:space="preserve">Prices of tobacco further maintained a strong growth. </w:t>
            </w:r>
          </w:p>
        </w:tc>
        <w:tc>
          <w:tcPr>
            <w:tcW w:w="224" w:type="dxa"/>
            <w:shd w:val="clear" w:color="auto" w:fill="auto"/>
            <w:tcMar>
              <w:left w:w="0" w:type="dxa"/>
            </w:tcMar>
          </w:tcPr>
          <w:p w14:paraId="24949E5A" w14:textId="77777777" w:rsidR="009B553D" w:rsidRPr="00E21E9A" w:rsidRDefault="009B553D" w:rsidP="00913237">
            <w:pPr>
              <w:pStyle w:val="Textpoznpodarou1"/>
              <w:jc w:val="both"/>
              <w:rPr>
                <w:lang w:val="en-GB"/>
              </w:rPr>
            </w:pPr>
          </w:p>
        </w:tc>
        <w:tc>
          <w:tcPr>
            <w:tcW w:w="7610" w:type="dxa"/>
            <w:shd w:val="clear" w:color="auto" w:fill="auto"/>
            <w:tcMar>
              <w:left w:w="0" w:type="dxa"/>
            </w:tcMar>
          </w:tcPr>
          <w:p w14:paraId="748B9F76" w14:textId="04034DF4" w:rsidR="009B553D" w:rsidRPr="00E21E9A" w:rsidRDefault="00963D65" w:rsidP="000743F9">
            <w:pPr>
              <w:rPr>
                <w:lang w:val="en-GB"/>
              </w:rPr>
            </w:pPr>
            <w:r>
              <w:rPr>
                <w:lang w:val="en-GB"/>
              </w:rPr>
              <w:t xml:space="preserve">Prices of alcoholic beverages and tobacco were by 8.4% higher last year. The majority of this increase was ascribed to the prices of tobacco </w:t>
            </w:r>
            <w:r w:rsidR="009B553D" w:rsidRPr="00E21E9A">
              <w:rPr>
                <w:lang w:val="en-GB"/>
              </w:rPr>
              <w:t>(13</w:t>
            </w:r>
            <w:r>
              <w:rPr>
                <w:lang w:val="en-GB"/>
              </w:rPr>
              <w:t>.</w:t>
            </w:r>
            <w:r w:rsidR="009B553D" w:rsidRPr="00E21E9A">
              <w:rPr>
                <w:lang w:val="en-GB"/>
              </w:rPr>
              <w:t>1%),</w:t>
            </w:r>
            <w:r>
              <w:rPr>
                <w:lang w:val="en-GB"/>
              </w:rPr>
              <w:t xml:space="preserve"> while the prices of alcoholic beverages grew slower </w:t>
            </w:r>
            <w:r w:rsidR="009B553D" w:rsidRPr="00E21E9A">
              <w:rPr>
                <w:lang w:val="en-GB"/>
              </w:rPr>
              <w:t>(2</w:t>
            </w:r>
            <w:r>
              <w:rPr>
                <w:lang w:val="en-GB"/>
              </w:rPr>
              <w:t>.</w:t>
            </w:r>
            <w:r w:rsidR="009B553D" w:rsidRPr="00E21E9A">
              <w:rPr>
                <w:lang w:val="en-GB"/>
              </w:rPr>
              <w:t>3%).</w:t>
            </w:r>
            <w:r>
              <w:rPr>
                <w:lang w:val="en-GB"/>
              </w:rPr>
              <w:t xml:space="preserve"> In Q</w:t>
            </w:r>
            <w:r w:rsidR="009B553D" w:rsidRPr="00E21E9A">
              <w:rPr>
                <w:lang w:val="en-GB"/>
              </w:rPr>
              <w:t>4</w:t>
            </w:r>
            <w:r>
              <w:rPr>
                <w:lang w:val="en-GB"/>
              </w:rPr>
              <w:t xml:space="preserve">, prices of alcoholic beverages and tobacco rose by </w:t>
            </w:r>
            <w:r w:rsidR="009B553D" w:rsidRPr="00E21E9A">
              <w:rPr>
                <w:lang w:val="en-GB"/>
              </w:rPr>
              <w:t>7</w:t>
            </w:r>
            <w:r>
              <w:rPr>
                <w:lang w:val="en-GB"/>
              </w:rPr>
              <w:t>.</w:t>
            </w:r>
            <w:r w:rsidR="009B553D" w:rsidRPr="00E21E9A">
              <w:rPr>
                <w:lang w:val="en-GB"/>
              </w:rPr>
              <w:t>7%</w:t>
            </w:r>
            <w:r>
              <w:rPr>
                <w:lang w:val="en-GB"/>
              </w:rPr>
              <w:t xml:space="preserve"> year-on-year</w:t>
            </w:r>
            <w:r w:rsidR="009B553D" w:rsidRPr="00E21E9A">
              <w:rPr>
                <w:lang w:val="en-GB"/>
              </w:rPr>
              <w:t xml:space="preserve">. </w:t>
            </w:r>
            <w:r w:rsidR="00CD52EB">
              <w:rPr>
                <w:lang w:val="en-GB"/>
              </w:rPr>
              <w:t xml:space="preserve">In that the prices of tobacco were by </w:t>
            </w:r>
            <w:r w:rsidR="009B553D" w:rsidRPr="00E21E9A">
              <w:rPr>
                <w:lang w:val="en-GB"/>
              </w:rPr>
              <w:t>11</w:t>
            </w:r>
            <w:r w:rsidR="00CD52EB">
              <w:rPr>
                <w:lang w:val="en-GB"/>
              </w:rPr>
              <w:t>.</w:t>
            </w:r>
            <w:r w:rsidR="009B553D" w:rsidRPr="00E21E9A">
              <w:rPr>
                <w:lang w:val="en-GB"/>
              </w:rPr>
              <w:t>9%</w:t>
            </w:r>
            <w:r w:rsidR="00CD52EB">
              <w:rPr>
                <w:lang w:val="en-GB"/>
              </w:rPr>
              <w:t xml:space="preserve"> higher and alcohol by </w:t>
            </w:r>
            <w:r w:rsidR="009B553D" w:rsidRPr="00E21E9A">
              <w:rPr>
                <w:lang w:val="en-GB"/>
              </w:rPr>
              <w:t>1</w:t>
            </w:r>
            <w:r w:rsidR="00CD52EB">
              <w:rPr>
                <w:lang w:val="en-GB"/>
              </w:rPr>
              <w:t>.</w:t>
            </w:r>
            <w:r w:rsidR="009B553D" w:rsidRPr="00E21E9A">
              <w:rPr>
                <w:lang w:val="en-GB"/>
              </w:rPr>
              <w:t>9%.</w:t>
            </w:r>
            <w:r w:rsidR="00CD52EB">
              <w:rPr>
                <w:lang w:val="en-GB"/>
              </w:rPr>
              <w:t xml:space="preserve"> Prices of food and non-alcoholic beverages increased by </w:t>
            </w:r>
            <w:r w:rsidR="009B553D" w:rsidRPr="00E21E9A">
              <w:rPr>
                <w:lang w:val="en-GB"/>
              </w:rPr>
              <w:t>0</w:t>
            </w:r>
            <w:r w:rsidR="00CD52EB">
              <w:rPr>
                <w:lang w:val="en-GB"/>
              </w:rPr>
              <w:t>.</w:t>
            </w:r>
            <w:r w:rsidR="009B553D" w:rsidRPr="00E21E9A">
              <w:rPr>
                <w:lang w:val="en-GB"/>
              </w:rPr>
              <w:t>8%</w:t>
            </w:r>
            <w:r w:rsidR="00CD52EB">
              <w:rPr>
                <w:lang w:val="en-GB"/>
              </w:rPr>
              <w:t xml:space="preserve"> and mainly prices of oils and fats contributed to this result </w:t>
            </w:r>
            <w:r w:rsidR="009B553D" w:rsidRPr="00E21E9A">
              <w:rPr>
                <w:lang w:val="en-GB"/>
              </w:rPr>
              <w:t>(12</w:t>
            </w:r>
            <w:r w:rsidR="00CD52EB">
              <w:rPr>
                <w:lang w:val="en-GB"/>
              </w:rPr>
              <w:t>.</w:t>
            </w:r>
            <w:r w:rsidR="009B553D" w:rsidRPr="00E21E9A">
              <w:rPr>
                <w:lang w:val="en-GB"/>
              </w:rPr>
              <w:t>3%),</w:t>
            </w:r>
            <w:r w:rsidR="00CD52EB">
              <w:rPr>
                <w:lang w:val="en-GB"/>
              </w:rPr>
              <w:t xml:space="preserve"> </w:t>
            </w:r>
            <w:r w:rsidR="000743F9">
              <w:rPr>
                <w:lang w:val="en-GB"/>
              </w:rPr>
              <w:t>bread</w:t>
            </w:r>
            <w:r w:rsidR="00CD52EB">
              <w:rPr>
                <w:lang w:val="en-GB"/>
              </w:rPr>
              <w:t xml:space="preserve"> and cereals </w:t>
            </w:r>
            <w:r w:rsidR="009B553D" w:rsidRPr="00E21E9A">
              <w:rPr>
                <w:lang w:val="en-GB"/>
              </w:rPr>
              <w:t>(1</w:t>
            </w:r>
            <w:r w:rsidR="00CD52EB">
              <w:rPr>
                <w:lang w:val="en-GB"/>
              </w:rPr>
              <w:t>.</w:t>
            </w:r>
            <w:r w:rsidR="009B553D" w:rsidRPr="00E21E9A">
              <w:rPr>
                <w:lang w:val="en-GB"/>
              </w:rPr>
              <w:t>9%) a</w:t>
            </w:r>
            <w:r w:rsidR="00CD52EB">
              <w:rPr>
                <w:lang w:val="en-GB"/>
              </w:rPr>
              <w:t xml:space="preserve">nd milk, cheese and eggs </w:t>
            </w:r>
            <w:r w:rsidR="009B553D" w:rsidRPr="00E21E9A">
              <w:rPr>
                <w:lang w:val="en-GB"/>
              </w:rPr>
              <w:t>(1</w:t>
            </w:r>
            <w:r w:rsidR="00CD52EB">
              <w:rPr>
                <w:lang w:val="en-GB"/>
              </w:rPr>
              <w:t>.</w:t>
            </w:r>
            <w:r w:rsidR="009B553D" w:rsidRPr="00E21E9A">
              <w:rPr>
                <w:lang w:val="en-GB"/>
              </w:rPr>
              <w:t>1%)</w:t>
            </w:r>
            <w:r w:rsidR="00CD52EB">
              <w:rPr>
                <w:lang w:val="en-GB"/>
              </w:rPr>
              <w:t xml:space="preserve"> contributed to this result. By contrast, the prices of meat were by 1.8% lower. The growth of prices of food and non-alcoholic beverages however grew stronger towards the end of the year and it attained </w:t>
            </w:r>
            <w:r w:rsidR="009B553D" w:rsidRPr="00E21E9A">
              <w:rPr>
                <w:lang w:val="en-GB"/>
              </w:rPr>
              <w:t>2</w:t>
            </w:r>
            <w:r w:rsidR="00CD52EB">
              <w:rPr>
                <w:lang w:val="en-GB"/>
              </w:rPr>
              <w:t>.</w:t>
            </w:r>
            <w:r w:rsidR="009B553D" w:rsidRPr="00E21E9A">
              <w:rPr>
                <w:lang w:val="en-GB"/>
              </w:rPr>
              <w:t>3%</w:t>
            </w:r>
            <w:r w:rsidR="00CD52EB">
              <w:rPr>
                <w:lang w:val="en-GB"/>
              </w:rPr>
              <w:t xml:space="preserve"> in Q4</w:t>
            </w:r>
            <w:r w:rsidR="009B553D" w:rsidRPr="00E21E9A">
              <w:rPr>
                <w:lang w:val="en-GB"/>
              </w:rPr>
              <w:t>.</w:t>
            </w:r>
            <w:r w:rsidR="00CD52EB">
              <w:rPr>
                <w:lang w:val="en-GB"/>
              </w:rPr>
              <w:t xml:space="preserve"> The year-on-year increase of b</w:t>
            </w:r>
            <w:r w:rsidR="000743F9">
              <w:rPr>
                <w:lang w:val="en-GB"/>
              </w:rPr>
              <w:t>read</w:t>
            </w:r>
            <w:r w:rsidR="00CD52EB">
              <w:rPr>
                <w:lang w:val="en-GB"/>
              </w:rPr>
              <w:t xml:space="preserve"> and cereals accelerated </w:t>
            </w:r>
            <w:r w:rsidR="009B553D" w:rsidRPr="00E21E9A">
              <w:rPr>
                <w:lang w:val="en-GB"/>
              </w:rPr>
              <w:t>4</w:t>
            </w:r>
            <w:r w:rsidR="00CD52EB">
              <w:rPr>
                <w:lang w:val="en-GB"/>
              </w:rPr>
              <w:t>.</w:t>
            </w:r>
            <w:r w:rsidR="009B553D" w:rsidRPr="00E21E9A">
              <w:rPr>
                <w:lang w:val="en-GB"/>
              </w:rPr>
              <w:t xml:space="preserve">4%, </w:t>
            </w:r>
            <w:r w:rsidR="00CD52EB">
              <w:rPr>
                <w:lang w:val="en-GB"/>
              </w:rPr>
              <w:t xml:space="preserve">milk, cheese and eggs to </w:t>
            </w:r>
            <w:r w:rsidR="009B553D" w:rsidRPr="00E21E9A">
              <w:rPr>
                <w:lang w:val="en-GB"/>
              </w:rPr>
              <w:t>3</w:t>
            </w:r>
            <w:r w:rsidR="00CD52EB">
              <w:rPr>
                <w:lang w:val="en-GB"/>
              </w:rPr>
              <w:t>.</w:t>
            </w:r>
            <w:r w:rsidR="009B553D" w:rsidRPr="00E21E9A">
              <w:rPr>
                <w:lang w:val="en-GB"/>
              </w:rPr>
              <w:t>9% a</w:t>
            </w:r>
            <w:r w:rsidR="00CD52EB">
              <w:rPr>
                <w:lang w:val="en-GB"/>
              </w:rPr>
              <w:t xml:space="preserve">nd oils and fats to </w:t>
            </w:r>
            <w:r w:rsidR="009B553D" w:rsidRPr="00E21E9A">
              <w:rPr>
                <w:lang w:val="en-GB"/>
              </w:rPr>
              <w:t>21</w:t>
            </w:r>
            <w:r w:rsidR="00CD52EB">
              <w:rPr>
                <w:lang w:val="en-GB"/>
              </w:rPr>
              <w:t>.</w:t>
            </w:r>
            <w:r w:rsidR="009B553D" w:rsidRPr="00E21E9A">
              <w:rPr>
                <w:lang w:val="en-GB"/>
              </w:rPr>
              <w:t xml:space="preserve">2%. </w:t>
            </w:r>
            <w:r w:rsidR="00CD52EB">
              <w:rPr>
                <w:lang w:val="en-GB"/>
              </w:rPr>
              <w:t xml:space="preserve">The decrease of prices of meat, which were by 1.8% lower in Q4, continued. </w:t>
            </w:r>
          </w:p>
        </w:tc>
      </w:tr>
      <w:tr w:rsidR="009B553D" w:rsidRPr="009110F7" w14:paraId="1AE7548C" w14:textId="77777777" w:rsidTr="00913237">
        <w:trPr>
          <w:trHeight w:val="145"/>
        </w:trPr>
        <w:tc>
          <w:tcPr>
            <w:tcW w:w="1805" w:type="dxa"/>
            <w:shd w:val="clear" w:color="auto" w:fill="auto"/>
            <w:tcMar>
              <w:left w:w="0" w:type="dxa"/>
            </w:tcMar>
          </w:tcPr>
          <w:p w14:paraId="363B3C04" w14:textId="2457B9A6" w:rsidR="009B553D" w:rsidRPr="00EF072A" w:rsidRDefault="0005480E" w:rsidP="00913237">
            <w:pPr>
              <w:pStyle w:val="Marginlie"/>
              <w:rPr>
                <w:spacing w:val="0"/>
                <w:lang w:val="en-GB"/>
              </w:rPr>
            </w:pPr>
            <w:r>
              <w:rPr>
                <w:spacing w:val="0"/>
                <w:lang w:val="en-GB"/>
              </w:rPr>
              <w:t>Prices in majority of consumer basket divisions were growing.</w:t>
            </w:r>
          </w:p>
        </w:tc>
        <w:tc>
          <w:tcPr>
            <w:tcW w:w="224" w:type="dxa"/>
            <w:shd w:val="clear" w:color="auto" w:fill="auto"/>
            <w:tcMar>
              <w:left w:w="0" w:type="dxa"/>
            </w:tcMar>
          </w:tcPr>
          <w:p w14:paraId="197A2359" w14:textId="77777777" w:rsidR="009B553D" w:rsidRPr="00EF072A" w:rsidRDefault="009B553D" w:rsidP="00913237">
            <w:pPr>
              <w:pStyle w:val="Textpoznpodarou1"/>
              <w:jc w:val="both"/>
              <w:rPr>
                <w:lang w:val="en-GB"/>
              </w:rPr>
            </w:pPr>
          </w:p>
        </w:tc>
        <w:tc>
          <w:tcPr>
            <w:tcW w:w="7610" w:type="dxa"/>
            <w:shd w:val="clear" w:color="auto" w:fill="auto"/>
            <w:tcMar>
              <w:left w:w="0" w:type="dxa"/>
            </w:tcMar>
          </w:tcPr>
          <w:p w14:paraId="7DAAC227" w14:textId="44E62490" w:rsidR="009B553D" w:rsidRPr="00EF072A" w:rsidRDefault="0005480E" w:rsidP="000743F9">
            <w:pPr>
              <w:rPr>
                <w:lang w:val="en-GB"/>
              </w:rPr>
            </w:pPr>
            <w:r>
              <w:rPr>
                <w:lang w:val="en-GB"/>
              </w:rPr>
              <w:t>In the majority of other divisions of the consumer basket</w:t>
            </w:r>
            <w:r w:rsidR="0038079A">
              <w:rPr>
                <w:lang w:val="en-GB"/>
              </w:rPr>
              <w:t xml:space="preserve"> the price growth strengthened last year and to the large extent it concerned goods, which were affected by the disruption of the world transportation, alternatively items, which were impacted by the counter pandemic  measures in retail and services.</w:t>
            </w:r>
            <w:r w:rsidR="00176664">
              <w:rPr>
                <w:lang w:val="en-GB"/>
              </w:rPr>
              <w:t xml:space="preserve"> </w:t>
            </w:r>
            <w:r w:rsidR="0038079A">
              <w:rPr>
                <w:lang w:val="en-GB"/>
              </w:rPr>
              <w:t xml:space="preserve">Prices of clothing and footwear were thus raised by </w:t>
            </w:r>
            <w:r w:rsidR="009B553D" w:rsidRPr="00EF072A">
              <w:rPr>
                <w:lang w:val="en-GB"/>
              </w:rPr>
              <w:t>6</w:t>
            </w:r>
            <w:r w:rsidR="0038079A">
              <w:rPr>
                <w:lang w:val="en-GB"/>
              </w:rPr>
              <w:t>.</w:t>
            </w:r>
            <w:r w:rsidR="009B553D" w:rsidRPr="00EF072A">
              <w:rPr>
                <w:lang w:val="en-GB"/>
              </w:rPr>
              <w:t xml:space="preserve">5%, </w:t>
            </w:r>
            <w:r w:rsidR="000743F9">
              <w:rPr>
                <w:lang w:val="en-GB"/>
              </w:rPr>
              <w:t xml:space="preserve">furnishings, </w:t>
            </w:r>
            <w:r w:rsidR="00176664">
              <w:rPr>
                <w:lang w:val="en-GB"/>
              </w:rPr>
              <w:t>household</w:t>
            </w:r>
            <w:r w:rsidR="000743F9">
              <w:rPr>
                <w:lang w:val="en-GB"/>
              </w:rPr>
              <w:t xml:space="preserve">s </w:t>
            </w:r>
            <w:r w:rsidR="00176664">
              <w:rPr>
                <w:lang w:val="en-GB"/>
              </w:rPr>
              <w:t>equipment</w:t>
            </w:r>
            <w:r w:rsidR="000743F9">
              <w:rPr>
                <w:lang w:val="en-GB"/>
              </w:rPr>
              <w:t xml:space="preserve"> and maintenance</w:t>
            </w:r>
            <w:r w:rsidR="00176664">
              <w:rPr>
                <w:lang w:val="en-GB"/>
              </w:rPr>
              <w:t xml:space="preserve"> by </w:t>
            </w:r>
            <w:r w:rsidR="009B553D" w:rsidRPr="00EF072A">
              <w:rPr>
                <w:lang w:val="en-GB"/>
              </w:rPr>
              <w:t>3</w:t>
            </w:r>
            <w:r w:rsidR="00176664">
              <w:rPr>
                <w:lang w:val="en-GB"/>
              </w:rPr>
              <w:t>.</w:t>
            </w:r>
            <w:r w:rsidR="009B553D" w:rsidRPr="00EF072A">
              <w:rPr>
                <w:lang w:val="en-GB"/>
              </w:rPr>
              <w:t xml:space="preserve">5%, </w:t>
            </w:r>
            <w:r w:rsidR="00176664">
              <w:rPr>
                <w:lang w:val="en-GB"/>
              </w:rPr>
              <w:t xml:space="preserve">prices of recreation and culture by </w:t>
            </w:r>
            <w:r w:rsidR="009B553D" w:rsidRPr="00EF072A">
              <w:rPr>
                <w:lang w:val="en-GB"/>
              </w:rPr>
              <w:t>3</w:t>
            </w:r>
            <w:r w:rsidR="00176664">
              <w:rPr>
                <w:lang w:val="en-GB"/>
              </w:rPr>
              <w:t>.</w:t>
            </w:r>
            <w:r w:rsidR="009B553D" w:rsidRPr="00EF072A">
              <w:rPr>
                <w:lang w:val="en-GB"/>
              </w:rPr>
              <w:t xml:space="preserve">0%, </w:t>
            </w:r>
            <w:r w:rsidR="000743F9">
              <w:rPr>
                <w:lang w:val="en-GB"/>
              </w:rPr>
              <w:t>restaurants and hotels</w:t>
            </w:r>
            <w:r w:rsidR="00176664">
              <w:rPr>
                <w:lang w:val="en-GB"/>
              </w:rPr>
              <w:t xml:space="preserve"> by </w:t>
            </w:r>
            <w:r w:rsidR="009B553D" w:rsidRPr="00EF072A">
              <w:rPr>
                <w:lang w:val="en-GB"/>
              </w:rPr>
              <w:t>4</w:t>
            </w:r>
            <w:r w:rsidR="00176664">
              <w:rPr>
                <w:lang w:val="en-GB"/>
              </w:rPr>
              <w:t>.</w:t>
            </w:r>
            <w:r w:rsidR="009B553D" w:rsidRPr="00EF072A">
              <w:rPr>
                <w:lang w:val="en-GB"/>
              </w:rPr>
              <w:t>3%</w:t>
            </w:r>
            <w:r w:rsidR="00176664">
              <w:rPr>
                <w:lang w:val="en-GB"/>
              </w:rPr>
              <w:t xml:space="preserve"> and </w:t>
            </w:r>
            <w:r w:rsidR="000743F9">
              <w:rPr>
                <w:lang w:val="en-GB"/>
              </w:rPr>
              <w:t>miscellaneous</w:t>
            </w:r>
            <w:r w:rsidR="00176664">
              <w:rPr>
                <w:lang w:val="en-GB"/>
              </w:rPr>
              <w:t xml:space="preserve"> goods and services by </w:t>
            </w:r>
            <w:r w:rsidR="009B553D" w:rsidRPr="00EF072A">
              <w:rPr>
                <w:lang w:val="en-GB"/>
              </w:rPr>
              <w:t>3</w:t>
            </w:r>
            <w:r w:rsidR="00176664">
              <w:rPr>
                <w:lang w:val="en-GB"/>
              </w:rPr>
              <w:t>.</w:t>
            </w:r>
            <w:r w:rsidR="009B553D" w:rsidRPr="00EF072A">
              <w:rPr>
                <w:lang w:val="en-GB"/>
              </w:rPr>
              <w:t>5%.</w:t>
            </w:r>
            <w:r w:rsidR="00176664">
              <w:rPr>
                <w:lang w:val="en-GB"/>
              </w:rPr>
              <w:t xml:space="preserve"> At the same time the acceleration of the price growth for these items eventuated especially in the second half of the year. In Q</w:t>
            </w:r>
            <w:r w:rsidR="009B553D" w:rsidRPr="00EF072A">
              <w:rPr>
                <w:lang w:val="en-GB"/>
              </w:rPr>
              <w:t>4</w:t>
            </w:r>
            <w:r w:rsidR="00176664">
              <w:rPr>
                <w:lang w:val="en-GB"/>
              </w:rPr>
              <w:t xml:space="preserve">, the year-on-year increase of the prices of clothing and footwear attained </w:t>
            </w:r>
            <w:r w:rsidR="009B553D" w:rsidRPr="00EF072A">
              <w:rPr>
                <w:lang w:val="en-GB"/>
              </w:rPr>
              <w:t>12</w:t>
            </w:r>
            <w:r w:rsidR="00176664">
              <w:rPr>
                <w:lang w:val="en-GB"/>
              </w:rPr>
              <w:t>.</w:t>
            </w:r>
            <w:r w:rsidR="009B553D" w:rsidRPr="00EF072A">
              <w:rPr>
                <w:lang w:val="en-GB"/>
              </w:rPr>
              <w:t>6%,</w:t>
            </w:r>
            <w:r w:rsidR="00176664">
              <w:rPr>
                <w:lang w:val="en-GB"/>
              </w:rPr>
              <w:t xml:space="preserve"> </w:t>
            </w:r>
            <w:r w:rsidR="000743F9">
              <w:rPr>
                <w:lang w:val="en-GB"/>
              </w:rPr>
              <w:t>households equipment and maintenance</w:t>
            </w:r>
            <w:r w:rsidR="00176664">
              <w:rPr>
                <w:lang w:val="en-GB"/>
              </w:rPr>
              <w:t xml:space="preserve"> </w:t>
            </w:r>
            <w:r w:rsidR="009B553D" w:rsidRPr="00EF072A">
              <w:rPr>
                <w:lang w:val="en-GB"/>
              </w:rPr>
              <w:t>6</w:t>
            </w:r>
            <w:r w:rsidR="00176664">
              <w:rPr>
                <w:lang w:val="en-GB"/>
              </w:rPr>
              <w:t>.</w:t>
            </w:r>
            <w:r w:rsidR="009B553D" w:rsidRPr="00EF072A">
              <w:rPr>
                <w:lang w:val="en-GB"/>
              </w:rPr>
              <w:t>1%, re</w:t>
            </w:r>
            <w:r w:rsidR="00176664">
              <w:rPr>
                <w:lang w:val="en-GB"/>
              </w:rPr>
              <w:t>creati</w:t>
            </w:r>
            <w:r w:rsidR="003962AB">
              <w:rPr>
                <w:lang w:val="en-GB"/>
              </w:rPr>
              <w:t>o</w:t>
            </w:r>
            <w:r w:rsidR="00176664">
              <w:rPr>
                <w:lang w:val="en-GB"/>
              </w:rPr>
              <w:t xml:space="preserve">n and culture </w:t>
            </w:r>
            <w:r w:rsidR="009B553D" w:rsidRPr="00EF072A">
              <w:rPr>
                <w:lang w:val="en-GB"/>
              </w:rPr>
              <w:t>5</w:t>
            </w:r>
            <w:r w:rsidR="00176664">
              <w:rPr>
                <w:lang w:val="en-GB"/>
              </w:rPr>
              <w:t>.</w:t>
            </w:r>
            <w:r w:rsidR="009B553D" w:rsidRPr="00EF072A">
              <w:rPr>
                <w:lang w:val="en-GB"/>
              </w:rPr>
              <w:t>3%,</w:t>
            </w:r>
            <w:r w:rsidR="00176664">
              <w:rPr>
                <w:lang w:val="en-GB"/>
              </w:rPr>
              <w:t xml:space="preserve"> </w:t>
            </w:r>
            <w:r w:rsidR="000743F9">
              <w:rPr>
                <w:lang w:val="en-GB"/>
              </w:rPr>
              <w:lastRenderedPageBreak/>
              <w:t xml:space="preserve">restaurants and hotels </w:t>
            </w:r>
            <w:r w:rsidR="009B553D" w:rsidRPr="00EF072A">
              <w:rPr>
                <w:lang w:val="en-GB"/>
              </w:rPr>
              <w:t>6</w:t>
            </w:r>
            <w:r w:rsidR="00176664">
              <w:rPr>
                <w:lang w:val="en-GB"/>
              </w:rPr>
              <w:t>.</w:t>
            </w:r>
            <w:r w:rsidR="009B553D" w:rsidRPr="00EF072A">
              <w:rPr>
                <w:lang w:val="en-GB"/>
              </w:rPr>
              <w:t>8%</w:t>
            </w:r>
            <w:r w:rsidR="00176664">
              <w:rPr>
                <w:lang w:val="en-GB"/>
              </w:rPr>
              <w:t xml:space="preserve"> and </w:t>
            </w:r>
            <w:r w:rsidR="000743F9">
              <w:rPr>
                <w:lang w:val="en-GB"/>
              </w:rPr>
              <w:t>miscellaneous</w:t>
            </w:r>
            <w:r w:rsidR="00176664">
              <w:rPr>
                <w:lang w:val="en-GB"/>
              </w:rPr>
              <w:t xml:space="preserve"> </w:t>
            </w:r>
            <w:r w:rsidR="003962AB">
              <w:rPr>
                <w:lang w:val="en-GB"/>
              </w:rPr>
              <w:t xml:space="preserve">goods and services </w:t>
            </w:r>
            <w:r w:rsidR="009B553D" w:rsidRPr="00EF072A">
              <w:rPr>
                <w:lang w:val="en-GB"/>
              </w:rPr>
              <w:t>4</w:t>
            </w:r>
            <w:r w:rsidR="003962AB">
              <w:rPr>
                <w:lang w:val="en-GB"/>
              </w:rPr>
              <w:t>.</w:t>
            </w:r>
            <w:r w:rsidR="009B553D" w:rsidRPr="00EF072A">
              <w:rPr>
                <w:lang w:val="en-GB"/>
              </w:rPr>
              <w:t xml:space="preserve">5%. </w:t>
            </w:r>
            <w:r w:rsidR="00B57FF9">
              <w:rPr>
                <w:lang w:val="en-GB"/>
              </w:rPr>
              <w:t>Only prices of post and telecommunication</w:t>
            </w:r>
            <w:r w:rsidR="001D3D68">
              <w:rPr>
                <w:lang w:val="en-GB"/>
              </w:rPr>
              <w:t xml:space="preserve"> decreased by </w:t>
            </w:r>
            <w:r w:rsidR="009B553D" w:rsidRPr="00EF072A">
              <w:rPr>
                <w:lang w:val="en-GB"/>
              </w:rPr>
              <w:t>0</w:t>
            </w:r>
            <w:r w:rsidR="001D3D68">
              <w:rPr>
                <w:lang w:val="en-GB"/>
              </w:rPr>
              <w:t>.</w:t>
            </w:r>
            <w:r w:rsidR="009B553D" w:rsidRPr="00EF072A">
              <w:rPr>
                <w:lang w:val="en-GB"/>
              </w:rPr>
              <w:t>6%</w:t>
            </w:r>
            <w:r w:rsidR="001D3D68">
              <w:rPr>
                <w:lang w:val="en-GB"/>
              </w:rPr>
              <w:t xml:space="preserve"> last year and </w:t>
            </w:r>
            <w:r w:rsidR="00701C0D">
              <w:rPr>
                <w:lang w:val="en-GB"/>
              </w:rPr>
              <w:t xml:space="preserve">were falling during the whole year </w:t>
            </w:r>
            <w:r w:rsidR="009B553D" w:rsidRPr="00EF072A">
              <w:rPr>
                <w:lang w:val="en-GB"/>
              </w:rPr>
              <w:t xml:space="preserve">– </w:t>
            </w:r>
            <w:r w:rsidR="00B57FF9">
              <w:rPr>
                <w:lang w:val="en-GB"/>
              </w:rPr>
              <w:t xml:space="preserve">in Q4 they were lower by </w:t>
            </w:r>
            <w:r w:rsidR="009B553D" w:rsidRPr="00EF072A">
              <w:rPr>
                <w:lang w:val="en-GB"/>
              </w:rPr>
              <w:t>0</w:t>
            </w:r>
            <w:r w:rsidR="00B57FF9">
              <w:rPr>
                <w:lang w:val="en-GB"/>
              </w:rPr>
              <w:t>.</w:t>
            </w:r>
            <w:r w:rsidR="009B553D" w:rsidRPr="00EF072A">
              <w:rPr>
                <w:lang w:val="en-GB"/>
              </w:rPr>
              <w:t>5%.</w:t>
            </w:r>
          </w:p>
        </w:tc>
      </w:tr>
      <w:tr w:rsidR="009B553D" w:rsidRPr="009110F7" w14:paraId="4CEB2CF5" w14:textId="77777777" w:rsidTr="00913237">
        <w:trPr>
          <w:trHeight w:val="145"/>
        </w:trPr>
        <w:tc>
          <w:tcPr>
            <w:tcW w:w="1805" w:type="dxa"/>
            <w:shd w:val="clear" w:color="auto" w:fill="auto"/>
            <w:tcMar>
              <w:left w:w="0" w:type="dxa"/>
            </w:tcMar>
          </w:tcPr>
          <w:p w14:paraId="37A3346F" w14:textId="3CD35AFE" w:rsidR="009B553D" w:rsidRPr="003962AB" w:rsidRDefault="00FB4932" w:rsidP="00913237">
            <w:pPr>
              <w:pStyle w:val="Marginlie"/>
              <w:rPr>
                <w:spacing w:val="0"/>
                <w:lang w:val="en-GB"/>
              </w:rPr>
            </w:pPr>
            <w:r>
              <w:rPr>
                <w:spacing w:val="0"/>
                <w:lang w:val="en-GB"/>
              </w:rPr>
              <w:lastRenderedPageBreak/>
              <w:t xml:space="preserve">Year-on-year growth of the consumer prices was strengthening in the EU during the last year. </w:t>
            </w:r>
          </w:p>
        </w:tc>
        <w:tc>
          <w:tcPr>
            <w:tcW w:w="224" w:type="dxa"/>
            <w:shd w:val="clear" w:color="auto" w:fill="auto"/>
            <w:tcMar>
              <w:left w:w="0" w:type="dxa"/>
            </w:tcMar>
          </w:tcPr>
          <w:p w14:paraId="0B1F5B4C" w14:textId="77777777" w:rsidR="009B553D" w:rsidRPr="003962AB" w:rsidRDefault="009B553D" w:rsidP="00913237">
            <w:pPr>
              <w:pStyle w:val="Textpoznpodarou1"/>
              <w:jc w:val="both"/>
              <w:rPr>
                <w:lang w:val="en-GB"/>
              </w:rPr>
            </w:pPr>
          </w:p>
        </w:tc>
        <w:tc>
          <w:tcPr>
            <w:tcW w:w="7610" w:type="dxa"/>
            <w:shd w:val="clear" w:color="auto" w:fill="auto"/>
            <w:tcMar>
              <w:left w:w="0" w:type="dxa"/>
            </w:tcMar>
          </w:tcPr>
          <w:p w14:paraId="4CFE2556" w14:textId="6DA7B795" w:rsidR="009B553D" w:rsidRPr="003962AB" w:rsidRDefault="00FB4932" w:rsidP="00F84123">
            <w:pPr>
              <w:rPr>
                <w:lang w:val="en-GB"/>
              </w:rPr>
            </w:pPr>
            <w:r>
              <w:rPr>
                <w:lang w:val="en-GB"/>
              </w:rPr>
              <w:t xml:space="preserve">The harmonised index of consumer prices </w:t>
            </w:r>
            <w:r w:rsidR="009B553D" w:rsidRPr="003962AB">
              <w:rPr>
                <w:lang w:val="en-GB"/>
              </w:rPr>
              <w:t>(HICP)</w:t>
            </w:r>
            <w:r w:rsidR="009B553D" w:rsidRPr="003962AB">
              <w:rPr>
                <w:rStyle w:val="Znakapoznpodarou"/>
                <w:lang w:val="en-GB"/>
              </w:rPr>
              <w:footnoteReference w:id="2"/>
            </w:r>
            <w:r w:rsidR="009B553D" w:rsidRPr="003962AB">
              <w:rPr>
                <w:lang w:val="en-GB"/>
              </w:rPr>
              <w:t xml:space="preserve"> </w:t>
            </w:r>
            <w:r>
              <w:rPr>
                <w:lang w:val="en-GB"/>
              </w:rPr>
              <w:t xml:space="preserve">increased </w:t>
            </w:r>
            <w:r w:rsidR="009B553D" w:rsidRPr="003962AB">
              <w:rPr>
                <w:lang w:val="en-GB"/>
              </w:rPr>
              <w:t>2</w:t>
            </w:r>
            <w:r>
              <w:rPr>
                <w:lang w:val="en-GB"/>
              </w:rPr>
              <w:t>.</w:t>
            </w:r>
            <w:r w:rsidR="009B553D" w:rsidRPr="003962AB">
              <w:rPr>
                <w:lang w:val="en-GB"/>
              </w:rPr>
              <w:t>9%</w:t>
            </w:r>
            <w:r>
              <w:rPr>
                <w:lang w:val="en-GB"/>
              </w:rPr>
              <w:t xml:space="preserve"> in the EU in year 2021</w:t>
            </w:r>
            <w:r w:rsidR="009B553D" w:rsidRPr="003962AB">
              <w:rPr>
                <w:lang w:val="en-GB"/>
              </w:rPr>
              <w:t>,</w:t>
            </w:r>
            <w:r>
              <w:rPr>
                <w:lang w:val="en-GB"/>
              </w:rPr>
              <w:t xml:space="preserve"> the most since year </w:t>
            </w:r>
            <w:r w:rsidR="009B553D" w:rsidRPr="003962AB">
              <w:rPr>
                <w:lang w:val="en-GB"/>
              </w:rPr>
              <w:t>2008.</w:t>
            </w:r>
            <w:r w:rsidR="00FB346E">
              <w:rPr>
                <w:lang w:val="en-GB"/>
              </w:rPr>
              <w:t xml:space="preserve"> The relatively significant increase was affected mainly by the strengthening of prices of transport </w:t>
            </w:r>
            <w:r w:rsidR="009B553D" w:rsidRPr="003962AB">
              <w:rPr>
                <w:lang w:val="en-GB"/>
              </w:rPr>
              <w:t>(6</w:t>
            </w:r>
            <w:r w:rsidR="00FB346E">
              <w:rPr>
                <w:lang w:val="en-GB"/>
              </w:rPr>
              <w:t>.</w:t>
            </w:r>
            <w:r w:rsidR="009B553D" w:rsidRPr="003962AB">
              <w:rPr>
                <w:lang w:val="en-GB"/>
              </w:rPr>
              <w:t>8%)</w:t>
            </w:r>
            <w:r w:rsidR="00FB346E">
              <w:rPr>
                <w:lang w:val="en-GB"/>
              </w:rPr>
              <w:t xml:space="preserve"> and housing and energies </w:t>
            </w:r>
            <w:r w:rsidR="009B553D" w:rsidRPr="003962AB">
              <w:rPr>
                <w:lang w:val="en-GB"/>
              </w:rPr>
              <w:t>(4</w:t>
            </w:r>
            <w:r w:rsidR="00FB346E">
              <w:rPr>
                <w:lang w:val="en-GB"/>
              </w:rPr>
              <w:t>.</w:t>
            </w:r>
            <w:r w:rsidR="009B553D" w:rsidRPr="003962AB">
              <w:rPr>
                <w:lang w:val="en-GB"/>
              </w:rPr>
              <w:t>8%).</w:t>
            </w:r>
            <w:r w:rsidR="00FB346E">
              <w:rPr>
                <w:lang w:val="en-GB"/>
              </w:rPr>
              <w:t xml:space="preserve"> </w:t>
            </w:r>
            <w:r w:rsidR="00AE74E0">
              <w:rPr>
                <w:lang w:val="en-GB"/>
              </w:rPr>
              <w:t xml:space="preserve">HICP rose the most in Poland </w:t>
            </w:r>
            <w:r w:rsidR="009B553D" w:rsidRPr="003962AB">
              <w:rPr>
                <w:lang w:val="en-GB"/>
              </w:rPr>
              <w:t>(5</w:t>
            </w:r>
            <w:r w:rsidR="00AE74E0">
              <w:rPr>
                <w:lang w:val="en-GB"/>
              </w:rPr>
              <w:t>.</w:t>
            </w:r>
            <w:r w:rsidR="009B553D" w:rsidRPr="003962AB">
              <w:rPr>
                <w:lang w:val="en-GB"/>
              </w:rPr>
              <w:t>2%),</w:t>
            </w:r>
            <w:r w:rsidR="00AE74E0">
              <w:rPr>
                <w:lang w:val="en-GB"/>
              </w:rPr>
              <w:t xml:space="preserve"> Hungary </w:t>
            </w:r>
            <w:r w:rsidR="009B553D" w:rsidRPr="003962AB">
              <w:rPr>
                <w:lang w:val="en-GB"/>
              </w:rPr>
              <w:t>(5</w:t>
            </w:r>
            <w:r w:rsidR="00AE74E0">
              <w:rPr>
                <w:lang w:val="en-GB"/>
              </w:rPr>
              <w:t>.</w:t>
            </w:r>
            <w:r w:rsidR="009B553D" w:rsidRPr="003962AB">
              <w:rPr>
                <w:lang w:val="en-GB"/>
              </w:rPr>
              <w:t>2%)</w:t>
            </w:r>
            <w:r w:rsidR="00AE74E0">
              <w:rPr>
                <w:lang w:val="en-GB"/>
              </w:rPr>
              <w:t xml:space="preserve"> and Lithuania </w:t>
            </w:r>
            <w:r w:rsidR="009B553D" w:rsidRPr="003962AB">
              <w:rPr>
                <w:lang w:val="en-GB"/>
              </w:rPr>
              <w:t>(4</w:t>
            </w:r>
            <w:r w:rsidR="00AE74E0">
              <w:rPr>
                <w:lang w:val="en-GB"/>
              </w:rPr>
              <w:t>.</w:t>
            </w:r>
            <w:r w:rsidR="009B553D" w:rsidRPr="003962AB">
              <w:rPr>
                <w:lang w:val="en-GB"/>
              </w:rPr>
              <w:t>6%).</w:t>
            </w:r>
            <w:r w:rsidR="00AE74E0">
              <w:rPr>
                <w:lang w:val="en-GB"/>
              </w:rPr>
              <w:t xml:space="preserve"> </w:t>
            </w:r>
            <w:r w:rsidR="009B553D" w:rsidRPr="003962AB">
              <w:rPr>
                <w:lang w:val="en-GB"/>
              </w:rPr>
              <w:t xml:space="preserve"> </w:t>
            </w:r>
            <w:r w:rsidR="001C673E">
              <w:rPr>
                <w:lang w:val="en-GB"/>
              </w:rPr>
              <w:t xml:space="preserve">Newer EU members including the CR </w:t>
            </w:r>
            <w:r w:rsidR="009B553D" w:rsidRPr="003962AB">
              <w:rPr>
                <w:lang w:val="en-GB"/>
              </w:rPr>
              <w:t>(3</w:t>
            </w:r>
            <w:r w:rsidR="001C673E">
              <w:rPr>
                <w:lang w:val="en-GB"/>
              </w:rPr>
              <w:t>.</w:t>
            </w:r>
            <w:r w:rsidR="009B553D" w:rsidRPr="003962AB">
              <w:rPr>
                <w:lang w:val="en-GB"/>
              </w:rPr>
              <w:t>3%)</w:t>
            </w:r>
            <w:r w:rsidR="001C673E">
              <w:rPr>
                <w:lang w:val="en-GB"/>
              </w:rPr>
              <w:t xml:space="preserve"> prevail in the list of countries with the above average HICP growth</w:t>
            </w:r>
            <w:r w:rsidR="009B553D" w:rsidRPr="003962AB">
              <w:rPr>
                <w:lang w:val="en-GB"/>
              </w:rPr>
              <w:t>.</w:t>
            </w:r>
            <w:r w:rsidR="001C673E">
              <w:rPr>
                <w:lang w:val="en-GB"/>
              </w:rPr>
              <w:t xml:space="preserve"> </w:t>
            </w:r>
            <w:r w:rsidR="002F311F">
              <w:rPr>
                <w:lang w:val="en-GB"/>
              </w:rPr>
              <w:t xml:space="preserve">Prices in Greece </w:t>
            </w:r>
            <w:r w:rsidR="009B553D" w:rsidRPr="003962AB">
              <w:rPr>
                <w:lang w:val="en-GB"/>
              </w:rPr>
              <w:t>(0</w:t>
            </w:r>
            <w:r w:rsidR="002F311F">
              <w:rPr>
                <w:lang w:val="en-GB"/>
              </w:rPr>
              <w:t>.</w:t>
            </w:r>
            <w:r w:rsidR="009B553D" w:rsidRPr="003962AB">
              <w:rPr>
                <w:lang w:val="en-GB"/>
              </w:rPr>
              <w:t>6%),</w:t>
            </w:r>
            <w:r w:rsidR="002F311F">
              <w:rPr>
                <w:lang w:val="en-GB"/>
              </w:rPr>
              <w:t xml:space="preserve"> Malta </w:t>
            </w:r>
            <w:r w:rsidR="009B553D" w:rsidRPr="003962AB">
              <w:rPr>
                <w:lang w:val="en-GB"/>
              </w:rPr>
              <w:t>(0</w:t>
            </w:r>
            <w:r w:rsidR="002F311F">
              <w:rPr>
                <w:lang w:val="en-GB"/>
              </w:rPr>
              <w:t>.</w:t>
            </w:r>
            <w:r w:rsidR="009B553D" w:rsidRPr="003962AB">
              <w:rPr>
                <w:lang w:val="en-GB"/>
              </w:rPr>
              <w:t>7%)</w:t>
            </w:r>
            <w:r w:rsidR="002F311F">
              <w:rPr>
                <w:lang w:val="en-GB"/>
              </w:rPr>
              <w:t xml:space="preserve"> and Portugal </w:t>
            </w:r>
            <w:r w:rsidR="009B553D" w:rsidRPr="003962AB">
              <w:rPr>
                <w:lang w:val="en-GB"/>
              </w:rPr>
              <w:t>(0</w:t>
            </w:r>
            <w:r w:rsidR="002F311F">
              <w:rPr>
                <w:lang w:val="en-GB"/>
              </w:rPr>
              <w:t>.</w:t>
            </w:r>
            <w:r w:rsidR="009B553D" w:rsidRPr="003962AB">
              <w:rPr>
                <w:lang w:val="en-GB"/>
              </w:rPr>
              <w:t>9%)</w:t>
            </w:r>
            <w:r w:rsidR="002F311F">
              <w:rPr>
                <w:lang w:val="en-GB"/>
              </w:rPr>
              <w:t xml:space="preserve"> grew the least last year</w:t>
            </w:r>
            <w:r w:rsidR="009B553D" w:rsidRPr="003962AB">
              <w:rPr>
                <w:lang w:val="en-GB"/>
              </w:rPr>
              <w:t xml:space="preserve">. </w:t>
            </w:r>
            <w:r w:rsidR="002F311F">
              <w:rPr>
                <w:lang w:val="en-GB"/>
              </w:rPr>
              <w:t>Year-on-year growth of HICP</w:t>
            </w:r>
            <w:r w:rsidR="005337A1">
              <w:rPr>
                <w:lang w:val="en-GB"/>
              </w:rPr>
              <w:t xml:space="preserve"> strengthened </w:t>
            </w:r>
            <w:r w:rsidR="00AE009C">
              <w:rPr>
                <w:lang w:val="en-GB"/>
              </w:rPr>
              <w:t xml:space="preserve">in the EU </w:t>
            </w:r>
            <w:r w:rsidR="005337A1">
              <w:rPr>
                <w:lang w:val="en-GB"/>
              </w:rPr>
              <w:t>throughout</w:t>
            </w:r>
            <w:r w:rsidR="00AE009C">
              <w:rPr>
                <w:lang w:val="en-GB"/>
              </w:rPr>
              <w:t xml:space="preserve"> the whole year 2021 and it reached </w:t>
            </w:r>
            <w:r w:rsidR="009B553D" w:rsidRPr="003962AB">
              <w:rPr>
                <w:lang w:val="en-GB"/>
              </w:rPr>
              <w:t>4</w:t>
            </w:r>
            <w:r w:rsidR="00AE009C">
              <w:rPr>
                <w:lang w:val="en-GB"/>
              </w:rPr>
              <w:t>.</w:t>
            </w:r>
            <w:r w:rsidR="009B553D" w:rsidRPr="003962AB">
              <w:rPr>
                <w:lang w:val="en-GB"/>
              </w:rPr>
              <w:t>9%</w:t>
            </w:r>
            <w:r w:rsidR="00AE009C">
              <w:rPr>
                <w:lang w:val="en-GB"/>
              </w:rPr>
              <w:t xml:space="preserve"> in Q4</w:t>
            </w:r>
            <w:r w:rsidR="009B553D" w:rsidRPr="003962AB">
              <w:rPr>
                <w:lang w:val="en-GB"/>
              </w:rPr>
              <w:t>.</w:t>
            </w:r>
            <w:r w:rsidR="0047080E">
              <w:rPr>
                <w:lang w:val="en-GB"/>
              </w:rPr>
              <w:t xml:space="preserve"> Mainly the sharply growing prices of transportat and housing and energies influenced the acceleration. </w:t>
            </w:r>
            <w:r w:rsidR="00EA0467">
              <w:rPr>
                <w:lang w:val="en-GB"/>
              </w:rPr>
              <w:t xml:space="preserve">Prices in Lithuania </w:t>
            </w:r>
            <w:r w:rsidR="009B553D" w:rsidRPr="003962AB">
              <w:rPr>
                <w:lang w:val="en-GB"/>
              </w:rPr>
              <w:t>(9</w:t>
            </w:r>
            <w:r w:rsidR="00EA0467">
              <w:rPr>
                <w:lang w:val="en-GB"/>
              </w:rPr>
              <w:t>.</w:t>
            </w:r>
            <w:r w:rsidR="009B553D" w:rsidRPr="003962AB">
              <w:rPr>
                <w:lang w:val="en-GB"/>
              </w:rPr>
              <w:t>4%), Eston</w:t>
            </w:r>
            <w:r w:rsidR="00EA0467">
              <w:rPr>
                <w:lang w:val="en-GB"/>
              </w:rPr>
              <w:t xml:space="preserve">ia </w:t>
            </w:r>
            <w:r w:rsidR="009B553D" w:rsidRPr="003962AB">
              <w:rPr>
                <w:lang w:val="en-GB"/>
              </w:rPr>
              <w:t>(9</w:t>
            </w:r>
            <w:r w:rsidR="00EA0467">
              <w:rPr>
                <w:lang w:val="en-GB"/>
              </w:rPr>
              <w:t>.</w:t>
            </w:r>
            <w:r w:rsidR="009B553D" w:rsidRPr="003962AB">
              <w:rPr>
                <w:lang w:val="en-GB"/>
              </w:rPr>
              <w:t>1%) a</w:t>
            </w:r>
            <w:r w:rsidR="00EA0467">
              <w:rPr>
                <w:lang w:val="en-GB"/>
              </w:rPr>
              <w:t>nd</w:t>
            </w:r>
            <w:r w:rsidR="009B553D" w:rsidRPr="003962AB">
              <w:rPr>
                <w:lang w:val="en-GB"/>
              </w:rPr>
              <w:t> Pol</w:t>
            </w:r>
            <w:r w:rsidR="00EA0467">
              <w:rPr>
                <w:lang w:val="en-GB"/>
              </w:rPr>
              <w:t xml:space="preserve">and </w:t>
            </w:r>
            <w:r w:rsidR="009B553D" w:rsidRPr="003962AB">
              <w:rPr>
                <w:lang w:val="en-GB"/>
              </w:rPr>
              <w:t>(7</w:t>
            </w:r>
            <w:r w:rsidR="00EA0467">
              <w:rPr>
                <w:lang w:val="en-GB"/>
              </w:rPr>
              <w:t>.</w:t>
            </w:r>
            <w:r w:rsidR="009B553D" w:rsidRPr="003962AB">
              <w:rPr>
                <w:lang w:val="en-GB"/>
              </w:rPr>
              <w:t>3%)</w:t>
            </w:r>
            <w:r w:rsidR="0047080E">
              <w:rPr>
                <w:lang w:val="en-GB"/>
              </w:rPr>
              <w:t xml:space="preserve"> went up the most</w:t>
            </w:r>
            <w:r w:rsidR="009B553D" w:rsidRPr="003962AB">
              <w:rPr>
                <w:lang w:val="en-GB"/>
              </w:rPr>
              <w:t>.</w:t>
            </w:r>
            <w:r w:rsidR="00AE74E0">
              <w:rPr>
                <w:lang w:val="en-GB"/>
              </w:rPr>
              <w:t xml:space="preserve"> Malta </w:t>
            </w:r>
            <w:r w:rsidR="009B553D" w:rsidRPr="003962AB">
              <w:rPr>
                <w:lang w:val="en-GB"/>
              </w:rPr>
              <w:t>(2</w:t>
            </w:r>
            <w:r w:rsidR="00AE74E0">
              <w:rPr>
                <w:lang w:val="en-GB"/>
              </w:rPr>
              <w:t>.</w:t>
            </w:r>
            <w:r w:rsidR="009B553D" w:rsidRPr="003962AB">
              <w:rPr>
                <w:lang w:val="en-GB"/>
              </w:rPr>
              <w:t>1%), Portugal</w:t>
            </w:r>
            <w:r w:rsidR="00AE74E0">
              <w:rPr>
                <w:lang w:val="en-GB"/>
              </w:rPr>
              <w:t xml:space="preserve"> </w:t>
            </w:r>
            <w:r w:rsidR="009B553D" w:rsidRPr="003962AB">
              <w:rPr>
                <w:lang w:val="en-GB"/>
              </w:rPr>
              <w:t>(2</w:t>
            </w:r>
            <w:r w:rsidR="00F72C90">
              <w:rPr>
                <w:lang w:val="en-GB"/>
              </w:rPr>
              <w:t>.</w:t>
            </w:r>
            <w:r w:rsidR="009B553D" w:rsidRPr="003962AB">
              <w:rPr>
                <w:lang w:val="en-GB"/>
              </w:rPr>
              <w:t>4%) a</w:t>
            </w:r>
            <w:r w:rsidR="00F72C90">
              <w:rPr>
                <w:lang w:val="en-GB"/>
              </w:rPr>
              <w:t xml:space="preserve">nd Finland </w:t>
            </w:r>
            <w:r w:rsidR="009B553D" w:rsidRPr="003962AB">
              <w:rPr>
                <w:lang w:val="en-GB"/>
              </w:rPr>
              <w:t>(3</w:t>
            </w:r>
            <w:r w:rsidR="00F72C90">
              <w:rPr>
                <w:lang w:val="en-GB"/>
              </w:rPr>
              <w:t>.</w:t>
            </w:r>
            <w:r w:rsidR="009B553D" w:rsidRPr="003962AB">
              <w:rPr>
                <w:lang w:val="en-GB"/>
              </w:rPr>
              <w:t>1%)</w:t>
            </w:r>
            <w:r w:rsidR="00AE74E0">
              <w:rPr>
                <w:lang w:val="en-GB"/>
              </w:rPr>
              <w:t xml:space="preserve"> recorded the smallest year-on-year increases in Q4</w:t>
            </w:r>
            <w:r w:rsidR="009B553D" w:rsidRPr="003962AB">
              <w:rPr>
                <w:lang w:val="en-GB"/>
              </w:rPr>
              <w:t>.</w:t>
            </w:r>
          </w:p>
        </w:tc>
      </w:tr>
      <w:tr w:rsidR="009B553D" w:rsidRPr="009110F7" w14:paraId="6D98820C" w14:textId="77777777" w:rsidTr="00913237">
        <w:trPr>
          <w:trHeight w:val="145"/>
        </w:trPr>
        <w:tc>
          <w:tcPr>
            <w:tcW w:w="1805" w:type="dxa"/>
            <w:shd w:val="clear" w:color="auto" w:fill="auto"/>
            <w:tcMar>
              <w:left w:w="0" w:type="dxa"/>
            </w:tcMar>
          </w:tcPr>
          <w:p w14:paraId="75288F3D" w14:textId="692CAC4B" w:rsidR="009B553D" w:rsidRPr="00FB4932" w:rsidRDefault="00FB4932" w:rsidP="00913237">
            <w:pPr>
              <w:pStyle w:val="Marginlie"/>
              <w:rPr>
                <w:spacing w:val="0"/>
                <w:lang w:val="en-GB"/>
              </w:rPr>
            </w:pPr>
            <w:r w:rsidRPr="00FB4932">
              <w:rPr>
                <w:spacing w:val="0"/>
                <w:lang w:val="en-GB"/>
              </w:rPr>
              <w:t xml:space="preserve">Prices of flats grew by exceptionally fast paces. </w:t>
            </w:r>
          </w:p>
        </w:tc>
        <w:tc>
          <w:tcPr>
            <w:tcW w:w="224" w:type="dxa"/>
            <w:shd w:val="clear" w:color="auto" w:fill="auto"/>
            <w:tcMar>
              <w:left w:w="0" w:type="dxa"/>
            </w:tcMar>
          </w:tcPr>
          <w:p w14:paraId="300C0801" w14:textId="77777777" w:rsidR="009B553D" w:rsidRPr="00793D78" w:rsidRDefault="009B553D" w:rsidP="00913237">
            <w:pPr>
              <w:pStyle w:val="Textpoznpodarou1"/>
              <w:jc w:val="both"/>
            </w:pPr>
          </w:p>
        </w:tc>
        <w:tc>
          <w:tcPr>
            <w:tcW w:w="7610" w:type="dxa"/>
            <w:shd w:val="clear" w:color="auto" w:fill="auto"/>
            <w:tcMar>
              <w:left w:w="0" w:type="dxa"/>
            </w:tcMar>
          </w:tcPr>
          <w:p w14:paraId="589BD71E" w14:textId="26A01896" w:rsidR="009B553D" w:rsidRPr="00FB346E" w:rsidRDefault="00927FD6" w:rsidP="00913237">
            <w:pPr>
              <w:rPr>
                <w:lang w:val="en-GB"/>
              </w:rPr>
            </w:pPr>
            <w:r>
              <w:rPr>
                <w:lang w:val="en-GB"/>
              </w:rPr>
              <w:t>Tension</w:t>
            </w:r>
            <w:r w:rsidR="005F1255">
              <w:rPr>
                <w:lang w:val="en-GB"/>
              </w:rPr>
              <w:t xml:space="preserve"> </w:t>
            </w:r>
            <w:r w:rsidR="0081335A">
              <w:rPr>
                <w:lang w:val="en-GB"/>
              </w:rPr>
              <w:t xml:space="preserve">on the real estate market deepened further and </w:t>
            </w:r>
            <w:r w:rsidR="00EB0AD5">
              <w:rPr>
                <w:lang w:val="en-GB"/>
              </w:rPr>
              <w:t xml:space="preserve">with it also accelerated the growth of real estate prices in the whole CR. The surplus of free cash in households as well as the pressure on the securing more advantageous financing in the anticipation of further increase of interest rates </w:t>
            </w:r>
            <w:r w:rsidR="0081335A">
              <w:rPr>
                <w:lang w:val="en-GB"/>
              </w:rPr>
              <w:t>supported</w:t>
            </w:r>
            <w:r w:rsidR="00EB0AD5">
              <w:rPr>
                <w:lang w:val="en-GB"/>
              </w:rPr>
              <w:t xml:space="preserve"> the excess demand over supply</w:t>
            </w:r>
            <w:r w:rsidR="009B553D" w:rsidRPr="00FB346E">
              <w:rPr>
                <w:lang w:val="en-GB"/>
              </w:rPr>
              <w:t>.</w:t>
            </w:r>
            <w:r w:rsidR="007A714A">
              <w:rPr>
                <w:lang w:val="en-GB"/>
              </w:rPr>
              <w:t xml:space="preserve"> Year-on-year growth of the catalogue prices of flats in the CR reached 12.4% in the CR in Q4, which was the most since Q</w:t>
            </w:r>
            <w:r w:rsidR="009B553D" w:rsidRPr="00FB346E">
              <w:rPr>
                <w:lang w:val="en-GB"/>
              </w:rPr>
              <w:t>1</w:t>
            </w:r>
            <w:r w:rsidR="007A714A">
              <w:rPr>
                <w:lang w:val="en-GB"/>
              </w:rPr>
              <w:t xml:space="preserve"> </w:t>
            </w:r>
            <w:r w:rsidR="009B553D" w:rsidRPr="00FB346E">
              <w:rPr>
                <w:lang w:val="en-GB"/>
              </w:rPr>
              <w:t xml:space="preserve">2018. </w:t>
            </w:r>
            <w:r w:rsidR="00A21647">
              <w:rPr>
                <w:lang w:val="en-GB"/>
              </w:rPr>
              <w:t xml:space="preserve">Growth of catalogue prices of flats outside Prague strengthened to </w:t>
            </w:r>
            <w:r w:rsidR="009B553D" w:rsidRPr="00FB346E">
              <w:rPr>
                <w:lang w:val="en-GB"/>
              </w:rPr>
              <w:t>16</w:t>
            </w:r>
            <w:r w:rsidR="00A21647">
              <w:rPr>
                <w:lang w:val="en-GB"/>
              </w:rPr>
              <w:t>.</w:t>
            </w:r>
            <w:r w:rsidR="009B553D" w:rsidRPr="00FB346E">
              <w:rPr>
                <w:lang w:val="en-GB"/>
              </w:rPr>
              <w:t xml:space="preserve">5%, </w:t>
            </w:r>
            <w:r w:rsidR="00A21647">
              <w:rPr>
                <w:lang w:val="en-GB"/>
              </w:rPr>
              <w:t xml:space="preserve">which was the most since the end of year </w:t>
            </w:r>
            <w:r w:rsidR="009B553D" w:rsidRPr="00FB346E">
              <w:rPr>
                <w:lang w:val="en-GB"/>
              </w:rPr>
              <w:t xml:space="preserve">2008. </w:t>
            </w:r>
            <w:r w:rsidR="000C1C5A">
              <w:rPr>
                <w:lang w:val="en-GB"/>
              </w:rPr>
              <w:t xml:space="preserve">Catalogue prices of flats grew by 9.1% </w:t>
            </w:r>
            <w:r w:rsidR="005F1255">
              <w:rPr>
                <w:lang w:val="en-GB"/>
              </w:rPr>
              <w:t>in Prague year-on-year. The realised prices of</w:t>
            </w:r>
            <w:r w:rsidR="00A21647">
              <w:rPr>
                <w:lang w:val="en-GB"/>
              </w:rPr>
              <w:t xml:space="preserve"> older flats were by 25.2% higher in the CR in Q4 year-on-year. </w:t>
            </w:r>
            <w:r>
              <w:rPr>
                <w:lang w:val="en-GB"/>
              </w:rPr>
              <w:t xml:space="preserve">In </w:t>
            </w:r>
            <w:r w:rsidR="001D386E">
              <w:rPr>
                <w:lang w:val="en-GB"/>
              </w:rPr>
              <w:t>that flats</w:t>
            </w:r>
            <w:r w:rsidR="00A21647">
              <w:rPr>
                <w:lang w:val="en-GB"/>
              </w:rPr>
              <w:t xml:space="preserve"> outside Prague were by </w:t>
            </w:r>
            <w:r w:rsidR="009B553D" w:rsidRPr="00FB346E">
              <w:rPr>
                <w:lang w:val="en-GB"/>
              </w:rPr>
              <w:t>26</w:t>
            </w:r>
            <w:r w:rsidR="00A21647">
              <w:rPr>
                <w:lang w:val="en-GB"/>
              </w:rPr>
              <w:t>.</w:t>
            </w:r>
            <w:r w:rsidR="009B553D" w:rsidRPr="00FB346E">
              <w:rPr>
                <w:lang w:val="en-GB"/>
              </w:rPr>
              <w:t>7%</w:t>
            </w:r>
            <w:r w:rsidR="00A21647">
              <w:rPr>
                <w:lang w:val="en-GB"/>
              </w:rPr>
              <w:t xml:space="preserve"> more costly</w:t>
            </w:r>
            <w:r w:rsidR="009B553D" w:rsidRPr="00FB346E">
              <w:rPr>
                <w:lang w:val="en-GB"/>
              </w:rPr>
              <w:t xml:space="preserve">, </w:t>
            </w:r>
            <w:r>
              <w:rPr>
                <w:lang w:val="en-GB"/>
              </w:rPr>
              <w:t xml:space="preserve">while </w:t>
            </w:r>
            <w:r w:rsidR="000C1C5A">
              <w:rPr>
                <w:lang w:val="en-GB"/>
              </w:rPr>
              <w:t>the prices of flats</w:t>
            </w:r>
            <w:r w:rsidR="00A21647">
              <w:rPr>
                <w:lang w:val="en-GB"/>
              </w:rPr>
              <w:t xml:space="preserve"> in Prague went up by one fifth. Realised prices of new flats in Prague increased by 26.5% year-on-year in Q4.</w:t>
            </w:r>
          </w:p>
        </w:tc>
      </w:tr>
      <w:tr w:rsidR="009B553D" w:rsidRPr="009110F7" w14:paraId="5EC2F05E" w14:textId="77777777" w:rsidTr="00913237">
        <w:trPr>
          <w:trHeight w:val="170"/>
        </w:trPr>
        <w:tc>
          <w:tcPr>
            <w:tcW w:w="1805" w:type="dxa"/>
            <w:vMerge w:val="restart"/>
            <w:shd w:val="clear" w:color="auto" w:fill="auto"/>
            <w:tcMar>
              <w:left w:w="0" w:type="dxa"/>
            </w:tcMar>
          </w:tcPr>
          <w:p w14:paraId="0EC1F2A2" w14:textId="77777777" w:rsidR="009B553D" w:rsidRDefault="009B553D" w:rsidP="00913237">
            <w:pPr>
              <w:pStyle w:val="Marginlie"/>
              <w:rPr>
                <w:spacing w:val="0"/>
              </w:rPr>
            </w:pPr>
          </w:p>
        </w:tc>
        <w:tc>
          <w:tcPr>
            <w:tcW w:w="224" w:type="dxa"/>
            <w:vMerge w:val="restart"/>
            <w:shd w:val="clear" w:color="auto" w:fill="auto"/>
            <w:tcMar>
              <w:left w:w="0" w:type="dxa"/>
            </w:tcMar>
          </w:tcPr>
          <w:p w14:paraId="4185F676" w14:textId="77777777" w:rsidR="009B553D" w:rsidRPr="00793D78" w:rsidRDefault="009B553D" w:rsidP="00913237">
            <w:pPr>
              <w:pStyle w:val="Textpoznpodarou1"/>
              <w:jc w:val="both"/>
            </w:pPr>
          </w:p>
        </w:tc>
        <w:tc>
          <w:tcPr>
            <w:tcW w:w="7610" w:type="dxa"/>
            <w:shd w:val="clear" w:color="auto" w:fill="auto"/>
            <w:tcMar>
              <w:left w:w="0" w:type="dxa"/>
            </w:tcMar>
          </w:tcPr>
          <w:p w14:paraId="4B4CDCE4" w14:textId="110B13DF" w:rsidR="009B553D" w:rsidRPr="00F34AF4" w:rsidRDefault="0047080E" w:rsidP="00A02E8B">
            <w:pPr>
              <w:spacing w:after="0"/>
              <w:rPr>
                <w:lang w:val="en-GB"/>
              </w:rPr>
            </w:pPr>
            <w:r w:rsidRPr="00F34AF4">
              <w:rPr>
                <w:b/>
                <w:sz w:val="18"/>
                <w:szCs w:val="18"/>
                <w:lang w:val="en-GB" w:eastAsia="en-US"/>
              </w:rPr>
              <w:t xml:space="preserve">Chart </w:t>
            </w:r>
            <w:r w:rsidR="00F8046A" w:rsidRPr="00F34AF4">
              <w:rPr>
                <w:b/>
                <w:sz w:val="18"/>
                <w:szCs w:val="18"/>
                <w:lang w:val="en-GB" w:eastAsia="en-US"/>
              </w:rPr>
              <w:t>12 Real</w:t>
            </w:r>
            <w:r w:rsidR="00F34AF4" w:rsidRPr="00F34AF4">
              <w:rPr>
                <w:b/>
                <w:sz w:val="18"/>
                <w:szCs w:val="18"/>
                <w:lang w:val="en-GB" w:eastAsia="en-US"/>
              </w:rPr>
              <w:t xml:space="preserve"> estate prices </w:t>
            </w:r>
            <w:r w:rsidR="009B553D" w:rsidRPr="00F34AF4">
              <w:rPr>
                <w:sz w:val="18"/>
                <w:szCs w:val="18"/>
                <w:lang w:val="en-GB" w:eastAsia="en-US"/>
              </w:rPr>
              <w:t>(</w:t>
            </w:r>
            <w:r w:rsidR="00F34AF4" w:rsidRPr="00F34AF4">
              <w:rPr>
                <w:sz w:val="18"/>
                <w:szCs w:val="18"/>
                <w:lang w:val="en-GB" w:eastAsia="en-US"/>
              </w:rPr>
              <w:t xml:space="preserve">year-on-year change, in </w:t>
            </w:r>
            <w:r w:rsidR="009B553D" w:rsidRPr="00F34AF4">
              <w:rPr>
                <w:sz w:val="18"/>
                <w:szCs w:val="18"/>
                <w:lang w:val="en-GB" w:eastAsia="en-US"/>
              </w:rPr>
              <w:t>%)</w:t>
            </w:r>
          </w:p>
        </w:tc>
      </w:tr>
      <w:tr w:rsidR="009B553D" w:rsidRPr="009110F7" w14:paraId="44AF19B3" w14:textId="77777777" w:rsidTr="009B0A5E">
        <w:tblPrEx>
          <w:tblCellMar>
            <w:left w:w="70" w:type="dxa"/>
            <w:right w:w="70" w:type="dxa"/>
          </w:tblCellMar>
        </w:tblPrEx>
        <w:trPr>
          <w:trHeight w:val="170"/>
        </w:trPr>
        <w:tc>
          <w:tcPr>
            <w:tcW w:w="1805" w:type="dxa"/>
            <w:vMerge/>
            <w:shd w:val="clear" w:color="auto" w:fill="auto"/>
          </w:tcPr>
          <w:p w14:paraId="778C224F" w14:textId="77777777" w:rsidR="009B553D" w:rsidRDefault="009B553D" w:rsidP="00913237">
            <w:pPr>
              <w:pStyle w:val="Marginlie"/>
              <w:rPr>
                <w:spacing w:val="0"/>
              </w:rPr>
            </w:pPr>
          </w:p>
        </w:tc>
        <w:tc>
          <w:tcPr>
            <w:tcW w:w="224" w:type="dxa"/>
            <w:vMerge/>
            <w:shd w:val="clear" w:color="auto" w:fill="auto"/>
          </w:tcPr>
          <w:p w14:paraId="560D1A92" w14:textId="77777777" w:rsidR="009B553D" w:rsidRPr="00793D78" w:rsidRDefault="009B553D" w:rsidP="00913237">
            <w:pPr>
              <w:pStyle w:val="Textpoznpodarou1"/>
              <w:jc w:val="both"/>
            </w:pPr>
          </w:p>
        </w:tc>
        <w:tc>
          <w:tcPr>
            <w:tcW w:w="7610" w:type="dxa"/>
            <w:shd w:val="clear" w:color="auto" w:fill="auto"/>
          </w:tcPr>
          <w:p w14:paraId="4FC14634" w14:textId="38DEB436" w:rsidR="009B553D" w:rsidRDefault="009B0A5E" w:rsidP="00913237">
            <w:pPr>
              <w:spacing w:after="0"/>
            </w:pPr>
            <w:r>
              <w:rPr>
                <w:noProof/>
              </w:rPr>
              <w:drawing>
                <wp:inline distT="0" distB="0" distL="0" distR="0" wp14:anchorId="52B45AA0" wp14:editId="4285DEE0">
                  <wp:extent cx="4737600" cy="3492000"/>
                  <wp:effectExtent l="0" t="0" r="6350" b="0"/>
                  <wp:docPr id="44" name="Graf 44">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9B553D" w:rsidRPr="009110F7" w14:paraId="491A13AF" w14:textId="77777777" w:rsidTr="00913237">
        <w:trPr>
          <w:trHeight w:val="170"/>
        </w:trPr>
        <w:tc>
          <w:tcPr>
            <w:tcW w:w="1805" w:type="dxa"/>
            <w:vMerge/>
            <w:shd w:val="clear" w:color="auto" w:fill="auto"/>
            <w:tcMar>
              <w:left w:w="0" w:type="dxa"/>
            </w:tcMar>
          </w:tcPr>
          <w:p w14:paraId="0C79B595" w14:textId="77777777" w:rsidR="009B553D" w:rsidRDefault="009B553D" w:rsidP="00913237">
            <w:pPr>
              <w:pStyle w:val="Marginlie"/>
              <w:rPr>
                <w:spacing w:val="0"/>
              </w:rPr>
            </w:pPr>
          </w:p>
        </w:tc>
        <w:tc>
          <w:tcPr>
            <w:tcW w:w="224" w:type="dxa"/>
            <w:vMerge/>
            <w:shd w:val="clear" w:color="auto" w:fill="auto"/>
            <w:tcMar>
              <w:left w:w="0" w:type="dxa"/>
            </w:tcMar>
          </w:tcPr>
          <w:p w14:paraId="3437C888" w14:textId="77777777" w:rsidR="009B553D" w:rsidRPr="00793D78" w:rsidRDefault="009B553D" w:rsidP="00913237">
            <w:pPr>
              <w:pStyle w:val="Textpoznpodarou1"/>
              <w:jc w:val="both"/>
            </w:pPr>
          </w:p>
        </w:tc>
        <w:tc>
          <w:tcPr>
            <w:tcW w:w="7610" w:type="dxa"/>
            <w:shd w:val="clear" w:color="auto" w:fill="auto"/>
            <w:tcMar>
              <w:left w:w="0" w:type="dxa"/>
            </w:tcMar>
          </w:tcPr>
          <w:p w14:paraId="5B14D41C" w14:textId="2656FDC5" w:rsidR="00EB3882" w:rsidRPr="001D386E" w:rsidRDefault="00A21647" w:rsidP="009B0A5E">
            <w:pPr>
              <w:spacing w:after="0"/>
              <w:rPr>
                <w:b/>
                <w:bCs/>
                <w:sz w:val="16"/>
                <w:szCs w:val="16"/>
              </w:rPr>
            </w:pPr>
            <w:r>
              <w:rPr>
                <w:sz w:val="14"/>
                <w:szCs w:val="14"/>
              </w:rPr>
              <w:t>Source</w:t>
            </w:r>
            <w:r w:rsidR="009B553D" w:rsidRPr="00793D78">
              <w:rPr>
                <w:sz w:val="14"/>
                <w:szCs w:val="14"/>
              </w:rPr>
              <w:t xml:space="preserve">: </w:t>
            </w:r>
            <w:r>
              <w:rPr>
                <w:sz w:val="14"/>
                <w:szCs w:val="14"/>
              </w:rPr>
              <w:t>CZSO</w:t>
            </w:r>
          </w:p>
        </w:tc>
      </w:tr>
      <w:tr w:rsidR="009B553D" w:rsidRPr="009110F7" w14:paraId="59B5CF3A" w14:textId="77777777" w:rsidTr="00913237">
        <w:trPr>
          <w:trHeight w:val="145"/>
        </w:trPr>
        <w:tc>
          <w:tcPr>
            <w:tcW w:w="1805" w:type="dxa"/>
            <w:shd w:val="clear" w:color="auto" w:fill="auto"/>
            <w:tcMar>
              <w:left w:w="0" w:type="dxa"/>
            </w:tcMar>
          </w:tcPr>
          <w:p w14:paraId="0871EE6E" w14:textId="07C7B319" w:rsidR="009B553D" w:rsidRPr="00A21647" w:rsidRDefault="00A21647" w:rsidP="00913237">
            <w:pPr>
              <w:pStyle w:val="Marginlie"/>
              <w:rPr>
                <w:spacing w:val="0"/>
                <w:lang w:val="en-GB"/>
              </w:rPr>
            </w:pPr>
            <w:r w:rsidRPr="00A21647">
              <w:rPr>
                <w:spacing w:val="0"/>
                <w:lang w:val="en-GB"/>
              </w:rPr>
              <w:lastRenderedPageBreak/>
              <w:t xml:space="preserve">Prices of industrial producers grew by record pace last year. </w:t>
            </w:r>
          </w:p>
        </w:tc>
        <w:tc>
          <w:tcPr>
            <w:tcW w:w="224" w:type="dxa"/>
            <w:shd w:val="clear" w:color="auto" w:fill="auto"/>
            <w:tcMar>
              <w:left w:w="0" w:type="dxa"/>
            </w:tcMar>
          </w:tcPr>
          <w:p w14:paraId="15D49AE0" w14:textId="77777777" w:rsidR="009B553D" w:rsidRPr="00A21647" w:rsidRDefault="009B553D" w:rsidP="00913237">
            <w:pPr>
              <w:pStyle w:val="Textpoznpodarou1"/>
              <w:jc w:val="both"/>
              <w:rPr>
                <w:lang w:val="en-GB"/>
              </w:rPr>
            </w:pPr>
          </w:p>
        </w:tc>
        <w:tc>
          <w:tcPr>
            <w:tcW w:w="7610" w:type="dxa"/>
            <w:shd w:val="clear" w:color="auto" w:fill="auto"/>
            <w:tcMar>
              <w:left w:w="0" w:type="dxa"/>
            </w:tcMar>
          </w:tcPr>
          <w:p w14:paraId="18463D99" w14:textId="2538A99D" w:rsidR="009B553D" w:rsidRPr="00A21647" w:rsidRDefault="008B0FD5" w:rsidP="00F84123">
            <w:pPr>
              <w:rPr>
                <w:lang w:val="en-GB"/>
              </w:rPr>
            </w:pPr>
            <w:r>
              <w:rPr>
                <w:lang w:val="en-GB"/>
              </w:rPr>
              <w:t xml:space="preserve">Industrial producer prices increased by 7.1% in year </w:t>
            </w:r>
            <w:r w:rsidR="009B553D" w:rsidRPr="00A21647">
              <w:rPr>
                <w:lang w:val="en-GB"/>
              </w:rPr>
              <w:t>2021,</w:t>
            </w:r>
            <w:r>
              <w:rPr>
                <w:lang w:val="en-GB"/>
              </w:rPr>
              <w:t xml:space="preserve"> which was the most since year </w:t>
            </w:r>
            <w:r w:rsidR="009B553D" w:rsidRPr="00A21647">
              <w:rPr>
                <w:lang w:val="en-GB"/>
              </w:rPr>
              <w:t>1995.</w:t>
            </w:r>
            <w:r>
              <w:rPr>
                <w:lang w:val="en-GB"/>
              </w:rPr>
              <w:t xml:space="preserve"> The majority of this increase was affected by the prices of </w:t>
            </w:r>
            <w:r w:rsidR="00F84123">
              <w:rPr>
                <w:lang w:val="en-GB"/>
              </w:rPr>
              <w:t xml:space="preserve">manufactured </w:t>
            </w:r>
            <w:r>
              <w:rPr>
                <w:lang w:val="en-GB"/>
              </w:rPr>
              <w:t xml:space="preserve">products, which went up by </w:t>
            </w:r>
            <w:r w:rsidR="009B553D" w:rsidRPr="00A21647">
              <w:rPr>
                <w:lang w:val="en-GB"/>
              </w:rPr>
              <w:t>8</w:t>
            </w:r>
            <w:r>
              <w:rPr>
                <w:lang w:val="en-GB"/>
              </w:rPr>
              <w:t>.</w:t>
            </w:r>
            <w:r w:rsidR="009B553D" w:rsidRPr="00A21647">
              <w:rPr>
                <w:lang w:val="en-GB"/>
              </w:rPr>
              <w:t>4%.</w:t>
            </w:r>
            <w:r w:rsidR="00A70794">
              <w:rPr>
                <w:lang w:val="en-GB"/>
              </w:rPr>
              <w:t xml:space="preserve"> Increase of prices of basic metals and </w:t>
            </w:r>
            <w:r w:rsidR="00F84123">
              <w:rPr>
                <w:lang w:val="en-GB"/>
              </w:rPr>
              <w:t xml:space="preserve">fabricated </w:t>
            </w:r>
            <w:r w:rsidR="00A70794">
              <w:rPr>
                <w:lang w:val="en-GB"/>
              </w:rPr>
              <w:t>metal</w:t>
            </w:r>
            <w:r w:rsidR="00F84123">
              <w:rPr>
                <w:lang w:val="en-GB"/>
              </w:rPr>
              <w:t xml:space="preserve"> products</w:t>
            </w:r>
            <w:r w:rsidR="00A70794">
              <w:rPr>
                <w:lang w:val="en-GB"/>
              </w:rPr>
              <w:t xml:space="preserve"> </w:t>
            </w:r>
            <w:r w:rsidR="009B553D" w:rsidRPr="00A21647">
              <w:rPr>
                <w:lang w:val="en-GB"/>
              </w:rPr>
              <w:t>(17</w:t>
            </w:r>
            <w:r w:rsidR="00A70794">
              <w:rPr>
                <w:lang w:val="en-GB"/>
              </w:rPr>
              <w:t>.</w:t>
            </w:r>
            <w:r w:rsidR="009B553D" w:rsidRPr="00A21647">
              <w:rPr>
                <w:lang w:val="en-GB"/>
              </w:rPr>
              <w:t>2%)</w:t>
            </w:r>
            <w:r w:rsidR="00A70794">
              <w:rPr>
                <w:lang w:val="en-GB"/>
              </w:rPr>
              <w:t xml:space="preserve"> and coke and refined </w:t>
            </w:r>
            <w:r w:rsidR="00F84123">
              <w:rPr>
                <w:lang w:val="en-GB"/>
              </w:rPr>
              <w:t>petroleum</w:t>
            </w:r>
            <w:r w:rsidR="00A70794">
              <w:rPr>
                <w:lang w:val="en-GB"/>
              </w:rPr>
              <w:t xml:space="preserve"> products</w:t>
            </w:r>
            <w:r w:rsidR="009B553D" w:rsidRPr="00A21647">
              <w:rPr>
                <w:rStyle w:val="Znakapoznpodarou"/>
                <w:lang w:val="en-GB"/>
              </w:rPr>
              <w:footnoteReference w:id="3"/>
            </w:r>
            <w:r w:rsidR="00A70794">
              <w:rPr>
                <w:lang w:val="en-GB"/>
              </w:rPr>
              <w:t xml:space="preserve"> mainly contributed</w:t>
            </w:r>
            <w:r w:rsidR="009B553D" w:rsidRPr="00A21647">
              <w:rPr>
                <w:lang w:val="en-GB"/>
              </w:rPr>
              <w:t>.</w:t>
            </w:r>
            <w:r w:rsidR="00A70794">
              <w:rPr>
                <w:lang w:val="en-GB"/>
              </w:rPr>
              <w:t xml:space="preserve"> The strong increase of prices of chemical</w:t>
            </w:r>
            <w:r w:rsidR="00F84123">
              <w:rPr>
                <w:lang w:val="en-GB"/>
              </w:rPr>
              <w:t xml:space="preserve">s and chemical </w:t>
            </w:r>
            <w:r w:rsidR="00A70794">
              <w:rPr>
                <w:lang w:val="en-GB"/>
              </w:rPr>
              <w:t xml:space="preserve">products </w:t>
            </w:r>
            <w:r w:rsidR="009B553D" w:rsidRPr="00A21647">
              <w:rPr>
                <w:lang w:val="en-GB"/>
              </w:rPr>
              <w:t>(31</w:t>
            </w:r>
            <w:r w:rsidR="00A70794">
              <w:rPr>
                <w:lang w:val="en-GB"/>
              </w:rPr>
              <w:t>.</w:t>
            </w:r>
            <w:r w:rsidR="009B553D" w:rsidRPr="00A21647">
              <w:rPr>
                <w:lang w:val="en-GB"/>
              </w:rPr>
              <w:t>8%)</w:t>
            </w:r>
            <w:r w:rsidR="00A70794">
              <w:rPr>
                <w:lang w:val="en-GB"/>
              </w:rPr>
              <w:t xml:space="preserve"> with development of prices of oil</w:t>
            </w:r>
            <w:r w:rsidR="009B553D" w:rsidRPr="00A21647">
              <w:rPr>
                <w:lang w:val="en-GB"/>
              </w:rPr>
              <w:t xml:space="preserve"> a</w:t>
            </w:r>
            <w:r w:rsidR="00436A40">
              <w:rPr>
                <w:lang w:val="en-GB"/>
              </w:rPr>
              <w:t>nd the marked price increase also affected wood, paper and print</w:t>
            </w:r>
            <w:r w:rsidR="00F84123">
              <w:rPr>
                <w:lang w:val="en-GB"/>
              </w:rPr>
              <w:t>ing</w:t>
            </w:r>
            <w:r w:rsidR="00436A40">
              <w:rPr>
                <w:lang w:val="en-GB"/>
              </w:rPr>
              <w:t xml:space="preserve"> </w:t>
            </w:r>
            <w:r w:rsidR="009B553D" w:rsidRPr="00A21647">
              <w:rPr>
                <w:lang w:val="en-GB"/>
              </w:rPr>
              <w:t>(13</w:t>
            </w:r>
            <w:r w:rsidR="00436A40">
              <w:rPr>
                <w:lang w:val="en-GB"/>
              </w:rPr>
              <w:t>.</w:t>
            </w:r>
            <w:r w:rsidR="009B553D" w:rsidRPr="00A21647">
              <w:rPr>
                <w:lang w:val="en-GB"/>
              </w:rPr>
              <w:t>4%).</w:t>
            </w:r>
            <w:r w:rsidR="00436A40">
              <w:rPr>
                <w:lang w:val="en-GB"/>
              </w:rPr>
              <w:t xml:space="preserve"> Prices of rubber and plastic products </w:t>
            </w:r>
            <w:r w:rsidR="009B553D" w:rsidRPr="00A21647">
              <w:rPr>
                <w:lang w:val="en-GB"/>
              </w:rPr>
              <w:t>(4</w:t>
            </w:r>
            <w:r w:rsidR="00436A40">
              <w:rPr>
                <w:lang w:val="en-GB"/>
              </w:rPr>
              <w:t>.</w:t>
            </w:r>
            <w:r w:rsidR="009B553D" w:rsidRPr="00A21647">
              <w:rPr>
                <w:lang w:val="en-GB"/>
              </w:rPr>
              <w:t>6%), ele</w:t>
            </w:r>
            <w:r w:rsidR="00436A40">
              <w:rPr>
                <w:lang w:val="en-GB"/>
              </w:rPr>
              <w:t xml:space="preserve">ctrical </w:t>
            </w:r>
            <w:r w:rsidR="00F84123">
              <w:rPr>
                <w:lang w:val="en-GB"/>
              </w:rPr>
              <w:t>equipment</w:t>
            </w:r>
            <w:r w:rsidR="00436A40">
              <w:rPr>
                <w:lang w:val="en-GB"/>
              </w:rPr>
              <w:t xml:space="preserve"> </w:t>
            </w:r>
            <w:r w:rsidR="009B553D" w:rsidRPr="00A21647">
              <w:rPr>
                <w:lang w:val="en-GB"/>
              </w:rPr>
              <w:t>(4</w:t>
            </w:r>
            <w:r w:rsidR="00436A40">
              <w:rPr>
                <w:lang w:val="en-GB"/>
              </w:rPr>
              <w:t>.</w:t>
            </w:r>
            <w:r w:rsidR="009B553D" w:rsidRPr="00A21647">
              <w:rPr>
                <w:lang w:val="en-GB"/>
              </w:rPr>
              <w:t>6%), textil</w:t>
            </w:r>
            <w:r w:rsidR="00436A40">
              <w:rPr>
                <w:lang w:val="en-GB"/>
              </w:rPr>
              <w:t>e</w:t>
            </w:r>
            <w:r w:rsidR="00F84123">
              <w:rPr>
                <w:lang w:val="en-GB"/>
              </w:rPr>
              <w:t>s</w:t>
            </w:r>
            <w:r w:rsidR="00436A40">
              <w:rPr>
                <w:lang w:val="en-GB"/>
              </w:rPr>
              <w:t>, cloth</w:t>
            </w:r>
            <w:r w:rsidR="00F84123">
              <w:rPr>
                <w:lang w:val="en-GB"/>
              </w:rPr>
              <w:t>es</w:t>
            </w:r>
            <w:r w:rsidR="00436A40">
              <w:rPr>
                <w:lang w:val="en-GB"/>
              </w:rPr>
              <w:t xml:space="preserve"> and leather </w:t>
            </w:r>
            <w:r w:rsidR="009B553D" w:rsidRPr="00A21647">
              <w:rPr>
                <w:lang w:val="en-GB"/>
              </w:rPr>
              <w:t>(4</w:t>
            </w:r>
            <w:r w:rsidR="00436A40">
              <w:rPr>
                <w:lang w:val="en-GB"/>
              </w:rPr>
              <w:t>.</w:t>
            </w:r>
            <w:r w:rsidR="009B553D" w:rsidRPr="00A21647">
              <w:rPr>
                <w:lang w:val="en-GB"/>
              </w:rPr>
              <w:t>4%),</w:t>
            </w:r>
            <w:r w:rsidR="00436A40">
              <w:rPr>
                <w:lang w:val="en-GB"/>
              </w:rPr>
              <w:t xml:space="preserve"> </w:t>
            </w:r>
            <w:r w:rsidR="00A70794">
              <w:rPr>
                <w:lang w:val="en-GB"/>
              </w:rPr>
              <w:t xml:space="preserve">furniture and other </w:t>
            </w:r>
            <w:r w:rsidR="00F84123">
              <w:rPr>
                <w:lang w:val="en-GB"/>
              </w:rPr>
              <w:t xml:space="preserve">manufactured </w:t>
            </w:r>
            <w:r w:rsidR="00A70794">
              <w:rPr>
                <w:lang w:val="en-GB"/>
              </w:rPr>
              <w:t xml:space="preserve">products </w:t>
            </w:r>
            <w:r w:rsidR="009B553D" w:rsidRPr="00A21647">
              <w:rPr>
                <w:lang w:val="en-GB"/>
              </w:rPr>
              <w:t>(3</w:t>
            </w:r>
            <w:r w:rsidR="00A70794">
              <w:rPr>
                <w:lang w:val="en-GB"/>
              </w:rPr>
              <w:t>.</w:t>
            </w:r>
            <w:r w:rsidR="009B553D" w:rsidRPr="00A21647">
              <w:rPr>
                <w:lang w:val="en-GB"/>
              </w:rPr>
              <w:t>6%)</w:t>
            </w:r>
            <w:r w:rsidR="00A70794">
              <w:rPr>
                <w:lang w:val="en-GB"/>
              </w:rPr>
              <w:t xml:space="preserve"> and machinery and equipment </w:t>
            </w:r>
            <w:r w:rsidR="009B553D" w:rsidRPr="00A21647">
              <w:rPr>
                <w:lang w:val="en-GB"/>
              </w:rPr>
              <w:t>(3</w:t>
            </w:r>
            <w:r w:rsidR="00A70794">
              <w:rPr>
                <w:lang w:val="en-GB"/>
              </w:rPr>
              <w:t>.</w:t>
            </w:r>
            <w:r w:rsidR="009B553D" w:rsidRPr="00A21647">
              <w:rPr>
                <w:lang w:val="en-GB"/>
              </w:rPr>
              <w:t>1%)</w:t>
            </w:r>
            <w:r w:rsidR="00436A40">
              <w:rPr>
                <w:lang w:val="en-GB"/>
              </w:rPr>
              <w:t xml:space="preserve"> also grew robustly</w:t>
            </w:r>
            <w:r w:rsidR="009B553D" w:rsidRPr="00A21647">
              <w:rPr>
                <w:lang w:val="en-GB"/>
              </w:rPr>
              <w:t xml:space="preserve">. </w:t>
            </w:r>
            <w:r w:rsidR="002E06F7">
              <w:rPr>
                <w:lang w:val="en-GB"/>
              </w:rPr>
              <w:t xml:space="preserve">Prices of basic pharmaceutical products </w:t>
            </w:r>
            <w:r w:rsidR="009B553D" w:rsidRPr="00A21647">
              <w:rPr>
                <w:lang w:val="en-GB"/>
              </w:rPr>
              <w:t>(2</w:t>
            </w:r>
            <w:r w:rsidR="002E06F7">
              <w:rPr>
                <w:lang w:val="en-GB"/>
              </w:rPr>
              <w:t>.</w:t>
            </w:r>
            <w:r w:rsidR="009B553D" w:rsidRPr="00A21647">
              <w:rPr>
                <w:lang w:val="en-GB"/>
              </w:rPr>
              <w:t xml:space="preserve">0%), </w:t>
            </w:r>
            <w:r w:rsidR="002E06F7">
              <w:rPr>
                <w:lang w:val="en-GB"/>
              </w:rPr>
              <w:t xml:space="preserve">food products, beverages and tobacco </w:t>
            </w:r>
            <w:r w:rsidR="009B553D" w:rsidRPr="00A21647">
              <w:rPr>
                <w:lang w:val="en-GB"/>
              </w:rPr>
              <w:t>(0</w:t>
            </w:r>
            <w:r w:rsidR="002E06F7">
              <w:rPr>
                <w:lang w:val="en-GB"/>
              </w:rPr>
              <w:t>.</w:t>
            </w:r>
            <w:r w:rsidR="009B553D" w:rsidRPr="00A21647">
              <w:rPr>
                <w:lang w:val="en-GB"/>
              </w:rPr>
              <w:t>8%) a</w:t>
            </w:r>
            <w:r w:rsidR="002E06F7">
              <w:rPr>
                <w:lang w:val="en-GB"/>
              </w:rPr>
              <w:t xml:space="preserve">nd computers, electronic and optical </w:t>
            </w:r>
            <w:r w:rsidR="00F84123">
              <w:rPr>
                <w:lang w:val="en-GB"/>
              </w:rPr>
              <w:t>products</w:t>
            </w:r>
            <w:r w:rsidR="002E06F7">
              <w:rPr>
                <w:lang w:val="en-GB"/>
              </w:rPr>
              <w:t xml:space="preserve"> </w:t>
            </w:r>
            <w:r w:rsidR="009B553D" w:rsidRPr="00A21647">
              <w:rPr>
                <w:lang w:val="en-GB"/>
              </w:rPr>
              <w:t>(0</w:t>
            </w:r>
            <w:r w:rsidR="002E06F7">
              <w:rPr>
                <w:lang w:val="en-GB"/>
              </w:rPr>
              <w:t>.</w:t>
            </w:r>
            <w:r w:rsidR="009B553D" w:rsidRPr="00A21647">
              <w:rPr>
                <w:lang w:val="en-GB"/>
              </w:rPr>
              <w:t>4%)</w:t>
            </w:r>
            <w:r w:rsidR="002E06F7">
              <w:rPr>
                <w:lang w:val="en-GB"/>
              </w:rPr>
              <w:t xml:space="preserve"> went up moderately</w:t>
            </w:r>
            <w:r w:rsidR="009B553D" w:rsidRPr="00A21647">
              <w:rPr>
                <w:lang w:val="en-GB"/>
              </w:rPr>
              <w:t xml:space="preserve">. </w:t>
            </w:r>
            <w:r w:rsidR="002E06F7">
              <w:rPr>
                <w:lang w:val="en-GB"/>
              </w:rPr>
              <w:t xml:space="preserve">Only prices of transport equipment were lower last year </w:t>
            </w:r>
            <w:r w:rsidR="009B553D" w:rsidRPr="00A21647">
              <w:rPr>
                <w:lang w:val="en-GB"/>
              </w:rPr>
              <w:t>(–0</w:t>
            </w:r>
            <w:r w:rsidR="002E06F7">
              <w:rPr>
                <w:lang w:val="en-GB"/>
              </w:rPr>
              <w:t>.</w:t>
            </w:r>
            <w:r w:rsidR="009B553D" w:rsidRPr="00A21647">
              <w:rPr>
                <w:lang w:val="en-GB"/>
              </w:rPr>
              <w:t>9%).</w:t>
            </w:r>
            <w:r w:rsidR="002E06F7">
              <w:rPr>
                <w:lang w:val="en-GB"/>
              </w:rPr>
              <w:t xml:space="preserve"> Prices of electricity, gas, steam and air conditioning supply grew in total by </w:t>
            </w:r>
            <w:r w:rsidR="009B553D" w:rsidRPr="00A21647">
              <w:rPr>
                <w:lang w:val="en-GB"/>
              </w:rPr>
              <w:t>1</w:t>
            </w:r>
            <w:r w:rsidR="002E06F7">
              <w:rPr>
                <w:lang w:val="en-GB"/>
              </w:rPr>
              <w:t>.</w:t>
            </w:r>
            <w:r w:rsidR="009B553D" w:rsidRPr="00A21647">
              <w:rPr>
                <w:lang w:val="en-GB"/>
              </w:rPr>
              <w:t>7%,</w:t>
            </w:r>
            <w:r w:rsidR="002E06F7">
              <w:rPr>
                <w:lang w:val="en-GB"/>
              </w:rPr>
              <w:t xml:space="preserve"> mining and quarrying by </w:t>
            </w:r>
            <w:r w:rsidR="009B553D" w:rsidRPr="00A21647">
              <w:rPr>
                <w:lang w:val="en-GB"/>
              </w:rPr>
              <w:t>4</w:t>
            </w:r>
            <w:r w:rsidR="002E06F7">
              <w:rPr>
                <w:lang w:val="en-GB"/>
              </w:rPr>
              <w:t>.</w:t>
            </w:r>
            <w:r w:rsidR="009B553D" w:rsidRPr="00A21647">
              <w:rPr>
                <w:lang w:val="en-GB"/>
              </w:rPr>
              <w:t>3% a</w:t>
            </w:r>
            <w:r w:rsidR="002E06F7">
              <w:rPr>
                <w:lang w:val="en-GB"/>
              </w:rPr>
              <w:t xml:space="preserve">nd water supply and associated services by </w:t>
            </w:r>
            <w:r w:rsidR="009B553D" w:rsidRPr="00A21647">
              <w:rPr>
                <w:lang w:val="en-GB"/>
              </w:rPr>
              <w:t>6</w:t>
            </w:r>
            <w:r w:rsidR="002E06F7">
              <w:rPr>
                <w:lang w:val="en-GB"/>
              </w:rPr>
              <w:t>.</w:t>
            </w:r>
            <w:r w:rsidR="009B553D" w:rsidRPr="00A21647">
              <w:rPr>
                <w:lang w:val="en-GB"/>
              </w:rPr>
              <w:t>2%</w:t>
            </w:r>
            <w:r w:rsidR="002E06F7">
              <w:rPr>
                <w:lang w:val="en-GB"/>
              </w:rPr>
              <w:t xml:space="preserve"> last year</w:t>
            </w:r>
            <w:r w:rsidR="009B553D" w:rsidRPr="00A21647">
              <w:rPr>
                <w:lang w:val="en-GB"/>
              </w:rPr>
              <w:t>.</w:t>
            </w:r>
          </w:p>
        </w:tc>
      </w:tr>
      <w:tr w:rsidR="009B553D" w:rsidRPr="009110F7" w14:paraId="4B62D9CC" w14:textId="77777777" w:rsidTr="00913237">
        <w:trPr>
          <w:trHeight w:val="170"/>
        </w:trPr>
        <w:tc>
          <w:tcPr>
            <w:tcW w:w="1805" w:type="dxa"/>
            <w:vMerge w:val="restart"/>
            <w:shd w:val="clear" w:color="auto" w:fill="auto"/>
            <w:tcMar>
              <w:left w:w="0" w:type="dxa"/>
            </w:tcMar>
          </w:tcPr>
          <w:p w14:paraId="13CD1170" w14:textId="77777777" w:rsidR="009B553D" w:rsidRDefault="009B553D" w:rsidP="00913237">
            <w:pPr>
              <w:pStyle w:val="Marginlie"/>
              <w:rPr>
                <w:spacing w:val="0"/>
              </w:rPr>
            </w:pPr>
          </w:p>
        </w:tc>
        <w:tc>
          <w:tcPr>
            <w:tcW w:w="224" w:type="dxa"/>
            <w:vMerge w:val="restart"/>
            <w:shd w:val="clear" w:color="auto" w:fill="auto"/>
            <w:tcMar>
              <w:left w:w="0" w:type="dxa"/>
            </w:tcMar>
          </w:tcPr>
          <w:p w14:paraId="3D22BE72" w14:textId="77777777" w:rsidR="009B553D" w:rsidRPr="00793D78" w:rsidRDefault="009B553D" w:rsidP="00913237">
            <w:pPr>
              <w:pStyle w:val="Textpoznpodarou1"/>
              <w:jc w:val="both"/>
              <w:rPr>
                <w:highlight w:val="yellow"/>
              </w:rPr>
            </w:pPr>
          </w:p>
        </w:tc>
        <w:tc>
          <w:tcPr>
            <w:tcW w:w="7610" w:type="dxa"/>
            <w:shd w:val="clear" w:color="auto" w:fill="auto"/>
            <w:tcMar>
              <w:left w:w="0" w:type="dxa"/>
            </w:tcMar>
          </w:tcPr>
          <w:p w14:paraId="78F0DD33" w14:textId="3C69A8B9" w:rsidR="009B553D" w:rsidRPr="00D75AC1" w:rsidRDefault="006A209C" w:rsidP="00A02E8B">
            <w:pPr>
              <w:spacing w:after="0"/>
              <w:rPr>
                <w:b/>
                <w:szCs w:val="20"/>
              </w:rPr>
            </w:pPr>
            <w:r>
              <w:rPr>
                <w:b/>
                <w:sz w:val="18"/>
                <w:szCs w:val="18"/>
              </w:rPr>
              <w:t>Chart</w:t>
            </w:r>
            <w:r w:rsidR="001C3794">
              <w:rPr>
                <w:b/>
                <w:sz w:val="18"/>
                <w:szCs w:val="18"/>
              </w:rPr>
              <w:t> 1</w:t>
            </w:r>
            <w:r w:rsidR="00A02E8B">
              <w:rPr>
                <w:b/>
                <w:sz w:val="18"/>
                <w:szCs w:val="18"/>
              </w:rPr>
              <w:t>3</w:t>
            </w:r>
            <w:r w:rsidR="009B553D" w:rsidRPr="00793D78">
              <w:rPr>
                <w:b/>
                <w:sz w:val="18"/>
                <w:szCs w:val="18"/>
              </w:rPr>
              <w:t xml:space="preserve">  </w:t>
            </w:r>
            <w:r w:rsidR="00037362" w:rsidRPr="000A5DBC">
              <w:rPr>
                <w:b/>
                <w:sz w:val="18"/>
                <w:szCs w:val="18"/>
                <w:lang w:val="en-GB"/>
              </w:rPr>
              <w:t>Prices</w:t>
            </w:r>
            <w:r w:rsidR="00037362" w:rsidRPr="000A5DBC">
              <w:rPr>
                <w:b/>
                <w:sz w:val="18"/>
                <w:szCs w:val="18"/>
                <w:lang w:val="en-GB" w:eastAsia="en-US"/>
              </w:rPr>
              <w:t xml:space="preserve"> of main groups of industrial producers </w:t>
            </w:r>
            <w:r w:rsidR="00037362" w:rsidRPr="000A5DBC">
              <w:rPr>
                <w:sz w:val="18"/>
                <w:szCs w:val="18"/>
                <w:lang w:val="en-GB" w:eastAsia="en-US"/>
              </w:rPr>
              <w:t>(year-on-year change, in %, based on CPA classification)</w:t>
            </w:r>
          </w:p>
        </w:tc>
      </w:tr>
      <w:tr w:rsidR="009B553D" w:rsidRPr="009110F7" w14:paraId="36CB296B" w14:textId="77777777" w:rsidTr="009B0A5E">
        <w:tblPrEx>
          <w:tblCellMar>
            <w:left w:w="70" w:type="dxa"/>
            <w:right w:w="70" w:type="dxa"/>
          </w:tblCellMar>
        </w:tblPrEx>
        <w:trPr>
          <w:trHeight w:val="170"/>
        </w:trPr>
        <w:tc>
          <w:tcPr>
            <w:tcW w:w="1805" w:type="dxa"/>
            <w:vMerge/>
            <w:shd w:val="clear" w:color="auto" w:fill="auto"/>
          </w:tcPr>
          <w:p w14:paraId="2A4A5315" w14:textId="77777777" w:rsidR="009B553D" w:rsidRPr="00793D78" w:rsidRDefault="009B553D" w:rsidP="00913237">
            <w:pPr>
              <w:pStyle w:val="Marginlie"/>
              <w:rPr>
                <w:spacing w:val="0"/>
              </w:rPr>
            </w:pPr>
          </w:p>
        </w:tc>
        <w:tc>
          <w:tcPr>
            <w:tcW w:w="224" w:type="dxa"/>
            <w:vMerge/>
            <w:shd w:val="clear" w:color="auto" w:fill="auto"/>
          </w:tcPr>
          <w:p w14:paraId="00621CA8" w14:textId="77777777" w:rsidR="009B553D" w:rsidRPr="00793D78" w:rsidRDefault="009B553D" w:rsidP="00913237">
            <w:pPr>
              <w:pStyle w:val="Textpoznpodarou1"/>
              <w:jc w:val="both"/>
            </w:pPr>
          </w:p>
        </w:tc>
        <w:tc>
          <w:tcPr>
            <w:tcW w:w="7610" w:type="dxa"/>
            <w:shd w:val="clear" w:color="auto" w:fill="auto"/>
          </w:tcPr>
          <w:p w14:paraId="4EF20C35" w14:textId="0D45A32D" w:rsidR="009B553D" w:rsidRPr="00793D78" w:rsidRDefault="009B0A5E" w:rsidP="00913237">
            <w:pPr>
              <w:spacing w:after="0"/>
            </w:pPr>
            <w:r>
              <w:rPr>
                <w:noProof/>
              </w:rPr>
              <w:drawing>
                <wp:inline distT="0" distB="0" distL="0" distR="0" wp14:anchorId="4391AA8C" wp14:editId="65415D84">
                  <wp:extent cx="4737600" cy="3553200"/>
                  <wp:effectExtent l="0" t="0" r="6350" b="0"/>
                  <wp:docPr id="45" name="Graf 45">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9B553D" w:rsidRPr="009110F7" w14:paraId="0EA01CAA" w14:textId="77777777" w:rsidTr="00913237">
        <w:trPr>
          <w:trHeight w:val="170"/>
        </w:trPr>
        <w:tc>
          <w:tcPr>
            <w:tcW w:w="1805" w:type="dxa"/>
            <w:vMerge/>
            <w:shd w:val="clear" w:color="auto" w:fill="auto"/>
            <w:tcMar>
              <w:left w:w="0" w:type="dxa"/>
            </w:tcMar>
          </w:tcPr>
          <w:p w14:paraId="2B00BFC5" w14:textId="77777777" w:rsidR="009B553D" w:rsidRPr="00793D78" w:rsidRDefault="009B553D" w:rsidP="00913237">
            <w:pPr>
              <w:pStyle w:val="Marginlie"/>
              <w:rPr>
                <w:spacing w:val="0"/>
              </w:rPr>
            </w:pPr>
          </w:p>
        </w:tc>
        <w:tc>
          <w:tcPr>
            <w:tcW w:w="224" w:type="dxa"/>
            <w:vMerge/>
            <w:shd w:val="clear" w:color="auto" w:fill="auto"/>
            <w:tcMar>
              <w:left w:w="0" w:type="dxa"/>
            </w:tcMar>
          </w:tcPr>
          <w:p w14:paraId="56C9B07F" w14:textId="77777777" w:rsidR="009B553D" w:rsidRPr="00793D78" w:rsidRDefault="009B553D" w:rsidP="00913237">
            <w:pPr>
              <w:pStyle w:val="Textpoznpodarou1"/>
              <w:jc w:val="both"/>
            </w:pPr>
          </w:p>
        </w:tc>
        <w:tc>
          <w:tcPr>
            <w:tcW w:w="7610" w:type="dxa"/>
            <w:shd w:val="clear" w:color="auto" w:fill="auto"/>
            <w:tcMar>
              <w:left w:w="0" w:type="dxa"/>
            </w:tcMar>
          </w:tcPr>
          <w:p w14:paraId="1284E05D" w14:textId="61D4659C" w:rsidR="00FD4DC7" w:rsidRPr="00793D78" w:rsidRDefault="00FD4DC7" w:rsidP="009B0A5E">
            <w:r>
              <w:rPr>
                <w:sz w:val="14"/>
                <w:szCs w:val="14"/>
              </w:rPr>
              <w:t>Source</w:t>
            </w:r>
            <w:r w:rsidR="009B553D" w:rsidRPr="00793D78">
              <w:rPr>
                <w:sz w:val="14"/>
                <w:szCs w:val="14"/>
              </w:rPr>
              <w:t xml:space="preserve">: </w:t>
            </w:r>
            <w:r>
              <w:rPr>
                <w:sz w:val="14"/>
                <w:szCs w:val="14"/>
              </w:rPr>
              <w:t>CZSO</w:t>
            </w:r>
          </w:p>
        </w:tc>
      </w:tr>
      <w:tr w:rsidR="009B0A5E" w:rsidRPr="009110F7" w14:paraId="1F990DA0" w14:textId="77777777" w:rsidTr="00913237">
        <w:trPr>
          <w:trHeight w:val="145"/>
        </w:trPr>
        <w:tc>
          <w:tcPr>
            <w:tcW w:w="1805" w:type="dxa"/>
            <w:shd w:val="clear" w:color="auto" w:fill="auto"/>
            <w:tcMar>
              <w:left w:w="0" w:type="dxa"/>
            </w:tcMar>
          </w:tcPr>
          <w:p w14:paraId="32722CDA" w14:textId="4B0E706C" w:rsidR="009B0A5E" w:rsidRDefault="009B0A5E" w:rsidP="009B0A5E">
            <w:pPr>
              <w:pStyle w:val="Marginlie"/>
              <w:rPr>
                <w:spacing w:val="0"/>
                <w:lang w:val="en-GB"/>
              </w:rPr>
            </w:pPr>
            <w:r>
              <w:rPr>
                <w:spacing w:val="0"/>
                <w:lang w:val="en-GB"/>
              </w:rPr>
              <w:t xml:space="preserve">Year-on-year increase of prices of industrial producers strengthened during the year </w:t>
            </w:r>
            <w:r w:rsidRPr="002E06F7">
              <w:rPr>
                <w:spacing w:val="0"/>
                <w:lang w:val="en-GB"/>
              </w:rPr>
              <w:t>2021.</w:t>
            </w:r>
          </w:p>
        </w:tc>
        <w:tc>
          <w:tcPr>
            <w:tcW w:w="224" w:type="dxa"/>
            <w:shd w:val="clear" w:color="auto" w:fill="auto"/>
            <w:tcMar>
              <w:left w:w="0" w:type="dxa"/>
            </w:tcMar>
          </w:tcPr>
          <w:p w14:paraId="612F738C" w14:textId="77777777" w:rsidR="009B0A5E" w:rsidRPr="006A209C" w:rsidRDefault="009B0A5E" w:rsidP="009B0A5E">
            <w:pPr>
              <w:pStyle w:val="Textpoznpodarou1"/>
              <w:jc w:val="both"/>
              <w:rPr>
                <w:lang w:val="en-GB"/>
              </w:rPr>
            </w:pPr>
          </w:p>
        </w:tc>
        <w:tc>
          <w:tcPr>
            <w:tcW w:w="7610" w:type="dxa"/>
            <w:shd w:val="clear" w:color="auto" w:fill="auto"/>
            <w:tcMar>
              <w:left w:w="0" w:type="dxa"/>
            </w:tcMar>
          </w:tcPr>
          <w:p w14:paraId="74709F38" w14:textId="7D6D9401" w:rsidR="009B0A5E" w:rsidRDefault="009B0A5E" w:rsidP="00F84123">
            <w:pPr>
              <w:rPr>
                <w:lang w:val="en-GB"/>
              </w:rPr>
            </w:pPr>
            <w:r>
              <w:rPr>
                <w:lang w:val="en-GB"/>
              </w:rPr>
              <w:t xml:space="preserve">Similarly to consumer prices, the year-on-year growth of the prices industrial producers sharply accelerated during the year and reached </w:t>
            </w:r>
            <w:r w:rsidRPr="002E06F7">
              <w:rPr>
                <w:lang w:val="en-GB"/>
              </w:rPr>
              <w:t>12</w:t>
            </w:r>
            <w:r>
              <w:rPr>
                <w:lang w:val="en-GB"/>
              </w:rPr>
              <w:t>.</w:t>
            </w:r>
            <w:r w:rsidRPr="002E06F7">
              <w:rPr>
                <w:lang w:val="en-GB"/>
              </w:rPr>
              <w:t>8%</w:t>
            </w:r>
            <w:r>
              <w:rPr>
                <w:lang w:val="en-GB"/>
              </w:rPr>
              <w:t xml:space="preserve"> in Q4</w:t>
            </w:r>
            <w:r w:rsidRPr="002E06F7">
              <w:rPr>
                <w:lang w:val="en-GB"/>
              </w:rPr>
              <w:t xml:space="preserve">. </w:t>
            </w:r>
            <w:r>
              <w:rPr>
                <w:lang w:val="en-GB"/>
              </w:rPr>
              <w:t xml:space="preserve">The price growth accelerated in majority of divisions at the end of the year. </w:t>
            </w:r>
            <w:r w:rsidR="00F84123">
              <w:rPr>
                <w:lang w:val="en-GB"/>
              </w:rPr>
              <w:t xml:space="preserve">Manufactured products </w:t>
            </w:r>
            <w:r>
              <w:rPr>
                <w:lang w:val="en-GB"/>
              </w:rPr>
              <w:t xml:space="preserve">were by 14.5% year-on-year more expensive and the strengthening of the dynamics was mainly supported by the development of various materials. The increase of prices of coke and refined </w:t>
            </w:r>
            <w:r w:rsidR="00F84123">
              <w:rPr>
                <w:lang w:val="en-GB"/>
              </w:rPr>
              <w:t>petroleum</w:t>
            </w:r>
            <w:r>
              <w:rPr>
                <w:lang w:val="en-GB"/>
              </w:rPr>
              <w:t xml:space="preserve"> products, </w:t>
            </w:r>
            <w:r w:rsidR="00F84123">
              <w:rPr>
                <w:lang w:val="en-GB"/>
              </w:rPr>
              <w:t xml:space="preserve">chemicals and chemical products </w:t>
            </w:r>
            <w:r w:rsidRPr="002E06F7">
              <w:rPr>
                <w:lang w:val="en-GB"/>
              </w:rPr>
              <w:t>(51</w:t>
            </w:r>
            <w:r>
              <w:rPr>
                <w:lang w:val="en-GB"/>
              </w:rPr>
              <w:t>.</w:t>
            </w:r>
            <w:r w:rsidRPr="002E06F7">
              <w:rPr>
                <w:lang w:val="en-GB"/>
              </w:rPr>
              <w:t>4%),</w:t>
            </w:r>
            <w:r>
              <w:rPr>
                <w:lang w:val="en-GB"/>
              </w:rPr>
              <w:t xml:space="preserve"> basic metals and</w:t>
            </w:r>
            <w:r w:rsidR="00F84123">
              <w:rPr>
                <w:lang w:val="en-GB"/>
              </w:rPr>
              <w:t xml:space="preserve"> fabricated</w:t>
            </w:r>
            <w:r>
              <w:rPr>
                <w:lang w:val="en-GB"/>
              </w:rPr>
              <w:t xml:space="preserve"> metal products </w:t>
            </w:r>
            <w:r w:rsidRPr="002E06F7">
              <w:rPr>
                <w:lang w:val="en-GB"/>
              </w:rPr>
              <w:t>(26</w:t>
            </w:r>
            <w:r>
              <w:rPr>
                <w:lang w:val="en-GB"/>
              </w:rPr>
              <w:t>.</w:t>
            </w:r>
            <w:r w:rsidRPr="002E06F7">
              <w:rPr>
                <w:lang w:val="en-GB"/>
              </w:rPr>
              <w:t>5%) a</w:t>
            </w:r>
            <w:r>
              <w:rPr>
                <w:lang w:val="en-GB"/>
              </w:rPr>
              <w:t>nd wood, paper and print</w:t>
            </w:r>
            <w:r w:rsidR="00F84123">
              <w:rPr>
                <w:lang w:val="en-GB"/>
              </w:rPr>
              <w:t>ing</w:t>
            </w:r>
            <w:r>
              <w:rPr>
                <w:lang w:val="en-GB"/>
              </w:rPr>
              <w:t xml:space="preserve"> </w:t>
            </w:r>
            <w:r w:rsidRPr="002E06F7">
              <w:rPr>
                <w:lang w:val="en-GB"/>
              </w:rPr>
              <w:t>(25</w:t>
            </w:r>
            <w:r>
              <w:rPr>
                <w:lang w:val="en-GB"/>
              </w:rPr>
              <w:t>.</w:t>
            </w:r>
            <w:r w:rsidRPr="002E06F7">
              <w:rPr>
                <w:lang w:val="en-GB"/>
              </w:rPr>
              <w:t>1%)</w:t>
            </w:r>
            <w:r>
              <w:rPr>
                <w:lang w:val="en-GB"/>
              </w:rPr>
              <w:t xml:space="preserve"> was exceptionally high</w:t>
            </w:r>
            <w:r w:rsidRPr="002E06F7">
              <w:rPr>
                <w:lang w:val="en-GB"/>
              </w:rPr>
              <w:t xml:space="preserve">. </w:t>
            </w:r>
            <w:r>
              <w:rPr>
                <w:lang w:val="en-GB"/>
              </w:rPr>
              <w:t xml:space="preserve">Apart from the transport equipment (decrease by </w:t>
            </w:r>
            <w:r w:rsidRPr="002E06F7">
              <w:rPr>
                <w:lang w:val="en-GB"/>
              </w:rPr>
              <w:t>1</w:t>
            </w:r>
            <w:r>
              <w:rPr>
                <w:lang w:val="en-GB"/>
              </w:rPr>
              <w:t>.</w:t>
            </w:r>
            <w:r w:rsidRPr="002E06F7">
              <w:rPr>
                <w:lang w:val="en-GB"/>
              </w:rPr>
              <w:t>4%)</w:t>
            </w:r>
            <w:r>
              <w:rPr>
                <w:lang w:val="en-GB"/>
              </w:rPr>
              <w:t xml:space="preserve"> however the prices increased in all divisions of industrial production and the growth accelerate for majority of them, since they were to some extent affected by the difficulties with the disruption of global transportation and supply chains. Year-on-year increase of prices of electricity, gas, steam and air conditioning supply sharply </w:t>
            </w:r>
            <w:r>
              <w:rPr>
                <w:lang w:val="en-GB"/>
              </w:rPr>
              <w:lastRenderedPageBreak/>
              <w:t xml:space="preserve">accelerated to 5.5% in Q4. Growth of prices of mining and quarrying similarly strengthened to </w:t>
            </w:r>
            <w:r w:rsidRPr="002E06F7">
              <w:rPr>
                <w:lang w:val="en-GB"/>
              </w:rPr>
              <w:t>13</w:t>
            </w:r>
            <w:r>
              <w:rPr>
                <w:lang w:val="en-GB"/>
              </w:rPr>
              <w:t>.</w:t>
            </w:r>
            <w:r w:rsidRPr="002E06F7">
              <w:rPr>
                <w:lang w:val="en-GB"/>
              </w:rPr>
              <w:t xml:space="preserve">8%. </w:t>
            </w:r>
            <w:r>
              <w:rPr>
                <w:lang w:val="en-GB"/>
              </w:rPr>
              <w:t xml:space="preserve">Prices of water supply and associated services were by </w:t>
            </w:r>
            <w:r w:rsidRPr="002E06F7">
              <w:rPr>
                <w:lang w:val="en-GB"/>
              </w:rPr>
              <w:t>5</w:t>
            </w:r>
            <w:r>
              <w:rPr>
                <w:lang w:val="en-GB"/>
              </w:rPr>
              <w:t>.</w:t>
            </w:r>
            <w:r w:rsidRPr="002E06F7">
              <w:rPr>
                <w:lang w:val="en-GB"/>
              </w:rPr>
              <w:t>9%</w:t>
            </w:r>
            <w:r>
              <w:rPr>
                <w:lang w:val="en-GB"/>
              </w:rPr>
              <w:t xml:space="preserve"> higher</w:t>
            </w:r>
            <w:r w:rsidRPr="002E06F7">
              <w:rPr>
                <w:lang w:val="en-GB"/>
              </w:rPr>
              <w:t>.</w:t>
            </w:r>
          </w:p>
        </w:tc>
      </w:tr>
      <w:tr w:rsidR="009B0A5E" w:rsidRPr="009110F7" w14:paraId="0B241F7D" w14:textId="77777777" w:rsidTr="00913237">
        <w:trPr>
          <w:trHeight w:val="145"/>
        </w:trPr>
        <w:tc>
          <w:tcPr>
            <w:tcW w:w="1805" w:type="dxa"/>
            <w:shd w:val="clear" w:color="auto" w:fill="auto"/>
            <w:tcMar>
              <w:left w:w="0" w:type="dxa"/>
            </w:tcMar>
          </w:tcPr>
          <w:p w14:paraId="2F78672C" w14:textId="161346FA" w:rsidR="009B0A5E" w:rsidRPr="006A209C" w:rsidRDefault="009B0A5E" w:rsidP="009B0A5E">
            <w:pPr>
              <w:pStyle w:val="Marginlie"/>
              <w:rPr>
                <w:spacing w:val="0"/>
                <w:lang w:val="en-GB"/>
              </w:rPr>
            </w:pPr>
            <w:r>
              <w:rPr>
                <w:spacing w:val="0"/>
                <w:lang w:val="en-GB"/>
              </w:rPr>
              <w:lastRenderedPageBreak/>
              <w:t xml:space="preserve">Industrial producer prices in the EU featured record growth. </w:t>
            </w:r>
          </w:p>
        </w:tc>
        <w:tc>
          <w:tcPr>
            <w:tcW w:w="224" w:type="dxa"/>
            <w:shd w:val="clear" w:color="auto" w:fill="auto"/>
            <w:tcMar>
              <w:left w:w="0" w:type="dxa"/>
            </w:tcMar>
          </w:tcPr>
          <w:p w14:paraId="391ACC6A" w14:textId="77777777" w:rsidR="009B0A5E" w:rsidRPr="006A209C" w:rsidRDefault="009B0A5E" w:rsidP="009B0A5E">
            <w:pPr>
              <w:pStyle w:val="Textpoznpodarou1"/>
              <w:jc w:val="both"/>
              <w:rPr>
                <w:lang w:val="en-GB"/>
              </w:rPr>
            </w:pPr>
          </w:p>
        </w:tc>
        <w:tc>
          <w:tcPr>
            <w:tcW w:w="7610" w:type="dxa"/>
            <w:shd w:val="clear" w:color="auto" w:fill="auto"/>
            <w:tcMar>
              <w:left w:w="0" w:type="dxa"/>
            </w:tcMar>
          </w:tcPr>
          <w:p w14:paraId="5420D8A5" w14:textId="1E4CE43C" w:rsidR="009B0A5E" w:rsidRPr="006A209C" w:rsidRDefault="009B0A5E" w:rsidP="00362581">
            <w:pPr>
              <w:rPr>
                <w:lang w:val="en-GB"/>
              </w:rPr>
            </w:pPr>
            <w:r>
              <w:rPr>
                <w:lang w:val="en-GB"/>
              </w:rPr>
              <w:t>Industrial producer prices increased in total by 12.4</w:t>
            </w:r>
            <w:r w:rsidRPr="006A209C">
              <w:rPr>
                <w:lang w:val="en-GB"/>
              </w:rPr>
              <w:t>%</w:t>
            </w:r>
            <w:r w:rsidRPr="006A209C">
              <w:rPr>
                <w:rStyle w:val="Znakapoznpodarou"/>
                <w:lang w:val="en-GB"/>
              </w:rPr>
              <w:footnoteReference w:id="4"/>
            </w:r>
            <w:r>
              <w:rPr>
                <w:lang w:val="en-GB"/>
              </w:rPr>
              <w:t xml:space="preserve"> in the EU in 2021</w:t>
            </w:r>
            <w:r w:rsidRPr="006A209C">
              <w:rPr>
                <w:lang w:val="en-GB"/>
              </w:rPr>
              <w:t xml:space="preserve">. </w:t>
            </w:r>
            <w:r>
              <w:rPr>
                <w:lang w:val="en-GB"/>
              </w:rPr>
              <w:t xml:space="preserve">It represents a completely record level of increase. Prices of electricity, gas, steam and air conditioning supply </w:t>
            </w:r>
            <w:r w:rsidRPr="006A209C">
              <w:rPr>
                <w:lang w:val="en-GB"/>
              </w:rPr>
              <w:t>(31</w:t>
            </w:r>
            <w:r>
              <w:rPr>
                <w:lang w:val="en-GB"/>
              </w:rPr>
              <w:t>.</w:t>
            </w:r>
            <w:r w:rsidRPr="006A209C">
              <w:rPr>
                <w:lang w:val="en-GB"/>
              </w:rPr>
              <w:t xml:space="preserve">9%) </w:t>
            </w:r>
            <w:r>
              <w:rPr>
                <w:lang w:val="en-GB"/>
              </w:rPr>
              <w:t xml:space="preserve">and mining and quarrying </w:t>
            </w:r>
            <w:r w:rsidRPr="006A209C">
              <w:rPr>
                <w:lang w:val="en-GB"/>
              </w:rPr>
              <w:t>(30</w:t>
            </w:r>
            <w:r>
              <w:rPr>
                <w:lang w:val="en-GB"/>
              </w:rPr>
              <w:t>.</w:t>
            </w:r>
            <w:r w:rsidRPr="006A209C">
              <w:rPr>
                <w:lang w:val="en-GB"/>
              </w:rPr>
              <w:t>3%)</w:t>
            </w:r>
            <w:r>
              <w:rPr>
                <w:lang w:val="en-GB"/>
              </w:rPr>
              <w:t xml:space="preserve"> grew very strongly last year</w:t>
            </w:r>
            <w:r w:rsidRPr="006A209C">
              <w:rPr>
                <w:lang w:val="en-GB"/>
              </w:rPr>
              <w:t>,</w:t>
            </w:r>
            <w:r>
              <w:rPr>
                <w:lang w:val="en-GB"/>
              </w:rPr>
              <w:t xml:space="preserve"> but also the prices </w:t>
            </w:r>
            <w:r w:rsidR="00F84123">
              <w:rPr>
                <w:lang w:val="en-GB"/>
              </w:rPr>
              <w:t>manufactured products</w:t>
            </w:r>
            <w:r>
              <w:rPr>
                <w:lang w:val="en-GB"/>
              </w:rPr>
              <w:t xml:space="preserve"> </w:t>
            </w:r>
            <w:r w:rsidRPr="006A209C">
              <w:rPr>
                <w:lang w:val="en-GB"/>
              </w:rPr>
              <w:t>(7</w:t>
            </w:r>
            <w:r>
              <w:rPr>
                <w:lang w:val="en-GB"/>
              </w:rPr>
              <w:t>.</w:t>
            </w:r>
            <w:r w:rsidRPr="006A209C">
              <w:rPr>
                <w:lang w:val="en-GB"/>
              </w:rPr>
              <w:t>7%).</w:t>
            </w:r>
            <w:r>
              <w:rPr>
                <w:lang w:val="en-GB"/>
              </w:rPr>
              <w:t xml:space="preserve"> The industrial producer prices grew the most in Ireland </w:t>
            </w:r>
            <w:r w:rsidRPr="006A209C">
              <w:rPr>
                <w:lang w:val="en-GB"/>
              </w:rPr>
              <w:t>(55</w:t>
            </w:r>
            <w:r>
              <w:rPr>
                <w:lang w:val="en-GB"/>
              </w:rPr>
              <w:t>.</w:t>
            </w:r>
            <w:r w:rsidRPr="006A209C">
              <w:rPr>
                <w:lang w:val="en-GB"/>
              </w:rPr>
              <w:t>8%), D</w:t>
            </w:r>
            <w:r>
              <w:rPr>
                <w:lang w:val="en-GB"/>
              </w:rPr>
              <w:t xml:space="preserve">enmark </w:t>
            </w:r>
            <w:r w:rsidRPr="006A209C">
              <w:rPr>
                <w:lang w:val="en-GB"/>
              </w:rPr>
              <w:t>(25</w:t>
            </w:r>
            <w:r>
              <w:rPr>
                <w:lang w:val="en-GB"/>
              </w:rPr>
              <w:t>.</w:t>
            </w:r>
            <w:r w:rsidRPr="006A209C">
              <w:rPr>
                <w:lang w:val="en-GB"/>
              </w:rPr>
              <w:t>2%)</w:t>
            </w:r>
            <w:r>
              <w:rPr>
                <w:lang w:val="en-GB"/>
              </w:rPr>
              <w:t xml:space="preserve"> and Belgium </w:t>
            </w:r>
            <w:r w:rsidRPr="006A209C">
              <w:rPr>
                <w:lang w:val="en-GB"/>
              </w:rPr>
              <w:t>(21</w:t>
            </w:r>
            <w:r>
              <w:rPr>
                <w:lang w:val="en-GB"/>
              </w:rPr>
              <w:t>.</w:t>
            </w:r>
            <w:r w:rsidRPr="006A209C">
              <w:rPr>
                <w:lang w:val="en-GB"/>
              </w:rPr>
              <w:t>1%).</w:t>
            </w:r>
            <w:r>
              <w:rPr>
                <w:lang w:val="en-GB"/>
              </w:rPr>
              <w:t xml:space="preserve"> </w:t>
            </w:r>
            <w:r w:rsidRPr="006A209C">
              <w:rPr>
                <w:lang w:val="en-GB"/>
              </w:rPr>
              <w:t>Malta (1</w:t>
            </w:r>
            <w:r>
              <w:rPr>
                <w:lang w:val="en-GB"/>
              </w:rPr>
              <w:t>.</w:t>
            </w:r>
            <w:r w:rsidRPr="006A209C">
              <w:rPr>
                <w:lang w:val="en-GB"/>
              </w:rPr>
              <w:t>9%)</w:t>
            </w:r>
            <w:r>
              <w:rPr>
                <w:lang w:val="en-GB"/>
              </w:rPr>
              <w:t xml:space="preserve"> and further Slovakia </w:t>
            </w:r>
            <w:r w:rsidRPr="006A209C">
              <w:rPr>
                <w:lang w:val="en-GB"/>
              </w:rPr>
              <w:t>(5</w:t>
            </w:r>
            <w:r>
              <w:rPr>
                <w:lang w:val="en-GB"/>
              </w:rPr>
              <w:t>.</w:t>
            </w:r>
            <w:r w:rsidRPr="006A209C">
              <w:rPr>
                <w:lang w:val="en-GB"/>
              </w:rPr>
              <w:t>5%), Slov</w:t>
            </w:r>
            <w:r>
              <w:rPr>
                <w:lang w:val="en-GB"/>
              </w:rPr>
              <w:t xml:space="preserve">enia </w:t>
            </w:r>
            <w:r w:rsidRPr="006A209C">
              <w:rPr>
                <w:lang w:val="en-GB"/>
              </w:rPr>
              <w:t>(6</w:t>
            </w:r>
            <w:r>
              <w:rPr>
                <w:lang w:val="en-GB"/>
              </w:rPr>
              <w:t>.</w:t>
            </w:r>
            <w:r w:rsidRPr="006A209C">
              <w:rPr>
                <w:lang w:val="en-GB"/>
              </w:rPr>
              <w:t>1%)</w:t>
            </w:r>
            <w:r>
              <w:rPr>
                <w:lang w:val="en-GB"/>
              </w:rPr>
              <w:t xml:space="preserve"> and the CR </w:t>
            </w:r>
            <w:r w:rsidRPr="006A209C">
              <w:rPr>
                <w:lang w:val="en-GB"/>
              </w:rPr>
              <w:t>(7</w:t>
            </w:r>
            <w:r>
              <w:rPr>
                <w:lang w:val="en-GB"/>
              </w:rPr>
              <w:t>.</w:t>
            </w:r>
            <w:r w:rsidRPr="006A209C">
              <w:rPr>
                <w:lang w:val="en-GB"/>
              </w:rPr>
              <w:t>1%)</w:t>
            </w:r>
            <w:r>
              <w:rPr>
                <w:lang w:val="en-GB"/>
              </w:rPr>
              <w:t xml:space="preserve"> recorded the mildest increase</w:t>
            </w:r>
            <w:r w:rsidRPr="006A209C">
              <w:rPr>
                <w:lang w:val="en-GB"/>
              </w:rPr>
              <w:t>.</w:t>
            </w:r>
            <w:r>
              <w:rPr>
                <w:lang w:val="en-GB"/>
              </w:rPr>
              <w:t xml:space="preserve"> The year-on-year growth of the industrial producer prices accelerated during the year and it reached 23.9% in Q4. Prices grew the most in Ireland </w:t>
            </w:r>
            <w:r w:rsidRPr="006A209C">
              <w:rPr>
                <w:lang w:val="en-GB"/>
              </w:rPr>
              <w:t>(92</w:t>
            </w:r>
            <w:r>
              <w:rPr>
                <w:lang w:val="en-GB"/>
              </w:rPr>
              <w:t>.</w:t>
            </w:r>
            <w:r w:rsidRPr="006A209C">
              <w:rPr>
                <w:lang w:val="en-GB"/>
              </w:rPr>
              <w:t>6%), D</w:t>
            </w:r>
            <w:r>
              <w:rPr>
                <w:lang w:val="en-GB"/>
              </w:rPr>
              <w:t xml:space="preserve">enmark </w:t>
            </w:r>
            <w:r w:rsidRPr="006A209C">
              <w:rPr>
                <w:lang w:val="en-GB"/>
              </w:rPr>
              <w:t>(50</w:t>
            </w:r>
            <w:r>
              <w:rPr>
                <w:lang w:val="en-GB"/>
              </w:rPr>
              <w:t>.</w:t>
            </w:r>
            <w:r w:rsidRPr="006A209C">
              <w:rPr>
                <w:lang w:val="en-GB"/>
              </w:rPr>
              <w:t>3%)</w:t>
            </w:r>
            <w:r>
              <w:rPr>
                <w:lang w:val="en-GB"/>
              </w:rPr>
              <w:t xml:space="preserve"> and Romania </w:t>
            </w:r>
            <w:r w:rsidRPr="006A209C">
              <w:rPr>
                <w:lang w:val="en-GB"/>
              </w:rPr>
              <w:t>(38</w:t>
            </w:r>
            <w:r>
              <w:rPr>
                <w:lang w:val="en-GB"/>
              </w:rPr>
              <w:t>.</w:t>
            </w:r>
            <w:r w:rsidRPr="006A209C">
              <w:rPr>
                <w:lang w:val="en-GB"/>
              </w:rPr>
              <w:t>4%).</w:t>
            </w:r>
            <w:r>
              <w:rPr>
                <w:lang w:val="en-GB"/>
              </w:rPr>
              <w:t xml:space="preserve"> Ma</w:t>
            </w:r>
            <w:r w:rsidRPr="006A209C">
              <w:rPr>
                <w:lang w:val="en-GB"/>
              </w:rPr>
              <w:t>lta (3</w:t>
            </w:r>
            <w:r>
              <w:rPr>
                <w:lang w:val="en-GB"/>
              </w:rPr>
              <w:t>.</w:t>
            </w:r>
            <w:r w:rsidRPr="006A209C">
              <w:rPr>
                <w:lang w:val="en-GB"/>
              </w:rPr>
              <w:t>8%)</w:t>
            </w:r>
            <w:r>
              <w:rPr>
                <w:lang w:val="en-GB"/>
              </w:rPr>
              <w:t xml:space="preserve"> followed by Slovenia </w:t>
            </w:r>
            <w:r w:rsidRPr="006A209C">
              <w:rPr>
                <w:lang w:val="en-GB"/>
              </w:rPr>
              <w:t>(10</w:t>
            </w:r>
            <w:r>
              <w:rPr>
                <w:lang w:val="en-GB"/>
              </w:rPr>
              <w:t>.</w:t>
            </w:r>
            <w:r w:rsidRPr="006A209C">
              <w:rPr>
                <w:lang w:val="en-GB"/>
              </w:rPr>
              <w:t>1%),</w:t>
            </w:r>
            <w:r>
              <w:rPr>
                <w:lang w:val="en-GB"/>
              </w:rPr>
              <w:t xml:space="preserve"> </w:t>
            </w:r>
            <w:r w:rsidR="00362581">
              <w:rPr>
                <w:lang w:val="en-GB"/>
              </w:rPr>
              <w:t>Czechia</w:t>
            </w:r>
            <w:r>
              <w:rPr>
                <w:lang w:val="en-GB"/>
              </w:rPr>
              <w:t xml:space="preserve"> </w:t>
            </w:r>
            <w:r w:rsidRPr="006A209C">
              <w:rPr>
                <w:lang w:val="en-GB"/>
              </w:rPr>
              <w:t>(12</w:t>
            </w:r>
            <w:r>
              <w:rPr>
                <w:lang w:val="en-GB"/>
              </w:rPr>
              <w:t>.</w:t>
            </w:r>
            <w:r w:rsidRPr="006A209C">
              <w:rPr>
                <w:lang w:val="en-GB"/>
              </w:rPr>
              <w:t>8%)</w:t>
            </w:r>
            <w:r>
              <w:rPr>
                <w:lang w:val="en-GB"/>
              </w:rPr>
              <w:t xml:space="preserve"> and Slovakia </w:t>
            </w:r>
            <w:r w:rsidRPr="006A209C">
              <w:rPr>
                <w:lang w:val="en-GB"/>
              </w:rPr>
              <w:t>(13</w:t>
            </w:r>
            <w:r>
              <w:rPr>
                <w:lang w:val="en-GB"/>
              </w:rPr>
              <w:t>.</w:t>
            </w:r>
            <w:r w:rsidRPr="006A209C">
              <w:rPr>
                <w:lang w:val="en-GB"/>
              </w:rPr>
              <w:t>4%)</w:t>
            </w:r>
            <w:r>
              <w:rPr>
                <w:lang w:val="en-GB"/>
              </w:rPr>
              <w:t xml:space="preserve"> again reported the lowest increase</w:t>
            </w:r>
            <w:r w:rsidRPr="006A209C">
              <w:rPr>
                <w:lang w:val="en-GB"/>
              </w:rPr>
              <w:t>.</w:t>
            </w:r>
          </w:p>
        </w:tc>
      </w:tr>
      <w:tr w:rsidR="009B0A5E" w:rsidRPr="009110F7" w14:paraId="25BCA707" w14:textId="77777777" w:rsidTr="00913237">
        <w:trPr>
          <w:trHeight w:val="145"/>
        </w:trPr>
        <w:tc>
          <w:tcPr>
            <w:tcW w:w="1805" w:type="dxa"/>
            <w:shd w:val="clear" w:color="auto" w:fill="auto"/>
            <w:tcMar>
              <w:left w:w="0" w:type="dxa"/>
            </w:tcMar>
          </w:tcPr>
          <w:p w14:paraId="03D8C752" w14:textId="4D8B0B40" w:rsidR="009B0A5E" w:rsidRPr="006A209C" w:rsidRDefault="009B0A5E" w:rsidP="009B0A5E">
            <w:pPr>
              <w:pStyle w:val="Marginlie"/>
              <w:rPr>
                <w:spacing w:val="0"/>
                <w:lang w:val="en-GB"/>
              </w:rPr>
            </w:pPr>
            <w:r>
              <w:rPr>
                <w:spacing w:val="0"/>
                <w:lang w:val="en-GB"/>
              </w:rPr>
              <w:t xml:space="preserve">Extraordinarily raised prices of materials manifested in the price of construction works. </w:t>
            </w:r>
          </w:p>
        </w:tc>
        <w:tc>
          <w:tcPr>
            <w:tcW w:w="224" w:type="dxa"/>
            <w:shd w:val="clear" w:color="auto" w:fill="auto"/>
            <w:tcMar>
              <w:left w:w="0" w:type="dxa"/>
            </w:tcMar>
          </w:tcPr>
          <w:p w14:paraId="2E633E27" w14:textId="77777777" w:rsidR="009B0A5E" w:rsidRPr="00793D78" w:rsidRDefault="009B0A5E" w:rsidP="009B0A5E">
            <w:pPr>
              <w:pStyle w:val="Textpoznpodarou1"/>
              <w:jc w:val="both"/>
            </w:pPr>
          </w:p>
        </w:tc>
        <w:tc>
          <w:tcPr>
            <w:tcW w:w="7610" w:type="dxa"/>
            <w:shd w:val="clear" w:color="auto" w:fill="auto"/>
            <w:tcMar>
              <w:left w:w="0" w:type="dxa"/>
            </w:tcMar>
          </w:tcPr>
          <w:p w14:paraId="30541BD6" w14:textId="4280EA93" w:rsidR="009B0A5E" w:rsidRPr="00972835" w:rsidRDefault="009B0A5E" w:rsidP="009B0A5E">
            <w:pPr>
              <w:rPr>
                <w:lang w:val="en-GB"/>
              </w:rPr>
            </w:pPr>
            <w:r>
              <w:rPr>
                <w:lang w:val="en-GB"/>
              </w:rPr>
              <w:t xml:space="preserve">Increase of prices of construction works notably strengthened last year and in total reached </w:t>
            </w:r>
            <w:r w:rsidRPr="00972835">
              <w:rPr>
                <w:lang w:val="en-GB"/>
              </w:rPr>
              <w:t>5</w:t>
            </w:r>
            <w:r>
              <w:rPr>
                <w:lang w:val="en-GB"/>
              </w:rPr>
              <w:t>.</w:t>
            </w:r>
            <w:r w:rsidRPr="00972835">
              <w:rPr>
                <w:lang w:val="en-GB"/>
              </w:rPr>
              <w:t>1%.</w:t>
            </w:r>
            <w:r>
              <w:rPr>
                <w:lang w:val="en-GB"/>
              </w:rPr>
              <w:t xml:space="preserve"> Raised prices of materials and products consumed in construction </w:t>
            </w:r>
            <w:r w:rsidRPr="00972835">
              <w:rPr>
                <w:lang w:val="en-GB"/>
              </w:rPr>
              <w:t>(10</w:t>
            </w:r>
            <w:r>
              <w:rPr>
                <w:lang w:val="en-GB"/>
              </w:rPr>
              <w:t>.</w:t>
            </w:r>
            <w:r w:rsidRPr="00972835">
              <w:rPr>
                <w:lang w:val="en-GB"/>
              </w:rPr>
              <w:t>9%)</w:t>
            </w:r>
            <w:r>
              <w:rPr>
                <w:lang w:val="en-GB"/>
              </w:rPr>
              <w:t xml:space="preserve"> shared in this considerably</w:t>
            </w:r>
            <w:r w:rsidRPr="00972835">
              <w:rPr>
                <w:lang w:val="en-GB"/>
              </w:rPr>
              <w:t>.</w:t>
            </w:r>
            <w:r>
              <w:rPr>
                <w:lang w:val="en-GB"/>
              </w:rPr>
              <w:t xml:space="preserve"> Year-on-year growth of construction works index accelerated during the whole year </w:t>
            </w:r>
            <w:r w:rsidRPr="00972835">
              <w:rPr>
                <w:lang w:val="en-GB"/>
              </w:rPr>
              <w:t>2021</w:t>
            </w:r>
            <w:r>
              <w:rPr>
                <w:lang w:val="en-GB"/>
              </w:rPr>
              <w:t xml:space="preserve"> and it attained </w:t>
            </w:r>
            <w:r w:rsidRPr="00972835">
              <w:rPr>
                <w:lang w:val="en-GB"/>
              </w:rPr>
              <w:t>7</w:t>
            </w:r>
            <w:r>
              <w:rPr>
                <w:lang w:val="en-GB"/>
              </w:rPr>
              <w:t>.</w:t>
            </w:r>
            <w:r w:rsidRPr="00972835">
              <w:rPr>
                <w:lang w:val="en-GB"/>
              </w:rPr>
              <w:t>9%</w:t>
            </w:r>
            <w:r>
              <w:rPr>
                <w:lang w:val="en-GB"/>
              </w:rPr>
              <w:t xml:space="preserve"> in Q4</w:t>
            </w:r>
            <w:r w:rsidRPr="00972835">
              <w:rPr>
                <w:lang w:val="en-GB"/>
              </w:rPr>
              <w:t>.</w:t>
            </w:r>
            <w:r>
              <w:rPr>
                <w:lang w:val="en-GB"/>
              </w:rPr>
              <w:t xml:space="preserve"> At the same time, the prices of materials and products consumed in construction were by </w:t>
            </w:r>
            <w:r w:rsidRPr="00972835">
              <w:rPr>
                <w:lang w:val="en-GB"/>
              </w:rPr>
              <w:t>17</w:t>
            </w:r>
            <w:r>
              <w:rPr>
                <w:lang w:val="en-GB"/>
              </w:rPr>
              <w:t>.</w:t>
            </w:r>
            <w:r w:rsidRPr="00972835">
              <w:rPr>
                <w:lang w:val="en-GB"/>
              </w:rPr>
              <w:t>0%</w:t>
            </w:r>
            <w:r>
              <w:rPr>
                <w:lang w:val="en-GB"/>
              </w:rPr>
              <w:t xml:space="preserve"> higher year-on-year</w:t>
            </w:r>
            <w:r w:rsidRPr="00972835">
              <w:rPr>
                <w:lang w:val="en-GB"/>
              </w:rPr>
              <w:t xml:space="preserve">. </w:t>
            </w:r>
            <w:r>
              <w:rPr>
                <w:lang w:val="en-GB"/>
              </w:rPr>
              <w:t>Compared to Q</w:t>
            </w:r>
            <w:r w:rsidRPr="00972835">
              <w:rPr>
                <w:lang w:val="en-GB"/>
              </w:rPr>
              <w:t>3</w:t>
            </w:r>
            <w:r>
              <w:rPr>
                <w:lang w:val="en-GB"/>
              </w:rPr>
              <w:t xml:space="preserve">, the prices of construction works increased by </w:t>
            </w:r>
            <w:r w:rsidRPr="00972835">
              <w:rPr>
                <w:lang w:val="en-GB"/>
              </w:rPr>
              <w:t>2</w:t>
            </w:r>
            <w:r>
              <w:rPr>
                <w:lang w:val="en-GB"/>
              </w:rPr>
              <w:t>.</w:t>
            </w:r>
            <w:r w:rsidRPr="00972835">
              <w:rPr>
                <w:lang w:val="en-GB"/>
              </w:rPr>
              <w:t>0%</w:t>
            </w:r>
            <w:r>
              <w:rPr>
                <w:lang w:val="en-GB"/>
              </w:rPr>
              <w:t xml:space="preserve"> and prices of materials and products by </w:t>
            </w:r>
            <w:r w:rsidRPr="00972835">
              <w:rPr>
                <w:lang w:val="en-GB"/>
              </w:rPr>
              <w:t>2</w:t>
            </w:r>
            <w:r>
              <w:rPr>
                <w:lang w:val="en-GB"/>
              </w:rPr>
              <w:t>.</w:t>
            </w:r>
            <w:r w:rsidRPr="00972835">
              <w:rPr>
                <w:lang w:val="en-GB"/>
              </w:rPr>
              <w:t>5%.</w:t>
            </w:r>
          </w:p>
        </w:tc>
      </w:tr>
      <w:tr w:rsidR="009B0A5E" w:rsidRPr="009110F7" w14:paraId="319F021C" w14:textId="77777777" w:rsidTr="00913237">
        <w:trPr>
          <w:trHeight w:val="145"/>
        </w:trPr>
        <w:tc>
          <w:tcPr>
            <w:tcW w:w="1805" w:type="dxa"/>
            <w:shd w:val="clear" w:color="auto" w:fill="auto"/>
            <w:tcMar>
              <w:left w:w="0" w:type="dxa"/>
            </w:tcMar>
          </w:tcPr>
          <w:p w14:paraId="5160798E" w14:textId="656E8530" w:rsidR="009B0A5E" w:rsidRPr="006A209C" w:rsidRDefault="009B0A5E" w:rsidP="009B0A5E">
            <w:pPr>
              <w:pStyle w:val="Marginlie"/>
              <w:rPr>
                <w:spacing w:val="0"/>
                <w:lang w:val="en-GB"/>
              </w:rPr>
            </w:pPr>
            <w:r>
              <w:rPr>
                <w:spacing w:val="0"/>
                <w:lang w:val="en-GB"/>
              </w:rPr>
              <w:t xml:space="preserve">Increase of prices of market services slowed down last year. </w:t>
            </w:r>
          </w:p>
        </w:tc>
        <w:tc>
          <w:tcPr>
            <w:tcW w:w="224" w:type="dxa"/>
            <w:shd w:val="clear" w:color="auto" w:fill="auto"/>
            <w:tcMar>
              <w:left w:w="0" w:type="dxa"/>
            </w:tcMar>
          </w:tcPr>
          <w:p w14:paraId="7D241765" w14:textId="77777777" w:rsidR="009B0A5E" w:rsidRPr="00793D78" w:rsidRDefault="009B0A5E" w:rsidP="009B0A5E">
            <w:pPr>
              <w:pStyle w:val="Textpoznpodarou1"/>
              <w:jc w:val="both"/>
            </w:pPr>
          </w:p>
        </w:tc>
        <w:tc>
          <w:tcPr>
            <w:tcW w:w="7610" w:type="dxa"/>
            <w:shd w:val="clear" w:color="auto" w:fill="auto"/>
            <w:tcMar>
              <w:left w:w="0" w:type="dxa"/>
            </w:tcMar>
          </w:tcPr>
          <w:p w14:paraId="6CA28396" w14:textId="484D26AB" w:rsidR="009B0A5E" w:rsidRPr="00B17E6E" w:rsidRDefault="009B0A5E" w:rsidP="00362581">
            <w:pPr>
              <w:rPr>
                <w:lang w:val="en-GB"/>
              </w:rPr>
            </w:pPr>
            <w:r w:rsidRPr="00B17E6E">
              <w:rPr>
                <w:lang w:val="en-GB"/>
              </w:rPr>
              <w:t xml:space="preserve">Prices of market services increased by 1.3% in 2021. The increase was thus the mildest since year 2016 and </w:t>
            </w:r>
            <w:r>
              <w:rPr>
                <w:lang w:val="en-GB"/>
              </w:rPr>
              <w:t xml:space="preserve">involved the difficult situation in some branches. The development of prices of warehousing and support services </w:t>
            </w:r>
            <w:r w:rsidR="00362581">
              <w:rPr>
                <w:lang w:val="en-GB"/>
              </w:rPr>
              <w:t>for</w:t>
            </w:r>
            <w:r>
              <w:rPr>
                <w:lang w:val="en-GB"/>
              </w:rPr>
              <w:t xml:space="preserve"> transportation, whose increase shrank to 1.1% last year the most contributed to the slow down. Prices of services in the area of </w:t>
            </w:r>
            <w:r w:rsidR="00362581">
              <w:rPr>
                <w:lang w:val="en-GB"/>
              </w:rPr>
              <w:t xml:space="preserve">computer </w:t>
            </w:r>
            <w:r>
              <w:rPr>
                <w:lang w:val="en-GB"/>
              </w:rPr>
              <w:t xml:space="preserve">programming and associated consultancy </w:t>
            </w:r>
            <w:r w:rsidRPr="00B17E6E">
              <w:rPr>
                <w:lang w:val="en-GB"/>
              </w:rPr>
              <w:t>(2</w:t>
            </w:r>
            <w:r>
              <w:rPr>
                <w:lang w:val="en-GB"/>
              </w:rPr>
              <w:t>.</w:t>
            </w:r>
            <w:r w:rsidRPr="00B17E6E">
              <w:rPr>
                <w:lang w:val="en-GB"/>
              </w:rPr>
              <w:t xml:space="preserve">9%), </w:t>
            </w:r>
            <w:r>
              <w:rPr>
                <w:lang w:val="en-GB"/>
              </w:rPr>
              <w:t xml:space="preserve">insurance, reinsurance and pension funding </w:t>
            </w:r>
            <w:r w:rsidRPr="00B17E6E">
              <w:rPr>
                <w:lang w:val="en-GB"/>
              </w:rPr>
              <w:t>(0</w:t>
            </w:r>
            <w:r>
              <w:rPr>
                <w:lang w:val="en-GB"/>
              </w:rPr>
              <w:t>.</w:t>
            </w:r>
            <w:r w:rsidRPr="00B17E6E">
              <w:rPr>
                <w:lang w:val="en-GB"/>
              </w:rPr>
              <w:t>6%)</w:t>
            </w:r>
            <w:r>
              <w:rPr>
                <w:lang w:val="en-GB"/>
              </w:rPr>
              <w:t xml:space="preserve"> and real estate</w:t>
            </w:r>
            <w:r w:rsidR="00362581">
              <w:rPr>
                <w:lang w:val="en-GB"/>
              </w:rPr>
              <w:t xml:space="preserve"> services</w:t>
            </w:r>
            <w:r>
              <w:rPr>
                <w:lang w:val="en-GB"/>
              </w:rPr>
              <w:t xml:space="preserve"> </w:t>
            </w:r>
            <w:r w:rsidRPr="00B17E6E">
              <w:rPr>
                <w:lang w:val="en-GB"/>
              </w:rPr>
              <w:t>(1</w:t>
            </w:r>
            <w:r>
              <w:rPr>
                <w:lang w:val="en-GB"/>
              </w:rPr>
              <w:t>.</w:t>
            </w:r>
            <w:r w:rsidRPr="00B17E6E">
              <w:rPr>
                <w:lang w:val="en-GB"/>
              </w:rPr>
              <w:t>7%)</w:t>
            </w:r>
            <w:r>
              <w:rPr>
                <w:lang w:val="en-GB"/>
              </w:rPr>
              <w:t xml:space="preserve"> for instance also grew at slower pace</w:t>
            </w:r>
            <w:r w:rsidRPr="00B17E6E">
              <w:rPr>
                <w:lang w:val="en-GB"/>
              </w:rPr>
              <w:t>.</w:t>
            </w:r>
            <w:r>
              <w:rPr>
                <w:lang w:val="en-GB"/>
              </w:rPr>
              <w:t xml:space="preserve"> Prices of architectural and engineering services and technical testing and analyses stagnated, prices of information services were lower </w:t>
            </w:r>
            <w:r w:rsidRPr="00B17E6E">
              <w:rPr>
                <w:lang w:val="en-GB"/>
              </w:rPr>
              <w:t>(–2</w:t>
            </w:r>
            <w:r>
              <w:rPr>
                <w:lang w:val="en-GB"/>
              </w:rPr>
              <w:t>.</w:t>
            </w:r>
            <w:r w:rsidRPr="00B17E6E">
              <w:rPr>
                <w:lang w:val="en-GB"/>
              </w:rPr>
              <w:t>9%).</w:t>
            </w:r>
            <w:r>
              <w:rPr>
                <w:lang w:val="en-GB"/>
              </w:rPr>
              <w:t xml:space="preserve"> In contrast, the growth of prices of advertising and market research gained pace up to </w:t>
            </w:r>
            <w:r w:rsidRPr="00B17E6E">
              <w:rPr>
                <w:lang w:val="en-GB"/>
              </w:rPr>
              <w:t>1</w:t>
            </w:r>
            <w:r>
              <w:rPr>
                <w:lang w:val="en-GB"/>
              </w:rPr>
              <w:t>.</w:t>
            </w:r>
            <w:r w:rsidRPr="00B17E6E">
              <w:rPr>
                <w:lang w:val="en-GB"/>
              </w:rPr>
              <w:t>6%</w:t>
            </w:r>
            <w:r>
              <w:rPr>
                <w:lang w:val="en-GB"/>
              </w:rPr>
              <w:t xml:space="preserve"> last year and the increase of prices of </w:t>
            </w:r>
            <w:r w:rsidR="00362581">
              <w:rPr>
                <w:lang w:val="en-GB"/>
              </w:rPr>
              <w:t xml:space="preserve">employment </w:t>
            </w:r>
            <w:r>
              <w:rPr>
                <w:lang w:val="en-GB"/>
              </w:rPr>
              <w:t xml:space="preserve">services </w:t>
            </w:r>
            <w:r w:rsidRPr="00B17E6E">
              <w:rPr>
                <w:lang w:val="en-GB"/>
              </w:rPr>
              <w:t>(6</w:t>
            </w:r>
            <w:r>
              <w:rPr>
                <w:lang w:val="en-GB"/>
              </w:rPr>
              <w:t>.</w:t>
            </w:r>
            <w:r w:rsidRPr="00B17E6E">
              <w:rPr>
                <w:lang w:val="en-GB"/>
              </w:rPr>
              <w:t>1%)</w:t>
            </w:r>
            <w:r>
              <w:rPr>
                <w:lang w:val="en-GB"/>
              </w:rPr>
              <w:t xml:space="preserve"> also strengthened</w:t>
            </w:r>
            <w:r w:rsidRPr="00B17E6E">
              <w:rPr>
                <w:lang w:val="en-GB"/>
              </w:rPr>
              <w:t>.</w:t>
            </w:r>
          </w:p>
        </w:tc>
      </w:tr>
      <w:tr w:rsidR="009B0A5E" w:rsidRPr="009110F7" w14:paraId="032DB279" w14:textId="77777777" w:rsidTr="00913237">
        <w:trPr>
          <w:trHeight w:val="145"/>
        </w:trPr>
        <w:tc>
          <w:tcPr>
            <w:tcW w:w="1805" w:type="dxa"/>
            <w:shd w:val="clear" w:color="auto" w:fill="auto"/>
            <w:tcMar>
              <w:left w:w="0" w:type="dxa"/>
            </w:tcMar>
          </w:tcPr>
          <w:p w14:paraId="3C20C650" w14:textId="0F68A31F" w:rsidR="009B0A5E" w:rsidRPr="000D79D1" w:rsidRDefault="009B0A5E" w:rsidP="009B0A5E">
            <w:pPr>
              <w:pStyle w:val="Marginlie"/>
              <w:rPr>
                <w:spacing w:val="0"/>
                <w:lang w:val="en-GB"/>
              </w:rPr>
            </w:pPr>
            <w:r w:rsidRPr="000D79D1">
              <w:rPr>
                <w:spacing w:val="0"/>
                <w:lang w:val="en-GB"/>
              </w:rPr>
              <w:t xml:space="preserve">The growth of prices of market services strengthened at the end of year 2021. </w:t>
            </w:r>
          </w:p>
        </w:tc>
        <w:tc>
          <w:tcPr>
            <w:tcW w:w="224" w:type="dxa"/>
            <w:shd w:val="clear" w:color="auto" w:fill="auto"/>
            <w:tcMar>
              <w:left w:w="0" w:type="dxa"/>
            </w:tcMar>
          </w:tcPr>
          <w:p w14:paraId="5064B23E" w14:textId="77777777" w:rsidR="009B0A5E" w:rsidRPr="00793D78" w:rsidRDefault="009B0A5E" w:rsidP="009B0A5E">
            <w:pPr>
              <w:pStyle w:val="Textpoznpodarou1"/>
              <w:jc w:val="both"/>
            </w:pPr>
          </w:p>
        </w:tc>
        <w:tc>
          <w:tcPr>
            <w:tcW w:w="7610" w:type="dxa"/>
            <w:shd w:val="clear" w:color="auto" w:fill="auto"/>
            <w:tcMar>
              <w:left w:w="0" w:type="dxa"/>
            </w:tcMar>
          </w:tcPr>
          <w:p w14:paraId="4216E3CB" w14:textId="14675A57" w:rsidR="009B0A5E" w:rsidRPr="00410D65" w:rsidRDefault="009B0A5E" w:rsidP="00362581">
            <w:pPr>
              <w:rPr>
                <w:lang w:val="en-GB"/>
              </w:rPr>
            </w:pPr>
            <w:r>
              <w:rPr>
                <w:lang w:val="en-GB"/>
              </w:rPr>
              <w:t xml:space="preserve">Year-on-year growth of prices of market services strengthened in the second half of year </w:t>
            </w:r>
            <w:r w:rsidRPr="00410D65">
              <w:rPr>
                <w:lang w:val="en-GB"/>
              </w:rPr>
              <w:t>2021</w:t>
            </w:r>
            <w:r>
              <w:rPr>
                <w:lang w:val="en-GB"/>
              </w:rPr>
              <w:t xml:space="preserve"> and reached </w:t>
            </w:r>
            <w:r w:rsidRPr="00410D65">
              <w:rPr>
                <w:lang w:val="en-GB"/>
              </w:rPr>
              <w:t>1</w:t>
            </w:r>
            <w:r>
              <w:rPr>
                <w:lang w:val="en-GB"/>
              </w:rPr>
              <w:t>.</w:t>
            </w:r>
            <w:r w:rsidRPr="00410D65">
              <w:rPr>
                <w:lang w:val="en-GB"/>
              </w:rPr>
              <w:t>8%</w:t>
            </w:r>
            <w:r>
              <w:rPr>
                <w:lang w:val="en-GB"/>
              </w:rPr>
              <w:t xml:space="preserve"> in Q4</w:t>
            </w:r>
            <w:r w:rsidRPr="00410D65">
              <w:rPr>
                <w:lang w:val="en-GB"/>
              </w:rPr>
              <w:t>.</w:t>
            </w:r>
            <w:r>
              <w:rPr>
                <w:lang w:val="en-GB"/>
              </w:rPr>
              <w:t xml:space="preserve"> Sharp hike of prices of advertising services and market research </w:t>
            </w:r>
            <w:r w:rsidRPr="00410D65">
              <w:rPr>
                <w:lang w:val="en-GB"/>
              </w:rPr>
              <w:t>(6</w:t>
            </w:r>
            <w:r>
              <w:rPr>
                <w:lang w:val="en-GB"/>
              </w:rPr>
              <w:t>.</w:t>
            </w:r>
            <w:r w:rsidRPr="00410D65">
              <w:rPr>
                <w:lang w:val="en-GB"/>
              </w:rPr>
              <w:t>6%),</w:t>
            </w:r>
            <w:r>
              <w:rPr>
                <w:lang w:val="en-GB"/>
              </w:rPr>
              <w:t xml:space="preserve"> prices of</w:t>
            </w:r>
            <w:r w:rsidR="00362581">
              <w:rPr>
                <w:lang w:val="en-GB"/>
              </w:rPr>
              <w:t xml:space="preserve"> employment</w:t>
            </w:r>
            <w:r>
              <w:rPr>
                <w:lang w:val="en-GB"/>
              </w:rPr>
              <w:t xml:space="preserve"> services</w:t>
            </w:r>
            <w:r w:rsidR="00362581">
              <w:rPr>
                <w:lang w:val="en-GB"/>
              </w:rPr>
              <w:t xml:space="preserve"> </w:t>
            </w:r>
            <w:r w:rsidRPr="00410D65">
              <w:rPr>
                <w:lang w:val="en-GB"/>
              </w:rPr>
              <w:t>(9</w:t>
            </w:r>
            <w:r>
              <w:rPr>
                <w:lang w:val="en-GB"/>
              </w:rPr>
              <w:t>.</w:t>
            </w:r>
            <w:r w:rsidRPr="00410D65">
              <w:rPr>
                <w:lang w:val="en-GB"/>
              </w:rPr>
              <w:t>8%),</w:t>
            </w:r>
            <w:r>
              <w:rPr>
                <w:lang w:val="en-GB"/>
              </w:rPr>
              <w:t xml:space="preserve"> land transport and transport via pipelines </w:t>
            </w:r>
            <w:r w:rsidRPr="00410D65">
              <w:rPr>
                <w:lang w:val="en-GB"/>
              </w:rPr>
              <w:t>(1</w:t>
            </w:r>
            <w:r>
              <w:rPr>
                <w:lang w:val="en-GB"/>
              </w:rPr>
              <w:t>.</w:t>
            </w:r>
            <w:r w:rsidRPr="00410D65">
              <w:rPr>
                <w:lang w:val="en-GB"/>
              </w:rPr>
              <w:t>6%),</w:t>
            </w:r>
            <w:r>
              <w:rPr>
                <w:lang w:val="en-GB"/>
              </w:rPr>
              <w:t xml:space="preserve"> services in the area of</w:t>
            </w:r>
            <w:r w:rsidR="00362581">
              <w:rPr>
                <w:lang w:val="en-GB"/>
              </w:rPr>
              <w:t xml:space="preserve"> computer</w:t>
            </w:r>
            <w:r>
              <w:rPr>
                <w:lang w:val="en-GB"/>
              </w:rPr>
              <w:t xml:space="preserve"> programming and related consultancy </w:t>
            </w:r>
            <w:r w:rsidRPr="00410D65">
              <w:rPr>
                <w:lang w:val="en-GB"/>
              </w:rPr>
              <w:t>(2</w:t>
            </w:r>
            <w:r>
              <w:rPr>
                <w:lang w:val="en-GB"/>
              </w:rPr>
              <w:t>.</w:t>
            </w:r>
            <w:r w:rsidRPr="00410D65">
              <w:rPr>
                <w:lang w:val="en-GB"/>
              </w:rPr>
              <w:t>0%) a</w:t>
            </w:r>
            <w:r>
              <w:rPr>
                <w:lang w:val="en-GB"/>
              </w:rPr>
              <w:t xml:space="preserve">nd real estate services </w:t>
            </w:r>
            <w:r w:rsidRPr="00410D65">
              <w:rPr>
                <w:lang w:val="en-GB"/>
              </w:rPr>
              <w:t>(1</w:t>
            </w:r>
            <w:r>
              <w:rPr>
                <w:lang w:val="en-GB"/>
              </w:rPr>
              <w:t>.</w:t>
            </w:r>
            <w:r w:rsidRPr="00410D65">
              <w:rPr>
                <w:lang w:val="en-GB"/>
              </w:rPr>
              <w:t>9%)</w:t>
            </w:r>
            <w:r>
              <w:rPr>
                <w:lang w:val="en-GB"/>
              </w:rPr>
              <w:t xml:space="preserve"> the most contributed to the total increase</w:t>
            </w:r>
            <w:r w:rsidRPr="00410D65">
              <w:rPr>
                <w:lang w:val="en-GB"/>
              </w:rPr>
              <w:t xml:space="preserve">. </w:t>
            </w:r>
            <w:r>
              <w:rPr>
                <w:lang w:val="en-GB"/>
              </w:rPr>
              <w:t xml:space="preserve">Prices of activities of head offices and management consultancy activities </w:t>
            </w:r>
            <w:r w:rsidRPr="00410D65">
              <w:rPr>
                <w:lang w:val="en-GB"/>
              </w:rPr>
              <w:t>(2</w:t>
            </w:r>
            <w:r>
              <w:rPr>
                <w:lang w:val="en-GB"/>
              </w:rPr>
              <w:t>.</w:t>
            </w:r>
            <w:r w:rsidRPr="00410D65">
              <w:rPr>
                <w:lang w:val="en-GB"/>
              </w:rPr>
              <w:t>7%),</w:t>
            </w:r>
            <w:r>
              <w:rPr>
                <w:lang w:val="en-GB"/>
              </w:rPr>
              <w:t xml:space="preserve"> services in the area of rental and leasing activities </w:t>
            </w:r>
            <w:r w:rsidRPr="00410D65">
              <w:rPr>
                <w:lang w:val="en-GB"/>
              </w:rPr>
              <w:t>(2</w:t>
            </w:r>
            <w:r>
              <w:rPr>
                <w:lang w:val="en-GB"/>
              </w:rPr>
              <w:t>.</w:t>
            </w:r>
            <w:r w:rsidRPr="00410D65">
              <w:rPr>
                <w:lang w:val="en-GB"/>
              </w:rPr>
              <w:t>0%), po</w:t>
            </w:r>
            <w:r>
              <w:rPr>
                <w:lang w:val="en-GB"/>
              </w:rPr>
              <w:t xml:space="preserve">stal and courier services </w:t>
            </w:r>
            <w:r w:rsidRPr="00410D65">
              <w:rPr>
                <w:lang w:val="en-GB"/>
              </w:rPr>
              <w:t>(2</w:t>
            </w:r>
            <w:r>
              <w:rPr>
                <w:lang w:val="en-GB"/>
              </w:rPr>
              <w:t>.</w:t>
            </w:r>
            <w:r w:rsidRPr="00410D65">
              <w:rPr>
                <w:lang w:val="en-GB"/>
              </w:rPr>
              <w:t>0%),</w:t>
            </w:r>
            <w:r>
              <w:rPr>
                <w:lang w:val="en-GB"/>
              </w:rPr>
              <w:t xml:space="preserve"> warehousing and support activities for transportation </w:t>
            </w:r>
            <w:r w:rsidRPr="00410D65">
              <w:rPr>
                <w:lang w:val="en-GB"/>
              </w:rPr>
              <w:t>(1</w:t>
            </w:r>
            <w:r>
              <w:rPr>
                <w:lang w:val="en-GB"/>
              </w:rPr>
              <w:t>.</w:t>
            </w:r>
            <w:r w:rsidRPr="00410D65">
              <w:rPr>
                <w:lang w:val="en-GB"/>
              </w:rPr>
              <w:t>5%)</w:t>
            </w:r>
            <w:r>
              <w:rPr>
                <w:lang w:val="en-GB"/>
              </w:rPr>
              <w:t xml:space="preserve"> and insurance, reinsurance and pension funding </w:t>
            </w:r>
            <w:r w:rsidRPr="00410D65">
              <w:rPr>
                <w:lang w:val="en-GB"/>
              </w:rPr>
              <w:t>(1</w:t>
            </w:r>
            <w:r>
              <w:rPr>
                <w:lang w:val="en-GB"/>
              </w:rPr>
              <w:t>.</w:t>
            </w:r>
            <w:r w:rsidRPr="00410D65">
              <w:rPr>
                <w:lang w:val="en-GB"/>
              </w:rPr>
              <w:t>0%)</w:t>
            </w:r>
            <w:r>
              <w:rPr>
                <w:lang w:val="en-GB"/>
              </w:rPr>
              <w:t xml:space="preserve"> also contributed moderately</w:t>
            </w:r>
            <w:r w:rsidRPr="00410D65">
              <w:rPr>
                <w:lang w:val="en-GB"/>
              </w:rPr>
              <w:t>.</w:t>
            </w:r>
            <w:r>
              <w:rPr>
                <w:lang w:val="en-GB"/>
              </w:rPr>
              <w:t xml:space="preserve"> Especially the prices of telecommunication services </w:t>
            </w:r>
            <w:r w:rsidRPr="00410D65">
              <w:rPr>
                <w:lang w:val="en-GB"/>
              </w:rPr>
              <w:t>(–0</w:t>
            </w:r>
            <w:r>
              <w:rPr>
                <w:lang w:val="en-GB"/>
              </w:rPr>
              <w:t>.</w:t>
            </w:r>
            <w:r w:rsidRPr="00410D65">
              <w:rPr>
                <w:lang w:val="en-GB"/>
              </w:rPr>
              <w:t>7%)</w:t>
            </w:r>
            <w:r>
              <w:rPr>
                <w:lang w:val="en-GB"/>
              </w:rPr>
              <w:t xml:space="preserve"> worked in the direction of decrease in Q4</w:t>
            </w:r>
            <w:r w:rsidRPr="00410D65">
              <w:rPr>
                <w:lang w:val="en-GB"/>
              </w:rPr>
              <w:t>.</w:t>
            </w:r>
          </w:p>
        </w:tc>
      </w:tr>
      <w:tr w:rsidR="009B0A5E" w:rsidRPr="009110F7" w14:paraId="11EC28AC" w14:textId="77777777" w:rsidTr="00913237">
        <w:trPr>
          <w:trHeight w:val="145"/>
        </w:trPr>
        <w:tc>
          <w:tcPr>
            <w:tcW w:w="1805" w:type="dxa"/>
            <w:shd w:val="clear" w:color="auto" w:fill="auto"/>
            <w:tcMar>
              <w:left w:w="0" w:type="dxa"/>
            </w:tcMar>
          </w:tcPr>
          <w:p w14:paraId="0B2489A0" w14:textId="0FA218FE" w:rsidR="009B0A5E" w:rsidRPr="00920B7E" w:rsidRDefault="009B0A5E" w:rsidP="009B0A5E">
            <w:pPr>
              <w:pStyle w:val="Marginlie"/>
              <w:rPr>
                <w:spacing w:val="0"/>
                <w:lang w:val="en-GB"/>
              </w:rPr>
            </w:pPr>
            <w:r w:rsidRPr="00920B7E">
              <w:rPr>
                <w:spacing w:val="0"/>
                <w:lang w:val="en-GB"/>
              </w:rPr>
              <w:t xml:space="preserve">Mainly prices of plant production were growing strongly last year. </w:t>
            </w:r>
          </w:p>
        </w:tc>
        <w:tc>
          <w:tcPr>
            <w:tcW w:w="224" w:type="dxa"/>
            <w:shd w:val="clear" w:color="auto" w:fill="auto"/>
            <w:tcMar>
              <w:left w:w="0" w:type="dxa"/>
            </w:tcMar>
          </w:tcPr>
          <w:p w14:paraId="13C0856A" w14:textId="77777777" w:rsidR="009B0A5E" w:rsidRPr="00920B7E" w:rsidRDefault="009B0A5E" w:rsidP="009B0A5E">
            <w:pPr>
              <w:pStyle w:val="Textpoznpodarou1"/>
              <w:jc w:val="both"/>
              <w:rPr>
                <w:lang w:val="en-GB"/>
              </w:rPr>
            </w:pPr>
          </w:p>
        </w:tc>
        <w:tc>
          <w:tcPr>
            <w:tcW w:w="7610" w:type="dxa"/>
            <w:shd w:val="clear" w:color="auto" w:fill="auto"/>
            <w:tcMar>
              <w:left w:w="0" w:type="dxa"/>
            </w:tcMar>
          </w:tcPr>
          <w:p w14:paraId="5BCAE626" w14:textId="0CF2E73B" w:rsidR="009B0A5E" w:rsidRPr="00920B7E" w:rsidRDefault="009B0A5E" w:rsidP="004E3C34">
            <w:pPr>
              <w:rPr>
                <w:spacing w:val="-2"/>
                <w:lang w:val="en-GB"/>
              </w:rPr>
            </w:pPr>
            <w:r>
              <w:rPr>
                <w:spacing w:val="-2"/>
                <w:lang w:val="en-GB"/>
              </w:rPr>
              <w:t>Prices of agricultural product</w:t>
            </w:r>
            <w:r w:rsidR="00362581">
              <w:rPr>
                <w:spacing w:val="-2"/>
                <w:lang w:val="en-GB"/>
              </w:rPr>
              <w:t>s</w:t>
            </w:r>
            <w:r>
              <w:rPr>
                <w:spacing w:val="-2"/>
                <w:lang w:val="en-GB"/>
              </w:rPr>
              <w:t xml:space="preserve"> increased by 6.9% in year </w:t>
            </w:r>
            <w:r w:rsidRPr="00920B7E">
              <w:rPr>
                <w:spacing w:val="-2"/>
                <w:lang w:val="en-GB"/>
              </w:rPr>
              <w:t>2021.</w:t>
            </w:r>
            <w:r>
              <w:rPr>
                <w:spacing w:val="-2"/>
                <w:lang w:val="en-GB"/>
              </w:rPr>
              <w:t xml:space="preserve"> Only prices of </w:t>
            </w:r>
            <w:r w:rsidR="00362581">
              <w:rPr>
                <w:spacing w:val="-2"/>
                <w:lang w:val="en-GB"/>
              </w:rPr>
              <w:t>crop products</w:t>
            </w:r>
            <w:r>
              <w:rPr>
                <w:spacing w:val="-2"/>
                <w:lang w:val="en-GB"/>
              </w:rPr>
              <w:t xml:space="preserve"> were higher </w:t>
            </w:r>
            <w:r w:rsidRPr="00920B7E">
              <w:rPr>
                <w:spacing w:val="-2"/>
                <w:lang w:val="en-GB"/>
              </w:rPr>
              <w:t>(12</w:t>
            </w:r>
            <w:r>
              <w:rPr>
                <w:spacing w:val="-2"/>
                <w:lang w:val="en-GB"/>
              </w:rPr>
              <w:t>.</w:t>
            </w:r>
            <w:r w:rsidRPr="00920B7E">
              <w:rPr>
                <w:spacing w:val="-2"/>
                <w:lang w:val="en-GB"/>
              </w:rPr>
              <w:t>4%).</w:t>
            </w:r>
            <w:r>
              <w:rPr>
                <w:spacing w:val="-2"/>
                <w:lang w:val="en-GB"/>
              </w:rPr>
              <w:t xml:space="preserve"> Prices of cereals went significantly up </w:t>
            </w:r>
            <w:r w:rsidRPr="00920B7E">
              <w:rPr>
                <w:spacing w:val="-2"/>
                <w:lang w:val="en-GB"/>
              </w:rPr>
              <w:t>(16</w:t>
            </w:r>
            <w:r>
              <w:rPr>
                <w:spacing w:val="-2"/>
                <w:lang w:val="en-GB"/>
              </w:rPr>
              <w:t>.</w:t>
            </w:r>
            <w:r w:rsidRPr="00920B7E">
              <w:rPr>
                <w:spacing w:val="-2"/>
                <w:lang w:val="en-GB"/>
              </w:rPr>
              <w:t>3%,</w:t>
            </w:r>
            <w:r>
              <w:rPr>
                <w:spacing w:val="-2"/>
                <w:lang w:val="en-GB"/>
              </w:rPr>
              <w:t xml:space="preserve"> mainly under the influence of prices of wheat, which were higher by </w:t>
            </w:r>
            <w:r w:rsidRPr="00920B7E">
              <w:rPr>
                <w:spacing w:val="-2"/>
                <w:lang w:val="en-GB"/>
              </w:rPr>
              <w:t>19</w:t>
            </w:r>
            <w:r>
              <w:rPr>
                <w:spacing w:val="-2"/>
                <w:lang w:val="en-GB"/>
              </w:rPr>
              <w:t>.</w:t>
            </w:r>
            <w:r w:rsidRPr="00920B7E">
              <w:rPr>
                <w:spacing w:val="-2"/>
                <w:lang w:val="en-GB"/>
              </w:rPr>
              <w:t xml:space="preserve">3%) </w:t>
            </w:r>
            <w:r>
              <w:rPr>
                <w:spacing w:val="-2"/>
                <w:lang w:val="en-GB"/>
              </w:rPr>
              <w:t>as did the prices of industrial crop</w:t>
            </w:r>
            <w:r w:rsidR="00362581">
              <w:rPr>
                <w:spacing w:val="-2"/>
                <w:lang w:val="en-GB"/>
              </w:rPr>
              <w:t>s</w:t>
            </w:r>
            <w:r>
              <w:rPr>
                <w:spacing w:val="-2"/>
                <w:lang w:val="en-GB"/>
              </w:rPr>
              <w:t xml:space="preserve"> </w:t>
            </w:r>
            <w:r w:rsidRPr="00920B7E">
              <w:rPr>
                <w:spacing w:val="-2"/>
                <w:lang w:val="en-GB"/>
              </w:rPr>
              <w:t>(12</w:t>
            </w:r>
            <w:r>
              <w:rPr>
                <w:spacing w:val="-2"/>
                <w:lang w:val="en-GB"/>
              </w:rPr>
              <w:t>.</w:t>
            </w:r>
            <w:r w:rsidRPr="00920B7E">
              <w:rPr>
                <w:spacing w:val="-2"/>
                <w:lang w:val="en-GB"/>
              </w:rPr>
              <w:t>8%,</w:t>
            </w:r>
            <w:r>
              <w:rPr>
                <w:spacing w:val="-2"/>
                <w:lang w:val="en-GB"/>
              </w:rPr>
              <w:t xml:space="preserve"> in that the prices of oil </w:t>
            </w:r>
            <w:r w:rsidR="00362581">
              <w:rPr>
                <w:spacing w:val="-2"/>
                <w:lang w:val="en-GB"/>
              </w:rPr>
              <w:t>seeds</w:t>
            </w:r>
            <w:r>
              <w:rPr>
                <w:spacing w:val="-2"/>
                <w:lang w:val="en-GB"/>
              </w:rPr>
              <w:t xml:space="preserve"> were raised by </w:t>
            </w:r>
            <w:r w:rsidRPr="00920B7E">
              <w:rPr>
                <w:spacing w:val="-2"/>
                <w:lang w:val="en-GB"/>
              </w:rPr>
              <w:t>14</w:t>
            </w:r>
            <w:r>
              <w:rPr>
                <w:spacing w:val="-2"/>
                <w:lang w:val="en-GB"/>
              </w:rPr>
              <w:t>.</w:t>
            </w:r>
            <w:r w:rsidRPr="00920B7E">
              <w:rPr>
                <w:spacing w:val="-2"/>
                <w:lang w:val="en-GB"/>
              </w:rPr>
              <w:t xml:space="preserve">8%, </w:t>
            </w:r>
            <w:r w:rsidR="004E3C34">
              <w:rPr>
                <w:spacing w:val="-2"/>
                <w:lang w:val="en-GB"/>
              </w:rPr>
              <w:t>protein crops</w:t>
            </w:r>
            <w:r>
              <w:rPr>
                <w:spacing w:val="-2"/>
                <w:lang w:val="en-GB"/>
              </w:rPr>
              <w:t xml:space="preserve"> by</w:t>
            </w:r>
            <w:r w:rsidRPr="00920B7E">
              <w:rPr>
                <w:spacing w:val="-2"/>
                <w:lang w:val="en-GB"/>
              </w:rPr>
              <w:t> 13</w:t>
            </w:r>
            <w:r>
              <w:rPr>
                <w:spacing w:val="-2"/>
                <w:lang w:val="en-GB"/>
              </w:rPr>
              <w:t>.</w:t>
            </w:r>
            <w:r w:rsidRPr="00920B7E">
              <w:rPr>
                <w:spacing w:val="-2"/>
                <w:lang w:val="en-GB"/>
              </w:rPr>
              <w:t>9%</w:t>
            </w:r>
            <w:r>
              <w:rPr>
                <w:spacing w:val="-2"/>
                <w:lang w:val="en-GB"/>
              </w:rPr>
              <w:t xml:space="preserve"> and sugar beet by </w:t>
            </w:r>
            <w:r w:rsidRPr="00920B7E">
              <w:rPr>
                <w:spacing w:val="-2"/>
                <w:lang w:val="en-GB"/>
              </w:rPr>
              <w:t>9</w:t>
            </w:r>
            <w:r>
              <w:rPr>
                <w:spacing w:val="-2"/>
                <w:lang w:val="en-GB"/>
              </w:rPr>
              <w:t>.</w:t>
            </w:r>
            <w:r w:rsidRPr="00920B7E">
              <w:rPr>
                <w:spacing w:val="-2"/>
                <w:lang w:val="en-GB"/>
              </w:rPr>
              <w:t>7%).</w:t>
            </w:r>
            <w:r>
              <w:rPr>
                <w:spacing w:val="-2"/>
                <w:lang w:val="en-GB"/>
              </w:rPr>
              <w:t xml:space="preserve"> Prices of </w:t>
            </w:r>
            <w:r w:rsidR="004E3C34">
              <w:rPr>
                <w:spacing w:val="-2"/>
                <w:lang w:val="en-GB"/>
              </w:rPr>
              <w:t>forage plants</w:t>
            </w:r>
            <w:r>
              <w:rPr>
                <w:spacing w:val="-2"/>
                <w:lang w:val="en-GB"/>
              </w:rPr>
              <w:t xml:space="preserve"> increased by </w:t>
            </w:r>
            <w:r w:rsidRPr="00920B7E">
              <w:rPr>
                <w:spacing w:val="-2"/>
                <w:lang w:val="en-GB"/>
              </w:rPr>
              <w:t>1</w:t>
            </w:r>
            <w:r>
              <w:rPr>
                <w:spacing w:val="-2"/>
                <w:lang w:val="en-GB"/>
              </w:rPr>
              <w:t>.</w:t>
            </w:r>
            <w:r w:rsidRPr="00920B7E">
              <w:rPr>
                <w:spacing w:val="-2"/>
                <w:lang w:val="en-GB"/>
              </w:rPr>
              <w:t>1% a</w:t>
            </w:r>
            <w:r>
              <w:rPr>
                <w:spacing w:val="-2"/>
                <w:lang w:val="en-GB"/>
              </w:rPr>
              <w:t xml:space="preserve">nd </w:t>
            </w:r>
            <w:r>
              <w:rPr>
                <w:spacing w:val="-2"/>
                <w:lang w:val="en-GB"/>
              </w:rPr>
              <w:lastRenderedPageBreak/>
              <w:t xml:space="preserve">vegetables and </w:t>
            </w:r>
            <w:r w:rsidR="004E3C34">
              <w:rPr>
                <w:spacing w:val="-2"/>
                <w:lang w:val="en-GB"/>
              </w:rPr>
              <w:t>horticultural</w:t>
            </w:r>
            <w:r>
              <w:rPr>
                <w:spacing w:val="-2"/>
                <w:lang w:val="en-GB"/>
              </w:rPr>
              <w:t xml:space="preserve"> products by </w:t>
            </w:r>
            <w:r w:rsidRPr="00920B7E">
              <w:rPr>
                <w:spacing w:val="-2"/>
                <w:lang w:val="en-GB"/>
              </w:rPr>
              <w:t>11</w:t>
            </w:r>
            <w:r>
              <w:rPr>
                <w:spacing w:val="-2"/>
                <w:lang w:val="en-GB"/>
              </w:rPr>
              <w:t>.</w:t>
            </w:r>
            <w:r w:rsidRPr="00920B7E">
              <w:rPr>
                <w:spacing w:val="-2"/>
                <w:lang w:val="en-GB"/>
              </w:rPr>
              <w:t xml:space="preserve">6%. </w:t>
            </w:r>
            <w:r>
              <w:rPr>
                <w:spacing w:val="-2"/>
                <w:lang w:val="en-GB"/>
              </w:rPr>
              <w:t xml:space="preserve">In contrast, the prices of potatoes were notably lower </w:t>
            </w:r>
            <w:r w:rsidRPr="00920B7E">
              <w:rPr>
                <w:spacing w:val="-2"/>
                <w:lang w:val="en-GB"/>
              </w:rPr>
              <w:t>(–12</w:t>
            </w:r>
            <w:r>
              <w:rPr>
                <w:spacing w:val="-2"/>
                <w:lang w:val="en-GB"/>
              </w:rPr>
              <w:t>.</w:t>
            </w:r>
            <w:r w:rsidRPr="00920B7E">
              <w:rPr>
                <w:spacing w:val="-2"/>
                <w:lang w:val="en-GB"/>
              </w:rPr>
              <w:t>6%)</w:t>
            </w:r>
            <w:r>
              <w:rPr>
                <w:spacing w:val="-2"/>
                <w:lang w:val="en-GB"/>
              </w:rPr>
              <w:t xml:space="preserve"> and also the prices of fruit</w:t>
            </w:r>
            <w:r w:rsidR="004E3C34">
              <w:rPr>
                <w:spacing w:val="-2"/>
                <w:lang w:val="en-GB"/>
              </w:rPr>
              <w:t>s</w:t>
            </w:r>
            <w:r>
              <w:rPr>
                <w:spacing w:val="-2"/>
                <w:lang w:val="en-GB"/>
              </w:rPr>
              <w:t xml:space="preserve"> </w:t>
            </w:r>
            <w:r w:rsidRPr="00920B7E">
              <w:rPr>
                <w:spacing w:val="-2"/>
                <w:lang w:val="en-GB"/>
              </w:rPr>
              <w:t>(–5</w:t>
            </w:r>
            <w:r>
              <w:rPr>
                <w:spacing w:val="-2"/>
                <w:lang w:val="en-GB"/>
              </w:rPr>
              <w:t>.</w:t>
            </w:r>
            <w:r w:rsidRPr="00920B7E">
              <w:rPr>
                <w:spacing w:val="-2"/>
                <w:lang w:val="en-GB"/>
              </w:rPr>
              <w:t xml:space="preserve">0%). </w:t>
            </w:r>
            <w:r>
              <w:rPr>
                <w:spacing w:val="-2"/>
                <w:lang w:val="en-GB"/>
              </w:rPr>
              <w:t>Prices of</w:t>
            </w:r>
            <w:r w:rsidR="004E3C34">
              <w:rPr>
                <w:spacing w:val="-2"/>
                <w:lang w:val="en-GB"/>
              </w:rPr>
              <w:t xml:space="preserve"> animals and</w:t>
            </w:r>
            <w:r>
              <w:rPr>
                <w:spacing w:val="-2"/>
                <w:lang w:val="en-GB"/>
              </w:rPr>
              <w:t xml:space="preserve"> animal product</w:t>
            </w:r>
            <w:r w:rsidR="004E3C34">
              <w:rPr>
                <w:spacing w:val="-2"/>
                <w:lang w:val="en-GB"/>
              </w:rPr>
              <w:t>s</w:t>
            </w:r>
            <w:r>
              <w:rPr>
                <w:spacing w:val="-2"/>
                <w:lang w:val="en-GB"/>
              </w:rPr>
              <w:t xml:space="preserve"> stagnated </w:t>
            </w:r>
            <w:r w:rsidRPr="00920B7E">
              <w:rPr>
                <w:spacing w:val="-2"/>
                <w:lang w:val="en-GB"/>
              </w:rPr>
              <w:t>(–0</w:t>
            </w:r>
            <w:r>
              <w:rPr>
                <w:spacing w:val="-2"/>
                <w:lang w:val="en-GB"/>
              </w:rPr>
              <w:t>.</w:t>
            </w:r>
            <w:r w:rsidRPr="00920B7E">
              <w:rPr>
                <w:spacing w:val="-2"/>
                <w:lang w:val="en-GB"/>
              </w:rPr>
              <w:t xml:space="preserve">2%). </w:t>
            </w:r>
            <w:r>
              <w:rPr>
                <w:spacing w:val="-2"/>
                <w:lang w:val="en-GB"/>
              </w:rPr>
              <w:t xml:space="preserve">Prices of animals were lower </w:t>
            </w:r>
            <w:r w:rsidRPr="00920B7E">
              <w:rPr>
                <w:spacing w:val="-2"/>
                <w:lang w:val="en-GB"/>
              </w:rPr>
              <w:t>(–5</w:t>
            </w:r>
            <w:r>
              <w:rPr>
                <w:spacing w:val="-2"/>
                <w:lang w:val="en-GB"/>
              </w:rPr>
              <w:t>.</w:t>
            </w:r>
            <w:r w:rsidRPr="00920B7E">
              <w:rPr>
                <w:spacing w:val="-2"/>
                <w:lang w:val="en-GB"/>
              </w:rPr>
              <w:t>8%)</w:t>
            </w:r>
            <w:r>
              <w:rPr>
                <w:spacing w:val="-2"/>
                <w:lang w:val="en-GB"/>
              </w:rPr>
              <w:t xml:space="preserve">, especially pigs and piglets </w:t>
            </w:r>
            <w:r w:rsidRPr="00920B7E">
              <w:rPr>
                <w:spacing w:val="-2"/>
                <w:lang w:val="en-GB"/>
              </w:rPr>
              <w:t>(–16</w:t>
            </w:r>
            <w:r>
              <w:rPr>
                <w:spacing w:val="-2"/>
                <w:lang w:val="en-GB"/>
              </w:rPr>
              <w:t>.</w:t>
            </w:r>
            <w:r w:rsidRPr="00920B7E">
              <w:rPr>
                <w:spacing w:val="-2"/>
                <w:lang w:val="en-GB"/>
              </w:rPr>
              <w:t xml:space="preserve">2%). </w:t>
            </w:r>
            <w:r>
              <w:rPr>
                <w:spacing w:val="-2"/>
                <w:lang w:val="en-GB"/>
              </w:rPr>
              <w:t xml:space="preserve">On the contrary cattle was by </w:t>
            </w:r>
            <w:r w:rsidRPr="00920B7E">
              <w:rPr>
                <w:spacing w:val="-2"/>
                <w:lang w:val="en-GB"/>
              </w:rPr>
              <w:t>4</w:t>
            </w:r>
            <w:r>
              <w:rPr>
                <w:spacing w:val="-2"/>
                <w:lang w:val="en-GB"/>
              </w:rPr>
              <w:t>.</w:t>
            </w:r>
            <w:r w:rsidRPr="00920B7E">
              <w:rPr>
                <w:spacing w:val="-2"/>
                <w:lang w:val="en-GB"/>
              </w:rPr>
              <w:t>3%</w:t>
            </w:r>
            <w:r>
              <w:rPr>
                <w:spacing w:val="-2"/>
                <w:lang w:val="en-GB"/>
              </w:rPr>
              <w:t xml:space="preserve"> more expensive</w:t>
            </w:r>
            <w:r w:rsidRPr="00920B7E">
              <w:rPr>
                <w:spacing w:val="-2"/>
                <w:lang w:val="en-GB"/>
              </w:rPr>
              <w:t xml:space="preserve"> a</w:t>
            </w:r>
            <w:r>
              <w:rPr>
                <w:spacing w:val="-2"/>
                <w:lang w:val="en-GB"/>
              </w:rPr>
              <w:t xml:space="preserve">nd poultry by </w:t>
            </w:r>
            <w:r w:rsidRPr="00920B7E">
              <w:rPr>
                <w:spacing w:val="-2"/>
                <w:lang w:val="en-GB"/>
              </w:rPr>
              <w:t>1</w:t>
            </w:r>
            <w:r>
              <w:rPr>
                <w:spacing w:val="-2"/>
                <w:lang w:val="en-GB"/>
              </w:rPr>
              <w:t>.</w:t>
            </w:r>
            <w:r w:rsidRPr="00920B7E">
              <w:rPr>
                <w:spacing w:val="-2"/>
                <w:lang w:val="en-GB"/>
              </w:rPr>
              <w:t xml:space="preserve">3%. </w:t>
            </w:r>
            <w:r>
              <w:rPr>
                <w:spacing w:val="-2"/>
                <w:lang w:val="en-GB"/>
              </w:rPr>
              <w:t xml:space="preserve">Prices of animal products increased by </w:t>
            </w:r>
            <w:r w:rsidRPr="00920B7E">
              <w:rPr>
                <w:spacing w:val="-2"/>
                <w:lang w:val="en-GB"/>
              </w:rPr>
              <w:t>4</w:t>
            </w:r>
            <w:r>
              <w:rPr>
                <w:spacing w:val="-2"/>
                <w:lang w:val="en-GB"/>
              </w:rPr>
              <w:t>.</w:t>
            </w:r>
            <w:r w:rsidRPr="00920B7E">
              <w:rPr>
                <w:spacing w:val="-2"/>
                <w:lang w:val="en-GB"/>
              </w:rPr>
              <w:t>5%</w:t>
            </w:r>
            <w:r>
              <w:rPr>
                <w:spacing w:val="-2"/>
                <w:lang w:val="en-GB"/>
              </w:rPr>
              <w:t xml:space="preserve"> last year</w:t>
            </w:r>
            <w:r w:rsidRPr="00920B7E">
              <w:rPr>
                <w:spacing w:val="-2"/>
                <w:lang w:val="en-GB"/>
              </w:rPr>
              <w:t>,</w:t>
            </w:r>
            <w:r>
              <w:rPr>
                <w:spacing w:val="-2"/>
                <w:lang w:val="en-GB"/>
              </w:rPr>
              <w:t xml:space="preserve"> in that milk by </w:t>
            </w:r>
            <w:r w:rsidRPr="00920B7E">
              <w:rPr>
                <w:spacing w:val="-2"/>
                <w:lang w:val="en-GB"/>
              </w:rPr>
              <w:t>4</w:t>
            </w:r>
            <w:r>
              <w:rPr>
                <w:spacing w:val="-2"/>
                <w:lang w:val="en-GB"/>
              </w:rPr>
              <w:t>.</w:t>
            </w:r>
            <w:r w:rsidRPr="00920B7E">
              <w:rPr>
                <w:spacing w:val="-2"/>
                <w:lang w:val="en-GB"/>
              </w:rPr>
              <w:t>7% a</w:t>
            </w:r>
            <w:r>
              <w:rPr>
                <w:spacing w:val="-2"/>
                <w:lang w:val="en-GB"/>
              </w:rPr>
              <w:t xml:space="preserve">nd eggs by </w:t>
            </w:r>
            <w:r w:rsidRPr="00920B7E">
              <w:rPr>
                <w:spacing w:val="-2"/>
                <w:lang w:val="en-GB"/>
              </w:rPr>
              <w:t>2</w:t>
            </w:r>
            <w:r>
              <w:rPr>
                <w:spacing w:val="-2"/>
                <w:lang w:val="en-GB"/>
              </w:rPr>
              <w:t>.</w:t>
            </w:r>
            <w:r w:rsidRPr="00920B7E">
              <w:rPr>
                <w:spacing w:val="-2"/>
                <w:lang w:val="en-GB"/>
              </w:rPr>
              <w:t>1%.</w:t>
            </w:r>
          </w:p>
        </w:tc>
      </w:tr>
      <w:tr w:rsidR="009B0A5E" w:rsidRPr="009110F7" w14:paraId="2ED926F0" w14:textId="77777777" w:rsidTr="00913237">
        <w:trPr>
          <w:trHeight w:val="145"/>
        </w:trPr>
        <w:tc>
          <w:tcPr>
            <w:tcW w:w="1805" w:type="dxa"/>
            <w:shd w:val="clear" w:color="auto" w:fill="auto"/>
            <w:tcMar>
              <w:left w:w="0" w:type="dxa"/>
            </w:tcMar>
          </w:tcPr>
          <w:p w14:paraId="2BE0F6A6" w14:textId="196BD375" w:rsidR="009B0A5E" w:rsidRPr="00EF55AD" w:rsidRDefault="009B0A5E" w:rsidP="009B0A5E">
            <w:pPr>
              <w:pStyle w:val="Marginlie"/>
              <w:rPr>
                <w:spacing w:val="0"/>
                <w:lang w:val="en-GB"/>
              </w:rPr>
            </w:pPr>
            <w:r>
              <w:rPr>
                <w:spacing w:val="0"/>
                <w:lang w:val="en-GB"/>
              </w:rPr>
              <w:lastRenderedPageBreak/>
              <w:t>Prices of both plant and animal production were higher year-on-year in Q</w:t>
            </w:r>
            <w:r w:rsidRPr="00EF55AD">
              <w:rPr>
                <w:spacing w:val="0"/>
                <w:lang w:val="en-GB"/>
              </w:rPr>
              <w:t>4</w:t>
            </w:r>
            <w:r>
              <w:rPr>
                <w:spacing w:val="0"/>
                <w:lang w:val="en-GB"/>
              </w:rPr>
              <w:t xml:space="preserve"> </w:t>
            </w:r>
            <w:r w:rsidRPr="00EF55AD">
              <w:rPr>
                <w:spacing w:val="0"/>
                <w:lang w:val="en-GB"/>
              </w:rPr>
              <w:t>2021</w:t>
            </w:r>
            <w:r>
              <w:rPr>
                <w:spacing w:val="0"/>
                <w:lang w:val="en-GB"/>
              </w:rPr>
              <w:t xml:space="preserve">. </w:t>
            </w:r>
          </w:p>
        </w:tc>
        <w:tc>
          <w:tcPr>
            <w:tcW w:w="224" w:type="dxa"/>
            <w:shd w:val="clear" w:color="auto" w:fill="auto"/>
            <w:tcMar>
              <w:left w:w="0" w:type="dxa"/>
            </w:tcMar>
          </w:tcPr>
          <w:p w14:paraId="7062FF91" w14:textId="77777777" w:rsidR="009B0A5E" w:rsidRPr="00EF55AD" w:rsidRDefault="009B0A5E" w:rsidP="009B0A5E">
            <w:pPr>
              <w:pStyle w:val="Textpoznpodarou1"/>
              <w:jc w:val="both"/>
              <w:rPr>
                <w:lang w:val="en-GB"/>
              </w:rPr>
            </w:pPr>
          </w:p>
        </w:tc>
        <w:tc>
          <w:tcPr>
            <w:tcW w:w="7610" w:type="dxa"/>
            <w:shd w:val="clear" w:color="auto" w:fill="auto"/>
            <w:tcMar>
              <w:left w:w="0" w:type="dxa"/>
            </w:tcMar>
          </w:tcPr>
          <w:p w14:paraId="20F33F89" w14:textId="58BAD646" w:rsidR="009B0A5E" w:rsidRPr="00EF55AD" w:rsidRDefault="009B0A5E" w:rsidP="004E3C34">
            <w:pPr>
              <w:rPr>
                <w:spacing w:val="-2"/>
                <w:lang w:val="en-GB"/>
              </w:rPr>
            </w:pPr>
            <w:r>
              <w:rPr>
                <w:spacing w:val="-2"/>
                <w:lang w:val="en-GB"/>
              </w:rPr>
              <w:t>Year-on-year growth of prices of agricultural product</w:t>
            </w:r>
            <w:r w:rsidR="004E3C34">
              <w:rPr>
                <w:spacing w:val="-2"/>
                <w:lang w:val="en-GB"/>
              </w:rPr>
              <w:t xml:space="preserve">s </w:t>
            </w:r>
            <w:r>
              <w:rPr>
                <w:spacing w:val="-2"/>
                <w:lang w:val="en-GB"/>
              </w:rPr>
              <w:t xml:space="preserve">accelerated during the last year and it climbed up to </w:t>
            </w:r>
            <w:r w:rsidRPr="00EF55AD">
              <w:rPr>
                <w:spacing w:val="-2"/>
                <w:lang w:val="en-GB"/>
              </w:rPr>
              <w:t>15</w:t>
            </w:r>
            <w:r>
              <w:rPr>
                <w:spacing w:val="-2"/>
                <w:lang w:val="en-GB"/>
              </w:rPr>
              <w:t>.</w:t>
            </w:r>
            <w:r w:rsidRPr="00EF55AD">
              <w:rPr>
                <w:spacing w:val="-2"/>
                <w:lang w:val="en-GB"/>
              </w:rPr>
              <w:t>7%</w:t>
            </w:r>
            <w:r>
              <w:rPr>
                <w:spacing w:val="-2"/>
                <w:lang w:val="en-GB"/>
              </w:rPr>
              <w:t xml:space="preserve"> in Q4</w:t>
            </w:r>
            <w:r w:rsidRPr="00EF55AD">
              <w:rPr>
                <w:spacing w:val="-2"/>
                <w:lang w:val="en-GB"/>
              </w:rPr>
              <w:t xml:space="preserve">. </w:t>
            </w:r>
            <w:r>
              <w:rPr>
                <w:spacing w:val="-2"/>
                <w:lang w:val="en-GB"/>
              </w:rPr>
              <w:t xml:space="preserve">At the same time the prices of </w:t>
            </w:r>
            <w:r w:rsidR="004E3C34">
              <w:rPr>
                <w:spacing w:val="-2"/>
                <w:lang w:val="en-GB"/>
              </w:rPr>
              <w:t>crop</w:t>
            </w:r>
            <w:r>
              <w:rPr>
                <w:spacing w:val="-2"/>
                <w:lang w:val="en-GB"/>
              </w:rPr>
              <w:t xml:space="preserve"> product</w:t>
            </w:r>
            <w:r w:rsidR="004E3C34">
              <w:rPr>
                <w:spacing w:val="-2"/>
                <w:lang w:val="en-GB"/>
              </w:rPr>
              <w:t>s</w:t>
            </w:r>
            <w:r>
              <w:rPr>
                <w:spacing w:val="-2"/>
                <w:lang w:val="en-GB"/>
              </w:rPr>
              <w:t xml:space="preserve"> were by </w:t>
            </w:r>
            <w:r w:rsidRPr="00EF55AD">
              <w:rPr>
                <w:spacing w:val="-2"/>
                <w:lang w:val="en-GB"/>
              </w:rPr>
              <w:t>21</w:t>
            </w:r>
            <w:r>
              <w:rPr>
                <w:spacing w:val="-2"/>
                <w:lang w:val="en-GB"/>
              </w:rPr>
              <w:t>.</w:t>
            </w:r>
            <w:r w:rsidRPr="00EF55AD">
              <w:rPr>
                <w:spacing w:val="-2"/>
                <w:lang w:val="en-GB"/>
              </w:rPr>
              <w:t>5%</w:t>
            </w:r>
            <w:r>
              <w:rPr>
                <w:spacing w:val="-2"/>
                <w:lang w:val="en-GB"/>
              </w:rPr>
              <w:t xml:space="preserve"> higher</w:t>
            </w:r>
            <w:r w:rsidRPr="00EF55AD">
              <w:rPr>
                <w:spacing w:val="-2"/>
                <w:lang w:val="en-GB"/>
              </w:rPr>
              <w:t>.</w:t>
            </w:r>
            <w:r>
              <w:rPr>
                <w:spacing w:val="-2"/>
                <w:lang w:val="en-GB"/>
              </w:rPr>
              <w:t xml:space="preserve"> Year-on-year increase of prices of cereals gained pace up to </w:t>
            </w:r>
            <w:r w:rsidRPr="00EF55AD">
              <w:rPr>
                <w:spacing w:val="-2"/>
                <w:lang w:val="en-GB"/>
              </w:rPr>
              <w:t>28</w:t>
            </w:r>
            <w:r>
              <w:rPr>
                <w:spacing w:val="-2"/>
                <w:lang w:val="en-GB"/>
              </w:rPr>
              <w:t>.</w:t>
            </w:r>
            <w:r w:rsidRPr="00EF55AD">
              <w:rPr>
                <w:spacing w:val="-2"/>
                <w:lang w:val="en-GB"/>
              </w:rPr>
              <w:t>0%.</w:t>
            </w:r>
            <w:r>
              <w:rPr>
                <w:spacing w:val="-2"/>
                <w:lang w:val="en-GB"/>
              </w:rPr>
              <w:t xml:space="preserve"> </w:t>
            </w:r>
            <w:r w:rsidRPr="00EF55AD">
              <w:rPr>
                <w:spacing w:val="-2"/>
                <w:lang w:val="en-GB"/>
              </w:rPr>
              <w:t xml:space="preserve"> </w:t>
            </w:r>
            <w:r>
              <w:rPr>
                <w:spacing w:val="-2"/>
                <w:lang w:val="en-GB"/>
              </w:rPr>
              <w:t xml:space="preserve">Mainly the development of prices of wheat shared in this result </w:t>
            </w:r>
            <w:r w:rsidRPr="00EF55AD">
              <w:rPr>
                <w:spacing w:val="-2"/>
                <w:lang w:val="en-GB"/>
              </w:rPr>
              <w:t>(</w:t>
            </w:r>
            <w:r>
              <w:rPr>
                <w:spacing w:val="-2"/>
                <w:lang w:val="en-GB"/>
              </w:rPr>
              <w:t xml:space="preserve">increase </w:t>
            </w:r>
            <w:r w:rsidRPr="00EF55AD">
              <w:rPr>
                <w:spacing w:val="-2"/>
                <w:lang w:val="en-GB"/>
              </w:rPr>
              <w:t>29</w:t>
            </w:r>
            <w:r>
              <w:rPr>
                <w:spacing w:val="-2"/>
                <w:lang w:val="en-GB"/>
              </w:rPr>
              <w:t>.</w:t>
            </w:r>
            <w:r w:rsidRPr="00EF55AD">
              <w:rPr>
                <w:spacing w:val="-2"/>
                <w:lang w:val="en-GB"/>
              </w:rPr>
              <w:t>4%</w:t>
            </w:r>
            <w:r>
              <w:rPr>
                <w:spacing w:val="-2"/>
                <w:lang w:val="en-GB"/>
              </w:rPr>
              <w:t xml:space="preserve"> in Q4</w:t>
            </w:r>
            <w:r w:rsidRPr="00EF55AD">
              <w:rPr>
                <w:spacing w:val="-2"/>
                <w:lang w:val="en-GB"/>
              </w:rPr>
              <w:t>),</w:t>
            </w:r>
            <w:r>
              <w:rPr>
                <w:spacing w:val="-2"/>
                <w:lang w:val="en-GB"/>
              </w:rPr>
              <w:t xml:space="preserve"> however prices of many other cereals behaved similarly </w:t>
            </w:r>
            <w:r w:rsidRPr="00EF55AD">
              <w:rPr>
                <w:spacing w:val="-2"/>
                <w:lang w:val="en-GB"/>
              </w:rPr>
              <w:t>(</w:t>
            </w:r>
            <w:r>
              <w:rPr>
                <w:spacing w:val="-2"/>
                <w:lang w:val="en-GB"/>
              </w:rPr>
              <w:t xml:space="preserve">rye </w:t>
            </w:r>
            <w:r w:rsidRPr="00EF55AD">
              <w:rPr>
                <w:spacing w:val="-2"/>
                <w:lang w:val="en-GB"/>
              </w:rPr>
              <w:t>24</w:t>
            </w:r>
            <w:r>
              <w:rPr>
                <w:spacing w:val="-2"/>
                <w:lang w:val="en-GB"/>
              </w:rPr>
              <w:t>.</w:t>
            </w:r>
            <w:r w:rsidRPr="00EF55AD">
              <w:rPr>
                <w:spacing w:val="-2"/>
                <w:lang w:val="en-GB"/>
              </w:rPr>
              <w:t xml:space="preserve">0%, </w:t>
            </w:r>
            <w:r>
              <w:rPr>
                <w:spacing w:val="-2"/>
                <w:lang w:val="en-GB"/>
              </w:rPr>
              <w:t xml:space="preserve">barley </w:t>
            </w:r>
            <w:r w:rsidRPr="00EF55AD">
              <w:rPr>
                <w:spacing w:val="-2"/>
                <w:lang w:val="en-GB"/>
              </w:rPr>
              <w:t>21</w:t>
            </w:r>
            <w:r>
              <w:rPr>
                <w:spacing w:val="-2"/>
                <w:lang w:val="en-GB"/>
              </w:rPr>
              <w:t>.</w:t>
            </w:r>
            <w:r w:rsidRPr="00EF55AD">
              <w:rPr>
                <w:spacing w:val="-2"/>
                <w:lang w:val="en-GB"/>
              </w:rPr>
              <w:t xml:space="preserve">2%, </w:t>
            </w:r>
            <w:r>
              <w:rPr>
                <w:spacing w:val="-2"/>
                <w:lang w:val="en-GB"/>
              </w:rPr>
              <w:t>oat</w:t>
            </w:r>
            <w:r w:rsidR="004E3C34">
              <w:rPr>
                <w:spacing w:val="-2"/>
                <w:lang w:val="en-GB"/>
              </w:rPr>
              <w:t>s</w:t>
            </w:r>
            <w:r>
              <w:rPr>
                <w:spacing w:val="-2"/>
                <w:lang w:val="en-GB"/>
              </w:rPr>
              <w:t xml:space="preserve"> </w:t>
            </w:r>
            <w:r w:rsidRPr="00EF55AD">
              <w:rPr>
                <w:spacing w:val="-2"/>
                <w:lang w:val="en-GB"/>
              </w:rPr>
              <w:t>9</w:t>
            </w:r>
            <w:r>
              <w:rPr>
                <w:spacing w:val="-2"/>
                <w:lang w:val="en-GB"/>
              </w:rPr>
              <w:t>.</w:t>
            </w:r>
            <w:r w:rsidRPr="00EF55AD">
              <w:rPr>
                <w:spacing w:val="-2"/>
                <w:lang w:val="en-GB"/>
              </w:rPr>
              <w:t xml:space="preserve">9%, </w:t>
            </w:r>
            <w:r>
              <w:rPr>
                <w:spacing w:val="-2"/>
                <w:lang w:val="en-GB"/>
              </w:rPr>
              <w:t xml:space="preserve">grain maize </w:t>
            </w:r>
            <w:r w:rsidRPr="00EF55AD">
              <w:rPr>
                <w:spacing w:val="-2"/>
                <w:lang w:val="en-GB"/>
              </w:rPr>
              <w:t>40</w:t>
            </w:r>
            <w:r>
              <w:rPr>
                <w:spacing w:val="-2"/>
                <w:lang w:val="en-GB"/>
              </w:rPr>
              <w:t>.</w:t>
            </w:r>
            <w:r w:rsidRPr="00EF55AD">
              <w:rPr>
                <w:spacing w:val="-2"/>
                <w:lang w:val="en-GB"/>
              </w:rPr>
              <w:t xml:space="preserve">8%). </w:t>
            </w:r>
            <w:r>
              <w:rPr>
                <w:spacing w:val="-2"/>
                <w:lang w:val="en-GB"/>
              </w:rPr>
              <w:t>Prices of industrial crop</w:t>
            </w:r>
            <w:r w:rsidR="004E3C34">
              <w:rPr>
                <w:spacing w:val="-2"/>
                <w:lang w:val="en-GB"/>
              </w:rPr>
              <w:t>s</w:t>
            </w:r>
            <w:r>
              <w:rPr>
                <w:spacing w:val="-2"/>
                <w:lang w:val="en-GB"/>
              </w:rPr>
              <w:t xml:space="preserve"> increased by </w:t>
            </w:r>
            <w:r w:rsidRPr="00EF55AD">
              <w:rPr>
                <w:spacing w:val="-2"/>
                <w:lang w:val="en-GB"/>
              </w:rPr>
              <w:t>21</w:t>
            </w:r>
            <w:r>
              <w:rPr>
                <w:spacing w:val="-2"/>
                <w:lang w:val="en-GB"/>
              </w:rPr>
              <w:t>.</w:t>
            </w:r>
            <w:r w:rsidRPr="00EF55AD">
              <w:rPr>
                <w:spacing w:val="-2"/>
                <w:lang w:val="en-GB"/>
              </w:rPr>
              <w:t>6%</w:t>
            </w:r>
            <w:r>
              <w:rPr>
                <w:spacing w:val="-2"/>
                <w:lang w:val="en-GB"/>
              </w:rPr>
              <w:t xml:space="preserve"> year-on-year, in that oil </w:t>
            </w:r>
            <w:r w:rsidR="004E3C34">
              <w:rPr>
                <w:spacing w:val="-2"/>
                <w:lang w:val="en-GB"/>
              </w:rPr>
              <w:t>seeds</w:t>
            </w:r>
            <w:r>
              <w:rPr>
                <w:spacing w:val="-2"/>
                <w:lang w:val="en-GB"/>
              </w:rPr>
              <w:t xml:space="preserve"> by </w:t>
            </w:r>
            <w:r w:rsidRPr="00EF55AD">
              <w:rPr>
                <w:spacing w:val="-2"/>
                <w:lang w:val="en-GB"/>
              </w:rPr>
              <w:t>32</w:t>
            </w:r>
            <w:r>
              <w:rPr>
                <w:spacing w:val="-2"/>
                <w:lang w:val="en-GB"/>
              </w:rPr>
              <w:t>.</w:t>
            </w:r>
            <w:r w:rsidRPr="00EF55AD">
              <w:rPr>
                <w:spacing w:val="-2"/>
                <w:lang w:val="en-GB"/>
              </w:rPr>
              <w:t xml:space="preserve">3%, </w:t>
            </w:r>
            <w:r w:rsidR="004E3C34">
              <w:rPr>
                <w:spacing w:val="-2"/>
                <w:lang w:val="en-GB"/>
              </w:rPr>
              <w:t>protein crops</w:t>
            </w:r>
            <w:r>
              <w:rPr>
                <w:spacing w:val="-2"/>
                <w:lang w:val="en-GB"/>
              </w:rPr>
              <w:t xml:space="preserve"> by </w:t>
            </w:r>
            <w:r w:rsidRPr="00EF55AD">
              <w:rPr>
                <w:spacing w:val="-2"/>
                <w:lang w:val="en-GB"/>
              </w:rPr>
              <w:t>23</w:t>
            </w:r>
            <w:r>
              <w:rPr>
                <w:spacing w:val="-2"/>
                <w:lang w:val="en-GB"/>
              </w:rPr>
              <w:t>.</w:t>
            </w:r>
            <w:r w:rsidRPr="00EF55AD">
              <w:rPr>
                <w:spacing w:val="-2"/>
                <w:lang w:val="en-GB"/>
              </w:rPr>
              <w:t>1% a</w:t>
            </w:r>
            <w:r>
              <w:rPr>
                <w:spacing w:val="-2"/>
                <w:lang w:val="en-GB"/>
              </w:rPr>
              <w:t xml:space="preserve">nd sugar beet by </w:t>
            </w:r>
            <w:r w:rsidRPr="00EF55AD">
              <w:rPr>
                <w:spacing w:val="-2"/>
                <w:lang w:val="en-GB"/>
              </w:rPr>
              <w:t>10</w:t>
            </w:r>
            <w:r>
              <w:rPr>
                <w:spacing w:val="-2"/>
                <w:lang w:val="en-GB"/>
              </w:rPr>
              <w:t>.</w:t>
            </w:r>
            <w:r w:rsidRPr="00EF55AD">
              <w:rPr>
                <w:spacing w:val="-2"/>
                <w:lang w:val="en-GB"/>
              </w:rPr>
              <w:t xml:space="preserve">4%. </w:t>
            </w:r>
            <w:r>
              <w:rPr>
                <w:spacing w:val="-2"/>
                <w:lang w:val="en-GB"/>
              </w:rPr>
              <w:t>Prices of f</w:t>
            </w:r>
            <w:r w:rsidR="004E3C34">
              <w:rPr>
                <w:spacing w:val="-2"/>
                <w:lang w:val="en-GB"/>
              </w:rPr>
              <w:t>orage plants</w:t>
            </w:r>
            <w:r>
              <w:rPr>
                <w:spacing w:val="-2"/>
                <w:lang w:val="en-GB"/>
              </w:rPr>
              <w:t xml:space="preserve"> went up by </w:t>
            </w:r>
            <w:r w:rsidRPr="00EF55AD">
              <w:rPr>
                <w:spacing w:val="-2"/>
                <w:lang w:val="en-GB"/>
              </w:rPr>
              <w:t>7</w:t>
            </w:r>
            <w:r>
              <w:rPr>
                <w:spacing w:val="-2"/>
                <w:lang w:val="en-GB"/>
              </w:rPr>
              <w:t>.</w:t>
            </w:r>
            <w:r w:rsidRPr="00EF55AD">
              <w:rPr>
                <w:spacing w:val="-2"/>
                <w:lang w:val="en-GB"/>
              </w:rPr>
              <w:t>4%</w:t>
            </w:r>
            <w:r>
              <w:rPr>
                <w:spacing w:val="-2"/>
                <w:lang w:val="en-GB"/>
              </w:rPr>
              <w:t xml:space="preserve"> year-on-year and vegetables and </w:t>
            </w:r>
            <w:r w:rsidR="004E3C34">
              <w:rPr>
                <w:spacing w:val="-2"/>
                <w:lang w:val="en-GB"/>
              </w:rPr>
              <w:t>horticultural</w:t>
            </w:r>
            <w:r>
              <w:rPr>
                <w:spacing w:val="-2"/>
                <w:lang w:val="en-GB"/>
              </w:rPr>
              <w:t xml:space="preserve"> products by </w:t>
            </w:r>
            <w:r w:rsidRPr="00EF55AD">
              <w:rPr>
                <w:spacing w:val="-2"/>
                <w:lang w:val="en-GB"/>
              </w:rPr>
              <w:t>18</w:t>
            </w:r>
            <w:r>
              <w:rPr>
                <w:spacing w:val="-2"/>
                <w:lang w:val="en-GB"/>
              </w:rPr>
              <w:t>.</w:t>
            </w:r>
            <w:r w:rsidRPr="00EF55AD">
              <w:rPr>
                <w:spacing w:val="-2"/>
                <w:lang w:val="en-GB"/>
              </w:rPr>
              <w:t>9%.</w:t>
            </w:r>
            <w:r>
              <w:rPr>
                <w:spacing w:val="-2"/>
                <w:lang w:val="en-GB"/>
              </w:rPr>
              <w:t xml:space="preserve"> Prices of potatoes got out of seven quarters lasting series of year-on-year decreases in Q4 </w:t>
            </w:r>
            <w:r w:rsidRPr="00EF55AD">
              <w:rPr>
                <w:spacing w:val="-2"/>
                <w:lang w:val="en-GB"/>
              </w:rPr>
              <w:t>(1</w:t>
            </w:r>
            <w:r>
              <w:rPr>
                <w:spacing w:val="-2"/>
                <w:lang w:val="en-GB"/>
              </w:rPr>
              <w:t>.</w:t>
            </w:r>
            <w:r w:rsidRPr="00EF55AD">
              <w:rPr>
                <w:spacing w:val="-2"/>
                <w:lang w:val="en-GB"/>
              </w:rPr>
              <w:t xml:space="preserve">8%). </w:t>
            </w:r>
            <w:r>
              <w:rPr>
                <w:spacing w:val="-2"/>
                <w:lang w:val="en-GB"/>
              </w:rPr>
              <w:t xml:space="preserve">Fruit was cheaper by </w:t>
            </w:r>
            <w:r w:rsidRPr="00EF55AD">
              <w:rPr>
                <w:spacing w:val="-2"/>
                <w:lang w:val="en-GB"/>
              </w:rPr>
              <w:t>1</w:t>
            </w:r>
            <w:r>
              <w:rPr>
                <w:spacing w:val="-2"/>
                <w:lang w:val="en-GB"/>
              </w:rPr>
              <w:t>.</w:t>
            </w:r>
            <w:r w:rsidRPr="00EF55AD">
              <w:rPr>
                <w:spacing w:val="-2"/>
                <w:lang w:val="en-GB"/>
              </w:rPr>
              <w:t>2%</w:t>
            </w:r>
            <w:r>
              <w:rPr>
                <w:spacing w:val="-2"/>
                <w:lang w:val="en-GB"/>
              </w:rPr>
              <w:t xml:space="preserve"> year-on-year</w:t>
            </w:r>
            <w:r w:rsidRPr="00EF55AD">
              <w:rPr>
                <w:spacing w:val="-2"/>
                <w:lang w:val="en-GB"/>
              </w:rPr>
              <w:t>.</w:t>
            </w:r>
            <w:r>
              <w:rPr>
                <w:spacing w:val="-2"/>
                <w:lang w:val="en-GB"/>
              </w:rPr>
              <w:t xml:space="preserve"> Prices of</w:t>
            </w:r>
            <w:r w:rsidR="004E3C34">
              <w:rPr>
                <w:spacing w:val="-2"/>
                <w:lang w:val="en-GB"/>
              </w:rPr>
              <w:t xml:space="preserve"> animals and</w:t>
            </w:r>
            <w:r>
              <w:rPr>
                <w:spacing w:val="-2"/>
                <w:lang w:val="en-GB"/>
              </w:rPr>
              <w:t xml:space="preserve"> animal product</w:t>
            </w:r>
            <w:r w:rsidR="004E3C34">
              <w:rPr>
                <w:spacing w:val="-2"/>
                <w:lang w:val="en-GB"/>
              </w:rPr>
              <w:t>s</w:t>
            </w:r>
            <w:r>
              <w:rPr>
                <w:spacing w:val="-2"/>
                <w:lang w:val="en-GB"/>
              </w:rPr>
              <w:t xml:space="preserve"> increased by </w:t>
            </w:r>
            <w:r w:rsidRPr="00EF55AD">
              <w:rPr>
                <w:spacing w:val="-2"/>
                <w:lang w:val="en-GB"/>
              </w:rPr>
              <w:t>5</w:t>
            </w:r>
            <w:r>
              <w:rPr>
                <w:spacing w:val="-2"/>
                <w:lang w:val="en-GB"/>
              </w:rPr>
              <w:t>.</w:t>
            </w:r>
            <w:r w:rsidRPr="00EF55AD">
              <w:rPr>
                <w:spacing w:val="-2"/>
                <w:lang w:val="en-GB"/>
              </w:rPr>
              <w:t>9%</w:t>
            </w:r>
            <w:r>
              <w:rPr>
                <w:spacing w:val="-2"/>
                <w:lang w:val="en-GB"/>
              </w:rPr>
              <w:t xml:space="preserve"> year-on-year</w:t>
            </w:r>
            <w:r w:rsidRPr="00EF55AD">
              <w:rPr>
                <w:spacing w:val="-2"/>
                <w:lang w:val="en-GB"/>
              </w:rPr>
              <w:t>.</w:t>
            </w:r>
            <w:r>
              <w:rPr>
                <w:spacing w:val="-2"/>
                <w:lang w:val="en-GB"/>
              </w:rPr>
              <w:t xml:space="preserve"> Prices of animals were by </w:t>
            </w:r>
            <w:r w:rsidRPr="00EF55AD">
              <w:rPr>
                <w:spacing w:val="-2"/>
                <w:lang w:val="en-GB"/>
              </w:rPr>
              <w:t>1</w:t>
            </w:r>
            <w:r>
              <w:rPr>
                <w:spacing w:val="-2"/>
                <w:lang w:val="en-GB"/>
              </w:rPr>
              <w:t>.</w:t>
            </w:r>
            <w:r w:rsidRPr="00EF55AD">
              <w:rPr>
                <w:spacing w:val="-2"/>
                <w:lang w:val="en-GB"/>
              </w:rPr>
              <w:t>6%</w:t>
            </w:r>
            <w:r>
              <w:rPr>
                <w:spacing w:val="-2"/>
                <w:lang w:val="en-GB"/>
              </w:rPr>
              <w:t xml:space="preserve"> higher</w:t>
            </w:r>
            <w:r w:rsidRPr="00EF55AD">
              <w:rPr>
                <w:spacing w:val="-2"/>
                <w:lang w:val="en-GB"/>
              </w:rPr>
              <w:t>.</w:t>
            </w:r>
            <w:r>
              <w:rPr>
                <w:spacing w:val="-2"/>
                <w:lang w:val="en-GB"/>
              </w:rPr>
              <w:t xml:space="preserve"> While the slump of prices of pigs and piglets moderated to </w:t>
            </w:r>
            <w:r w:rsidRPr="00EF55AD">
              <w:rPr>
                <w:spacing w:val="-2"/>
                <w:lang w:val="en-GB"/>
              </w:rPr>
              <w:t>5</w:t>
            </w:r>
            <w:r>
              <w:rPr>
                <w:spacing w:val="-2"/>
                <w:lang w:val="en-GB"/>
              </w:rPr>
              <w:t>.</w:t>
            </w:r>
            <w:r w:rsidRPr="00EF55AD">
              <w:rPr>
                <w:spacing w:val="-2"/>
                <w:lang w:val="en-GB"/>
              </w:rPr>
              <w:t>9%,</w:t>
            </w:r>
            <w:r>
              <w:rPr>
                <w:spacing w:val="-2"/>
                <w:lang w:val="en-GB"/>
              </w:rPr>
              <w:t xml:space="preserve"> the growth of prices of cattle accelerated to </w:t>
            </w:r>
            <w:r w:rsidRPr="00EF55AD">
              <w:rPr>
                <w:spacing w:val="-2"/>
                <w:lang w:val="en-GB"/>
              </w:rPr>
              <w:t>10</w:t>
            </w:r>
            <w:r>
              <w:rPr>
                <w:spacing w:val="-2"/>
                <w:lang w:val="en-GB"/>
              </w:rPr>
              <w:t>.</w:t>
            </w:r>
            <w:r w:rsidRPr="00EF55AD">
              <w:rPr>
                <w:spacing w:val="-2"/>
                <w:lang w:val="en-GB"/>
              </w:rPr>
              <w:t>8%</w:t>
            </w:r>
            <w:r>
              <w:rPr>
                <w:spacing w:val="-2"/>
                <w:lang w:val="en-GB"/>
              </w:rPr>
              <w:t xml:space="preserve"> and poultry to </w:t>
            </w:r>
            <w:r w:rsidRPr="00EF55AD">
              <w:rPr>
                <w:spacing w:val="-2"/>
                <w:lang w:val="en-GB"/>
              </w:rPr>
              <w:t>3</w:t>
            </w:r>
            <w:r>
              <w:rPr>
                <w:spacing w:val="-2"/>
                <w:lang w:val="en-GB"/>
              </w:rPr>
              <w:t>.</w:t>
            </w:r>
            <w:r w:rsidRPr="00EF55AD">
              <w:rPr>
                <w:spacing w:val="-2"/>
                <w:lang w:val="en-GB"/>
              </w:rPr>
              <w:t xml:space="preserve">2%. </w:t>
            </w:r>
            <w:r>
              <w:rPr>
                <w:spacing w:val="-2"/>
                <w:lang w:val="en-GB"/>
              </w:rPr>
              <w:t xml:space="preserve">Prices of animal products were however by </w:t>
            </w:r>
            <w:r w:rsidRPr="00EF55AD">
              <w:rPr>
                <w:spacing w:val="-2"/>
                <w:lang w:val="en-GB"/>
              </w:rPr>
              <w:t>9</w:t>
            </w:r>
            <w:r>
              <w:rPr>
                <w:spacing w:val="-2"/>
                <w:lang w:val="en-GB"/>
              </w:rPr>
              <w:t>.</w:t>
            </w:r>
            <w:r w:rsidRPr="00EF55AD">
              <w:rPr>
                <w:spacing w:val="-2"/>
                <w:lang w:val="en-GB"/>
              </w:rPr>
              <w:t>0%</w:t>
            </w:r>
            <w:r>
              <w:rPr>
                <w:spacing w:val="-2"/>
                <w:lang w:val="en-GB"/>
              </w:rPr>
              <w:t xml:space="preserve"> higher</w:t>
            </w:r>
            <w:r w:rsidRPr="00EF55AD">
              <w:rPr>
                <w:spacing w:val="-2"/>
                <w:lang w:val="en-GB"/>
              </w:rPr>
              <w:t xml:space="preserve">, </w:t>
            </w:r>
            <w:r>
              <w:rPr>
                <w:spacing w:val="-2"/>
                <w:lang w:val="en-GB"/>
              </w:rPr>
              <w:t xml:space="preserve">in that the prices of milk went up by </w:t>
            </w:r>
            <w:r w:rsidRPr="00EF55AD">
              <w:rPr>
                <w:spacing w:val="-2"/>
                <w:lang w:val="en-GB"/>
              </w:rPr>
              <w:t>9</w:t>
            </w:r>
            <w:r>
              <w:rPr>
                <w:spacing w:val="-2"/>
                <w:lang w:val="en-GB"/>
              </w:rPr>
              <w:t>.</w:t>
            </w:r>
            <w:r w:rsidRPr="00EF55AD">
              <w:rPr>
                <w:spacing w:val="-2"/>
                <w:lang w:val="en-GB"/>
              </w:rPr>
              <w:t>5% a</w:t>
            </w:r>
            <w:r>
              <w:rPr>
                <w:spacing w:val="-2"/>
                <w:lang w:val="en-GB"/>
              </w:rPr>
              <w:t xml:space="preserve">nd eggs by </w:t>
            </w:r>
            <w:r w:rsidRPr="00EF55AD">
              <w:rPr>
                <w:spacing w:val="-2"/>
                <w:lang w:val="en-GB"/>
              </w:rPr>
              <w:t>3</w:t>
            </w:r>
            <w:r>
              <w:rPr>
                <w:spacing w:val="-2"/>
                <w:lang w:val="en-GB"/>
              </w:rPr>
              <w:t>.</w:t>
            </w:r>
            <w:r w:rsidRPr="00EF55AD">
              <w:rPr>
                <w:spacing w:val="-2"/>
                <w:lang w:val="en-GB"/>
              </w:rPr>
              <w:t>3%.</w:t>
            </w:r>
          </w:p>
        </w:tc>
      </w:tr>
      <w:tr w:rsidR="009B0A5E" w:rsidRPr="009110F7" w14:paraId="0B02EFF0" w14:textId="77777777" w:rsidTr="00913237">
        <w:trPr>
          <w:trHeight w:val="145"/>
        </w:trPr>
        <w:tc>
          <w:tcPr>
            <w:tcW w:w="1805" w:type="dxa"/>
            <w:shd w:val="clear" w:color="auto" w:fill="auto"/>
            <w:tcMar>
              <w:left w:w="0" w:type="dxa"/>
            </w:tcMar>
          </w:tcPr>
          <w:p w14:paraId="5BB7998E" w14:textId="06630331" w:rsidR="009B0A5E" w:rsidRPr="00413DBE" w:rsidRDefault="009B0A5E" w:rsidP="009B0A5E">
            <w:pPr>
              <w:pStyle w:val="Marginlie"/>
              <w:rPr>
                <w:spacing w:val="0"/>
                <w:lang w:val="en-GB"/>
              </w:rPr>
            </w:pPr>
            <w:r>
              <w:rPr>
                <w:spacing w:val="0"/>
                <w:lang w:val="en-GB"/>
              </w:rPr>
              <w:t xml:space="preserve">Prices of export grew in year </w:t>
            </w:r>
            <w:r w:rsidRPr="00413DBE">
              <w:rPr>
                <w:spacing w:val="0"/>
                <w:lang w:val="en-GB"/>
              </w:rPr>
              <w:t>2021</w:t>
            </w:r>
            <w:r>
              <w:rPr>
                <w:spacing w:val="0"/>
                <w:lang w:val="en-GB"/>
              </w:rPr>
              <w:t xml:space="preserve">. </w:t>
            </w:r>
          </w:p>
        </w:tc>
        <w:tc>
          <w:tcPr>
            <w:tcW w:w="224" w:type="dxa"/>
            <w:shd w:val="clear" w:color="auto" w:fill="auto"/>
            <w:tcMar>
              <w:left w:w="0" w:type="dxa"/>
            </w:tcMar>
          </w:tcPr>
          <w:p w14:paraId="2D8ACAA8" w14:textId="77777777" w:rsidR="009B0A5E" w:rsidRPr="00413DBE" w:rsidRDefault="009B0A5E" w:rsidP="009B0A5E">
            <w:pPr>
              <w:pStyle w:val="Textpoznpodarou1"/>
              <w:jc w:val="both"/>
              <w:rPr>
                <w:lang w:val="en-GB"/>
              </w:rPr>
            </w:pPr>
          </w:p>
        </w:tc>
        <w:tc>
          <w:tcPr>
            <w:tcW w:w="7610" w:type="dxa"/>
            <w:shd w:val="clear" w:color="auto" w:fill="auto"/>
            <w:tcMar>
              <w:left w:w="0" w:type="dxa"/>
            </w:tcMar>
          </w:tcPr>
          <w:p w14:paraId="408D625A" w14:textId="45EDADA3" w:rsidR="009B0A5E" w:rsidRPr="00947B6E" w:rsidRDefault="009B0A5E" w:rsidP="004E3C34">
            <w:pPr>
              <w:rPr>
                <w:lang w:val="en-GB"/>
              </w:rPr>
            </w:pPr>
            <w:r w:rsidRPr="00947B6E">
              <w:rPr>
                <w:lang w:val="en-GB"/>
              </w:rPr>
              <w:t xml:space="preserve">Import prices expanded by 5.8% in year 2021. Their dynamics thus considerably strengthened. Development of koruna foreign exchange (especially appreciation against euro) at the same time subdued the growth of prices of foreign </w:t>
            </w:r>
            <w:r w:rsidR="004E3C34">
              <w:rPr>
                <w:lang w:val="en-GB"/>
              </w:rPr>
              <w:t>trade</w:t>
            </w:r>
            <w:r w:rsidRPr="00947B6E">
              <w:rPr>
                <w:rStyle w:val="Znakapoznpodarou"/>
                <w:lang w:val="en-GB"/>
              </w:rPr>
              <w:footnoteReference w:id="5"/>
            </w:r>
            <w:r w:rsidRPr="00947B6E">
              <w:rPr>
                <w:lang w:val="en-GB"/>
              </w:rPr>
              <w:t>.  Development of prices of export of mineral fuels (57.9%) and other materials</w:t>
            </w:r>
            <w:r w:rsidRPr="00947B6E">
              <w:rPr>
                <w:rStyle w:val="Znakapoznpodarou"/>
                <w:lang w:val="en-GB"/>
              </w:rPr>
              <w:footnoteReference w:id="6"/>
            </w:r>
            <w:r w:rsidRPr="00947B6E">
              <w:rPr>
                <w:lang w:val="en-GB"/>
              </w:rPr>
              <w:t xml:space="preserve"> (45.2%) had a large share on this result. Prices of export of chemical</w:t>
            </w:r>
            <w:r w:rsidR="004E3C34">
              <w:rPr>
                <w:lang w:val="en-GB"/>
              </w:rPr>
              <w:t>s and related</w:t>
            </w:r>
            <w:r w:rsidRPr="00947B6E">
              <w:rPr>
                <w:lang w:val="en-GB"/>
              </w:rPr>
              <w:t xml:space="preserve"> products also grew strongly (10.4%). Prices of semi-finished products</w:t>
            </w:r>
            <w:r w:rsidRPr="00947B6E">
              <w:rPr>
                <w:rStyle w:val="Znakapoznpodarou"/>
                <w:lang w:val="en-GB"/>
              </w:rPr>
              <w:footnoteReference w:id="7"/>
            </w:r>
            <w:r w:rsidRPr="00947B6E">
              <w:rPr>
                <w:lang w:val="en-GB"/>
              </w:rPr>
              <w:t xml:space="preserve"> (9.1%) or food and live animals (4.6%) also grew substantially. Prices of beverages and tobacco (–3.2%) and </w:t>
            </w:r>
            <w:r w:rsidR="004E3C34">
              <w:rPr>
                <w:lang w:val="en-GB"/>
              </w:rPr>
              <w:t>m</w:t>
            </w:r>
            <w:r w:rsidR="004E3C34">
              <w:t>iscellaneous manufactured articles</w:t>
            </w:r>
            <w:r w:rsidR="004E3C34" w:rsidRPr="00947B6E">
              <w:rPr>
                <w:lang w:val="en-GB"/>
              </w:rPr>
              <w:t xml:space="preserve"> </w:t>
            </w:r>
            <w:r w:rsidRPr="00947B6E">
              <w:rPr>
                <w:lang w:val="en-GB"/>
              </w:rPr>
              <w:t>(–0.5%) were lower last year. Year-on-year growth of prices of export strengthened during the year and reached 9.8% in Q4 2021. Prices of export of mineral fuels</w:t>
            </w:r>
            <w:r>
              <w:rPr>
                <w:lang w:val="en-GB"/>
              </w:rPr>
              <w:t xml:space="preserve"> </w:t>
            </w:r>
            <w:r w:rsidRPr="00947B6E">
              <w:rPr>
                <w:lang w:val="en-GB"/>
              </w:rPr>
              <w:t>(119</w:t>
            </w:r>
            <w:r>
              <w:rPr>
                <w:lang w:val="en-GB"/>
              </w:rPr>
              <w:t>.</w:t>
            </w:r>
            <w:r w:rsidRPr="00947B6E">
              <w:rPr>
                <w:lang w:val="en-GB"/>
              </w:rPr>
              <w:t>2%) a</w:t>
            </w:r>
            <w:r>
              <w:rPr>
                <w:lang w:val="en-GB"/>
              </w:rPr>
              <w:t xml:space="preserve">nd other materials </w:t>
            </w:r>
            <w:r w:rsidRPr="00947B6E">
              <w:rPr>
                <w:lang w:val="en-GB"/>
              </w:rPr>
              <w:t>(55</w:t>
            </w:r>
            <w:r>
              <w:rPr>
                <w:lang w:val="en-GB"/>
              </w:rPr>
              <w:t>.</w:t>
            </w:r>
            <w:r w:rsidRPr="00947B6E">
              <w:rPr>
                <w:lang w:val="en-GB"/>
              </w:rPr>
              <w:t>6%) grew the most year-on-year. Prices of semi-finished products were by 16.2% higher, chemical</w:t>
            </w:r>
            <w:r w:rsidR="004E3C34">
              <w:rPr>
                <w:lang w:val="en-GB"/>
              </w:rPr>
              <w:t>s</w:t>
            </w:r>
            <w:r w:rsidRPr="00947B6E">
              <w:rPr>
                <w:lang w:val="en-GB"/>
              </w:rPr>
              <w:t xml:space="preserve"> by 15.7% and food and live animals by 8.9%. </w:t>
            </w:r>
            <w:r>
              <w:rPr>
                <w:lang w:val="en-GB"/>
              </w:rPr>
              <w:t xml:space="preserve">Prices of export of machinery and transportation equipment </w:t>
            </w:r>
            <w:r w:rsidRPr="00947B6E">
              <w:rPr>
                <w:lang w:val="en-GB"/>
              </w:rPr>
              <w:t>(0</w:t>
            </w:r>
            <w:r>
              <w:rPr>
                <w:lang w:val="en-GB"/>
              </w:rPr>
              <w:t>.</w:t>
            </w:r>
            <w:r w:rsidRPr="00947B6E">
              <w:rPr>
                <w:lang w:val="en-GB"/>
              </w:rPr>
              <w:t>9%)</w:t>
            </w:r>
            <w:r>
              <w:rPr>
                <w:lang w:val="en-GB"/>
              </w:rPr>
              <w:t xml:space="preserve"> and </w:t>
            </w:r>
            <w:r w:rsidR="004E3C34">
              <w:rPr>
                <w:lang w:val="en-GB"/>
              </w:rPr>
              <w:t>m</w:t>
            </w:r>
            <w:r w:rsidR="004E3C34">
              <w:t>iscellaneous manufactured articles</w:t>
            </w:r>
            <w:r>
              <w:rPr>
                <w:lang w:val="en-GB"/>
              </w:rPr>
              <w:t xml:space="preserve"> </w:t>
            </w:r>
            <w:r w:rsidRPr="00947B6E">
              <w:rPr>
                <w:lang w:val="en-GB"/>
              </w:rPr>
              <w:t>(0</w:t>
            </w:r>
            <w:r>
              <w:rPr>
                <w:lang w:val="en-GB"/>
              </w:rPr>
              <w:t>.</w:t>
            </w:r>
            <w:r w:rsidRPr="00947B6E">
              <w:rPr>
                <w:lang w:val="en-GB"/>
              </w:rPr>
              <w:t>9%)</w:t>
            </w:r>
            <w:r>
              <w:rPr>
                <w:lang w:val="en-GB"/>
              </w:rPr>
              <w:t xml:space="preserve"> slightly grew</w:t>
            </w:r>
            <w:r w:rsidRPr="00947B6E">
              <w:rPr>
                <w:lang w:val="en-GB"/>
              </w:rPr>
              <w:t>. Only prices of beverages and tobacco decreased (–3.6%).</w:t>
            </w:r>
          </w:p>
        </w:tc>
      </w:tr>
      <w:tr w:rsidR="009B0A5E" w:rsidRPr="009110F7" w14:paraId="451B1298" w14:textId="77777777" w:rsidTr="00913237">
        <w:trPr>
          <w:trHeight w:val="145"/>
        </w:trPr>
        <w:tc>
          <w:tcPr>
            <w:tcW w:w="1805" w:type="dxa"/>
            <w:shd w:val="clear" w:color="auto" w:fill="auto"/>
            <w:tcMar>
              <w:left w:w="0" w:type="dxa"/>
            </w:tcMar>
          </w:tcPr>
          <w:p w14:paraId="0ABB8A7B" w14:textId="4F527A41" w:rsidR="009B0A5E" w:rsidRPr="0077463E" w:rsidRDefault="009B0A5E" w:rsidP="009B0A5E">
            <w:pPr>
              <w:pStyle w:val="Marginlie"/>
              <w:rPr>
                <w:spacing w:val="0"/>
                <w:lang w:val="en-GB"/>
              </w:rPr>
            </w:pPr>
            <w:r w:rsidRPr="0077463E">
              <w:rPr>
                <w:spacing w:val="0"/>
                <w:lang w:val="en-GB"/>
              </w:rPr>
              <w:t xml:space="preserve">Prices of import were also considerably higher. </w:t>
            </w:r>
          </w:p>
        </w:tc>
        <w:tc>
          <w:tcPr>
            <w:tcW w:w="224" w:type="dxa"/>
            <w:shd w:val="clear" w:color="auto" w:fill="auto"/>
            <w:tcMar>
              <w:left w:w="0" w:type="dxa"/>
            </w:tcMar>
          </w:tcPr>
          <w:p w14:paraId="57BC3E50" w14:textId="77777777" w:rsidR="009B0A5E" w:rsidRPr="0077463E" w:rsidRDefault="009B0A5E" w:rsidP="009B0A5E">
            <w:pPr>
              <w:pStyle w:val="Textpoznpodarou1"/>
              <w:jc w:val="both"/>
              <w:rPr>
                <w:lang w:val="en-GB"/>
              </w:rPr>
            </w:pPr>
          </w:p>
        </w:tc>
        <w:tc>
          <w:tcPr>
            <w:tcW w:w="7610" w:type="dxa"/>
            <w:shd w:val="clear" w:color="auto" w:fill="auto"/>
            <w:tcMar>
              <w:left w:w="0" w:type="dxa"/>
            </w:tcMar>
          </w:tcPr>
          <w:p w14:paraId="6BAF74A7" w14:textId="4B798C0A" w:rsidR="009B0A5E" w:rsidRPr="0077463E" w:rsidRDefault="009B0A5E" w:rsidP="00BE6BAC">
            <w:pPr>
              <w:rPr>
                <w:lang w:val="en-GB"/>
              </w:rPr>
            </w:pPr>
            <w:r>
              <w:rPr>
                <w:lang w:val="en-GB"/>
              </w:rPr>
              <w:t xml:space="preserve">Import prices expanded by </w:t>
            </w:r>
            <w:r w:rsidRPr="0077463E">
              <w:rPr>
                <w:lang w:val="en-GB"/>
              </w:rPr>
              <w:t>6</w:t>
            </w:r>
            <w:r>
              <w:rPr>
                <w:lang w:val="en-GB"/>
              </w:rPr>
              <w:t>.</w:t>
            </w:r>
            <w:r w:rsidRPr="0077463E">
              <w:rPr>
                <w:lang w:val="en-GB"/>
              </w:rPr>
              <w:t>1%</w:t>
            </w:r>
            <w:r>
              <w:rPr>
                <w:lang w:val="en-GB"/>
              </w:rPr>
              <w:t xml:space="preserve"> in year 2021</w:t>
            </w:r>
            <w:r w:rsidRPr="0077463E">
              <w:rPr>
                <w:lang w:val="en-GB"/>
              </w:rPr>
              <w:t>.</w:t>
            </w:r>
            <w:r>
              <w:rPr>
                <w:lang w:val="en-GB"/>
              </w:rPr>
              <w:t xml:space="preserve"> Prices of import of mineral fuels</w:t>
            </w:r>
            <w:r w:rsidRPr="0077463E">
              <w:rPr>
                <w:lang w:val="en-GB"/>
              </w:rPr>
              <w:t xml:space="preserve"> (68</w:t>
            </w:r>
            <w:r>
              <w:rPr>
                <w:lang w:val="en-GB"/>
              </w:rPr>
              <w:t>.</w:t>
            </w:r>
            <w:r w:rsidRPr="0077463E">
              <w:rPr>
                <w:lang w:val="en-GB"/>
              </w:rPr>
              <w:t>8%),</w:t>
            </w:r>
            <w:r>
              <w:rPr>
                <w:lang w:val="en-GB"/>
              </w:rPr>
              <w:t xml:space="preserve"> other materials </w:t>
            </w:r>
            <w:r w:rsidRPr="0077463E">
              <w:rPr>
                <w:lang w:val="en-GB"/>
              </w:rPr>
              <w:t>(24</w:t>
            </w:r>
            <w:r>
              <w:rPr>
                <w:lang w:val="en-GB"/>
              </w:rPr>
              <w:t>.</w:t>
            </w:r>
            <w:r w:rsidRPr="0077463E">
              <w:rPr>
                <w:lang w:val="en-GB"/>
              </w:rPr>
              <w:t xml:space="preserve">5%), </w:t>
            </w:r>
            <w:r>
              <w:rPr>
                <w:lang w:val="en-GB"/>
              </w:rPr>
              <w:t xml:space="preserve">semi-finished products </w:t>
            </w:r>
            <w:r w:rsidRPr="0077463E">
              <w:rPr>
                <w:lang w:val="en-GB"/>
              </w:rPr>
              <w:t>(9</w:t>
            </w:r>
            <w:r>
              <w:rPr>
                <w:lang w:val="en-GB"/>
              </w:rPr>
              <w:t>.</w:t>
            </w:r>
            <w:r w:rsidRPr="0077463E">
              <w:rPr>
                <w:lang w:val="en-GB"/>
              </w:rPr>
              <w:t>0%) a</w:t>
            </w:r>
            <w:r>
              <w:rPr>
                <w:lang w:val="en-GB"/>
              </w:rPr>
              <w:t>nd chemical</w:t>
            </w:r>
            <w:r w:rsidR="004E3C34">
              <w:rPr>
                <w:lang w:val="en-GB"/>
              </w:rPr>
              <w:t>s</w:t>
            </w:r>
            <w:r>
              <w:rPr>
                <w:lang w:val="en-GB"/>
              </w:rPr>
              <w:t xml:space="preserve"> </w:t>
            </w:r>
            <w:r w:rsidRPr="0077463E">
              <w:rPr>
                <w:lang w:val="en-GB"/>
              </w:rPr>
              <w:t>(8</w:t>
            </w:r>
            <w:r>
              <w:rPr>
                <w:lang w:val="en-GB"/>
              </w:rPr>
              <w:t>.</w:t>
            </w:r>
            <w:r w:rsidRPr="0077463E">
              <w:rPr>
                <w:lang w:val="en-GB"/>
              </w:rPr>
              <w:t>3%)</w:t>
            </w:r>
            <w:r>
              <w:rPr>
                <w:lang w:val="en-GB"/>
              </w:rPr>
              <w:t xml:space="preserve"> grew the most</w:t>
            </w:r>
            <w:r w:rsidRPr="0077463E">
              <w:rPr>
                <w:lang w:val="en-GB"/>
              </w:rPr>
              <w:t>.</w:t>
            </w:r>
            <w:r>
              <w:rPr>
                <w:lang w:val="en-GB"/>
              </w:rPr>
              <w:t xml:space="preserve"> Prices of beverages and tobacco </w:t>
            </w:r>
            <w:r w:rsidRPr="0077463E">
              <w:rPr>
                <w:lang w:val="en-GB"/>
              </w:rPr>
              <w:t>(0</w:t>
            </w:r>
            <w:r>
              <w:rPr>
                <w:lang w:val="en-GB"/>
              </w:rPr>
              <w:t>.</w:t>
            </w:r>
            <w:r w:rsidRPr="0077463E">
              <w:rPr>
                <w:lang w:val="en-GB"/>
              </w:rPr>
              <w:t>4%)</w:t>
            </w:r>
            <w:r>
              <w:rPr>
                <w:lang w:val="en-GB"/>
              </w:rPr>
              <w:t xml:space="preserve"> were also mildly higher. By contrast import prices of </w:t>
            </w:r>
            <w:r w:rsidR="004E3C34">
              <w:rPr>
                <w:lang w:val="en-GB"/>
              </w:rPr>
              <w:t>m</w:t>
            </w:r>
            <w:r w:rsidR="004E3C34">
              <w:t>iscellaneous manufactured articles</w:t>
            </w:r>
            <w:r>
              <w:rPr>
                <w:lang w:val="en-GB"/>
              </w:rPr>
              <w:t xml:space="preserve"> </w:t>
            </w:r>
            <w:r w:rsidRPr="0077463E">
              <w:rPr>
                <w:lang w:val="en-GB"/>
              </w:rPr>
              <w:t>(–2</w:t>
            </w:r>
            <w:r>
              <w:rPr>
                <w:lang w:val="en-GB"/>
              </w:rPr>
              <w:t>.</w:t>
            </w:r>
            <w:r w:rsidRPr="0077463E">
              <w:rPr>
                <w:lang w:val="en-GB"/>
              </w:rPr>
              <w:t xml:space="preserve">3%), </w:t>
            </w:r>
            <w:r>
              <w:rPr>
                <w:lang w:val="en-GB"/>
              </w:rPr>
              <w:t xml:space="preserve">food and live animals </w:t>
            </w:r>
            <w:r w:rsidRPr="0077463E">
              <w:rPr>
                <w:lang w:val="en-GB"/>
              </w:rPr>
              <w:t>(–1</w:t>
            </w:r>
            <w:r>
              <w:rPr>
                <w:lang w:val="en-GB"/>
              </w:rPr>
              <w:t>.</w:t>
            </w:r>
            <w:r w:rsidRPr="0077463E">
              <w:rPr>
                <w:lang w:val="en-GB"/>
              </w:rPr>
              <w:t>7%) a</w:t>
            </w:r>
            <w:r>
              <w:rPr>
                <w:lang w:val="en-GB"/>
              </w:rPr>
              <w:t xml:space="preserve">nd machinery and transportation equipment </w:t>
            </w:r>
            <w:r w:rsidRPr="0077463E">
              <w:rPr>
                <w:lang w:val="en-GB"/>
              </w:rPr>
              <w:t>(–1</w:t>
            </w:r>
            <w:r>
              <w:rPr>
                <w:lang w:val="en-GB"/>
              </w:rPr>
              <w:t>.</w:t>
            </w:r>
            <w:r w:rsidRPr="0077463E">
              <w:rPr>
                <w:lang w:val="en-GB"/>
              </w:rPr>
              <w:t>6%)</w:t>
            </w:r>
            <w:r>
              <w:rPr>
                <w:lang w:val="en-GB"/>
              </w:rPr>
              <w:t xml:space="preserve"> decreased last year</w:t>
            </w:r>
            <w:r w:rsidRPr="0077463E">
              <w:rPr>
                <w:lang w:val="en-GB"/>
              </w:rPr>
              <w:t xml:space="preserve">. </w:t>
            </w:r>
            <w:r>
              <w:rPr>
                <w:lang w:val="en-GB"/>
              </w:rPr>
              <w:t xml:space="preserve">Import prices increased by </w:t>
            </w:r>
            <w:r w:rsidRPr="0077463E">
              <w:rPr>
                <w:lang w:val="en-GB"/>
              </w:rPr>
              <w:t>12</w:t>
            </w:r>
            <w:r>
              <w:rPr>
                <w:lang w:val="en-GB"/>
              </w:rPr>
              <w:t>.</w:t>
            </w:r>
            <w:r w:rsidRPr="0077463E">
              <w:rPr>
                <w:lang w:val="en-GB"/>
              </w:rPr>
              <w:t>2%</w:t>
            </w:r>
            <w:r>
              <w:rPr>
                <w:lang w:val="en-GB"/>
              </w:rPr>
              <w:t xml:space="preserve"> in Q4 2021</w:t>
            </w:r>
            <w:r w:rsidRPr="0077463E">
              <w:rPr>
                <w:lang w:val="en-GB"/>
              </w:rPr>
              <w:t xml:space="preserve">. </w:t>
            </w:r>
            <w:r>
              <w:rPr>
                <w:lang w:val="en-GB"/>
              </w:rPr>
              <w:t xml:space="preserve">Prices of import of mineral fuels then increased by </w:t>
            </w:r>
            <w:r w:rsidRPr="0077463E">
              <w:rPr>
                <w:lang w:val="en-GB"/>
              </w:rPr>
              <w:t>123</w:t>
            </w:r>
            <w:r>
              <w:rPr>
                <w:lang w:val="en-GB"/>
              </w:rPr>
              <w:t>.</w:t>
            </w:r>
            <w:r w:rsidRPr="0077463E">
              <w:rPr>
                <w:lang w:val="en-GB"/>
              </w:rPr>
              <w:t>1%</w:t>
            </w:r>
            <w:r>
              <w:rPr>
                <w:lang w:val="en-GB"/>
              </w:rPr>
              <w:t xml:space="preserve"> and other materials by </w:t>
            </w:r>
            <w:r w:rsidRPr="0077463E">
              <w:rPr>
                <w:lang w:val="en-GB"/>
              </w:rPr>
              <w:t>23</w:t>
            </w:r>
            <w:r>
              <w:rPr>
                <w:lang w:val="en-GB"/>
              </w:rPr>
              <w:t>.</w:t>
            </w:r>
            <w:r w:rsidRPr="0077463E">
              <w:rPr>
                <w:lang w:val="en-GB"/>
              </w:rPr>
              <w:t>1%</w:t>
            </w:r>
            <w:r>
              <w:rPr>
                <w:lang w:val="en-GB"/>
              </w:rPr>
              <w:t xml:space="preserve"> year-on-year</w:t>
            </w:r>
            <w:r w:rsidRPr="0077463E">
              <w:rPr>
                <w:lang w:val="en-GB"/>
              </w:rPr>
              <w:t xml:space="preserve">. </w:t>
            </w:r>
            <w:r>
              <w:rPr>
                <w:lang w:val="en-GB"/>
              </w:rPr>
              <w:t xml:space="preserve">Prices of semi-finished products were higher by </w:t>
            </w:r>
            <w:r w:rsidRPr="0077463E">
              <w:rPr>
                <w:lang w:val="en-GB"/>
              </w:rPr>
              <w:t>14</w:t>
            </w:r>
            <w:r>
              <w:rPr>
                <w:lang w:val="en-GB"/>
              </w:rPr>
              <w:t>.</w:t>
            </w:r>
            <w:r w:rsidRPr="0077463E">
              <w:rPr>
                <w:lang w:val="en-GB"/>
              </w:rPr>
              <w:t>6% a</w:t>
            </w:r>
            <w:r>
              <w:rPr>
                <w:lang w:val="en-GB"/>
              </w:rPr>
              <w:t>nd chemical</w:t>
            </w:r>
            <w:r w:rsidR="00BE6BAC">
              <w:rPr>
                <w:lang w:val="en-GB"/>
              </w:rPr>
              <w:t>s</w:t>
            </w:r>
            <w:r>
              <w:rPr>
                <w:lang w:val="en-GB"/>
              </w:rPr>
              <w:t xml:space="preserve"> by </w:t>
            </w:r>
            <w:r w:rsidRPr="0077463E">
              <w:rPr>
                <w:lang w:val="en-GB"/>
              </w:rPr>
              <w:t>14</w:t>
            </w:r>
            <w:r>
              <w:rPr>
                <w:lang w:val="en-GB"/>
              </w:rPr>
              <w:t>.</w:t>
            </w:r>
            <w:r w:rsidRPr="0077463E">
              <w:rPr>
                <w:lang w:val="en-GB"/>
              </w:rPr>
              <w:t>3%.</w:t>
            </w:r>
            <w:r>
              <w:rPr>
                <w:lang w:val="en-GB"/>
              </w:rPr>
              <w:t xml:space="preserve"> Prices of food and live animals and beverages and tobacco grew slowly </w:t>
            </w:r>
            <w:r w:rsidRPr="0077463E">
              <w:rPr>
                <w:lang w:val="en-GB"/>
              </w:rPr>
              <w:t>(</w:t>
            </w:r>
            <w:r>
              <w:rPr>
                <w:lang w:val="en-GB"/>
              </w:rPr>
              <w:t xml:space="preserve">similarly by </w:t>
            </w:r>
            <w:r w:rsidRPr="0077463E">
              <w:rPr>
                <w:lang w:val="en-GB"/>
              </w:rPr>
              <w:t>0</w:t>
            </w:r>
            <w:r>
              <w:rPr>
                <w:lang w:val="en-GB"/>
              </w:rPr>
              <w:t>.</w:t>
            </w:r>
            <w:r w:rsidRPr="0077463E">
              <w:rPr>
                <w:lang w:val="en-GB"/>
              </w:rPr>
              <w:t>5%).</w:t>
            </w:r>
            <w:r>
              <w:rPr>
                <w:lang w:val="en-GB"/>
              </w:rPr>
              <w:t xml:space="preserve"> In contrast, prices of import of </w:t>
            </w:r>
            <w:r w:rsidR="00BE6BAC">
              <w:rPr>
                <w:lang w:val="en-GB"/>
              </w:rPr>
              <w:t>m</w:t>
            </w:r>
            <w:r w:rsidR="00BE6BAC">
              <w:t>iscellaneous manufactured articles</w:t>
            </w:r>
            <w:r>
              <w:rPr>
                <w:lang w:val="en-GB"/>
              </w:rPr>
              <w:t xml:space="preserve"> </w:t>
            </w:r>
            <w:r w:rsidRPr="0077463E">
              <w:rPr>
                <w:lang w:val="en-GB"/>
              </w:rPr>
              <w:t>(–1</w:t>
            </w:r>
            <w:r>
              <w:rPr>
                <w:lang w:val="en-GB"/>
              </w:rPr>
              <w:t>.</w:t>
            </w:r>
            <w:r w:rsidRPr="0077463E">
              <w:rPr>
                <w:lang w:val="en-GB"/>
              </w:rPr>
              <w:t>4%) a</w:t>
            </w:r>
            <w:r>
              <w:rPr>
                <w:lang w:val="en-GB"/>
              </w:rPr>
              <w:t xml:space="preserve">nd machinery and transportation equipment </w:t>
            </w:r>
            <w:r w:rsidRPr="0077463E">
              <w:rPr>
                <w:lang w:val="en-GB"/>
              </w:rPr>
              <w:t>(–0</w:t>
            </w:r>
            <w:r>
              <w:rPr>
                <w:lang w:val="en-GB"/>
              </w:rPr>
              <w:t>.</w:t>
            </w:r>
            <w:r w:rsidRPr="0077463E">
              <w:rPr>
                <w:lang w:val="en-GB"/>
              </w:rPr>
              <w:t>1%)</w:t>
            </w:r>
            <w:r>
              <w:rPr>
                <w:lang w:val="en-GB"/>
              </w:rPr>
              <w:t xml:space="preserve"> were lower year-on-year</w:t>
            </w:r>
            <w:r w:rsidRPr="0077463E">
              <w:rPr>
                <w:lang w:val="en-GB"/>
              </w:rPr>
              <w:t>.</w:t>
            </w:r>
          </w:p>
        </w:tc>
      </w:tr>
      <w:tr w:rsidR="009B0A5E" w:rsidRPr="009110F7" w14:paraId="4CDDC47B" w14:textId="77777777" w:rsidTr="00913237">
        <w:trPr>
          <w:trHeight w:val="145"/>
        </w:trPr>
        <w:tc>
          <w:tcPr>
            <w:tcW w:w="1805" w:type="dxa"/>
            <w:shd w:val="clear" w:color="auto" w:fill="auto"/>
            <w:tcMar>
              <w:left w:w="0" w:type="dxa"/>
            </w:tcMar>
          </w:tcPr>
          <w:p w14:paraId="3AA528A9" w14:textId="208D6715" w:rsidR="009B0A5E" w:rsidRPr="005D703F" w:rsidRDefault="009B0A5E" w:rsidP="009B0A5E">
            <w:pPr>
              <w:pStyle w:val="Marginlie"/>
              <w:rPr>
                <w:spacing w:val="0"/>
                <w:lang w:val="en-GB"/>
              </w:rPr>
            </w:pPr>
            <w:r w:rsidRPr="005D703F">
              <w:rPr>
                <w:spacing w:val="0"/>
                <w:lang w:val="en-GB"/>
              </w:rPr>
              <w:lastRenderedPageBreak/>
              <w:t xml:space="preserve">Terms of trade were negative last year. </w:t>
            </w:r>
          </w:p>
        </w:tc>
        <w:tc>
          <w:tcPr>
            <w:tcW w:w="224" w:type="dxa"/>
            <w:shd w:val="clear" w:color="auto" w:fill="auto"/>
            <w:tcMar>
              <w:left w:w="0" w:type="dxa"/>
            </w:tcMar>
          </w:tcPr>
          <w:p w14:paraId="6D15B442" w14:textId="77777777" w:rsidR="009B0A5E" w:rsidRPr="005D703F" w:rsidRDefault="009B0A5E" w:rsidP="009B0A5E">
            <w:pPr>
              <w:pStyle w:val="Textpoznpodarou1"/>
              <w:jc w:val="both"/>
              <w:rPr>
                <w:lang w:val="en-GB"/>
              </w:rPr>
            </w:pPr>
          </w:p>
        </w:tc>
        <w:tc>
          <w:tcPr>
            <w:tcW w:w="7610" w:type="dxa"/>
            <w:shd w:val="clear" w:color="auto" w:fill="auto"/>
            <w:tcMar>
              <w:left w:w="0" w:type="dxa"/>
            </w:tcMar>
          </w:tcPr>
          <w:p w14:paraId="74B13226" w14:textId="416BD487" w:rsidR="009B0A5E" w:rsidRPr="005D703F" w:rsidRDefault="009B0A5E" w:rsidP="00125FB3">
            <w:pPr>
              <w:rPr>
                <w:lang w:val="en-GB"/>
              </w:rPr>
            </w:pPr>
            <w:r>
              <w:rPr>
                <w:lang w:val="en-GB"/>
              </w:rPr>
              <w:t xml:space="preserve">Terms of trade attained </w:t>
            </w:r>
            <w:r w:rsidRPr="005D703F">
              <w:rPr>
                <w:lang w:val="en-GB"/>
              </w:rPr>
              <w:t>99</w:t>
            </w:r>
            <w:r>
              <w:rPr>
                <w:lang w:val="en-GB"/>
              </w:rPr>
              <w:t>.</w:t>
            </w:r>
            <w:r w:rsidRPr="005D703F">
              <w:rPr>
                <w:lang w:val="en-GB"/>
              </w:rPr>
              <w:t>7%</w:t>
            </w:r>
            <w:r>
              <w:rPr>
                <w:lang w:val="en-GB"/>
              </w:rPr>
              <w:t xml:space="preserve"> in year 2021</w:t>
            </w:r>
            <w:r w:rsidRPr="005D703F">
              <w:rPr>
                <w:lang w:val="en-GB"/>
              </w:rPr>
              <w:t xml:space="preserve"> (</w:t>
            </w:r>
            <w:r>
              <w:rPr>
                <w:lang w:val="en-GB"/>
              </w:rPr>
              <w:t xml:space="preserve">they were positive in year </w:t>
            </w:r>
            <w:r w:rsidRPr="005D703F">
              <w:rPr>
                <w:lang w:val="en-GB"/>
              </w:rPr>
              <w:t>2020).</w:t>
            </w:r>
            <w:r>
              <w:rPr>
                <w:lang w:val="en-GB"/>
              </w:rPr>
              <w:t xml:space="preserve"> They were substantially negative in trade with mineral fuels </w:t>
            </w:r>
            <w:r w:rsidRPr="005D703F">
              <w:rPr>
                <w:lang w:val="en-GB"/>
              </w:rPr>
              <w:t>(93</w:t>
            </w:r>
            <w:r>
              <w:rPr>
                <w:lang w:val="en-GB"/>
              </w:rPr>
              <w:t>.</w:t>
            </w:r>
            <w:r w:rsidRPr="005D703F">
              <w:rPr>
                <w:lang w:val="en-GB"/>
              </w:rPr>
              <w:t>5%),</w:t>
            </w:r>
            <w:r>
              <w:rPr>
                <w:lang w:val="en-GB"/>
              </w:rPr>
              <w:t xml:space="preserve"> beverages and tobacco </w:t>
            </w:r>
            <w:r w:rsidRPr="005D703F">
              <w:rPr>
                <w:lang w:val="en-GB"/>
              </w:rPr>
              <w:t>(96</w:t>
            </w:r>
            <w:r>
              <w:rPr>
                <w:lang w:val="en-GB"/>
              </w:rPr>
              <w:t>.</w:t>
            </w:r>
            <w:r w:rsidRPr="005D703F">
              <w:rPr>
                <w:lang w:val="en-GB"/>
              </w:rPr>
              <w:t xml:space="preserve">4%). </w:t>
            </w:r>
            <w:r>
              <w:rPr>
                <w:lang w:val="en-GB"/>
              </w:rPr>
              <w:t xml:space="preserve">On the contrary, the terms of trade were positive with other materials </w:t>
            </w:r>
            <w:r w:rsidRPr="005D703F">
              <w:rPr>
                <w:lang w:val="en-GB"/>
              </w:rPr>
              <w:t>(116</w:t>
            </w:r>
            <w:r>
              <w:rPr>
                <w:lang w:val="en-GB"/>
              </w:rPr>
              <w:t>.</w:t>
            </w:r>
            <w:r w:rsidRPr="005D703F">
              <w:rPr>
                <w:lang w:val="en-GB"/>
              </w:rPr>
              <w:t>6%),</w:t>
            </w:r>
            <w:r>
              <w:rPr>
                <w:lang w:val="en-GB"/>
              </w:rPr>
              <w:t xml:space="preserve"> food and live animals </w:t>
            </w:r>
            <w:r w:rsidRPr="005D703F">
              <w:rPr>
                <w:lang w:val="en-GB"/>
              </w:rPr>
              <w:t>(106</w:t>
            </w:r>
            <w:r>
              <w:rPr>
                <w:lang w:val="en-GB"/>
              </w:rPr>
              <w:t>.</w:t>
            </w:r>
            <w:r w:rsidRPr="005D703F">
              <w:rPr>
                <w:lang w:val="en-GB"/>
              </w:rPr>
              <w:t xml:space="preserve">4%), </w:t>
            </w:r>
            <w:r>
              <w:rPr>
                <w:lang w:val="en-GB"/>
              </w:rPr>
              <w:t xml:space="preserve">machinery and transport equipment </w:t>
            </w:r>
            <w:r w:rsidRPr="005D703F">
              <w:rPr>
                <w:lang w:val="en-GB"/>
              </w:rPr>
              <w:t>(102</w:t>
            </w:r>
            <w:r>
              <w:rPr>
                <w:lang w:val="en-GB"/>
              </w:rPr>
              <w:t>.</w:t>
            </w:r>
            <w:r w:rsidRPr="005D703F">
              <w:rPr>
                <w:lang w:val="en-GB"/>
              </w:rPr>
              <w:t>8%), chemi</w:t>
            </w:r>
            <w:r>
              <w:rPr>
                <w:lang w:val="en-GB"/>
              </w:rPr>
              <w:t>cal</w:t>
            </w:r>
            <w:r w:rsidR="00125FB3">
              <w:rPr>
                <w:lang w:val="en-GB"/>
              </w:rPr>
              <w:t>s</w:t>
            </w:r>
            <w:r>
              <w:rPr>
                <w:lang w:val="en-GB"/>
              </w:rPr>
              <w:t xml:space="preserve"> </w:t>
            </w:r>
            <w:r w:rsidRPr="005D703F">
              <w:rPr>
                <w:lang w:val="en-GB"/>
              </w:rPr>
              <w:t>(101</w:t>
            </w:r>
            <w:r>
              <w:rPr>
                <w:lang w:val="en-GB"/>
              </w:rPr>
              <w:t>.</w:t>
            </w:r>
            <w:r w:rsidRPr="005D703F">
              <w:rPr>
                <w:lang w:val="en-GB"/>
              </w:rPr>
              <w:t xml:space="preserve">9%), </w:t>
            </w:r>
            <w:r w:rsidR="00125FB3">
              <w:rPr>
                <w:lang w:val="en-GB"/>
              </w:rPr>
              <w:t>m</w:t>
            </w:r>
            <w:r w:rsidR="00125FB3">
              <w:t>iscellaneous manufactured articles</w:t>
            </w:r>
            <w:r>
              <w:rPr>
                <w:lang w:val="en-GB"/>
              </w:rPr>
              <w:t xml:space="preserve"> </w:t>
            </w:r>
            <w:r w:rsidRPr="005D703F">
              <w:rPr>
                <w:lang w:val="en-GB"/>
              </w:rPr>
              <w:t>(101</w:t>
            </w:r>
            <w:r>
              <w:rPr>
                <w:lang w:val="en-GB"/>
              </w:rPr>
              <w:t>.</w:t>
            </w:r>
            <w:r w:rsidRPr="005D703F">
              <w:rPr>
                <w:lang w:val="en-GB"/>
              </w:rPr>
              <w:t>8%)</w:t>
            </w:r>
            <w:r>
              <w:rPr>
                <w:lang w:val="en-GB"/>
              </w:rPr>
              <w:t xml:space="preserve"> and semi-finished goods </w:t>
            </w:r>
            <w:r w:rsidRPr="005D703F">
              <w:rPr>
                <w:lang w:val="en-GB"/>
              </w:rPr>
              <w:t>(100</w:t>
            </w:r>
            <w:r>
              <w:rPr>
                <w:lang w:val="en-GB"/>
              </w:rPr>
              <w:t>.</w:t>
            </w:r>
            <w:r w:rsidRPr="005D703F">
              <w:rPr>
                <w:lang w:val="en-GB"/>
              </w:rPr>
              <w:t>1%).</w:t>
            </w:r>
            <w:r>
              <w:rPr>
                <w:lang w:val="en-GB"/>
              </w:rPr>
              <w:t xml:space="preserve"> In Q</w:t>
            </w:r>
            <w:r w:rsidRPr="005D703F">
              <w:rPr>
                <w:lang w:val="en-GB"/>
              </w:rPr>
              <w:t>4</w:t>
            </w:r>
            <w:r>
              <w:rPr>
                <w:lang w:val="en-GB"/>
              </w:rPr>
              <w:t xml:space="preserve">, the terms of trade were </w:t>
            </w:r>
            <w:r w:rsidRPr="005D703F">
              <w:rPr>
                <w:lang w:val="en-GB"/>
              </w:rPr>
              <w:t>97</w:t>
            </w:r>
            <w:r>
              <w:rPr>
                <w:lang w:val="en-GB"/>
              </w:rPr>
              <w:t>.</w:t>
            </w:r>
            <w:r w:rsidRPr="005D703F">
              <w:rPr>
                <w:lang w:val="en-GB"/>
              </w:rPr>
              <w:t xml:space="preserve">9%. </w:t>
            </w:r>
            <w:r>
              <w:rPr>
                <w:lang w:val="en-GB"/>
              </w:rPr>
              <w:t xml:space="preserve">Negative terms of trade were in trade with beverages and tobacco </w:t>
            </w:r>
            <w:r w:rsidRPr="005D703F">
              <w:rPr>
                <w:lang w:val="en-GB"/>
              </w:rPr>
              <w:t>(95</w:t>
            </w:r>
            <w:r>
              <w:rPr>
                <w:lang w:val="en-GB"/>
              </w:rPr>
              <w:t>.</w:t>
            </w:r>
            <w:r w:rsidRPr="005D703F">
              <w:rPr>
                <w:lang w:val="en-GB"/>
              </w:rPr>
              <w:t>9%) a</w:t>
            </w:r>
            <w:r>
              <w:rPr>
                <w:lang w:val="en-GB"/>
              </w:rPr>
              <w:t xml:space="preserve">nd mineral fuels </w:t>
            </w:r>
            <w:r w:rsidRPr="005D703F">
              <w:rPr>
                <w:lang w:val="en-GB"/>
              </w:rPr>
              <w:t>(98</w:t>
            </w:r>
            <w:r>
              <w:rPr>
                <w:lang w:val="en-GB"/>
              </w:rPr>
              <w:t>.</w:t>
            </w:r>
            <w:r w:rsidRPr="005D703F">
              <w:rPr>
                <w:lang w:val="en-GB"/>
              </w:rPr>
              <w:t xml:space="preserve">3%). </w:t>
            </w:r>
            <w:r>
              <w:rPr>
                <w:lang w:val="en-GB"/>
              </w:rPr>
              <w:t xml:space="preserve">Terms of trade were positive for other materials </w:t>
            </w:r>
            <w:r w:rsidRPr="005D703F">
              <w:rPr>
                <w:lang w:val="en-GB"/>
              </w:rPr>
              <w:t>(126</w:t>
            </w:r>
            <w:r>
              <w:rPr>
                <w:lang w:val="en-GB"/>
              </w:rPr>
              <w:t>.</w:t>
            </w:r>
            <w:r w:rsidRPr="005D703F">
              <w:rPr>
                <w:lang w:val="en-GB"/>
              </w:rPr>
              <w:t>4%),</w:t>
            </w:r>
            <w:r>
              <w:rPr>
                <w:lang w:val="en-GB"/>
              </w:rPr>
              <w:t xml:space="preserve"> food and live animals </w:t>
            </w:r>
            <w:r w:rsidRPr="005D703F">
              <w:rPr>
                <w:lang w:val="en-GB"/>
              </w:rPr>
              <w:t>(108</w:t>
            </w:r>
            <w:r>
              <w:rPr>
                <w:lang w:val="en-GB"/>
              </w:rPr>
              <w:t>.</w:t>
            </w:r>
            <w:r w:rsidRPr="005D703F">
              <w:rPr>
                <w:lang w:val="en-GB"/>
              </w:rPr>
              <w:t>4%),</w:t>
            </w:r>
            <w:r>
              <w:rPr>
                <w:lang w:val="en-GB"/>
              </w:rPr>
              <w:t xml:space="preserve"> </w:t>
            </w:r>
            <w:r w:rsidR="00125FB3">
              <w:rPr>
                <w:lang w:val="en-GB"/>
              </w:rPr>
              <w:t>m</w:t>
            </w:r>
            <w:r w:rsidR="00125FB3">
              <w:t>iscellaneous manufactured articles</w:t>
            </w:r>
            <w:r>
              <w:rPr>
                <w:lang w:val="en-GB"/>
              </w:rPr>
              <w:t xml:space="preserve"> </w:t>
            </w:r>
            <w:r w:rsidRPr="005D703F">
              <w:rPr>
                <w:lang w:val="en-GB"/>
              </w:rPr>
              <w:t>(102</w:t>
            </w:r>
            <w:r>
              <w:rPr>
                <w:lang w:val="en-GB"/>
              </w:rPr>
              <w:t>.</w:t>
            </w:r>
            <w:r w:rsidRPr="005D703F">
              <w:rPr>
                <w:lang w:val="en-GB"/>
              </w:rPr>
              <w:t>3%),</w:t>
            </w:r>
            <w:r>
              <w:rPr>
                <w:lang w:val="en-GB"/>
              </w:rPr>
              <w:t xml:space="preserve"> semi-finished goods </w:t>
            </w:r>
            <w:r w:rsidRPr="005D703F">
              <w:rPr>
                <w:lang w:val="en-GB"/>
              </w:rPr>
              <w:t>(101</w:t>
            </w:r>
            <w:r>
              <w:rPr>
                <w:lang w:val="en-GB"/>
              </w:rPr>
              <w:t>.</w:t>
            </w:r>
            <w:r w:rsidRPr="005D703F">
              <w:rPr>
                <w:lang w:val="en-GB"/>
              </w:rPr>
              <w:t>4%),</w:t>
            </w:r>
            <w:r>
              <w:rPr>
                <w:lang w:val="en-GB"/>
              </w:rPr>
              <w:t xml:space="preserve"> chemical</w:t>
            </w:r>
            <w:r w:rsidR="00125FB3">
              <w:rPr>
                <w:lang w:val="en-GB"/>
              </w:rPr>
              <w:t>s</w:t>
            </w:r>
            <w:r>
              <w:rPr>
                <w:lang w:val="en-GB"/>
              </w:rPr>
              <w:t xml:space="preserve"> </w:t>
            </w:r>
            <w:r w:rsidRPr="005D703F">
              <w:rPr>
                <w:lang w:val="en-GB"/>
              </w:rPr>
              <w:t>(101</w:t>
            </w:r>
            <w:r>
              <w:rPr>
                <w:lang w:val="en-GB"/>
              </w:rPr>
              <w:t>.</w:t>
            </w:r>
            <w:r w:rsidRPr="005D703F">
              <w:rPr>
                <w:lang w:val="en-GB"/>
              </w:rPr>
              <w:t>2%) a</w:t>
            </w:r>
            <w:r>
              <w:rPr>
                <w:lang w:val="en-GB"/>
              </w:rPr>
              <w:t xml:space="preserve">nd machinery and transportation equipment </w:t>
            </w:r>
            <w:r w:rsidRPr="005D703F">
              <w:rPr>
                <w:lang w:val="en-GB"/>
              </w:rPr>
              <w:t>(101</w:t>
            </w:r>
            <w:r>
              <w:rPr>
                <w:lang w:val="en-GB"/>
              </w:rPr>
              <w:t>.</w:t>
            </w:r>
            <w:r w:rsidRPr="005D703F">
              <w:rPr>
                <w:lang w:val="en-GB"/>
              </w:rPr>
              <w:t>0%).</w:t>
            </w:r>
          </w:p>
        </w:tc>
      </w:tr>
    </w:tbl>
    <w:p w14:paraId="5BAB8EA3" w14:textId="2CCF54AC" w:rsidR="000663F0" w:rsidRPr="00E42054" w:rsidRDefault="000663F0" w:rsidP="00AB3BA7">
      <w:pPr>
        <w:pStyle w:val="Nadpis11"/>
        <w:rPr>
          <w:b w:val="0"/>
          <w:sz w:val="2"/>
          <w:szCs w:val="2"/>
        </w:rPr>
      </w:pPr>
      <w:bookmarkStart w:id="8" w:name="_GoBack"/>
      <w:bookmarkEnd w:id="1"/>
      <w:bookmarkEnd w:id="2"/>
      <w:bookmarkEnd w:id="3"/>
      <w:bookmarkEnd w:id="4"/>
      <w:bookmarkEnd w:id="5"/>
      <w:bookmarkEnd w:id="6"/>
      <w:bookmarkEnd w:id="8"/>
    </w:p>
    <w:sectPr w:rsidR="000663F0" w:rsidRPr="00E42054" w:rsidSect="004F2740">
      <w:headerReference w:type="even" r:id="rId12"/>
      <w:headerReference w:type="default" r:id="rId13"/>
      <w:footerReference w:type="even" r:id="rId14"/>
      <w:footerReference w:type="default" r:id="rId15"/>
      <w:pgSz w:w="11906" w:h="16838" w:code="9"/>
      <w:pgMar w:top="1134" w:right="1134" w:bottom="1418" w:left="1134" w:header="680" w:footer="737" w:gutter="0"/>
      <w:pgNumType w:start="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4C31A" w14:textId="77777777" w:rsidR="009F5E15" w:rsidRDefault="009F5E15" w:rsidP="00E71A58">
      <w:r>
        <w:separator/>
      </w:r>
    </w:p>
  </w:endnote>
  <w:endnote w:type="continuationSeparator" w:id="0">
    <w:p w14:paraId="53AC19BE" w14:textId="77777777" w:rsidR="009F5E15" w:rsidRDefault="009F5E15"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3E438AE1" w:rsidR="007C581C" w:rsidRPr="00932443" w:rsidRDefault="007C581C"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4F2740">
      <w:rPr>
        <w:szCs w:val="16"/>
      </w:rPr>
      <w:t>30</w:t>
    </w:r>
    <w:r w:rsidRPr="00932443">
      <w:rPr>
        <w:szCs w:val="16"/>
      </w:rPr>
      <w:fldChar w:fldCharType="end"/>
    </w:r>
    <w:r w:rsidRPr="00932443">
      <w:rPr>
        <w:szCs w:val="16"/>
      </w:rPr>
      <w:tab/>
    </w:r>
    <w:r>
      <w:rPr>
        <w:szCs w:val="16"/>
      </w:rPr>
      <w:t>year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72ABF069" w:rsidR="007C581C" w:rsidRPr="00932443" w:rsidRDefault="00E81D18" w:rsidP="00FA6CB6">
    <w:pPr>
      <w:pStyle w:val="Zpat"/>
      <w:rPr>
        <w:szCs w:val="16"/>
      </w:rPr>
    </w:pPr>
    <w:r>
      <w:rPr>
        <w:lang w:eastAsia="cs-CZ"/>
      </w:rPr>
      <w:drawing>
        <wp:anchor distT="0" distB="0" distL="114300" distR="114300" simplePos="0" relativeHeight="251670016" behindDoc="0" locked="0" layoutInCell="1" allowOverlap="1" wp14:anchorId="06D08D78" wp14:editId="29900516">
          <wp:simplePos x="0" y="0"/>
          <wp:positionH relativeFrom="margin">
            <wp:align>left</wp:align>
          </wp:positionH>
          <wp:positionV relativeFrom="paragraph">
            <wp:posOffset>-74428</wp:posOffset>
          </wp:positionV>
          <wp:extent cx="676910" cy="201930"/>
          <wp:effectExtent l="0" t="0" r="8890" b="7620"/>
          <wp:wrapNone/>
          <wp:docPr id="12" name="Picture 12"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EN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20193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81C" w:rsidRPr="00FA6CB6">
      <w:rPr>
        <w:szCs w:val="16"/>
      </w:rPr>
      <w:tab/>
    </w:r>
    <w:r w:rsidR="007C581C">
      <w:rPr>
        <w:szCs w:val="16"/>
      </w:rPr>
      <w:t>Year 2021</w:t>
    </w:r>
    <w:r w:rsidR="007C581C" w:rsidRPr="00932443">
      <w:rPr>
        <w:szCs w:val="16"/>
      </w:rPr>
      <w:tab/>
    </w:r>
    <w:r w:rsidR="007C581C" w:rsidRPr="00932443">
      <w:rPr>
        <w:rStyle w:val="ZpatChar"/>
        <w:szCs w:val="16"/>
      </w:rPr>
      <w:fldChar w:fldCharType="begin"/>
    </w:r>
    <w:r w:rsidR="007C581C" w:rsidRPr="00932443">
      <w:rPr>
        <w:rStyle w:val="ZpatChar"/>
        <w:szCs w:val="16"/>
      </w:rPr>
      <w:instrText>PAGE   \* MERGEFORMAT</w:instrText>
    </w:r>
    <w:r w:rsidR="007C581C" w:rsidRPr="00932443">
      <w:rPr>
        <w:rStyle w:val="ZpatChar"/>
        <w:szCs w:val="16"/>
      </w:rPr>
      <w:fldChar w:fldCharType="separate"/>
    </w:r>
    <w:r w:rsidR="004F2740">
      <w:rPr>
        <w:rStyle w:val="ZpatChar"/>
        <w:szCs w:val="16"/>
      </w:rPr>
      <w:t>29</w:t>
    </w:r>
    <w:r w:rsidR="007C581C"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C2F7D" w14:textId="77777777" w:rsidR="009F5E15" w:rsidRDefault="009F5E15" w:rsidP="00A21B4D">
      <w:pPr>
        <w:spacing w:after="0"/>
      </w:pPr>
      <w:r>
        <w:separator/>
      </w:r>
    </w:p>
  </w:footnote>
  <w:footnote w:type="continuationSeparator" w:id="0">
    <w:p w14:paraId="1654D97A" w14:textId="77777777" w:rsidR="009F5E15" w:rsidRDefault="009F5E15" w:rsidP="00E71A58">
      <w:r>
        <w:continuationSeparator/>
      </w:r>
    </w:p>
  </w:footnote>
  <w:footnote w:id="1">
    <w:p w14:paraId="2A559405" w14:textId="6FF4146E" w:rsidR="007C581C" w:rsidRPr="00F34AF4" w:rsidRDefault="007C581C" w:rsidP="00F34AF4">
      <w:pPr>
        <w:pStyle w:val="Textpoznpodarou"/>
        <w:jc w:val="both"/>
        <w:rPr>
          <w:sz w:val="16"/>
          <w:szCs w:val="16"/>
          <w:lang w:val="en-GB"/>
        </w:rPr>
      </w:pPr>
      <w:r w:rsidRPr="000A4298">
        <w:rPr>
          <w:rStyle w:val="Znakapoznpodarou"/>
          <w:sz w:val="16"/>
          <w:szCs w:val="16"/>
        </w:rPr>
        <w:footnoteRef/>
      </w:r>
      <w:r>
        <w:rPr>
          <w:sz w:val="16"/>
          <w:szCs w:val="16"/>
        </w:rPr>
        <w:t xml:space="preserve"> </w:t>
      </w:r>
      <w:r w:rsidRPr="00F34AF4">
        <w:rPr>
          <w:sz w:val="16"/>
          <w:szCs w:val="16"/>
          <w:lang w:val="en-GB"/>
        </w:rPr>
        <w:t xml:space="preserve">Imputed rent expresses the cost of owner housing. Apart from the prices of housing themselves, it also consists of costs of construction and renovation and further fees. More at: </w:t>
      </w:r>
      <w:hyperlink r:id="rId1" w:history="1">
        <w:r w:rsidRPr="00F34AF4">
          <w:rPr>
            <w:rStyle w:val="Hypertextovodkaz"/>
            <w:sz w:val="16"/>
            <w:szCs w:val="16"/>
            <w:lang w:val="en-GB"/>
          </w:rPr>
          <w:t>https://www.czso.cz/csu/czso/metodicka-poznamka-k-indexu-spotrebitelskych-cen-imputovane-najemne</w:t>
        </w:r>
      </w:hyperlink>
    </w:p>
  </w:footnote>
  <w:footnote w:id="2">
    <w:p w14:paraId="301C4156" w14:textId="74607B68" w:rsidR="007C581C" w:rsidRPr="00A21647" w:rsidRDefault="007C581C" w:rsidP="009B553D">
      <w:pPr>
        <w:pStyle w:val="Textpoznpodarou"/>
        <w:rPr>
          <w:sz w:val="16"/>
          <w:szCs w:val="16"/>
          <w:lang w:val="en-GB"/>
        </w:rPr>
      </w:pPr>
      <w:r w:rsidRPr="00C055FA">
        <w:rPr>
          <w:rStyle w:val="Znakapoznpodarou"/>
          <w:sz w:val="16"/>
          <w:szCs w:val="16"/>
        </w:rPr>
        <w:footnoteRef/>
      </w:r>
      <w:r w:rsidRPr="00C055FA">
        <w:rPr>
          <w:sz w:val="16"/>
          <w:szCs w:val="16"/>
        </w:rPr>
        <w:t xml:space="preserve"> </w:t>
      </w:r>
      <w:r w:rsidRPr="00A21647">
        <w:rPr>
          <w:sz w:val="16"/>
          <w:szCs w:val="16"/>
          <w:lang w:val="en-GB"/>
        </w:rPr>
        <w:t xml:space="preserve">HICP does not contain the imputed rent. </w:t>
      </w:r>
    </w:p>
  </w:footnote>
  <w:footnote w:id="3">
    <w:p w14:paraId="47034F97" w14:textId="6416BDA1" w:rsidR="007C581C" w:rsidRPr="00037362" w:rsidRDefault="007C581C" w:rsidP="009B553D">
      <w:pPr>
        <w:pStyle w:val="Textpoznpodarou"/>
        <w:rPr>
          <w:sz w:val="16"/>
          <w:szCs w:val="16"/>
          <w:lang w:val="en-GB"/>
        </w:rPr>
      </w:pPr>
      <w:r w:rsidRPr="005F66A4">
        <w:rPr>
          <w:rStyle w:val="Znakapoznpodarou"/>
          <w:sz w:val="16"/>
          <w:szCs w:val="16"/>
        </w:rPr>
        <w:footnoteRef/>
      </w:r>
      <w:r w:rsidRPr="005F66A4">
        <w:rPr>
          <w:sz w:val="16"/>
          <w:szCs w:val="16"/>
        </w:rPr>
        <w:t xml:space="preserve"> </w:t>
      </w:r>
      <w:r w:rsidRPr="00037362">
        <w:rPr>
          <w:sz w:val="16"/>
          <w:szCs w:val="16"/>
          <w:lang w:val="en-GB"/>
        </w:rPr>
        <w:t xml:space="preserve">Data are not given due to the protection of individual data. </w:t>
      </w:r>
    </w:p>
  </w:footnote>
  <w:footnote w:id="4">
    <w:p w14:paraId="65113B68" w14:textId="314D2D2D" w:rsidR="007C581C" w:rsidRPr="00350728" w:rsidRDefault="007C581C" w:rsidP="009B553D">
      <w:pPr>
        <w:pStyle w:val="Textpoznpodarou"/>
        <w:rPr>
          <w:sz w:val="16"/>
          <w:szCs w:val="16"/>
          <w:lang w:val="en-GB"/>
        </w:rPr>
      </w:pPr>
      <w:r w:rsidRPr="000C5F73">
        <w:rPr>
          <w:rStyle w:val="Znakapoznpodarou"/>
          <w:sz w:val="16"/>
          <w:szCs w:val="16"/>
        </w:rPr>
        <w:footnoteRef/>
      </w:r>
      <w:r w:rsidRPr="000C5F73">
        <w:rPr>
          <w:sz w:val="16"/>
          <w:szCs w:val="16"/>
        </w:rPr>
        <w:t xml:space="preserve"> </w:t>
      </w:r>
      <w:r w:rsidRPr="00350728">
        <w:rPr>
          <w:sz w:val="16"/>
          <w:szCs w:val="16"/>
          <w:lang w:val="en-GB"/>
        </w:rPr>
        <w:t xml:space="preserve">Excluding prices of water supply and waste management. </w:t>
      </w:r>
    </w:p>
  </w:footnote>
  <w:footnote w:id="5">
    <w:p w14:paraId="6120DFAB" w14:textId="4818D8F1" w:rsidR="007C581C" w:rsidRPr="00DF199C" w:rsidRDefault="007C581C" w:rsidP="009B553D">
      <w:pPr>
        <w:pStyle w:val="Textpoznpodarou"/>
        <w:rPr>
          <w:sz w:val="16"/>
          <w:szCs w:val="16"/>
          <w:lang w:val="en-GB"/>
        </w:rPr>
      </w:pPr>
      <w:r w:rsidRPr="00C11C5A">
        <w:rPr>
          <w:rStyle w:val="Znakapoznpodarou"/>
          <w:sz w:val="16"/>
          <w:szCs w:val="16"/>
        </w:rPr>
        <w:footnoteRef/>
      </w:r>
      <w:r>
        <w:rPr>
          <w:sz w:val="16"/>
          <w:szCs w:val="16"/>
        </w:rPr>
        <w:t xml:space="preserve"> </w:t>
      </w:r>
      <w:r w:rsidRPr="00DF199C">
        <w:rPr>
          <w:sz w:val="16"/>
          <w:szCs w:val="16"/>
          <w:lang w:val="en-GB"/>
        </w:rPr>
        <w:t>According to the CNB data, the average koruna foreign attained 26.444 CZK/EUR in 2020. Last year it was 25.645 CZK/EUR.</w:t>
      </w:r>
      <w:r>
        <w:rPr>
          <w:sz w:val="16"/>
          <w:szCs w:val="16"/>
          <w:lang w:val="en-GB"/>
        </w:rPr>
        <w:t xml:space="preserve"> The koruna foreign exchange was also stronger against dollar. The average was </w:t>
      </w:r>
      <w:r w:rsidRPr="00DF199C">
        <w:rPr>
          <w:sz w:val="16"/>
          <w:szCs w:val="16"/>
          <w:lang w:val="en-GB"/>
        </w:rPr>
        <w:t>23</w:t>
      </w:r>
      <w:r>
        <w:rPr>
          <w:sz w:val="16"/>
          <w:szCs w:val="16"/>
          <w:lang w:val="en-GB"/>
        </w:rPr>
        <w:t>.</w:t>
      </w:r>
      <w:r w:rsidRPr="00DF199C">
        <w:rPr>
          <w:sz w:val="16"/>
          <w:szCs w:val="16"/>
          <w:lang w:val="en-GB"/>
        </w:rPr>
        <w:t>196 CZK/USD</w:t>
      </w:r>
      <w:r>
        <w:rPr>
          <w:sz w:val="16"/>
          <w:szCs w:val="16"/>
          <w:lang w:val="en-GB"/>
        </w:rPr>
        <w:t xml:space="preserve"> in 2020, </w:t>
      </w:r>
      <w:r w:rsidRPr="00DF199C">
        <w:rPr>
          <w:sz w:val="16"/>
          <w:szCs w:val="16"/>
          <w:lang w:val="en-GB"/>
        </w:rPr>
        <w:t>21</w:t>
      </w:r>
      <w:r>
        <w:rPr>
          <w:sz w:val="16"/>
          <w:szCs w:val="16"/>
          <w:lang w:val="en-GB"/>
        </w:rPr>
        <w:t>.</w:t>
      </w:r>
      <w:r w:rsidRPr="00DF199C">
        <w:rPr>
          <w:sz w:val="16"/>
          <w:szCs w:val="16"/>
          <w:lang w:val="en-GB"/>
        </w:rPr>
        <w:t>682 CZK/USD</w:t>
      </w:r>
      <w:r>
        <w:rPr>
          <w:sz w:val="16"/>
          <w:szCs w:val="16"/>
          <w:lang w:val="en-GB"/>
        </w:rPr>
        <w:t xml:space="preserve"> last year</w:t>
      </w:r>
      <w:r w:rsidRPr="00DF199C">
        <w:rPr>
          <w:sz w:val="16"/>
          <w:szCs w:val="16"/>
          <w:lang w:val="en-GB"/>
        </w:rPr>
        <w:t>.</w:t>
      </w:r>
    </w:p>
  </w:footnote>
  <w:footnote w:id="6">
    <w:p w14:paraId="4531899F" w14:textId="61475F73" w:rsidR="007C581C" w:rsidRPr="00DF199C" w:rsidRDefault="007C581C" w:rsidP="009B553D">
      <w:pPr>
        <w:pStyle w:val="Textpoznpodarou"/>
        <w:rPr>
          <w:sz w:val="16"/>
          <w:szCs w:val="16"/>
          <w:lang w:val="en-GB"/>
        </w:rPr>
      </w:pPr>
      <w:r w:rsidRPr="00DF199C">
        <w:rPr>
          <w:rStyle w:val="Znakapoznpodarou"/>
          <w:sz w:val="16"/>
          <w:szCs w:val="16"/>
          <w:lang w:val="en-GB"/>
        </w:rPr>
        <w:footnoteRef/>
      </w:r>
      <w:r w:rsidRPr="00DF199C">
        <w:rPr>
          <w:sz w:val="16"/>
          <w:szCs w:val="16"/>
          <w:lang w:val="en-GB"/>
        </w:rPr>
        <w:t xml:space="preserve"> SITC 2 – crude materials, inedible, except fuels.</w:t>
      </w:r>
    </w:p>
  </w:footnote>
  <w:footnote w:id="7">
    <w:p w14:paraId="18798530" w14:textId="7FB0329E" w:rsidR="007C581C" w:rsidRPr="002C5B25" w:rsidRDefault="007C581C" w:rsidP="00DF199C">
      <w:pPr>
        <w:pStyle w:val="Textpoznpodarou"/>
        <w:jc w:val="both"/>
        <w:rPr>
          <w:sz w:val="16"/>
          <w:szCs w:val="16"/>
          <w:lang w:val="en-GB"/>
        </w:rPr>
      </w:pPr>
      <w:r w:rsidRPr="002C5B25">
        <w:rPr>
          <w:rStyle w:val="Znakapoznpodarou"/>
          <w:sz w:val="16"/>
          <w:szCs w:val="16"/>
          <w:lang w:val="en-GB"/>
        </w:rPr>
        <w:footnoteRef/>
      </w:r>
      <w:r w:rsidRPr="002C5B25">
        <w:rPr>
          <w:sz w:val="16"/>
          <w:szCs w:val="16"/>
          <w:lang w:val="en-GB"/>
        </w:rPr>
        <w:t xml:space="preserve"> SITC 6 – </w:t>
      </w:r>
      <w:r w:rsidRPr="00062BF9">
        <w:rPr>
          <w:sz w:val="16"/>
          <w:szCs w:val="16"/>
          <w:lang w:val="en-GB"/>
        </w:rPr>
        <w:t>ma</w:t>
      </w:r>
      <w:r>
        <w:rPr>
          <w:sz w:val="16"/>
          <w:szCs w:val="16"/>
          <w:lang w:val="en-GB"/>
        </w:rPr>
        <w:t xml:space="preserve">nufactured </w:t>
      </w:r>
      <w:r w:rsidRPr="00062BF9">
        <w:rPr>
          <w:sz w:val="16"/>
          <w:szCs w:val="16"/>
          <w:lang w:val="en-GB"/>
        </w:rPr>
        <w:t>goods classified chiefly by material.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A67" w14:textId="2A94712D" w:rsidR="007C581C" w:rsidRPr="00504720" w:rsidRDefault="007C581C" w:rsidP="00937AE2">
    <w:pPr>
      <w:pStyle w:val="Zhlav"/>
      <w:rPr>
        <w:lang w:val="en-GB"/>
      </w:rPr>
    </w:pPr>
    <w:r w:rsidRPr="00504720">
      <w:rPr>
        <w:lang w:val="en-GB"/>
      </w:rPr>
      <w:t>The Czech Economy Development</w:t>
    </w:r>
  </w:p>
  <w:p w14:paraId="3E881AB3" w14:textId="77777777" w:rsidR="007C581C" w:rsidRPr="006F5416" w:rsidRDefault="007C581C"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728CD1F5" w:rsidR="007C581C" w:rsidRPr="00504720" w:rsidRDefault="007C581C" w:rsidP="00937AE2">
    <w:pPr>
      <w:pStyle w:val="Zhlav"/>
      <w:rPr>
        <w:lang w:val="en-GB"/>
      </w:rPr>
    </w:pPr>
    <w:r w:rsidRPr="00504720">
      <w:rPr>
        <w:lang w:val="en-GB"/>
      </w:rPr>
      <w:t>The Czech Economy Development</w:t>
    </w:r>
  </w:p>
  <w:p w14:paraId="57266714" w14:textId="77777777" w:rsidR="007C581C" w:rsidRPr="006F5416" w:rsidRDefault="007C581C"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4"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2"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6"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26"/>
  </w:num>
  <w:num w:numId="14">
    <w:abstractNumId w:val="13"/>
  </w:num>
  <w:num w:numId="15">
    <w:abstractNumId w:val="19"/>
  </w:num>
  <w:num w:numId="16">
    <w:abstractNumId w:val="15"/>
  </w:num>
  <w:num w:numId="17">
    <w:abstractNumId w:val="27"/>
  </w:num>
  <w:num w:numId="18">
    <w:abstractNumId w:val="20"/>
  </w:num>
  <w:num w:numId="19">
    <w:abstractNumId w:val="28"/>
  </w:num>
  <w:num w:numId="20">
    <w:abstractNumId w:val="29"/>
  </w:num>
  <w:num w:numId="21">
    <w:abstractNumId w:val="25"/>
  </w:num>
  <w:num w:numId="22">
    <w:abstractNumId w:val="18"/>
  </w:num>
  <w:num w:numId="23">
    <w:abstractNumId w:val="16"/>
  </w:num>
  <w:num w:numId="24">
    <w:abstractNumId w:val="17"/>
  </w:num>
  <w:num w:numId="25">
    <w:abstractNumId w:val="12"/>
  </w:num>
  <w:num w:numId="26">
    <w:abstractNumId w:val="22"/>
  </w:num>
  <w:num w:numId="27">
    <w:abstractNumId w:val="21"/>
  </w:num>
  <w:num w:numId="28">
    <w:abstractNumId w:val="10"/>
  </w:num>
  <w:num w:numId="29">
    <w:abstractNumId w:val="29"/>
  </w:num>
  <w:num w:numId="30">
    <w:abstractNumId w:val="23"/>
  </w:num>
  <w:num w:numId="31">
    <w:abstractNumId w:val="1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31A"/>
    <w:rsid w:val="000005AF"/>
    <w:rsid w:val="00000B55"/>
    <w:rsid w:val="0000209D"/>
    <w:rsid w:val="0000232E"/>
    <w:rsid w:val="00002566"/>
    <w:rsid w:val="0000370A"/>
    <w:rsid w:val="00003849"/>
    <w:rsid w:val="00003F5C"/>
    <w:rsid w:val="00004D5A"/>
    <w:rsid w:val="00005613"/>
    <w:rsid w:val="0000567F"/>
    <w:rsid w:val="000056D5"/>
    <w:rsid w:val="00005D9E"/>
    <w:rsid w:val="000063D5"/>
    <w:rsid w:val="00006625"/>
    <w:rsid w:val="00006ABD"/>
    <w:rsid w:val="00006B67"/>
    <w:rsid w:val="00006C0B"/>
    <w:rsid w:val="000073A0"/>
    <w:rsid w:val="0000767A"/>
    <w:rsid w:val="00007ABE"/>
    <w:rsid w:val="00010256"/>
    <w:rsid w:val="00010702"/>
    <w:rsid w:val="00010816"/>
    <w:rsid w:val="00010A2C"/>
    <w:rsid w:val="00010A36"/>
    <w:rsid w:val="000110E8"/>
    <w:rsid w:val="0001128E"/>
    <w:rsid w:val="00011912"/>
    <w:rsid w:val="00011BFC"/>
    <w:rsid w:val="000129B7"/>
    <w:rsid w:val="00012A35"/>
    <w:rsid w:val="00012F79"/>
    <w:rsid w:val="0001387D"/>
    <w:rsid w:val="00014ED0"/>
    <w:rsid w:val="00015657"/>
    <w:rsid w:val="00016420"/>
    <w:rsid w:val="00016BDB"/>
    <w:rsid w:val="00017945"/>
    <w:rsid w:val="00017B01"/>
    <w:rsid w:val="000200BE"/>
    <w:rsid w:val="000205D1"/>
    <w:rsid w:val="00020F22"/>
    <w:rsid w:val="0002195D"/>
    <w:rsid w:val="00021F9B"/>
    <w:rsid w:val="000221DD"/>
    <w:rsid w:val="000228AE"/>
    <w:rsid w:val="000233D1"/>
    <w:rsid w:val="000234D6"/>
    <w:rsid w:val="00023D29"/>
    <w:rsid w:val="00024219"/>
    <w:rsid w:val="00024348"/>
    <w:rsid w:val="00026109"/>
    <w:rsid w:val="00026389"/>
    <w:rsid w:val="0002669F"/>
    <w:rsid w:val="000279A9"/>
    <w:rsid w:val="000279E5"/>
    <w:rsid w:val="00027EF4"/>
    <w:rsid w:val="000305E0"/>
    <w:rsid w:val="00031AE0"/>
    <w:rsid w:val="00031BB2"/>
    <w:rsid w:val="000322EF"/>
    <w:rsid w:val="00033FCD"/>
    <w:rsid w:val="000348AF"/>
    <w:rsid w:val="00034B70"/>
    <w:rsid w:val="00034DF7"/>
    <w:rsid w:val="00034E68"/>
    <w:rsid w:val="000350C8"/>
    <w:rsid w:val="00036195"/>
    <w:rsid w:val="00037362"/>
    <w:rsid w:val="000374B2"/>
    <w:rsid w:val="000376C0"/>
    <w:rsid w:val="000403A7"/>
    <w:rsid w:val="00040632"/>
    <w:rsid w:val="00041AFC"/>
    <w:rsid w:val="00041CEC"/>
    <w:rsid w:val="00041D02"/>
    <w:rsid w:val="00042596"/>
    <w:rsid w:val="00042A4A"/>
    <w:rsid w:val="00044183"/>
    <w:rsid w:val="0004431D"/>
    <w:rsid w:val="0004443E"/>
    <w:rsid w:val="00044AAC"/>
    <w:rsid w:val="0004694F"/>
    <w:rsid w:val="00046F2F"/>
    <w:rsid w:val="00047AD4"/>
    <w:rsid w:val="00047D54"/>
    <w:rsid w:val="0005054A"/>
    <w:rsid w:val="00050CD8"/>
    <w:rsid w:val="00051506"/>
    <w:rsid w:val="000522E4"/>
    <w:rsid w:val="00053713"/>
    <w:rsid w:val="0005434E"/>
    <w:rsid w:val="0005480E"/>
    <w:rsid w:val="00055CB6"/>
    <w:rsid w:val="0005658B"/>
    <w:rsid w:val="000572DD"/>
    <w:rsid w:val="00057B1E"/>
    <w:rsid w:val="0006033F"/>
    <w:rsid w:val="000610E1"/>
    <w:rsid w:val="000616AD"/>
    <w:rsid w:val="00061E88"/>
    <w:rsid w:val="000622A6"/>
    <w:rsid w:val="000627BD"/>
    <w:rsid w:val="0006286E"/>
    <w:rsid w:val="00062D70"/>
    <w:rsid w:val="00062EC5"/>
    <w:rsid w:val="00062F22"/>
    <w:rsid w:val="00063975"/>
    <w:rsid w:val="00063CEA"/>
    <w:rsid w:val="0006444D"/>
    <w:rsid w:val="000645FC"/>
    <w:rsid w:val="0006533F"/>
    <w:rsid w:val="00065348"/>
    <w:rsid w:val="0006551C"/>
    <w:rsid w:val="00065A75"/>
    <w:rsid w:val="000663F0"/>
    <w:rsid w:val="00066558"/>
    <w:rsid w:val="000668F1"/>
    <w:rsid w:val="000671DB"/>
    <w:rsid w:val="000672E3"/>
    <w:rsid w:val="000676FF"/>
    <w:rsid w:val="00067982"/>
    <w:rsid w:val="00070A87"/>
    <w:rsid w:val="000712B3"/>
    <w:rsid w:val="00071A7C"/>
    <w:rsid w:val="00071E38"/>
    <w:rsid w:val="00072FF5"/>
    <w:rsid w:val="00073A5A"/>
    <w:rsid w:val="000743F9"/>
    <w:rsid w:val="0007474E"/>
    <w:rsid w:val="00074988"/>
    <w:rsid w:val="0007512B"/>
    <w:rsid w:val="00075551"/>
    <w:rsid w:val="000767F5"/>
    <w:rsid w:val="00076D90"/>
    <w:rsid w:val="00077FF0"/>
    <w:rsid w:val="0008115C"/>
    <w:rsid w:val="00081A55"/>
    <w:rsid w:val="0008263E"/>
    <w:rsid w:val="00082BA0"/>
    <w:rsid w:val="00082C19"/>
    <w:rsid w:val="00082F89"/>
    <w:rsid w:val="000837CD"/>
    <w:rsid w:val="000838A0"/>
    <w:rsid w:val="000842E9"/>
    <w:rsid w:val="00084BFF"/>
    <w:rsid w:val="00085185"/>
    <w:rsid w:val="00085395"/>
    <w:rsid w:val="00086896"/>
    <w:rsid w:val="0008695E"/>
    <w:rsid w:val="00086AC1"/>
    <w:rsid w:val="00086D19"/>
    <w:rsid w:val="00087634"/>
    <w:rsid w:val="00087F2B"/>
    <w:rsid w:val="00090694"/>
    <w:rsid w:val="00090EE2"/>
    <w:rsid w:val="00090FC6"/>
    <w:rsid w:val="000913B1"/>
    <w:rsid w:val="0009290F"/>
    <w:rsid w:val="00093241"/>
    <w:rsid w:val="00093532"/>
    <w:rsid w:val="00093868"/>
    <w:rsid w:val="00094A84"/>
    <w:rsid w:val="00095025"/>
    <w:rsid w:val="00095135"/>
    <w:rsid w:val="00095B8B"/>
    <w:rsid w:val="0009626E"/>
    <w:rsid w:val="0009644D"/>
    <w:rsid w:val="00097191"/>
    <w:rsid w:val="000974D1"/>
    <w:rsid w:val="00097784"/>
    <w:rsid w:val="0009799E"/>
    <w:rsid w:val="000A07CB"/>
    <w:rsid w:val="000A0BC0"/>
    <w:rsid w:val="000A1077"/>
    <w:rsid w:val="000A1183"/>
    <w:rsid w:val="000A12ED"/>
    <w:rsid w:val="000A1973"/>
    <w:rsid w:val="000A1D49"/>
    <w:rsid w:val="000A1F6A"/>
    <w:rsid w:val="000A2065"/>
    <w:rsid w:val="000A212B"/>
    <w:rsid w:val="000A242D"/>
    <w:rsid w:val="000A256D"/>
    <w:rsid w:val="000A2643"/>
    <w:rsid w:val="000A2E5F"/>
    <w:rsid w:val="000A337A"/>
    <w:rsid w:val="000A3A2C"/>
    <w:rsid w:val="000A3D9E"/>
    <w:rsid w:val="000A4A54"/>
    <w:rsid w:val="000A4ED9"/>
    <w:rsid w:val="000A5DB7"/>
    <w:rsid w:val="000A6753"/>
    <w:rsid w:val="000A6D94"/>
    <w:rsid w:val="000A7377"/>
    <w:rsid w:val="000A74A4"/>
    <w:rsid w:val="000A775A"/>
    <w:rsid w:val="000A7FF4"/>
    <w:rsid w:val="000B03CC"/>
    <w:rsid w:val="000B2BA8"/>
    <w:rsid w:val="000B4212"/>
    <w:rsid w:val="000B5C9C"/>
    <w:rsid w:val="000B67B7"/>
    <w:rsid w:val="000B7141"/>
    <w:rsid w:val="000C0CA6"/>
    <w:rsid w:val="000C0EA8"/>
    <w:rsid w:val="000C13A2"/>
    <w:rsid w:val="000C1C5A"/>
    <w:rsid w:val="000C21E7"/>
    <w:rsid w:val="000C23EC"/>
    <w:rsid w:val="000C26A2"/>
    <w:rsid w:val="000C290E"/>
    <w:rsid w:val="000C30C3"/>
    <w:rsid w:val="000C3408"/>
    <w:rsid w:val="000C35AB"/>
    <w:rsid w:val="000C3F7B"/>
    <w:rsid w:val="000C3FD8"/>
    <w:rsid w:val="000C4093"/>
    <w:rsid w:val="000C4769"/>
    <w:rsid w:val="000C4D56"/>
    <w:rsid w:val="000C5DFA"/>
    <w:rsid w:val="000C6AFD"/>
    <w:rsid w:val="000C6C90"/>
    <w:rsid w:val="000C72B7"/>
    <w:rsid w:val="000D009F"/>
    <w:rsid w:val="000D0236"/>
    <w:rsid w:val="000D0237"/>
    <w:rsid w:val="000D0A26"/>
    <w:rsid w:val="000D0B8E"/>
    <w:rsid w:val="000D13CB"/>
    <w:rsid w:val="000D2196"/>
    <w:rsid w:val="000D2312"/>
    <w:rsid w:val="000D296A"/>
    <w:rsid w:val="000D3058"/>
    <w:rsid w:val="000D310A"/>
    <w:rsid w:val="000D3EF4"/>
    <w:rsid w:val="000D4761"/>
    <w:rsid w:val="000D4DC0"/>
    <w:rsid w:val="000D55BA"/>
    <w:rsid w:val="000D5637"/>
    <w:rsid w:val="000D5A03"/>
    <w:rsid w:val="000D5ED3"/>
    <w:rsid w:val="000D6AAF"/>
    <w:rsid w:val="000D6D7C"/>
    <w:rsid w:val="000D6F4E"/>
    <w:rsid w:val="000D6FDA"/>
    <w:rsid w:val="000D7082"/>
    <w:rsid w:val="000D73BB"/>
    <w:rsid w:val="000D79D1"/>
    <w:rsid w:val="000E0E96"/>
    <w:rsid w:val="000E298B"/>
    <w:rsid w:val="000E2C7D"/>
    <w:rsid w:val="000E3E56"/>
    <w:rsid w:val="000E440D"/>
    <w:rsid w:val="000E4AC5"/>
    <w:rsid w:val="000E6253"/>
    <w:rsid w:val="000E6AC4"/>
    <w:rsid w:val="000E6E4D"/>
    <w:rsid w:val="000E6FBD"/>
    <w:rsid w:val="000E6FCB"/>
    <w:rsid w:val="000F090B"/>
    <w:rsid w:val="000F0C1C"/>
    <w:rsid w:val="000F3669"/>
    <w:rsid w:val="000F3F3B"/>
    <w:rsid w:val="000F4721"/>
    <w:rsid w:val="000F47E8"/>
    <w:rsid w:val="000F70E4"/>
    <w:rsid w:val="000F76EA"/>
    <w:rsid w:val="00100A8B"/>
    <w:rsid w:val="00100F5C"/>
    <w:rsid w:val="00100FB5"/>
    <w:rsid w:val="00101CDA"/>
    <w:rsid w:val="00102037"/>
    <w:rsid w:val="00102D7B"/>
    <w:rsid w:val="00103378"/>
    <w:rsid w:val="00103DCB"/>
    <w:rsid w:val="00104C4C"/>
    <w:rsid w:val="00105015"/>
    <w:rsid w:val="001055D2"/>
    <w:rsid w:val="001057C2"/>
    <w:rsid w:val="0010591C"/>
    <w:rsid w:val="00105B6B"/>
    <w:rsid w:val="00105C5C"/>
    <w:rsid w:val="00107124"/>
    <w:rsid w:val="00107243"/>
    <w:rsid w:val="0011038E"/>
    <w:rsid w:val="00110978"/>
    <w:rsid w:val="0011127D"/>
    <w:rsid w:val="00111573"/>
    <w:rsid w:val="00111B33"/>
    <w:rsid w:val="001125EF"/>
    <w:rsid w:val="00112CAB"/>
    <w:rsid w:val="0011440C"/>
    <w:rsid w:val="001145F6"/>
    <w:rsid w:val="00114C33"/>
    <w:rsid w:val="00116D3F"/>
    <w:rsid w:val="00117474"/>
    <w:rsid w:val="00117623"/>
    <w:rsid w:val="00117FEA"/>
    <w:rsid w:val="001200CF"/>
    <w:rsid w:val="001208E3"/>
    <w:rsid w:val="00120D71"/>
    <w:rsid w:val="00121609"/>
    <w:rsid w:val="0012192F"/>
    <w:rsid w:val="00122994"/>
    <w:rsid w:val="00123204"/>
    <w:rsid w:val="001239D6"/>
    <w:rsid w:val="00124B46"/>
    <w:rsid w:val="001257BE"/>
    <w:rsid w:val="001257E0"/>
    <w:rsid w:val="00125D20"/>
    <w:rsid w:val="00125D69"/>
    <w:rsid w:val="00125FB3"/>
    <w:rsid w:val="0012799C"/>
    <w:rsid w:val="00127BC2"/>
    <w:rsid w:val="00127E15"/>
    <w:rsid w:val="00130ADC"/>
    <w:rsid w:val="00130D9F"/>
    <w:rsid w:val="00132C4D"/>
    <w:rsid w:val="00133FC1"/>
    <w:rsid w:val="00134659"/>
    <w:rsid w:val="00135111"/>
    <w:rsid w:val="00135F31"/>
    <w:rsid w:val="001368DC"/>
    <w:rsid w:val="00136A6F"/>
    <w:rsid w:val="00136C1A"/>
    <w:rsid w:val="001405FA"/>
    <w:rsid w:val="00140D1A"/>
    <w:rsid w:val="00141184"/>
    <w:rsid w:val="001411A4"/>
    <w:rsid w:val="00141315"/>
    <w:rsid w:val="00141AA0"/>
    <w:rsid w:val="001425C3"/>
    <w:rsid w:val="0014262D"/>
    <w:rsid w:val="00142B29"/>
    <w:rsid w:val="00144108"/>
    <w:rsid w:val="00144588"/>
    <w:rsid w:val="001447DD"/>
    <w:rsid w:val="00145358"/>
    <w:rsid w:val="001459BC"/>
    <w:rsid w:val="00150333"/>
    <w:rsid w:val="00150ECA"/>
    <w:rsid w:val="00151707"/>
    <w:rsid w:val="00152C86"/>
    <w:rsid w:val="00152F4F"/>
    <w:rsid w:val="0015329F"/>
    <w:rsid w:val="001544A1"/>
    <w:rsid w:val="0015462F"/>
    <w:rsid w:val="00154DAC"/>
    <w:rsid w:val="001553B8"/>
    <w:rsid w:val="001554C2"/>
    <w:rsid w:val="00156CA1"/>
    <w:rsid w:val="00156D21"/>
    <w:rsid w:val="001571C0"/>
    <w:rsid w:val="0015753D"/>
    <w:rsid w:val="00157984"/>
    <w:rsid w:val="00157CC9"/>
    <w:rsid w:val="001603C1"/>
    <w:rsid w:val="001604A9"/>
    <w:rsid w:val="00160C21"/>
    <w:rsid w:val="001612F4"/>
    <w:rsid w:val="00161553"/>
    <w:rsid w:val="0016216F"/>
    <w:rsid w:val="0016256B"/>
    <w:rsid w:val="00162F81"/>
    <w:rsid w:val="00163793"/>
    <w:rsid w:val="00164CA1"/>
    <w:rsid w:val="00165313"/>
    <w:rsid w:val="00165DF4"/>
    <w:rsid w:val="0016623D"/>
    <w:rsid w:val="00167485"/>
    <w:rsid w:val="001679F5"/>
    <w:rsid w:val="00167AD0"/>
    <w:rsid w:val="00167B92"/>
    <w:rsid w:val="00167CB9"/>
    <w:rsid w:val="00167DD8"/>
    <w:rsid w:val="001705AD"/>
    <w:rsid w:val="001706D6"/>
    <w:rsid w:val="001714F2"/>
    <w:rsid w:val="001719C1"/>
    <w:rsid w:val="00171FEA"/>
    <w:rsid w:val="00173622"/>
    <w:rsid w:val="001751DC"/>
    <w:rsid w:val="0017580C"/>
    <w:rsid w:val="00175B9F"/>
    <w:rsid w:val="001762F4"/>
    <w:rsid w:val="00176664"/>
    <w:rsid w:val="00176D0A"/>
    <w:rsid w:val="001777BA"/>
    <w:rsid w:val="00181029"/>
    <w:rsid w:val="00181BBC"/>
    <w:rsid w:val="0018385F"/>
    <w:rsid w:val="00183BCF"/>
    <w:rsid w:val="00184017"/>
    <w:rsid w:val="001843D0"/>
    <w:rsid w:val="001847BB"/>
    <w:rsid w:val="00184B08"/>
    <w:rsid w:val="00184C25"/>
    <w:rsid w:val="00185010"/>
    <w:rsid w:val="00185C22"/>
    <w:rsid w:val="00185CB1"/>
    <w:rsid w:val="0018690D"/>
    <w:rsid w:val="00186BA9"/>
    <w:rsid w:val="00186D4B"/>
    <w:rsid w:val="00187D50"/>
    <w:rsid w:val="0019196C"/>
    <w:rsid w:val="001926A9"/>
    <w:rsid w:val="00192D81"/>
    <w:rsid w:val="00192E0C"/>
    <w:rsid w:val="00192F05"/>
    <w:rsid w:val="00193706"/>
    <w:rsid w:val="0019448A"/>
    <w:rsid w:val="00194729"/>
    <w:rsid w:val="00194850"/>
    <w:rsid w:val="00195234"/>
    <w:rsid w:val="00196016"/>
    <w:rsid w:val="001960FD"/>
    <w:rsid w:val="00196117"/>
    <w:rsid w:val="001977EB"/>
    <w:rsid w:val="00197A70"/>
    <w:rsid w:val="00197C0F"/>
    <w:rsid w:val="00197D0E"/>
    <w:rsid w:val="001A0487"/>
    <w:rsid w:val="001A0675"/>
    <w:rsid w:val="001A0A37"/>
    <w:rsid w:val="001A1529"/>
    <w:rsid w:val="001A1EED"/>
    <w:rsid w:val="001A1F68"/>
    <w:rsid w:val="001A21FA"/>
    <w:rsid w:val="001A4D7C"/>
    <w:rsid w:val="001A4EF0"/>
    <w:rsid w:val="001A552F"/>
    <w:rsid w:val="001A70B1"/>
    <w:rsid w:val="001A7388"/>
    <w:rsid w:val="001B0738"/>
    <w:rsid w:val="001B07F9"/>
    <w:rsid w:val="001B1235"/>
    <w:rsid w:val="001B158D"/>
    <w:rsid w:val="001B2CA9"/>
    <w:rsid w:val="001B3110"/>
    <w:rsid w:val="001B3E38"/>
    <w:rsid w:val="001B40F5"/>
    <w:rsid w:val="001B4729"/>
    <w:rsid w:val="001B494B"/>
    <w:rsid w:val="001B4F0E"/>
    <w:rsid w:val="001B5922"/>
    <w:rsid w:val="001B5F40"/>
    <w:rsid w:val="001B61EC"/>
    <w:rsid w:val="001B6310"/>
    <w:rsid w:val="001B63A8"/>
    <w:rsid w:val="001B6C09"/>
    <w:rsid w:val="001B6E12"/>
    <w:rsid w:val="001B7320"/>
    <w:rsid w:val="001B752A"/>
    <w:rsid w:val="001C05CD"/>
    <w:rsid w:val="001C064B"/>
    <w:rsid w:val="001C082B"/>
    <w:rsid w:val="001C0F17"/>
    <w:rsid w:val="001C1B24"/>
    <w:rsid w:val="001C1B66"/>
    <w:rsid w:val="001C1BB5"/>
    <w:rsid w:val="001C2732"/>
    <w:rsid w:val="001C2EB2"/>
    <w:rsid w:val="001C31A2"/>
    <w:rsid w:val="001C351D"/>
    <w:rsid w:val="001C3794"/>
    <w:rsid w:val="001C4A56"/>
    <w:rsid w:val="001C4B8F"/>
    <w:rsid w:val="001C4BB8"/>
    <w:rsid w:val="001C4FD0"/>
    <w:rsid w:val="001C544D"/>
    <w:rsid w:val="001C547D"/>
    <w:rsid w:val="001C5E46"/>
    <w:rsid w:val="001C6594"/>
    <w:rsid w:val="001C673E"/>
    <w:rsid w:val="001C6B3B"/>
    <w:rsid w:val="001C7A26"/>
    <w:rsid w:val="001C7E3F"/>
    <w:rsid w:val="001D02D7"/>
    <w:rsid w:val="001D0EF1"/>
    <w:rsid w:val="001D129C"/>
    <w:rsid w:val="001D22C2"/>
    <w:rsid w:val="001D2C99"/>
    <w:rsid w:val="001D386E"/>
    <w:rsid w:val="001D3B75"/>
    <w:rsid w:val="001D3D68"/>
    <w:rsid w:val="001D452E"/>
    <w:rsid w:val="001D54C1"/>
    <w:rsid w:val="001D556E"/>
    <w:rsid w:val="001D5DF2"/>
    <w:rsid w:val="001D6175"/>
    <w:rsid w:val="001D68B2"/>
    <w:rsid w:val="001D7A6E"/>
    <w:rsid w:val="001D7EFD"/>
    <w:rsid w:val="001D7F60"/>
    <w:rsid w:val="001E085B"/>
    <w:rsid w:val="001E149B"/>
    <w:rsid w:val="001E15CB"/>
    <w:rsid w:val="001E3306"/>
    <w:rsid w:val="001E3A13"/>
    <w:rsid w:val="001E504C"/>
    <w:rsid w:val="001E509E"/>
    <w:rsid w:val="001E56AC"/>
    <w:rsid w:val="001E5A17"/>
    <w:rsid w:val="001E6525"/>
    <w:rsid w:val="001E74C5"/>
    <w:rsid w:val="001F1236"/>
    <w:rsid w:val="001F1536"/>
    <w:rsid w:val="001F2F90"/>
    <w:rsid w:val="001F3BF9"/>
    <w:rsid w:val="001F3E54"/>
    <w:rsid w:val="001F4597"/>
    <w:rsid w:val="001F4826"/>
    <w:rsid w:val="001F4933"/>
    <w:rsid w:val="001F4C16"/>
    <w:rsid w:val="001F59C8"/>
    <w:rsid w:val="001F5A16"/>
    <w:rsid w:val="001F6CD3"/>
    <w:rsid w:val="001F75DA"/>
    <w:rsid w:val="001F7CE0"/>
    <w:rsid w:val="00200085"/>
    <w:rsid w:val="00203332"/>
    <w:rsid w:val="00203418"/>
    <w:rsid w:val="00203CD5"/>
    <w:rsid w:val="00203D8F"/>
    <w:rsid w:val="00203DA4"/>
    <w:rsid w:val="00203F9B"/>
    <w:rsid w:val="0020446B"/>
    <w:rsid w:val="00204563"/>
    <w:rsid w:val="00204D3D"/>
    <w:rsid w:val="00204EA6"/>
    <w:rsid w:val="00205186"/>
    <w:rsid w:val="00206516"/>
    <w:rsid w:val="00206E75"/>
    <w:rsid w:val="002070CF"/>
    <w:rsid w:val="002071D5"/>
    <w:rsid w:val="00207F4E"/>
    <w:rsid w:val="002111E5"/>
    <w:rsid w:val="0021149E"/>
    <w:rsid w:val="002118B9"/>
    <w:rsid w:val="002125EB"/>
    <w:rsid w:val="00213691"/>
    <w:rsid w:val="002142C0"/>
    <w:rsid w:val="00214CFF"/>
    <w:rsid w:val="00215602"/>
    <w:rsid w:val="00216E10"/>
    <w:rsid w:val="00217C5B"/>
    <w:rsid w:val="00220A43"/>
    <w:rsid w:val="0022139E"/>
    <w:rsid w:val="00222729"/>
    <w:rsid w:val="0022287B"/>
    <w:rsid w:val="002228DB"/>
    <w:rsid w:val="00223185"/>
    <w:rsid w:val="00223264"/>
    <w:rsid w:val="002233D6"/>
    <w:rsid w:val="0022441D"/>
    <w:rsid w:val="00224574"/>
    <w:rsid w:val="00224E3F"/>
    <w:rsid w:val="00225000"/>
    <w:rsid w:val="00225255"/>
    <w:rsid w:val="002252E0"/>
    <w:rsid w:val="00225560"/>
    <w:rsid w:val="002255F6"/>
    <w:rsid w:val="00226032"/>
    <w:rsid w:val="0022738D"/>
    <w:rsid w:val="00227605"/>
    <w:rsid w:val="00227850"/>
    <w:rsid w:val="00227A53"/>
    <w:rsid w:val="00227C6C"/>
    <w:rsid w:val="00227E2E"/>
    <w:rsid w:val="00227F53"/>
    <w:rsid w:val="00230C6E"/>
    <w:rsid w:val="00230E21"/>
    <w:rsid w:val="00231066"/>
    <w:rsid w:val="002316A8"/>
    <w:rsid w:val="00231859"/>
    <w:rsid w:val="002320C9"/>
    <w:rsid w:val="0023288F"/>
    <w:rsid w:val="0023359B"/>
    <w:rsid w:val="00233603"/>
    <w:rsid w:val="002340EF"/>
    <w:rsid w:val="00234B82"/>
    <w:rsid w:val="0023640D"/>
    <w:rsid w:val="00236443"/>
    <w:rsid w:val="00236700"/>
    <w:rsid w:val="00236B3A"/>
    <w:rsid w:val="00237C8B"/>
    <w:rsid w:val="002401A3"/>
    <w:rsid w:val="00240391"/>
    <w:rsid w:val="00240AF3"/>
    <w:rsid w:val="002418D5"/>
    <w:rsid w:val="00241A9F"/>
    <w:rsid w:val="00241B06"/>
    <w:rsid w:val="0024224D"/>
    <w:rsid w:val="002426C9"/>
    <w:rsid w:val="0024343A"/>
    <w:rsid w:val="002434D1"/>
    <w:rsid w:val="002436BA"/>
    <w:rsid w:val="002438DC"/>
    <w:rsid w:val="00244652"/>
    <w:rsid w:val="00244A15"/>
    <w:rsid w:val="002452D9"/>
    <w:rsid w:val="00245800"/>
    <w:rsid w:val="002468FB"/>
    <w:rsid w:val="00247319"/>
    <w:rsid w:val="0024799E"/>
    <w:rsid w:val="00247E60"/>
    <w:rsid w:val="002511CC"/>
    <w:rsid w:val="00251496"/>
    <w:rsid w:val="002515B3"/>
    <w:rsid w:val="00251B08"/>
    <w:rsid w:val="00251C53"/>
    <w:rsid w:val="00252465"/>
    <w:rsid w:val="00252AB9"/>
    <w:rsid w:val="002532B1"/>
    <w:rsid w:val="00253C0F"/>
    <w:rsid w:val="00254C1C"/>
    <w:rsid w:val="002558C1"/>
    <w:rsid w:val="00256207"/>
    <w:rsid w:val="002575F3"/>
    <w:rsid w:val="002577BB"/>
    <w:rsid w:val="002603E1"/>
    <w:rsid w:val="002605FE"/>
    <w:rsid w:val="0026120E"/>
    <w:rsid w:val="002613D4"/>
    <w:rsid w:val="002617EE"/>
    <w:rsid w:val="00262582"/>
    <w:rsid w:val="0026291D"/>
    <w:rsid w:val="00262CF3"/>
    <w:rsid w:val="00263F44"/>
    <w:rsid w:val="00264309"/>
    <w:rsid w:val="00264992"/>
    <w:rsid w:val="00264B4F"/>
    <w:rsid w:val="0026564B"/>
    <w:rsid w:val="00265C83"/>
    <w:rsid w:val="00265E85"/>
    <w:rsid w:val="0026718D"/>
    <w:rsid w:val="00267B49"/>
    <w:rsid w:val="00267C51"/>
    <w:rsid w:val="002700D9"/>
    <w:rsid w:val="0027025F"/>
    <w:rsid w:val="002709CC"/>
    <w:rsid w:val="00270D25"/>
    <w:rsid w:val="00271022"/>
    <w:rsid w:val="00271465"/>
    <w:rsid w:val="00271A07"/>
    <w:rsid w:val="00271E47"/>
    <w:rsid w:val="0027217A"/>
    <w:rsid w:val="002721F5"/>
    <w:rsid w:val="00272DF4"/>
    <w:rsid w:val="00273A9F"/>
    <w:rsid w:val="002744B9"/>
    <w:rsid w:val="00275062"/>
    <w:rsid w:val="0027563A"/>
    <w:rsid w:val="00275758"/>
    <w:rsid w:val="0027583D"/>
    <w:rsid w:val="00275DEF"/>
    <w:rsid w:val="002763A2"/>
    <w:rsid w:val="00276B33"/>
    <w:rsid w:val="00277669"/>
    <w:rsid w:val="002803A5"/>
    <w:rsid w:val="00280ACB"/>
    <w:rsid w:val="002812E3"/>
    <w:rsid w:val="00282AD4"/>
    <w:rsid w:val="0028341F"/>
    <w:rsid w:val="002837AE"/>
    <w:rsid w:val="00283C13"/>
    <w:rsid w:val="00283F7B"/>
    <w:rsid w:val="0028431A"/>
    <w:rsid w:val="002853FA"/>
    <w:rsid w:val="00285412"/>
    <w:rsid w:val="00286220"/>
    <w:rsid w:val="0029110B"/>
    <w:rsid w:val="00291640"/>
    <w:rsid w:val="0029237E"/>
    <w:rsid w:val="00292997"/>
    <w:rsid w:val="00293D24"/>
    <w:rsid w:val="0029507A"/>
    <w:rsid w:val="0029509B"/>
    <w:rsid w:val="0029588F"/>
    <w:rsid w:val="00295E96"/>
    <w:rsid w:val="00297256"/>
    <w:rsid w:val="00297A5C"/>
    <w:rsid w:val="00297D51"/>
    <w:rsid w:val="002A0122"/>
    <w:rsid w:val="002A016B"/>
    <w:rsid w:val="002A16D4"/>
    <w:rsid w:val="002A1E4F"/>
    <w:rsid w:val="002A230C"/>
    <w:rsid w:val="002A2AF7"/>
    <w:rsid w:val="002A3209"/>
    <w:rsid w:val="002A38F3"/>
    <w:rsid w:val="002A3EA2"/>
    <w:rsid w:val="002A51AC"/>
    <w:rsid w:val="002A532A"/>
    <w:rsid w:val="002A5846"/>
    <w:rsid w:val="002A5D97"/>
    <w:rsid w:val="002A603E"/>
    <w:rsid w:val="002A63B9"/>
    <w:rsid w:val="002A7089"/>
    <w:rsid w:val="002B0692"/>
    <w:rsid w:val="002B1619"/>
    <w:rsid w:val="002B3EF4"/>
    <w:rsid w:val="002B4845"/>
    <w:rsid w:val="002B5567"/>
    <w:rsid w:val="002B5812"/>
    <w:rsid w:val="002B72AA"/>
    <w:rsid w:val="002C1110"/>
    <w:rsid w:val="002C1BC2"/>
    <w:rsid w:val="002C1BD3"/>
    <w:rsid w:val="002C1F09"/>
    <w:rsid w:val="002C22A4"/>
    <w:rsid w:val="002C2583"/>
    <w:rsid w:val="002C260B"/>
    <w:rsid w:val="002C27A6"/>
    <w:rsid w:val="002C31E4"/>
    <w:rsid w:val="002C398D"/>
    <w:rsid w:val="002C3D02"/>
    <w:rsid w:val="002C40D2"/>
    <w:rsid w:val="002C43BD"/>
    <w:rsid w:val="002C5245"/>
    <w:rsid w:val="002C564A"/>
    <w:rsid w:val="002C59D8"/>
    <w:rsid w:val="002C5B25"/>
    <w:rsid w:val="002C5FEB"/>
    <w:rsid w:val="002C6494"/>
    <w:rsid w:val="002D05CB"/>
    <w:rsid w:val="002D0E59"/>
    <w:rsid w:val="002D1F41"/>
    <w:rsid w:val="002D2C4F"/>
    <w:rsid w:val="002D39E0"/>
    <w:rsid w:val="002D3EBB"/>
    <w:rsid w:val="002D455C"/>
    <w:rsid w:val="002D6066"/>
    <w:rsid w:val="002D6A4C"/>
    <w:rsid w:val="002E02A1"/>
    <w:rsid w:val="002E06F7"/>
    <w:rsid w:val="002E196A"/>
    <w:rsid w:val="002E1B00"/>
    <w:rsid w:val="002E1F8A"/>
    <w:rsid w:val="002E20C7"/>
    <w:rsid w:val="002E20CD"/>
    <w:rsid w:val="002E222E"/>
    <w:rsid w:val="002E25FF"/>
    <w:rsid w:val="002E28D8"/>
    <w:rsid w:val="002E3638"/>
    <w:rsid w:val="002E37D1"/>
    <w:rsid w:val="002E3BEE"/>
    <w:rsid w:val="002E4E4C"/>
    <w:rsid w:val="002E4EA7"/>
    <w:rsid w:val="002E5846"/>
    <w:rsid w:val="002E792B"/>
    <w:rsid w:val="002E7AEB"/>
    <w:rsid w:val="002E7B79"/>
    <w:rsid w:val="002F1B09"/>
    <w:rsid w:val="002F1D56"/>
    <w:rsid w:val="002F1DCB"/>
    <w:rsid w:val="002F1DE4"/>
    <w:rsid w:val="002F1F85"/>
    <w:rsid w:val="002F311F"/>
    <w:rsid w:val="002F333D"/>
    <w:rsid w:val="002F351A"/>
    <w:rsid w:val="002F46D6"/>
    <w:rsid w:val="002F498A"/>
    <w:rsid w:val="002F4AD8"/>
    <w:rsid w:val="002F5285"/>
    <w:rsid w:val="002F5820"/>
    <w:rsid w:val="002F64BB"/>
    <w:rsid w:val="002F7611"/>
    <w:rsid w:val="002F7756"/>
    <w:rsid w:val="002F7D9B"/>
    <w:rsid w:val="00300900"/>
    <w:rsid w:val="00300C31"/>
    <w:rsid w:val="00300E74"/>
    <w:rsid w:val="003017EC"/>
    <w:rsid w:val="00301FB5"/>
    <w:rsid w:val="00301FD5"/>
    <w:rsid w:val="00302165"/>
    <w:rsid w:val="00302D5A"/>
    <w:rsid w:val="00303BB4"/>
    <w:rsid w:val="00304771"/>
    <w:rsid w:val="00304F9C"/>
    <w:rsid w:val="003052D4"/>
    <w:rsid w:val="00305863"/>
    <w:rsid w:val="003060E9"/>
    <w:rsid w:val="00306C5B"/>
    <w:rsid w:val="00307529"/>
    <w:rsid w:val="00307DB3"/>
    <w:rsid w:val="00307ED2"/>
    <w:rsid w:val="0031076D"/>
    <w:rsid w:val="0031169A"/>
    <w:rsid w:val="00311AA6"/>
    <w:rsid w:val="00311C4D"/>
    <w:rsid w:val="003121AB"/>
    <w:rsid w:val="00314585"/>
    <w:rsid w:val="00315169"/>
    <w:rsid w:val="003153C8"/>
    <w:rsid w:val="00315524"/>
    <w:rsid w:val="00315561"/>
    <w:rsid w:val="00316B3D"/>
    <w:rsid w:val="0032058C"/>
    <w:rsid w:val="003208D0"/>
    <w:rsid w:val="003209D6"/>
    <w:rsid w:val="003217B9"/>
    <w:rsid w:val="00321924"/>
    <w:rsid w:val="00321AF1"/>
    <w:rsid w:val="00321EB6"/>
    <w:rsid w:val="003220A5"/>
    <w:rsid w:val="003238E0"/>
    <w:rsid w:val="00323A1C"/>
    <w:rsid w:val="00323A2F"/>
    <w:rsid w:val="003242F7"/>
    <w:rsid w:val="003247E1"/>
    <w:rsid w:val="00324B59"/>
    <w:rsid w:val="00325E46"/>
    <w:rsid w:val="0032656E"/>
    <w:rsid w:val="0032788F"/>
    <w:rsid w:val="0033117D"/>
    <w:rsid w:val="003313AD"/>
    <w:rsid w:val="00332190"/>
    <w:rsid w:val="00332A98"/>
    <w:rsid w:val="003334BD"/>
    <w:rsid w:val="00333973"/>
    <w:rsid w:val="00333CD0"/>
    <w:rsid w:val="0033448D"/>
    <w:rsid w:val="00334AD2"/>
    <w:rsid w:val="00334CB6"/>
    <w:rsid w:val="00335FA6"/>
    <w:rsid w:val="0033709C"/>
    <w:rsid w:val="003370C5"/>
    <w:rsid w:val="003373C6"/>
    <w:rsid w:val="0033753A"/>
    <w:rsid w:val="003378EB"/>
    <w:rsid w:val="00340BF3"/>
    <w:rsid w:val="00341D26"/>
    <w:rsid w:val="00341D2E"/>
    <w:rsid w:val="00341F05"/>
    <w:rsid w:val="00341FFE"/>
    <w:rsid w:val="00342521"/>
    <w:rsid w:val="0034335E"/>
    <w:rsid w:val="00344668"/>
    <w:rsid w:val="00344940"/>
    <w:rsid w:val="00346234"/>
    <w:rsid w:val="003462D9"/>
    <w:rsid w:val="0034723F"/>
    <w:rsid w:val="00347247"/>
    <w:rsid w:val="003474B6"/>
    <w:rsid w:val="00347A07"/>
    <w:rsid w:val="00347DD4"/>
    <w:rsid w:val="00350728"/>
    <w:rsid w:val="00352B43"/>
    <w:rsid w:val="00352C28"/>
    <w:rsid w:val="00353A0B"/>
    <w:rsid w:val="00354D85"/>
    <w:rsid w:val="00354F89"/>
    <w:rsid w:val="0035506D"/>
    <w:rsid w:val="00360663"/>
    <w:rsid w:val="0036077F"/>
    <w:rsid w:val="00360C86"/>
    <w:rsid w:val="00360F7A"/>
    <w:rsid w:val="00360FBC"/>
    <w:rsid w:val="00361537"/>
    <w:rsid w:val="00361FB7"/>
    <w:rsid w:val="0036242A"/>
    <w:rsid w:val="00362581"/>
    <w:rsid w:val="00362C23"/>
    <w:rsid w:val="00362DCA"/>
    <w:rsid w:val="00362E90"/>
    <w:rsid w:val="00363AD0"/>
    <w:rsid w:val="00364B62"/>
    <w:rsid w:val="00364FA0"/>
    <w:rsid w:val="003657F3"/>
    <w:rsid w:val="00365844"/>
    <w:rsid w:val="0036624C"/>
    <w:rsid w:val="00367F84"/>
    <w:rsid w:val="0037076B"/>
    <w:rsid w:val="003712BC"/>
    <w:rsid w:val="00372164"/>
    <w:rsid w:val="003734C8"/>
    <w:rsid w:val="003738BD"/>
    <w:rsid w:val="00374263"/>
    <w:rsid w:val="003744AA"/>
    <w:rsid w:val="003746F0"/>
    <w:rsid w:val="00374A20"/>
    <w:rsid w:val="00374E21"/>
    <w:rsid w:val="0037537A"/>
    <w:rsid w:val="00377B2E"/>
    <w:rsid w:val="0038079A"/>
    <w:rsid w:val="003808C1"/>
    <w:rsid w:val="003810F0"/>
    <w:rsid w:val="00381548"/>
    <w:rsid w:val="003815D4"/>
    <w:rsid w:val="003818DC"/>
    <w:rsid w:val="003823C4"/>
    <w:rsid w:val="00382513"/>
    <w:rsid w:val="00383388"/>
    <w:rsid w:val="003834F8"/>
    <w:rsid w:val="003838D0"/>
    <w:rsid w:val="003840C2"/>
    <w:rsid w:val="00384327"/>
    <w:rsid w:val="00384A89"/>
    <w:rsid w:val="00384E6A"/>
    <w:rsid w:val="00385086"/>
    <w:rsid w:val="00385D98"/>
    <w:rsid w:val="003863EB"/>
    <w:rsid w:val="00390306"/>
    <w:rsid w:val="003908A6"/>
    <w:rsid w:val="0039109D"/>
    <w:rsid w:val="00391527"/>
    <w:rsid w:val="00391989"/>
    <w:rsid w:val="00391A6C"/>
    <w:rsid w:val="003927F6"/>
    <w:rsid w:val="0039398D"/>
    <w:rsid w:val="003939DA"/>
    <w:rsid w:val="00393B3F"/>
    <w:rsid w:val="003962AB"/>
    <w:rsid w:val="00396739"/>
    <w:rsid w:val="003978B1"/>
    <w:rsid w:val="003A04F6"/>
    <w:rsid w:val="003A0837"/>
    <w:rsid w:val="003A2B4D"/>
    <w:rsid w:val="003A2D12"/>
    <w:rsid w:val="003A2EBA"/>
    <w:rsid w:val="003A45E3"/>
    <w:rsid w:val="003A46A0"/>
    <w:rsid w:val="003A46B8"/>
    <w:rsid w:val="003A478C"/>
    <w:rsid w:val="003A4A32"/>
    <w:rsid w:val="003A4A38"/>
    <w:rsid w:val="003A4EF2"/>
    <w:rsid w:val="003A5525"/>
    <w:rsid w:val="003A5889"/>
    <w:rsid w:val="003A5C8C"/>
    <w:rsid w:val="003A6B38"/>
    <w:rsid w:val="003A6B83"/>
    <w:rsid w:val="003A6C97"/>
    <w:rsid w:val="003A722F"/>
    <w:rsid w:val="003A7373"/>
    <w:rsid w:val="003A76A7"/>
    <w:rsid w:val="003A7D09"/>
    <w:rsid w:val="003B039F"/>
    <w:rsid w:val="003B0DF4"/>
    <w:rsid w:val="003B1AC5"/>
    <w:rsid w:val="003B1F9D"/>
    <w:rsid w:val="003B2249"/>
    <w:rsid w:val="003B2A8D"/>
    <w:rsid w:val="003B2AD1"/>
    <w:rsid w:val="003B2D2E"/>
    <w:rsid w:val="003B376A"/>
    <w:rsid w:val="003B461F"/>
    <w:rsid w:val="003B483F"/>
    <w:rsid w:val="003B4998"/>
    <w:rsid w:val="003B5A32"/>
    <w:rsid w:val="003B5B59"/>
    <w:rsid w:val="003B6D10"/>
    <w:rsid w:val="003B709D"/>
    <w:rsid w:val="003B7313"/>
    <w:rsid w:val="003B7B50"/>
    <w:rsid w:val="003C0B07"/>
    <w:rsid w:val="003C2CE7"/>
    <w:rsid w:val="003C2DB8"/>
    <w:rsid w:val="003C3490"/>
    <w:rsid w:val="003C3608"/>
    <w:rsid w:val="003C3AE8"/>
    <w:rsid w:val="003C3D2C"/>
    <w:rsid w:val="003C4014"/>
    <w:rsid w:val="003C4E13"/>
    <w:rsid w:val="003C58A5"/>
    <w:rsid w:val="003C6221"/>
    <w:rsid w:val="003C63D7"/>
    <w:rsid w:val="003C68CC"/>
    <w:rsid w:val="003C7E62"/>
    <w:rsid w:val="003D12B9"/>
    <w:rsid w:val="003D1E7A"/>
    <w:rsid w:val="003D242B"/>
    <w:rsid w:val="003D2492"/>
    <w:rsid w:val="003D29AA"/>
    <w:rsid w:val="003D2A99"/>
    <w:rsid w:val="003D34DA"/>
    <w:rsid w:val="003D472E"/>
    <w:rsid w:val="003D6920"/>
    <w:rsid w:val="003D7E94"/>
    <w:rsid w:val="003E0249"/>
    <w:rsid w:val="003E0487"/>
    <w:rsid w:val="003E08A4"/>
    <w:rsid w:val="003E1EF8"/>
    <w:rsid w:val="003E2DFB"/>
    <w:rsid w:val="003E4466"/>
    <w:rsid w:val="003E4C91"/>
    <w:rsid w:val="003E52D8"/>
    <w:rsid w:val="003E55D6"/>
    <w:rsid w:val="003E62F1"/>
    <w:rsid w:val="003E6DEE"/>
    <w:rsid w:val="003E6F84"/>
    <w:rsid w:val="003F313C"/>
    <w:rsid w:val="003F33B1"/>
    <w:rsid w:val="003F33B9"/>
    <w:rsid w:val="003F37FC"/>
    <w:rsid w:val="003F3E76"/>
    <w:rsid w:val="003F4318"/>
    <w:rsid w:val="003F4B2C"/>
    <w:rsid w:val="003F551C"/>
    <w:rsid w:val="003F626D"/>
    <w:rsid w:val="003F69BC"/>
    <w:rsid w:val="003F6B37"/>
    <w:rsid w:val="003F72ED"/>
    <w:rsid w:val="003F7D23"/>
    <w:rsid w:val="00400050"/>
    <w:rsid w:val="004002C8"/>
    <w:rsid w:val="00400468"/>
    <w:rsid w:val="0040099D"/>
    <w:rsid w:val="004016CB"/>
    <w:rsid w:val="00401B23"/>
    <w:rsid w:val="00402ADB"/>
    <w:rsid w:val="0040368D"/>
    <w:rsid w:val="00403D1D"/>
    <w:rsid w:val="00403F57"/>
    <w:rsid w:val="004046BD"/>
    <w:rsid w:val="00404BAB"/>
    <w:rsid w:val="00405318"/>
    <w:rsid w:val="004059D2"/>
    <w:rsid w:val="004060C9"/>
    <w:rsid w:val="004066D0"/>
    <w:rsid w:val="00406C2E"/>
    <w:rsid w:val="00406CDA"/>
    <w:rsid w:val="00406EB0"/>
    <w:rsid w:val="00407711"/>
    <w:rsid w:val="004079BA"/>
    <w:rsid w:val="00407C13"/>
    <w:rsid w:val="004103F6"/>
    <w:rsid w:val="00410638"/>
    <w:rsid w:val="00410D65"/>
    <w:rsid w:val="00412511"/>
    <w:rsid w:val="004125C2"/>
    <w:rsid w:val="00412DFA"/>
    <w:rsid w:val="00413465"/>
    <w:rsid w:val="004135F4"/>
    <w:rsid w:val="00413DBE"/>
    <w:rsid w:val="004149AC"/>
    <w:rsid w:val="0041501E"/>
    <w:rsid w:val="00415452"/>
    <w:rsid w:val="004159C3"/>
    <w:rsid w:val="00415A57"/>
    <w:rsid w:val="0041664E"/>
    <w:rsid w:val="00416DAC"/>
    <w:rsid w:val="00417849"/>
    <w:rsid w:val="00420880"/>
    <w:rsid w:val="00421179"/>
    <w:rsid w:val="00423623"/>
    <w:rsid w:val="0042470E"/>
    <w:rsid w:val="00424877"/>
    <w:rsid w:val="00425352"/>
    <w:rsid w:val="00425EC2"/>
    <w:rsid w:val="00426C99"/>
    <w:rsid w:val="00430C96"/>
    <w:rsid w:val="0043174F"/>
    <w:rsid w:val="00431BFF"/>
    <w:rsid w:val="00432199"/>
    <w:rsid w:val="0043271A"/>
    <w:rsid w:val="00432A58"/>
    <w:rsid w:val="004331C3"/>
    <w:rsid w:val="00433BC4"/>
    <w:rsid w:val="00433C17"/>
    <w:rsid w:val="00434617"/>
    <w:rsid w:val="00434DE9"/>
    <w:rsid w:val="00435051"/>
    <w:rsid w:val="00435C69"/>
    <w:rsid w:val="004360F5"/>
    <w:rsid w:val="004360FB"/>
    <w:rsid w:val="00436A40"/>
    <w:rsid w:val="00437CED"/>
    <w:rsid w:val="004407BF"/>
    <w:rsid w:val="00440900"/>
    <w:rsid w:val="0044121D"/>
    <w:rsid w:val="00441BF6"/>
    <w:rsid w:val="00441D2B"/>
    <w:rsid w:val="00441F8B"/>
    <w:rsid w:val="00442085"/>
    <w:rsid w:val="0044279E"/>
    <w:rsid w:val="00442990"/>
    <w:rsid w:val="004429BC"/>
    <w:rsid w:val="004441A0"/>
    <w:rsid w:val="0044546A"/>
    <w:rsid w:val="00445861"/>
    <w:rsid w:val="00445A8E"/>
    <w:rsid w:val="00446D44"/>
    <w:rsid w:val="00447735"/>
    <w:rsid w:val="0045078A"/>
    <w:rsid w:val="0045086D"/>
    <w:rsid w:val="00450DAB"/>
    <w:rsid w:val="00450F53"/>
    <w:rsid w:val="0045125B"/>
    <w:rsid w:val="00451E25"/>
    <w:rsid w:val="00451EF1"/>
    <w:rsid w:val="00452E60"/>
    <w:rsid w:val="0045321B"/>
    <w:rsid w:val="0045412A"/>
    <w:rsid w:val="00455F84"/>
    <w:rsid w:val="00456FE5"/>
    <w:rsid w:val="00457490"/>
    <w:rsid w:val="0045786C"/>
    <w:rsid w:val="00457953"/>
    <w:rsid w:val="004604D8"/>
    <w:rsid w:val="00460656"/>
    <w:rsid w:val="00460FB3"/>
    <w:rsid w:val="00463D3C"/>
    <w:rsid w:val="00464851"/>
    <w:rsid w:val="004649C1"/>
    <w:rsid w:val="00464AF9"/>
    <w:rsid w:val="00466359"/>
    <w:rsid w:val="00466595"/>
    <w:rsid w:val="00466B3E"/>
    <w:rsid w:val="0046746A"/>
    <w:rsid w:val="00467B14"/>
    <w:rsid w:val="004701E1"/>
    <w:rsid w:val="004707FE"/>
    <w:rsid w:val="0047080E"/>
    <w:rsid w:val="00470EDC"/>
    <w:rsid w:val="00472418"/>
    <w:rsid w:val="0047276D"/>
    <w:rsid w:val="00472AF6"/>
    <w:rsid w:val="00473482"/>
    <w:rsid w:val="00474310"/>
    <w:rsid w:val="00474646"/>
    <w:rsid w:val="00474A04"/>
    <w:rsid w:val="00474B3D"/>
    <w:rsid w:val="00476240"/>
    <w:rsid w:val="00476439"/>
    <w:rsid w:val="00476450"/>
    <w:rsid w:val="004769BF"/>
    <w:rsid w:val="004769E1"/>
    <w:rsid w:val="0047735C"/>
    <w:rsid w:val="004776BC"/>
    <w:rsid w:val="00477820"/>
    <w:rsid w:val="00477B96"/>
    <w:rsid w:val="00477DB5"/>
    <w:rsid w:val="00480802"/>
    <w:rsid w:val="00480BAE"/>
    <w:rsid w:val="00480D7F"/>
    <w:rsid w:val="0048139F"/>
    <w:rsid w:val="00481C74"/>
    <w:rsid w:val="00481E40"/>
    <w:rsid w:val="00482405"/>
    <w:rsid w:val="004826A7"/>
    <w:rsid w:val="0048368C"/>
    <w:rsid w:val="0048372F"/>
    <w:rsid w:val="00483A0C"/>
    <w:rsid w:val="004841CC"/>
    <w:rsid w:val="00484ECE"/>
    <w:rsid w:val="00485E82"/>
    <w:rsid w:val="00486132"/>
    <w:rsid w:val="004867CC"/>
    <w:rsid w:val="0048686D"/>
    <w:rsid w:val="00486A4D"/>
    <w:rsid w:val="004915CB"/>
    <w:rsid w:val="004924DC"/>
    <w:rsid w:val="00492879"/>
    <w:rsid w:val="004933FF"/>
    <w:rsid w:val="00493E85"/>
    <w:rsid w:val="00495145"/>
    <w:rsid w:val="0049531F"/>
    <w:rsid w:val="00496EC3"/>
    <w:rsid w:val="004979A5"/>
    <w:rsid w:val="00497FD4"/>
    <w:rsid w:val="004A0144"/>
    <w:rsid w:val="004A036E"/>
    <w:rsid w:val="004A0498"/>
    <w:rsid w:val="004A0597"/>
    <w:rsid w:val="004A06B0"/>
    <w:rsid w:val="004A0D0E"/>
    <w:rsid w:val="004A127D"/>
    <w:rsid w:val="004A14E4"/>
    <w:rsid w:val="004A204E"/>
    <w:rsid w:val="004A26A5"/>
    <w:rsid w:val="004A27F0"/>
    <w:rsid w:val="004A3212"/>
    <w:rsid w:val="004A37CD"/>
    <w:rsid w:val="004A40D9"/>
    <w:rsid w:val="004A49A5"/>
    <w:rsid w:val="004A4BE6"/>
    <w:rsid w:val="004A4F8A"/>
    <w:rsid w:val="004A52AB"/>
    <w:rsid w:val="004A5494"/>
    <w:rsid w:val="004A5A24"/>
    <w:rsid w:val="004A5AC1"/>
    <w:rsid w:val="004A5D4E"/>
    <w:rsid w:val="004A61C5"/>
    <w:rsid w:val="004A62A0"/>
    <w:rsid w:val="004A77DF"/>
    <w:rsid w:val="004B1417"/>
    <w:rsid w:val="004B305C"/>
    <w:rsid w:val="004B31B8"/>
    <w:rsid w:val="004B339A"/>
    <w:rsid w:val="004B4C83"/>
    <w:rsid w:val="004B55B7"/>
    <w:rsid w:val="004B5BFA"/>
    <w:rsid w:val="004B619E"/>
    <w:rsid w:val="004B6468"/>
    <w:rsid w:val="004B67FC"/>
    <w:rsid w:val="004B6EF8"/>
    <w:rsid w:val="004B7125"/>
    <w:rsid w:val="004B756A"/>
    <w:rsid w:val="004B7FB1"/>
    <w:rsid w:val="004C0B3F"/>
    <w:rsid w:val="004C0F87"/>
    <w:rsid w:val="004C258C"/>
    <w:rsid w:val="004C25F9"/>
    <w:rsid w:val="004C2794"/>
    <w:rsid w:val="004C2BB6"/>
    <w:rsid w:val="004C2C2D"/>
    <w:rsid w:val="004C3027"/>
    <w:rsid w:val="004C32A9"/>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10DE"/>
    <w:rsid w:val="004D2D31"/>
    <w:rsid w:val="004D2DBD"/>
    <w:rsid w:val="004D2E03"/>
    <w:rsid w:val="004D3296"/>
    <w:rsid w:val="004D4056"/>
    <w:rsid w:val="004D42F8"/>
    <w:rsid w:val="004D45B7"/>
    <w:rsid w:val="004D4CB0"/>
    <w:rsid w:val="004D57FF"/>
    <w:rsid w:val="004D5ACB"/>
    <w:rsid w:val="004D5B0F"/>
    <w:rsid w:val="004D7626"/>
    <w:rsid w:val="004E10D9"/>
    <w:rsid w:val="004E186A"/>
    <w:rsid w:val="004E1A40"/>
    <w:rsid w:val="004E200A"/>
    <w:rsid w:val="004E23FC"/>
    <w:rsid w:val="004E2409"/>
    <w:rsid w:val="004E261D"/>
    <w:rsid w:val="004E36CA"/>
    <w:rsid w:val="004E3927"/>
    <w:rsid w:val="004E3B7F"/>
    <w:rsid w:val="004E3C34"/>
    <w:rsid w:val="004E57BF"/>
    <w:rsid w:val="004E5F41"/>
    <w:rsid w:val="004E6011"/>
    <w:rsid w:val="004E6DE6"/>
    <w:rsid w:val="004E765E"/>
    <w:rsid w:val="004E7815"/>
    <w:rsid w:val="004F06F5"/>
    <w:rsid w:val="004F12A4"/>
    <w:rsid w:val="004F253F"/>
    <w:rsid w:val="004F2740"/>
    <w:rsid w:val="004F33A0"/>
    <w:rsid w:val="004F3873"/>
    <w:rsid w:val="004F3BD2"/>
    <w:rsid w:val="004F3D93"/>
    <w:rsid w:val="004F3ECA"/>
    <w:rsid w:val="004F46ED"/>
    <w:rsid w:val="004F49A3"/>
    <w:rsid w:val="004F4C99"/>
    <w:rsid w:val="004F5226"/>
    <w:rsid w:val="004F5358"/>
    <w:rsid w:val="004F6484"/>
    <w:rsid w:val="004F6539"/>
    <w:rsid w:val="004F665D"/>
    <w:rsid w:val="004F7395"/>
    <w:rsid w:val="00503D54"/>
    <w:rsid w:val="00504720"/>
    <w:rsid w:val="005048E2"/>
    <w:rsid w:val="00504A69"/>
    <w:rsid w:val="00505FAA"/>
    <w:rsid w:val="00505FC8"/>
    <w:rsid w:val="00506603"/>
    <w:rsid w:val="0050689D"/>
    <w:rsid w:val="00506F4A"/>
    <w:rsid w:val="00507032"/>
    <w:rsid w:val="00507216"/>
    <w:rsid w:val="005077F5"/>
    <w:rsid w:val="005108C0"/>
    <w:rsid w:val="0051094F"/>
    <w:rsid w:val="00511217"/>
    <w:rsid w:val="00511873"/>
    <w:rsid w:val="00511BAF"/>
    <w:rsid w:val="00512461"/>
    <w:rsid w:val="00512585"/>
    <w:rsid w:val="00512A2F"/>
    <w:rsid w:val="005136FA"/>
    <w:rsid w:val="00513B7E"/>
    <w:rsid w:val="00513E9D"/>
    <w:rsid w:val="0051475D"/>
    <w:rsid w:val="00514B11"/>
    <w:rsid w:val="00515485"/>
    <w:rsid w:val="00515BE9"/>
    <w:rsid w:val="00515C74"/>
    <w:rsid w:val="0051630F"/>
    <w:rsid w:val="005169D3"/>
    <w:rsid w:val="005170C3"/>
    <w:rsid w:val="00517113"/>
    <w:rsid w:val="0052007E"/>
    <w:rsid w:val="00521CAD"/>
    <w:rsid w:val="0052200D"/>
    <w:rsid w:val="00522425"/>
    <w:rsid w:val="005224F8"/>
    <w:rsid w:val="00522A1B"/>
    <w:rsid w:val="00522E01"/>
    <w:rsid w:val="0052337A"/>
    <w:rsid w:val="00523908"/>
    <w:rsid w:val="00524385"/>
    <w:rsid w:val="005246BE"/>
    <w:rsid w:val="00525137"/>
    <w:rsid w:val="005251DD"/>
    <w:rsid w:val="0052762C"/>
    <w:rsid w:val="0053012B"/>
    <w:rsid w:val="005301A6"/>
    <w:rsid w:val="00530A68"/>
    <w:rsid w:val="00530AD4"/>
    <w:rsid w:val="0053129F"/>
    <w:rsid w:val="005318C3"/>
    <w:rsid w:val="00531C5A"/>
    <w:rsid w:val="00532CE7"/>
    <w:rsid w:val="00532D8B"/>
    <w:rsid w:val="0053324C"/>
    <w:rsid w:val="005337A1"/>
    <w:rsid w:val="00533A8D"/>
    <w:rsid w:val="00533D9E"/>
    <w:rsid w:val="00534A28"/>
    <w:rsid w:val="00535018"/>
    <w:rsid w:val="0053595E"/>
    <w:rsid w:val="00537571"/>
    <w:rsid w:val="00540056"/>
    <w:rsid w:val="005410E2"/>
    <w:rsid w:val="00541508"/>
    <w:rsid w:val="00541AE3"/>
    <w:rsid w:val="005431E6"/>
    <w:rsid w:val="00543498"/>
    <w:rsid w:val="00544011"/>
    <w:rsid w:val="00544BE5"/>
    <w:rsid w:val="005453A3"/>
    <w:rsid w:val="005455F6"/>
    <w:rsid w:val="00545631"/>
    <w:rsid w:val="0054582F"/>
    <w:rsid w:val="00546FC7"/>
    <w:rsid w:val="005500F9"/>
    <w:rsid w:val="00550160"/>
    <w:rsid w:val="005508EB"/>
    <w:rsid w:val="005519E2"/>
    <w:rsid w:val="00552152"/>
    <w:rsid w:val="0055230D"/>
    <w:rsid w:val="005523A8"/>
    <w:rsid w:val="00552796"/>
    <w:rsid w:val="00552F2C"/>
    <w:rsid w:val="00553A25"/>
    <w:rsid w:val="005547EB"/>
    <w:rsid w:val="00554863"/>
    <w:rsid w:val="005555E0"/>
    <w:rsid w:val="00555713"/>
    <w:rsid w:val="0055599F"/>
    <w:rsid w:val="00556621"/>
    <w:rsid w:val="00556D68"/>
    <w:rsid w:val="0055707B"/>
    <w:rsid w:val="005570D6"/>
    <w:rsid w:val="00557B02"/>
    <w:rsid w:val="00557E0E"/>
    <w:rsid w:val="00557E45"/>
    <w:rsid w:val="00560C41"/>
    <w:rsid w:val="00560CAC"/>
    <w:rsid w:val="00561F44"/>
    <w:rsid w:val="00562B4D"/>
    <w:rsid w:val="00562DB1"/>
    <w:rsid w:val="00563EB8"/>
    <w:rsid w:val="005647BF"/>
    <w:rsid w:val="00564AF1"/>
    <w:rsid w:val="00564EEE"/>
    <w:rsid w:val="005655DB"/>
    <w:rsid w:val="00565E88"/>
    <w:rsid w:val="00567339"/>
    <w:rsid w:val="005678EE"/>
    <w:rsid w:val="00567910"/>
    <w:rsid w:val="00570270"/>
    <w:rsid w:val="00570464"/>
    <w:rsid w:val="00570BC3"/>
    <w:rsid w:val="0057182A"/>
    <w:rsid w:val="00571E59"/>
    <w:rsid w:val="00572079"/>
    <w:rsid w:val="00572900"/>
    <w:rsid w:val="005731CA"/>
    <w:rsid w:val="00573343"/>
    <w:rsid w:val="00573602"/>
    <w:rsid w:val="0057364B"/>
    <w:rsid w:val="00574773"/>
    <w:rsid w:val="005761EC"/>
    <w:rsid w:val="00577C07"/>
    <w:rsid w:val="00577DB1"/>
    <w:rsid w:val="0058075B"/>
    <w:rsid w:val="00580AD3"/>
    <w:rsid w:val="00580DE7"/>
    <w:rsid w:val="00580E89"/>
    <w:rsid w:val="005810E1"/>
    <w:rsid w:val="005820CD"/>
    <w:rsid w:val="005823F4"/>
    <w:rsid w:val="00582530"/>
    <w:rsid w:val="00583BDD"/>
    <w:rsid w:val="00583E52"/>
    <w:rsid w:val="00583FFD"/>
    <w:rsid w:val="00584252"/>
    <w:rsid w:val="005848DD"/>
    <w:rsid w:val="0058519A"/>
    <w:rsid w:val="005856BD"/>
    <w:rsid w:val="00585983"/>
    <w:rsid w:val="00586BCA"/>
    <w:rsid w:val="00587038"/>
    <w:rsid w:val="005877E0"/>
    <w:rsid w:val="00590608"/>
    <w:rsid w:val="00590B28"/>
    <w:rsid w:val="005911BE"/>
    <w:rsid w:val="00591273"/>
    <w:rsid w:val="00591E9E"/>
    <w:rsid w:val="005927A4"/>
    <w:rsid w:val="00593152"/>
    <w:rsid w:val="00593319"/>
    <w:rsid w:val="00593389"/>
    <w:rsid w:val="00593407"/>
    <w:rsid w:val="00593FE6"/>
    <w:rsid w:val="005956A3"/>
    <w:rsid w:val="00595958"/>
    <w:rsid w:val="00595CAB"/>
    <w:rsid w:val="0059622E"/>
    <w:rsid w:val="00597671"/>
    <w:rsid w:val="00597BBF"/>
    <w:rsid w:val="00597E79"/>
    <w:rsid w:val="005A0463"/>
    <w:rsid w:val="005A0948"/>
    <w:rsid w:val="005A0A03"/>
    <w:rsid w:val="005A0F21"/>
    <w:rsid w:val="005A10F2"/>
    <w:rsid w:val="005A16C0"/>
    <w:rsid w:val="005A2156"/>
    <w:rsid w:val="005A21E0"/>
    <w:rsid w:val="005A28FF"/>
    <w:rsid w:val="005A2C09"/>
    <w:rsid w:val="005A3778"/>
    <w:rsid w:val="005A37B0"/>
    <w:rsid w:val="005A3DF8"/>
    <w:rsid w:val="005A5549"/>
    <w:rsid w:val="005A566A"/>
    <w:rsid w:val="005A7756"/>
    <w:rsid w:val="005A7ABD"/>
    <w:rsid w:val="005A7CF8"/>
    <w:rsid w:val="005B0EDA"/>
    <w:rsid w:val="005B121D"/>
    <w:rsid w:val="005B26B0"/>
    <w:rsid w:val="005B418A"/>
    <w:rsid w:val="005B41C9"/>
    <w:rsid w:val="005B44E6"/>
    <w:rsid w:val="005B4853"/>
    <w:rsid w:val="005B4FC7"/>
    <w:rsid w:val="005B6CA1"/>
    <w:rsid w:val="005B770C"/>
    <w:rsid w:val="005C016A"/>
    <w:rsid w:val="005C06ED"/>
    <w:rsid w:val="005C0CE1"/>
    <w:rsid w:val="005C11B8"/>
    <w:rsid w:val="005C216C"/>
    <w:rsid w:val="005C2609"/>
    <w:rsid w:val="005C2B30"/>
    <w:rsid w:val="005C32E1"/>
    <w:rsid w:val="005C412B"/>
    <w:rsid w:val="005C431E"/>
    <w:rsid w:val="005C43EC"/>
    <w:rsid w:val="005C45DD"/>
    <w:rsid w:val="005C4704"/>
    <w:rsid w:val="005C4CB1"/>
    <w:rsid w:val="005C6558"/>
    <w:rsid w:val="005D2FD8"/>
    <w:rsid w:val="005D3F06"/>
    <w:rsid w:val="005D4B73"/>
    <w:rsid w:val="005D5645"/>
    <w:rsid w:val="005D5802"/>
    <w:rsid w:val="005D5AA9"/>
    <w:rsid w:val="005D66E6"/>
    <w:rsid w:val="005D703F"/>
    <w:rsid w:val="005D7119"/>
    <w:rsid w:val="005D76C8"/>
    <w:rsid w:val="005D7890"/>
    <w:rsid w:val="005E021D"/>
    <w:rsid w:val="005E19C1"/>
    <w:rsid w:val="005E2194"/>
    <w:rsid w:val="005E24F0"/>
    <w:rsid w:val="005E30A8"/>
    <w:rsid w:val="005E3113"/>
    <w:rsid w:val="005E3515"/>
    <w:rsid w:val="005E36FE"/>
    <w:rsid w:val="005E3F66"/>
    <w:rsid w:val="005E490F"/>
    <w:rsid w:val="005E4BC9"/>
    <w:rsid w:val="005E5314"/>
    <w:rsid w:val="005E6D0F"/>
    <w:rsid w:val="005E7C78"/>
    <w:rsid w:val="005F04A7"/>
    <w:rsid w:val="005F114F"/>
    <w:rsid w:val="005F1255"/>
    <w:rsid w:val="005F18C5"/>
    <w:rsid w:val="005F2463"/>
    <w:rsid w:val="005F2A08"/>
    <w:rsid w:val="005F353D"/>
    <w:rsid w:val="005F36CC"/>
    <w:rsid w:val="005F3EB1"/>
    <w:rsid w:val="005F40CA"/>
    <w:rsid w:val="005F413E"/>
    <w:rsid w:val="005F466B"/>
    <w:rsid w:val="005F46D8"/>
    <w:rsid w:val="005F480F"/>
    <w:rsid w:val="005F5469"/>
    <w:rsid w:val="005F5B50"/>
    <w:rsid w:val="005F63F3"/>
    <w:rsid w:val="005F66F0"/>
    <w:rsid w:val="005F6D7F"/>
    <w:rsid w:val="005F7174"/>
    <w:rsid w:val="00600FFC"/>
    <w:rsid w:val="0060120D"/>
    <w:rsid w:val="006017C1"/>
    <w:rsid w:val="00601ADE"/>
    <w:rsid w:val="00601EEF"/>
    <w:rsid w:val="0060255A"/>
    <w:rsid w:val="0060279D"/>
    <w:rsid w:val="00602998"/>
    <w:rsid w:val="00602EB3"/>
    <w:rsid w:val="0060384A"/>
    <w:rsid w:val="00603DC9"/>
    <w:rsid w:val="00604307"/>
    <w:rsid w:val="006044A3"/>
    <w:rsid w:val="0060487F"/>
    <w:rsid w:val="00604EAD"/>
    <w:rsid w:val="0060513F"/>
    <w:rsid w:val="00605A97"/>
    <w:rsid w:val="006065E2"/>
    <w:rsid w:val="0060694B"/>
    <w:rsid w:val="006104FB"/>
    <w:rsid w:val="0061176D"/>
    <w:rsid w:val="0061200F"/>
    <w:rsid w:val="00612756"/>
    <w:rsid w:val="00612A2F"/>
    <w:rsid w:val="00612AAE"/>
    <w:rsid w:val="00612B07"/>
    <w:rsid w:val="00612FD9"/>
    <w:rsid w:val="0061333D"/>
    <w:rsid w:val="006139E0"/>
    <w:rsid w:val="00614D35"/>
    <w:rsid w:val="006156B4"/>
    <w:rsid w:val="00615DAF"/>
    <w:rsid w:val="00616254"/>
    <w:rsid w:val="0061672A"/>
    <w:rsid w:val="00616E05"/>
    <w:rsid w:val="00617985"/>
    <w:rsid w:val="00620B77"/>
    <w:rsid w:val="0062131B"/>
    <w:rsid w:val="00621E26"/>
    <w:rsid w:val="006224EA"/>
    <w:rsid w:val="0062263A"/>
    <w:rsid w:val="006227DF"/>
    <w:rsid w:val="006236C8"/>
    <w:rsid w:val="00624093"/>
    <w:rsid w:val="00624B45"/>
    <w:rsid w:val="00625A84"/>
    <w:rsid w:val="0062604A"/>
    <w:rsid w:val="00626079"/>
    <w:rsid w:val="00627A5F"/>
    <w:rsid w:val="006301D2"/>
    <w:rsid w:val="00631698"/>
    <w:rsid w:val="006319BC"/>
    <w:rsid w:val="00631E44"/>
    <w:rsid w:val="006344C3"/>
    <w:rsid w:val="006347C6"/>
    <w:rsid w:val="00634C57"/>
    <w:rsid w:val="00634CE7"/>
    <w:rsid w:val="00634DCA"/>
    <w:rsid w:val="006350D5"/>
    <w:rsid w:val="0063642C"/>
    <w:rsid w:val="006365C6"/>
    <w:rsid w:val="006369CC"/>
    <w:rsid w:val="006376B3"/>
    <w:rsid w:val="00637858"/>
    <w:rsid w:val="006404A7"/>
    <w:rsid w:val="00640A38"/>
    <w:rsid w:val="00640E6B"/>
    <w:rsid w:val="00641787"/>
    <w:rsid w:val="0064179B"/>
    <w:rsid w:val="0064200D"/>
    <w:rsid w:val="00642489"/>
    <w:rsid w:val="006425DA"/>
    <w:rsid w:val="00644055"/>
    <w:rsid w:val="00644137"/>
    <w:rsid w:val="0064478C"/>
    <w:rsid w:val="00645160"/>
    <w:rsid w:val="006451E4"/>
    <w:rsid w:val="0064527F"/>
    <w:rsid w:val="0064574B"/>
    <w:rsid w:val="0064587C"/>
    <w:rsid w:val="00645B33"/>
    <w:rsid w:val="006516CB"/>
    <w:rsid w:val="00652165"/>
    <w:rsid w:val="00652E30"/>
    <w:rsid w:val="00653BD0"/>
    <w:rsid w:val="00654110"/>
    <w:rsid w:val="00655BD0"/>
    <w:rsid w:val="00656C5D"/>
    <w:rsid w:val="00656CFB"/>
    <w:rsid w:val="00656D25"/>
    <w:rsid w:val="00657E87"/>
    <w:rsid w:val="00660D2D"/>
    <w:rsid w:val="00661C41"/>
    <w:rsid w:val="00661EC9"/>
    <w:rsid w:val="00662469"/>
    <w:rsid w:val="0066411C"/>
    <w:rsid w:val="00664205"/>
    <w:rsid w:val="00664647"/>
    <w:rsid w:val="00664803"/>
    <w:rsid w:val="0066502F"/>
    <w:rsid w:val="006653CC"/>
    <w:rsid w:val="00665455"/>
    <w:rsid w:val="006657AF"/>
    <w:rsid w:val="00665982"/>
    <w:rsid w:val="00665BA4"/>
    <w:rsid w:val="00666479"/>
    <w:rsid w:val="00666B00"/>
    <w:rsid w:val="00666BF3"/>
    <w:rsid w:val="00667203"/>
    <w:rsid w:val="00667856"/>
    <w:rsid w:val="00667AF2"/>
    <w:rsid w:val="00667F1B"/>
    <w:rsid w:val="00670489"/>
    <w:rsid w:val="006710C9"/>
    <w:rsid w:val="00671D85"/>
    <w:rsid w:val="006723AD"/>
    <w:rsid w:val="00672586"/>
    <w:rsid w:val="006741CD"/>
    <w:rsid w:val="00674B62"/>
    <w:rsid w:val="00674D89"/>
    <w:rsid w:val="0067514E"/>
    <w:rsid w:val="00675E37"/>
    <w:rsid w:val="006762B5"/>
    <w:rsid w:val="0067635D"/>
    <w:rsid w:val="0067657E"/>
    <w:rsid w:val="00676736"/>
    <w:rsid w:val="006769A4"/>
    <w:rsid w:val="006769C6"/>
    <w:rsid w:val="00676D76"/>
    <w:rsid w:val="00676F9F"/>
    <w:rsid w:val="00677519"/>
    <w:rsid w:val="00677591"/>
    <w:rsid w:val="00677594"/>
    <w:rsid w:val="00677FA3"/>
    <w:rsid w:val="0068032F"/>
    <w:rsid w:val="00680443"/>
    <w:rsid w:val="00680D37"/>
    <w:rsid w:val="0068174E"/>
    <w:rsid w:val="00681DCE"/>
    <w:rsid w:val="00682110"/>
    <w:rsid w:val="0068260E"/>
    <w:rsid w:val="00683EB8"/>
    <w:rsid w:val="006846B3"/>
    <w:rsid w:val="00684851"/>
    <w:rsid w:val="00684B9B"/>
    <w:rsid w:val="00684D59"/>
    <w:rsid w:val="00684E25"/>
    <w:rsid w:val="006858A4"/>
    <w:rsid w:val="00685C08"/>
    <w:rsid w:val="00686718"/>
    <w:rsid w:val="00686BFA"/>
    <w:rsid w:val="00686DED"/>
    <w:rsid w:val="00686F03"/>
    <w:rsid w:val="006875A0"/>
    <w:rsid w:val="006878C6"/>
    <w:rsid w:val="00687D27"/>
    <w:rsid w:val="00687D2B"/>
    <w:rsid w:val="006904BB"/>
    <w:rsid w:val="00691943"/>
    <w:rsid w:val="0069225B"/>
    <w:rsid w:val="00693550"/>
    <w:rsid w:val="00694622"/>
    <w:rsid w:val="00695065"/>
    <w:rsid w:val="00695BEF"/>
    <w:rsid w:val="00696225"/>
    <w:rsid w:val="00696251"/>
    <w:rsid w:val="006963A7"/>
    <w:rsid w:val="006966C7"/>
    <w:rsid w:val="006968C1"/>
    <w:rsid w:val="006977F6"/>
    <w:rsid w:val="00697A13"/>
    <w:rsid w:val="00697FFC"/>
    <w:rsid w:val="006A01C3"/>
    <w:rsid w:val="006A08CE"/>
    <w:rsid w:val="006A0DD4"/>
    <w:rsid w:val="006A109C"/>
    <w:rsid w:val="006A209C"/>
    <w:rsid w:val="006A4E91"/>
    <w:rsid w:val="006A5F4B"/>
    <w:rsid w:val="006A6114"/>
    <w:rsid w:val="006A6565"/>
    <w:rsid w:val="006A6A4C"/>
    <w:rsid w:val="006A7665"/>
    <w:rsid w:val="006A7691"/>
    <w:rsid w:val="006A7EE2"/>
    <w:rsid w:val="006B0514"/>
    <w:rsid w:val="006B0F92"/>
    <w:rsid w:val="006B2785"/>
    <w:rsid w:val="006B27C7"/>
    <w:rsid w:val="006B344A"/>
    <w:rsid w:val="006B4CBF"/>
    <w:rsid w:val="006B502E"/>
    <w:rsid w:val="006B58C9"/>
    <w:rsid w:val="006B60ED"/>
    <w:rsid w:val="006B6CC5"/>
    <w:rsid w:val="006B6D3E"/>
    <w:rsid w:val="006B74AC"/>
    <w:rsid w:val="006B78D8"/>
    <w:rsid w:val="006B79EA"/>
    <w:rsid w:val="006B79EE"/>
    <w:rsid w:val="006C0C5D"/>
    <w:rsid w:val="006C113F"/>
    <w:rsid w:val="006C123E"/>
    <w:rsid w:val="006C15A1"/>
    <w:rsid w:val="006C1752"/>
    <w:rsid w:val="006C1BF0"/>
    <w:rsid w:val="006C1DDC"/>
    <w:rsid w:val="006C28CA"/>
    <w:rsid w:val="006C2BBF"/>
    <w:rsid w:val="006C2FBD"/>
    <w:rsid w:val="006C3336"/>
    <w:rsid w:val="006C3495"/>
    <w:rsid w:val="006C4355"/>
    <w:rsid w:val="006C4587"/>
    <w:rsid w:val="006C469D"/>
    <w:rsid w:val="006C46B5"/>
    <w:rsid w:val="006C484F"/>
    <w:rsid w:val="006C52EC"/>
    <w:rsid w:val="006C5506"/>
    <w:rsid w:val="006C56D4"/>
    <w:rsid w:val="006C6681"/>
    <w:rsid w:val="006C683C"/>
    <w:rsid w:val="006C6924"/>
    <w:rsid w:val="006C6C1E"/>
    <w:rsid w:val="006C7076"/>
    <w:rsid w:val="006C7AEC"/>
    <w:rsid w:val="006C7CA6"/>
    <w:rsid w:val="006D18B3"/>
    <w:rsid w:val="006D1E89"/>
    <w:rsid w:val="006D26CE"/>
    <w:rsid w:val="006D317E"/>
    <w:rsid w:val="006D3E8A"/>
    <w:rsid w:val="006D47D9"/>
    <w:rsid w:val="006D61F6"/>
    <w:rsid w:val="006D6CE9"/>
    <w:rsid w:val="006E0095"/>
    <w:rsid w:val="006E1081"/>
    <w:rsid w:val="006E1332"/>
    <w:rsid w:val="006E19CB"/>
    <w:rsid w:val="006E1DF6"/>
    <w:rsid w:val="006E279A"/>
    <w:rsid w:val="006E313B"/>
    <w:rsid w:val="006E34B2"/>
    <w:rsid w:val="006E3A45"/>
    <w:rsid w:val="006E3AB8"/>
    <w:rsid w:val="006E4078"/>
    <w:rsid w:val="006E51C4"/>
    <w:rsid w:val="006E53AD"/>
    <w:rsid w:val="006E58CB"/>
    <w:rsid w:val="006E6A93"/>
    <w:rsid w:val="006E7227"/>
    <w:rsid w:val="006E761A"/>
    <w:rsid w:val="006F0646"/>
    <w:rsid w:val="006F0741"/>
    <w:rsid w:val="006F1C27"/>
    <w:rsid w:val="006F1F09"/>
    <w:rsid w:val="006F2992"/>
    <w:rsid w:val="006F2A65"/>
    <w:rsid w:val="006F3DD6"/>
    <w:rsid w:val="006F40DF"/>
    <w:rsid w:val="006F42BB"/>
    <w:rsid w:val="006F438E"/>
    <w:rsid w:val="006F440B"/>
    <w:rsid w:val="006F48A3"/>
    <w:rsid w:val="006F4DA4"/>
    <w:rsid w:val="006F5416"/>
    <w:rsid w:val="006F624B"/>
    <w:rsid w:val="006F6D87"/>
    <w:rsid w:val="006F6FF2"/>
    <w:rsid w:val="006F79FB"/>
    <w:rsid w:val="007008A9"/>
    <w:rsid w:val="00700E8A"/>
    <w:rsid w:val="00701373"/>
    <w:rsid w:val="00701C0D"/>
    <w:rsid w:val="00701C1E"/>
    <w:rsid w:val="0070398A"/>
    <w:rsid w:val="00705242"/>
    <w:rsid w:val="007055E0"/>
    <w:rsid w:val="007056ED"/>
    <w:rsid w:val="00705F4E"/>
    <w:rsid w:val="0070658E"/>
    <w:rsid w:val="007065C5"/>
    <w:rsid w:val="007068E1"/>
    <w:rsid w:val="00706AA0"/>
    <w:rsid w:val="00706AD4"/>
    <w:rsid w:val="00707150"/>
    <w:rsid w:val="007118D5"/>
    <w:rsid w:val="007124D7"/>
    <w:rsid w:val="007129DE"/>
    <w:rsid w:val="00712C20"/>
    <w:rsid w:val="00713549"/>
    <w:rsid w:val="007140BE"/>
    <w:rsid w:val="007147AB"/>
    <w:rsid w:val="00714D3E"/>
    <w:rsid w:val="00715502"/>
    <w:rsid w:val="00715D01"/>
    <w:rsid w:val="00715E4D"/>
    <w:rsid w:val="00715F12"/>
    <w:rsid w:val="0071677A"/>
    <w:rsid w:val="007168F1"/>
    <w:rsid w:val="00716F48"/>
    <w:rsid w:val="007170FB"/>
    <w:rsid w:val="00717114"/>
    <w:rsid w:val="0071779F"/>
    <w:rsid w:val="007202BD"/>
    <w:rsid w:val="00720310"/>
    <w:rsid w:val="00720D7A"/>
    <w:rsid w:val="007210D0"/>
    <w:rsid w:val="007211F5"/>
    <w:rsid w:val="007213C3"/>
    <w:rsid w:val="00721601"/>
    <w:rsid w:val="00722777"/>
    <w:rsid w:val="00723435"/>
    <w:rsid w:val="00723436"/>
    <w:rsid w:val="00723EFB"/>
    <w:rsid w:val="007240E2"/>
    <w:rsid w:val="007243A2"/>
    <w:rsid w:val="0072454C"/>
    <w:rsid w:val="00725647"/>
    <w:rsid w:val="0072583E"/>
    <w:rsid w:val="00725BB5"/>
    <w:rsid w:val="00727240"/>
    <w:rsid w:val="00727C02"/>
    <w:rsid w:val="0073008E"/>
    <w:rsid w:val="00730A8B"/>
    <w:rsid w:val="00730AE8"/>
    <w:rsid w:val="00730DA9"/>
    <w:rsid w:val="00730F1B"/>
    <w:rsid w:val="0073186D"/>
    <w:rsid w:val="00731D3A"/>
    <w:rsid w:val="00732258"/>
    <w:rsid w:val="0073261D"/>
    <w:rsid w:val="0073333D"/>
    <w:rsid w:val="007343D9"/>
    <w:rsid w:val="00734F71"/>
    <w:rsid w:val="00735301"/>
    <w:rsid w:val="00735448"/>
    <w:rsid w:val="00736BB4"/>
    <w:rsid w:val="00736F07"/>
    <w:rsid w:val="007377BD"/>
    <w:rsid w:val="00737DEC"/>
    <w:rsid w:val="0074004D"/>
    <w:rsid w:val="00740DDF"/>
    <w:rsid w:val="00741493"/>
    <w:rsid w:val="007434E5"/>
    <w:rsid w:val="0074499B"/>
    <w:rsid w:val="007450BF"/>
    <w:rsid w:val="00746F45"/>
    <w:rsid w:val="007471A1"/>
    <w:rsid w:val="007477BD"/>
    <w:rsid w:val="007477DA"/>
    <w:rsid w:val="00747EE9"/>
    <w:rsid w:val="00750275"/>
    <w:rsid w:val="007520B6"/>
    <w:rsid w:val="00752180"/>
    <w:rsid w:val="00752323"/>
    <w:rsid w:val="00752330"/>
    <w:rsid w:val="007532B7"/>
    <w:rsid w:val="00753630"/>
    <w:rsid w:val="0075399B"/>
    <w:rsid w:val="00753CAB"/>
    <w:rsid w:val="00754A70"/>
    <w:rsid w:val="00754BC9"/>
    <w:rsid w:val="00755202"/>
    <w:rsid w:val="00755D3A"/>
    <w:rsid w:val="007562AA"/>
    <w:rsid w:val="007563D7"/>
    <w:rsid w:val="00757241"/>
    <w:rsid w:val="0075751D"/>
    <w:rsid w:val="0075763E"/>
    <w:rsid w:val="007578D3"/>
    <w:rsid w:val="00757A01"/>
    <w:rsid w:val="007602CF"/>
    <w:rsid w:val="00760391"/>
    <w:rsid w:val="007607E0"/>
    <w:rsid w:val="007609C6"/>
    <w:rsid w:val="00760B2F"/>
    <w:rsid w:val="007615F3"/>
    <w:rsid w:val="0076175D"/>
    <w:rsid w:val="00761CB5"/>
    <w:rsid w:val="007629D5"/>
    <w:rsid w:val="007635F8"/>
    <w:rsid w:val="00763B85"/>
    <w:rsid w:val="00764231"/>
    <w:rsid w:val="00764974"/>
    <w:rsid w:val="00764D17"/>
    <w:rsid w:val="00764D18"/>
    <w:rsid w:val="0076521E"/>
    <w:rsid w:val="00765BCC"/>
    <w:rsid w:val="0076600D"/>
    <w:rsid w:val="007661E9"/>
    <w:rsid w:val="0076636A"/>
    <w:rsid w:val="00766460"/>
    <w:rsid w:val="00767062"/>
    <w:rsid w:val="00767601"/>
    <w:rsid w:val="00767777"/>
    <w:rsid w:val="00770CFC"/>
    <w:rsid w:val="0077130E"/>
    <w:rsid w:val="007715EE"/>
    <w:rsid w:val="00771972"/>
    <w:rsid w:val="00772279"/>
    <w:rsid w:val="00772DAB"/>
    <w:rsid w:val="00772FF9"/>
    <w:rsid w:val="0077348B"/>
    <w:rsid w:val="007743DB"/>
    <w:rsid w:val="0077463E"/>
    <w:rsid w:val="00774D2C"/>
    <w:rsid w:val="0077605B"/>
    <w:rsid w:val="00776169"/>
    <w:rsid w:val="00776527"/>
    <w:rsid w:val="00777040"/>
    <w:rsid w:val="00777CE6"/>
    <w:rsid w:val="00777D57"/>
    <w:rsid w:val="007800BC"/>
    <w:rsid w:val="00780EF1"/>
    <w:rsid w:val="00781A91"/>
    <w:rsid w:val="00781AD3"/>
    <w:rsid w:val="00781F36"/>
    <w:rsid w:val="00783576"/>
    <w:rsid w:val="00785778"/>
    <w:rsid w:val="00785EC7"/>
    <w:rsid w:val="00786C87"/>
    <w:rsid w:val="0078755E"/>
    <w:rsid w:val="007877C9"/>
    <w:rsid w:val="00790764"/>
    <w:rsid w:val="0079085F"/>
    <w:rsid w:val="00790943"/>
    <w:rsid w:val="00790E96"/>
    <w:rsid w:val="00791005"/>
    <w:rsid w:val="007910A8"/>
    <w:rsid w:val="007918DF"/>
    <w:rsid w:val="00793D78"/>
    <w:rsid w:val="0079420B"/>
    <w:rsid w:val="0079453C"/>
    <w:rsid w:val="00794677"/>
    <w:rsid w:val="00794827"/>
    <w:rsid w:val="00795759"/>
    <w:rsid w:val="00795C29"/>
    <w:rsid w:val="007A011D"/>
    <w:rsid w:val="007A170B"/>
    <w:rsid w:val="007A1D4F"/>
    <w:rsid w:val="007A20EB"/>
    <w:rsid w:val="007A26FD"/>
    <w:rsid w:val="007A282C"/>
    <w:rsid w:val="007A293C"/>
    <w:rsid w:val="007A2A3A"/>
    <w:rsid w:val="007A33E2"/>
    <w:rsid w:val="007A3CAF"/>
    <w:rsid w:val="007A4664"/>
    <w:rsid w:val="007A4782"/>
    <w:rsid w:val="007A4E9B"/>
    <w:rsid w:val="007A50A1"/>
    <w:rsid w:val="007A516D"/>
    <w:rsid w:val="007A5E65"/>
    <w:rsid w:val="007A65E1"/>
    <w:rsid w:val="007A6AAA"/>
    <w:rsid w:val="007A7033"/>
    <w:rsid w:val="007A714A"/>
    <w:rsid w:val="007A775D"/>
    <w:rsid w:val="007B04B0"/>
    <w:rsid w:val="007B04C6"/>
    <w:rsid w:val="007B0834"/>
    <w:rsid w:val="007B0E83"/>
    <w:rsid w:val="007B11FA"/>
    <w:rsid w:val="007B1396"/>
    <w:rsid w:val="007B16D6"/>
    <w:rsid w:val="007B2011"/>
    <w:rsid w:val="007B2BC5"/>
    <w:rsid w:val="007B2CFE"/>
    <w:rsid w:val="007B309B"/>
    <w:rsid w:val="007B309E"/>
    <w:rsid w:val="007B3D5E"/>
    <w:rsid w:val="007B3DCB"/>
    <w:rsid w:val="007B5725"/>
    <w:rsid w:val="007B5C1F"/>
    <w:rsid w:val="007B6689"/>
    <w:rsid w:val="007B6747"/>
    <w:rsid w:val="007B6F72"/>
    <w:rsid w:val="007B74AA"/>
    <w:rsid w:val="007C10BD"/>
    <w:rsid w:val="007C162D"/>
    <w:rsid w:val="007C1F0C"/>
    <w:rsid w:val="007C1FFB"/>
    <w:rsid w:val="007C2B93"/>
    <w:rsid w:val="007C2D94"/>
    <w:rsid w:val="007C3418"/>
    <w:rsid w:val="007C4A6B"/>
    <w:rsid w:val="007C4CDC"/>
    <w:rsid w:val="007C57FA"/>
    <w:rsid w:val="007C581C"/>
    <w:rsid w:val="007C5A80"/>
    <w:rsid w:val="007C5F92"/>
    <w:rsid w:val="007C6227"/>
    <w:rsid w:val="007C6BBD"/>
    <w:rsid w:val="007C6D89"/>
    <w:rsid w:val="007C6F5E"/>
    <w:rsid w:val="007C7C2B"/>
    <w:rsid w:val="007C7C8E"/>
    <w:rsid w:val="007D0382"/>
    <w:rsid w:val="007D0F6B"/>
    <w:rsid w:val="007D14FE"/>
    <w:rsid w:val="007D1A1F"/>
    <w:rsid w:val="007D1AA7"/>
    <w:rsid w:val="007D1D38"/>
    <w:rsid w:val="007D213B"/>
    <w:rsid w:val="007D2E18"/>
    <w:rsid w:val="007D40DF"/>
    <w:rsid w:val="007D42E5"/>
    <w:rsid w:val="007D4458"/>
    <w:rsid w:val="007D5F38"/>
    <w:rsid w:val="007D6AF9"/>
    <w:rsid w:val="007E051D"/>
    <w:rsid w:val="007E0535"/>
    <w:rsid w:val="007E07F2"/>
    <w:rsid w:val="007E0D4A"/>
    <w:rsid w:val="007E1041"/>
    <w:rsid w:val="007E1788"/>
    <w:rsid w:val="007E1EE3"/>
    <w:rsid w:val="007E239D"/>
    <w:rsid w:val="007E29B4"/>
    <w:rsid w:val="007E2F12"/>
    <w:rsid w:val="007E3F0E"/>
    <w:rsid w:val="007E435A"/>
    <w:rsid w:val="007E445C"/>
    <w:rsid w:val="007E49F7"/>
    <w:rsid w:val="007E4AC8"/>
    <w:rsid w:val="007E4C70"/>
    <w:rsid w:val="007E5B5F"/>
    <w:rsid w:val="007E5CF0"/>
    <w:rsid w:val="007E5ECB"/>
    <w:rsid w:val="007E69C6"/>
    <w:rsid w:val="007E78B6"/>
    <w:rsid w:val="007E7E61"/>
    <w:rsid w:val="007F0845"/>
    <w:rsid w:val="007F0873"/>
    <w:rsid w:val="007F20F3"/>
    <w:rsid w:val="007F22F1"/>
    <w:rsid w:val="007F2353"/>
    <w:rsid w:val="007F2390"/>
    <w:rsid w:val="007F2CAC"/>
    <w:rsid w:val="007F2F8E"/>
    <w:rsid w:val="007F4740"/>
    <w:rsid w:val="007F595A"/>
    <w:rsid w:val="007F5C38"/>
    <w:rsid w:val="007F708D"/>
    <w:rsid w:val="007F7E3F"/>
    <w:rsid w:val="0080001B"/>
    <w:rsid w:val="008006B3"/>
    <w:rsid w:val="00800B63"/>
    <w:rsid w:val="0080127B"/>
    <w:rsid w:val="0080158A"/>
    <w:rsid w:val="00801CCF"/>
    <w:rsid w:val="00801E13"/>
    <w:rsid w:val="00803008"/>
    <w:rsid w:val="00803069"/>
    <w:rsid w:val="00803230"/>
    <w:rsid w:val="008032D9"/>
    <w:rsid w:val="0080346B"/>
    <w:rsid w:val="00804155"/>
    <w:rsid w:val="00804C9F"/>
    <w:rsid w:val="0080559E"/>
    <w:rsid w:val="00805AF3"/>
    <w:rsid w:val="00806C9C"/>
    <w:rsid w:val="0080734C"/>
    <w:rsid w:val="00807C82"/>
    <w:rsid w:val="00807D2B"/>
    <w:rsid w:val="008117CC"/>
    <w:rsid w:val="00811FF8"/>
    <w:rsid w:val="008130D2"/>
    <w:rsid w:val="0081335A"/>
    <w:rsid w:val="00813D58"/>
    <w:rsid w:val="00813DCA"/>
    <w:rsid w:val="008161A6"/>
    <w:rsid w:val="008165B8"/>
    <w:rsid w:val="00816905"/>
    <w:rsid w:val="00816D98"/>
    <w:rsid w:val="00816E42"/>
    <w:rsid w:val="00817040"/>
    <w:rsid w:val="00817A17"/>
    <w:rsid w:val="00817EC1"/>
    <w:rsid w:val="0082112D"/>
    <w:rsid w:val="00821624"/>
    <w:rsid w:val="00821FF6"/>
    <w:rsid w:val="008223DB"/>
    <w:rsid w:val="00822574"/>
    <w:rsid w:val="00822910"/>
    <w:rsid w:val="00822980"/>
    <w:rsid w:val="00822F08"/>
    <w:rsid w:val="00824BA6"/>
    <w:rsid w:val="00825C4D"/>
    <w:rsid w:val="00826A08"/>
    <w:rsid w:val="00826AC0"/>
    <w:rsid w:val="00827186"/>
    <w:rsid w:val="00827C8E"/>
    <w:rsid w:val="00830569"/>
    <w:rsid w:val="00830AEA"/>
    <w:rsid w:val="00830E86"/>
    <w:rsid w:val="0083143E"/>
    <w:rsid w:val="008315B8"/>
    <w:rsid w:val="008315D5"/>
    <w:rsid w:val="00831CDE"/>
    <w:rsid w:val="00831F2B"/>
    <w:rsid w:val="008320CF"/>
    <w:rsid w:val="008324A3"/>
    <w:rsid w:val="00832F77"/>
    <w:rsid w:val="008337D4"/>
    <w:rsid w:val="00834304"/>
    <w:rsid w:val="00834FAA"/>
    <w:rsid w:val="00835026"/>
    <w:rsid w:val="008354FB"/>
    <w:rsid w:val="00835FF1"/>
    <w:rsid w:val="00836086"/>
    <w:rsid w:val="00836096"/>
    <w:rsid w:val="0083630F"/>
    <w:rsid w:val="00836A06"/>
    <w:rsid w:val="00836C91"/>
    <w:rsid w:val="008374BC"/>
    <w:rsid w:val="008379D6"/>
    <w:rsid w:val="00837E48"/>
    <w:rsid w:val="00840293"/>
    <w:rsid w:val="008402AD"/>
    <w:rsid w:val="00840714"/>
    <w:rsid w:val="008407EA"/>
    <w:rsid w:val="008408D4"/>
    <w:rsid w:val="00840A91"/>
    <w:rsid w:val="008417B5"/>
    <w:rsid w:val="00841901"/>
    <w:rsid w:val="008458BD"/>
    <w:rsid w:val="00845CE4"/>
    <w:rsid w:val="00846121"/>
    <w:rsid w:val="008461C2"/>
    <w:rsid w:val="008462F1"/>
    <w:rsid w:val="008466C6"/>
    <w:rsid w:val="0084708F"/>
    <w:rsid w:val="008477C8"/>
    <w:rsid w:val="008478A6"/>
    <w:rsid w:val="008502F6"/>
    <w:rsid w:val="0085036C"/>
    <w:rsid w:val="00850E83"/>
    <w:rsid w:val="0085114D"/>
    <w:rsid w:val="008514DE"/>
    <w:rsid w:val="00851F47"/>
    <w:rsid w:val="008520A8"/>
    <w:rsid w:val="0085220A"/>
    <w:rsid w:val="00852217"/>
    <w:rsid w:val="00852421"/>
    <w:rsid w:val="008525EE"/>
    <w:rsid w:val="00853282"/>
    <w:rsid w:val="0085334C"/>
    <w:rsid w:val="00854291"/>
    <w:rsid w:val="00855408"/>
    <w:rsid w:val="00855D03"/>
    <w:rsid w:val="00856D65"/>
    <w:rsid w:val="00856FA4"/>
    <w:rsid w:val="00860D79"/>
    <w:rsid w:val="008616E4"/>
    <w:rsid w:val="00861816"/>
    <w:rsid w:val="00861B41"/>
    <w:rsid w:val="00861B9F"/>
    <w:rsid w:val="00861BE3"/>
    <w:rsid w:val="008625D3"/>
    <w:rsid w:val="00862C0A"/>
    <w:rsid w:val="00863434"/>
    <w:rsid w:val="0086344F"/>
    <w:rsid w:val="008641AC"/>
    <w:rsid w:val="00864FA4"/>
    <w:rsid w:val="00865E4C"/>
    <w:rsid w:val="00866074"/>
    <w:rsid w:val="00867546"/>
    <w:rsid w:val="0086796D"/>
    <w:rsid w:val="00867DAB"/>
    <w:rsid w:val="0087000B"/>
    <w:rsid w:val="008701E4"/>
    <w:rsid w:val="008704E9"/>
    <w:rsid w:val="008708AD"/>
    <w:rsid w:val="00870ECD"/>
    <w:rsid w:val="0087187B"/>
    <w:rsid w:val="00872F5D"/>
    <w:rsid w:val="0087347C"/>
    <w:rsid w:val="008734E7"/>
    <w:rsid w:val="0087368D"/>
    <w:rsid w:val="008740CC"/>
    <w:rsid w:val="0087442A"/>
    <w:rsid w:val="00874FE8"/>
    <w:rsid w:val="00875A32"/>
    <w:rsid w:val="00876086"/>
    <w:rsid w:val="00876651"/>
    <w:rsid w:val="00876E83"/>
    <w:rsid w:val="008772BC"/>
    <w:rsid w:val="00880299"/>
    <w:rsid w:val="00880A0E"/>
    <w:rsid w:val="008817FE"/>
    <w:rsid w:val="00881CD7"/>
    <w:rsid w:val="0088220D"/>
    <w:rsid w:val="00882911"/>
    <w:rsid w:val="00882F6E"/>
    <w:rsid w:val="00883202"/>
    <w:rsid w:val="00884E02"/>
    <w:rsid w:val="0088502B"/>
    <w:rsid w:val="00885BC2"/>
    <w:rsid w:val="00885D40"/>
    <w:rsid w:val="008873D4"/>
    <w:rsid w:val="00890CB1"/>
    <w:rsid w:val="00891EDF"/>
    <w:rsid w:val="00892872"/>
    <w:rsid w:val="0089296D"/>
    <w:rsid w:val="00893E85"/>
    <w:rsid w:val="00893EBE"/>
    <w:rsid w:val="00894031"/>
    <w:rsid w:val="00894C5D"/>
    <w:rsid w:val="008952FE"/>
    <w:rsid w:val="00895508"/>
    <w:rsid w:val="008967E9"/>
    <w:rsid w:val="00896A5C"/>
    <w:rsid w:val="008972D2"/>
    <w:rsid w:val="0089754C"/>
    <w:rsid w:val="008A0659"/>
    <w:rsid w:val="008A0ADD"/>
    <w:rsid w:val="008A0D27"/>
    <w:rsid w:val="008A0E38"/>
    <w:rsid w:val="008A1A3B"/>
    <w:rsid w:val="008A1C59"/>
    <w:rsid w:val="008A1F51"/>
    <w:rsid w:val="008A37E2"/>
    <w:rsid w:val="008A388E"/>
    <w:rsid w:val="008A394E"/>
    <w:rsid w:val="008A3CBA"/>
    <w:rsid w:val="008A4B59"/>
    <w:rsid w:val="008A569C"/>
    <w:rsid w:val="008A5BFA"/>
    <w:rsid w:val="008A63E1"/>
    <w:rsid w:val="008A66B7"/>
    <w:rsid w:val="008A68BB"/>
    <w:rsid w:val="008A6AA5"/>
    <w:rsid w:val="008A7127"/>
    <w:rsid w:val="008B0CBA"/>
    <w:rsid w:val="008B0FD5"/>
    <w:rsid w:val="008B2639"/>
    <w:rsid w:val="008B3537"/>
    <w:rsid w:val="008B3690"/>
    <w:rsid w:val="008B391B"/>
    <w:rsid w:val="008B3A80"/>
    <w:rsid w:val="008B3AEC"/>
    <w:rsid w:val="008B3C07"/>
    <w:rsid w:val="008B3F7B"/>
    <w:rsid w:val="008B43CA"/>
    <w:rsid w:val="008B5324"/>
    <w:rsid w:val="008B5C99"/>
    <w:rsid w:val="008B6106"/>
    <w:rsid w:val="008B7C02"/>
    <w:rsid w:val="008B7D2B"/>
    <w:rsid w:val="008B7EF9"/>
    <w:rsid w:val="008C0049"/>
    <w:rsid w:val="008C0314"/>
    <w:rsid w:val="008C0A2C"/>
    <w:rsid w:val="008C0E88"/>
    <w:rsid w:val="008C1537"/>
    <w:rsid w:val="008C1717"/>
    <w:rsid w:val="008C17B6"/>
    <w:rsid w:val="008C17F0"/>
    <w:rsid w:val="008C1D39"/>
    <w:rsid w:val="008C209F"/>
    <w:rsid w:val="008C3B05"/>
    <w:rsid w:val="008C4B50"/>
    <w:rsid w:val="008C5A37"/>
    <w:rsid w:val="008C7569"/>
    <w:rsid w:val="008C786A"/>
    <w:rsid w:val="008C79C3"/>
    <w:rsid w:val="008D006F"/>
    <w:rsid w:val="008D033D"/>
    <w:rsid w:val="008D04A7"/>
    <w:rsid w:val="008D0DBD"/>
    <w:rsid w:val="008D117E"/>
    <w:rsid w:val="008D127E"/>
    <w:rsid w:val="008D1CA8"/>
    <w:rsid w:val="008D1E0A"/>
    <w:rsid w:val="008D1E6A"/>
    <w:rsid w:val="008D2407"/>
    <w:rsid w:val="008D29A4"/>
    <w:rsid w:val="008D2A16"/>
    <w:rsid w:val="008D2AEC"/>
    <w:rsid w:val="008D3295"/>
    <w:rsid w:val="008D33F5"/>
    <w:rsid w:val="008D35E4"/>
    <w:rsid w:val="008D3ACD"/>
    <w:rsid w:val="008D5CFF"/>
    <w:rsid w:val="008D62D6"/>
    <w:rsid w:val="008D6B82"/>
    <w:rsid w:val="008D6C3A"/>
    <w:rsid w:val="008D70E2"/>
    <w:rsid w:val="008D7710"/>
    <w:rsid w:val="008D77D6"/>
    <w:rsid w:val="008E0001"/>
    <w:rsid w:val="008E039E"/>
    <w:rsid w:val="008E0AE5"/>
    <w:rsid w:val="008E0D78"/>
    <w:rsid w:val="008E1491"/>
    <w:rsid w:val="008E19AF"/>
    <w:rsid w:val="008E1FD8"/>
    <w:rsid w:val="008E292B"/>
    <w:rsid w:val="008E2C57"/>
    <w:rsid w:val="008E3174"/>
    <w:rsid w:val="008E31FF"/>
    <w:rsid w:val="008E3287"/>
    <w:rsid w:val="008E38E4"/>
    <w:rsid w:val="008E3DFA"/>
    <w:rsid w:val="008E51EB"/>
    <w:rsid w:val="008E5746"/>
    <w:rsid w:val="008E5F94"/>
    <w:rsid w:val="008E6DCB"/>
    <w:rsid w:val="008E6F06"/>
    <w:rsid w:val="008E7000"/>
    <w:rsid w:val="008E723E"/>
    <w:rsid w:val="008E7B8E"/>
    <w:rsid w:val="008E7FC9"/>
    <w:rsid w:val="008F0107"/>
    <w:rsid w:val="008F029B"/>
    <w:rsid w:val="008F0589"/>
    <w:rsid w:val="008F1DA0"/>
    <w:rsid w:val="008F2A5D"/>
    <w:rsid w:val="008F2BC7"/>
    <w:rsid w:val="008F3636"/>
    <w:rsid w:val="008F3FC9"/>
    <w:rsid w:val="008F509F"/>
    <w:rsid w:val="008F5383"/>
    <w:rsid w:val="008F585B"/>
    <w:rsid w:val="008F69C3"/>
    <w:rsid w:val="008F7FB0"/>
    <w:rsid w:val="009003A8"/>
    <w:rsid w:val="009005E4"/>
    <w:rsid w:val="00900977"/>
    <w:rsid w:val="009021DA"/>
    <w:rsid w:val="00902442"/>
    <w:rsid w:val="00902500"/>
    <w:rsid w:val="0090250E"/>
    <w:rsid w:val="00902EFF"/>
    <w:rsid w:val="00903A0D"/>
    <w:rsid w:val="00903A8E"/>
    <w:rsid w:val="0090432C"/>
    <w:rsid w:val="00904AFB"/>
    <w:rsid w:val="00904F96"/>
    <w:rsid w:val="00904FA3"/>
    <w:rsid w:val="009052A3"/>
    <w:rsid w:val="00905314"/>
    <w:rsid w:val="009056D7"/>
    <w:rsid w:val="00905B8D"/>
    <w:rsid w:val="00906401"/>
    <w:rsid w:val="009065CB"/>
    <w:rsid w:val="009067EA"/>
    <w:rsid w:val="00906B79"/>
    <w:rsid w:val="00906E5F"/>
    <w:rsid w:val="0090786F"/>
    <w:rsid w:val="00907F11"/>
    <w:rsid w:val="0091001E"/>
    <w:rsid w:val="00910C18"/>
    <w:rsid w:val="009110F7"/>
    <w:rsid w:val="009112E3"/>
    <w:rsid w:val="0091155E"/>
    <w:rsid w:val="00911619"/>
    <w:rsid w:val="00911A66"/>
    <w:rsid w:val="00912437"/>
    <w:rsid w:val="00912A92"/>
    <w:rsid w:val="00912FCB"/>
    <w:rsid w:val="00913237"/>
    <w:rsid w:val="0091476D"/>
    <w:rsid w:val="00915D07"/>
    <w:rsid w:val="009162AE"/>
    <w:rsid w:val="00917251"/>
    <w:rsid w:val="0091728D"/>
    <w:rsid w:val="0092036B"/>
    <w:rsid w:val="009203CC"/>
    <w:rsid w:val="00920B7E"/>
    <w:rsid w:val="00920D6A"/>
    <w:rsid w:val="00920EC4"/>
    <w:rsid w:val="0092180B"/>
    <w:rsid w:val="00921F14"/>
    <w:rsid w:val="0092292F"/>
    <w:rsid w:val="00922D28"/>
    <w:rsid w:val="0092303E"/>
    <w:rsid w:val="009234E1"/>
    <w:rsid w:val="00923CB0"/>
    <w:rsid w:val="00923D8C"/>
    <w:rsid w:val="00924871"/>
    <w:rsid w:val="00924AC8"/>
    <w:rsid w:val="00925429"/>
    <w:rsid w:val="00925615"/>
    <w:rsid w:val="0092597A"/>
    <w:rsid w:val="00926520"/>
    <w:rsid w:val="00926CF0"/>
    <w:rsid w:val="00926FBD"/>
    <w:rsid w:val="009273A9"/>
    <w:rsid w:val="00927FD6"/>
    <w:rsid w:val="00930251"/>
    <w:rsid w:val="0093033E"/>
    <w:rsid w:val="009305FC"/>
    <w:rsid w:val="00930FB1"/>
    <w:rsid w:val="0093139F"/>
    <w:rsid w:val="00931903"/>
    <w:rsid w:val="00931D3C"/>
    <w:rsid w:val="00932097"/>
    <w:rsid w:val="00932443"/>
    <w:rsid w:val="00932782"/>
    <w:rsid w:val="009328EE"/>
    <w:rsid w:val="00932B32"/>
    <w:rsid w:val="00932DB3"/>
    <w:rsid w:val="0093305E"/>
    <w:rsid w:val="00933F4A"/>
    <w:rsid w:val="009341F1"/>
    <w:rsid w:val="00934FF2"/>
    <w:rsid w:val="009358D7"/>
    <w:rsid w:val="00935BD4"/>
    <w:rsid w:val="00935DFE"/>
    <w:rsid w:val="00935F70"/>
    <w:rsid w:val="0093648B"/>
    <w:rsid w:val="00937017"/>
    <w:rsid w:val="009373B2"/>
    <w:rsid w:val="00937AE2"/>
    <w:rsid w:val="0094061F"/>
    <w:rsid w:val="00940F0F"/>
    <w:rsid w:val="00941912"/>
    <w:rsid w:val="0094416B"/>
    <w:rsid w:val="0094427A"/>
    <w:rsid w:val="009449C6"/>
    <w:rsid w:val="00944C7C"/>
    <w:rsid w:val="00945245"/>
    <w:rsid w:val="00945523"/>
    <w:rsid w:val="0094590F"/>
    <w:rsid w:val="00947B6E"/>
    <w:rsid w:val="00950921"/>
    <w:rsid w:val="00951A1F"/>
    <w:rsid w:val="00951D68"/>
    <w:rsid w:val="00951E5B"/>
    <w:rsid w:val="00952050"/>
    <w:rsid w:val="00952315"/>
    <w:rsid w:val="009523D9"/>
    <w:rsid w:val="00952B7B"/>
    <w:rsid w:val="0095357B"/>
    <w:rsid w:val="009538B3"/>
    <w:rsid w:val="00954F39"/>
    <w:rsid w:val="009555FD"/>
    <w:rsid w:val="0095639D"/>
    <w:rsid w:val="0095664B"/>
    <w:rsid w:val="009568DC"/>
    <w:rsid w:val="00956912"/>
    <w:rsid w:val="00957140"/>
    <w:rsid w:val="00957445"/>
    <w:rsid w:val="0095759C"/>
    <w:rsid w:val="009579E0"/>
    <w:rsid w:val="009611FD"/>
    <w:rsid w:val="009618EE"/>
    <w:rsid w:val="00961DDD"/>
    <w:rsid w:val="009624D2"/>
    <w:rsid w:val="009628D9"/>
    <w:rsid w:val="00962D60"/>
    <w:rsid w:val="009636BE"/>
    <w:rsid w:val="009637AE"/>
    <w:rsid w:val="00963A06"/>
    <w:rsid w:val="00963D65"/>
    <w:rsid w:val="00964068"/>
    <w:rsid w:val="009640F6"/>
    <w:rsid w:val="0096469D"/>
    <w:rsid w:val="00964776"/>
    <w:rsid w:val="00964A4E"/>
    <w:rsid w:val="00964B35"/>
    <w:rsid w:val="009651C7"/>
    <w:rsid w:val="0096547B"/>
    <w:rsid w:val="00965797"/>
    <w:rsid w:val="00965A10"/>
    <w:rsid w:val="00965AD0"/>
    <w:rsid w:val="00966781"/>
    <w:rsid w:val="009670A3"/>
    <w:rsid w:val="009674BE"/>
    <w:rsid w:val="00967DBA"/>
    <w:rsid w:val="00970FB5"/>
    <w:rsid w:val="00971710"/>
    <w:rsid w:val="00971B87"/>
    <w:rsid w:val="00971C77"/>
    <w:rsid w:val="0097203A"/>
    <w:rsid w:val="00972835"/>
    <w:rsid w:val="00972FCD"/>
    <w:rsid w:val="00973324"/>
    <w:rsid w:val="009736DF"/>
    <w:rsid w:val="0097386E"/>
    <w:rsid w:val="009741AE"/>
    <w:rsid w:val="009741FC"/>
    <w:rsid w:val="00974782"/>
    <w:rsid w:val="00974923"/>
    <w:rsid w:val="0097527D"/>
    <w:rsid w:val="00975909"/>
    <w:rsid w:val="00975BAF"/>
    <w:rsid w:val="00977C3D"/>
    <w:rsid w:val="009805C9"/>
    <w:rsid w:val="00980D3D"/>
    <w:rsid w:val="0098103E"/>
    <w:rsid w:val="0098157D"/>
    <w:rsid w:val="00983101"/>
    <w:rsid w:val="00983E41"/>
    <w:rsid w:val="009845E1"/>
    <w:rsid w:val="009848AF"/>
    <w:rsid w:val="00984D1B"/>
    <w:rsid w:val="009854B3"/>
    <w:rsid w:val="00986246"/>
    <w:rsid w:val="00986841"/>
    <w:rsid w:val="00987A30"/>
    <w:rsid w:val="00990257"/>
    <w:rsid w:val="00990312"/>
    <w:rsid w:val="0099045F"/>
    <w:rsid w:val="0099182E"/>
    <w:rsid w:val="00991A2D"/>
    <w:rsid w:val="00991D45"/>
    <w:rsid w:val="00992AC0"/>
    <w:rsid w:val="00992BB3"/>
    <w:rsid w:val="00992CF3"/>
    <w:rsid w:val="00993194"/>
    <w:rsid w:val="0099321E"/>
    <w:rsid w:val="009937B7"/>
    <w:rsid w:val="00994171"/>
    <w:rsid w:val="00994868"/>
    <w:rsid w:val="00994976"/>
    <w:rsid w:val="00994D28"/>
    <w:rsid w:val="00994F2C"/>
    <w:rsid w:val="00995720"/>
    <w:rsid w:val="009957CC"/>
    <w:rsid w:val="0099596C"/>
    <w:rsid w:val="00995D25"/>
    <w:rsid w:val="009968D6"/>
    <w:rsid w:val="00997953"/>
    <w:rsid w:val="00997D55"/>
    <w:rsid w:val="009A096C"/>
    <w:rsid w:val="009A0BFF"/>
    <w:rsid w:val="009A10A0"/>
    <w:rsid w:val="009A1CAB"/>
    <w:rsid w:val="009A2359"/>
    <w:rsid w:val="009A24F1"/>
    <w:rsid w:val="009A27E0"/>
    <w:rsid w:val="009A2A2E"/>
    <w:rsid w:val="009A4D57"/>
    <w:rsid w:val="009A51A5"/>
    <w:rsid w:val="009A5309"/>
    <w:rsid w:val="009A60C7"/>
    <w:rsid w:val="009A60D1"/>
    <w:rsid w:val="009A6225"/>
    <w:rsid w:val="009A64F5"/>
    <w:rsid w:val="009B00D2"/>
    <w:rsid w:val="009B039B"/>
    <w:rsid w:val="009B05B3"/>
    <w:rsid w:val="009B0A5E"/>
    <w:rsid w:val="009B0CAF"/>
    <w:rsid w:val="009B0ED1"/>
    <w:rsid w:val="009B1324"/>
    <w:rsid w:val="009B1601"/>
    <w:rsid w:val="009B2558"/>
    <w:rsid w:val="009B284F"/>
    <w:rsid w:val="009B3764"/>
    <w:rsid w:val="009B3840"/>
    <w:rsid w:val="009B52AC"/>
    <w:rsid w:val="009B553D"/>
    <w:rsid w:val="009B59EA"/>
    <w:rsid w:val="009B66CE"/>
    <w:rsid w:val="009B6FD3"/>
    <w:rsid w:val="009B72BE"/>
    <w:rsid w:val="009B78A4"/>
    <w:rsid w:val="009B7A4F"/>
    <w:rsid w:val="009B7CFC"/>
    <w:rsid w:val="009B7DB2"/>
    <w:rsid w:val="009C03DB"/>
    <w:rsid w:val="009C15AF"/>
    <w:rsid w:val="009C1750"/>
    <w:rsid w:val="009C2E29"/>
    <w:rsid w:val="009C3E8F"/>
    <w:rsid w:val="009C554B"/>
    <w:rsid w:val="009C5E83"/>
    <w:rsid w:val="009C667A"/>
    <w:rsid w:val="009C7126"/>
    <w:rsid w:val="009C719E"/>
    <w:rsid w:val="009C7799"/>
    <w:rsid w:val="009D07A9"/>
    <w:rsid w:val="009D0AE2"/>
    <w:rsid w:val="009D0D9F"/>
    <w:rsid w:val="009D0EBB"/>
    <w:rsid w:val="009D2C46"/>
    <w:rsid w:val="009D3081"/>
    <w:rsid w:val="009D3ACD"/>
    <w:rsid w:val="009D3FA4"/>
    <w:rsid w:val="009D4254"/>
    <w:rsid w:val="009D4F21"/>
    <w:rsid w:val="009D587D"/>
    <w:rsid w:val="009D6D47"/>
    <w:rsid w:val="009D7731"/>
    <w:rsid w:val="009D7BFB"/>
    <w:rsid w:val="009E1120"/>
    <w:rsid w:val="009E1393"/>
    <w:rsid w:val="009E1922"/>
    <w:rsid w:val="009E1A3D"/>
    <w:rsid w:val="009E35E6"/>
    <w:rsid w:val="009E3A31"/>
    <w:rsid w:val="009E4080"/>
    <w:rsid w:val="009E4715"/>
    <w:rsid w:val="009E484D"/>
    <w:rsid w:val="009E4A58"/>
    <w:rsid w:val="009E4F3B"/>
    <w:rsid w:val="009E5273"/>
    <w:rsid w:val="009E57A8"/>
    <w:rsid w:val="009E5B85"/>
    <w:rsid w:val="009E5DDB"/>
    <w:rsid w:val="009E7BC6"/>
    <w:rsid w:val="009F150E"/>
    <w:rsid w:val="009F1CA6"/>
    <w:rsid w:val="009F1F7E"/>
    <w:rsid w:val="009F2921"/>
    <w:rsid w:val="009F2A54"/>
    <w:rsid w:val="009F42CF"/>
    <w:rsid w:val="009F4982"/>
    <w:rsid w:val="009F4CA7"/>
    <w:rsid w:val="009F4F6A"/>
    <w:rsid w:val="009F4F95"/>
    <w:rsid w:val="009F55BA"/>
    <w:rsid w:val="009F5E15"/>
    <w:rsid w:val="009F7D36"/>
    <w:rsid w:val="009F7D61"/>
    <w:rsid w:val="00A00E71"/>
    <w:rsid w:val="00A0187B"/>
    <w:rsid w:val="00A01A7C"/>
    <w:rsid w:val="00A02E8B"/>
    <w:rsid w:val="00A0306F"/>
    <w:rsid w:val="00A03511"/>
    <w:rsid w:val="00A03B10"/>
    <w:rsid w:val="00A03E2E"/>
    <w:rsid w:val="00A04616"/>
    <w:rsid w:val="00A04717"/>
    <w:rsid w:val="00A05D8F"/>
    <w:rsid w:val="00A05EE4"/>
    <w:rsid w:val="00A06545"/>
    <w:rsid w:val="00A06F99"/>
    <w:rsid w:val="00A07CD3"/>
    <w:rsid w:val="00A1040E"/>
    <w:rsid w:val="00A1053B"/>
    <w:rsid w:val="00A10D66"/>
    <w:rsid w:val="00A113A4"/>
    <w:rsid w:val="00A14114"/>
    <w:rsid w:val="00A15804"/>
    <w:rsid w:val="00A16413"/>
    <w:rsid w:val="00A16545"/>
    <w:rsid w:val="00A16A1A"/>
    <w:rsid w:val="00A16A9F"/>
    <w:rsid w:val="00A16AED"/>
    <w:rsid w:val="00A16BD3"/>
    <w:rsid w:val="00A16C37"/>
    <w:rsid w:val="00A16E1D"/>
    <w:rsid w:val="00A171D5"/>
    <w:rsid w:val="00A17A15"/>
    <w:rsid w:val="00A17A37"/>
    <w:rsid w:val="00A17D5B"/>
    <w:rsid w:val="00A2016A"/>
    <w:rsid w:val="00A201E1"/>
    <w:rsid w:val="00A20FE1"/>
    <w:rsid w:val="00A21647"/>
    <w:rsid w:val="00A21B4D"/>
    <w:rsid w:val="00A22073"/>
    <w:rsid w:val="00A2214A"/>
    <w:rsid w:val="00A221E5"/>
    <w:rsid w:val="00A223E0"/>
    <w:rsid w:val="00A22959"/>
    <w:rsid w:val="00A23158"/>
    <w:rsid w:val="00A232D7"/>
    <w:rsid w:val="00A23847"/>
    <w:rsid w:val="00A23E43"/>
    <w:rsid w:val="00A24726"/>
    <w:rsid w:val="00A24DEB"/>
    <w:rsid w:val="00A24ED9"/>
    <w:rsid w:val="00A251DB"/>
    <w:rsid w:val="00A25216"/>
    <w:rsid w:val="00A2597D"/>
    <w:rsid w:val="00A25FAC"/>
    <w:rsid w:val="00A2628E"/>
    <w:rsid w:val="00A266BF"/>
    <w:rsid w:val="00A26777"/>
    <w:rsid w:val="00A2731E"/>
    <w:rsid w:val="00A309AC"/>
    <w:rsid w:val="00A30F65"/>
    <w:rsid w:val="00A3279E"/>
    <w:rsid w:val="00A33DB1"/>
    <w:rsid w:val="00A33EEB"/>
    <w:rsid w:val="00A340F5"/>
    <w:rsid w:val="00A35900"/>
    <w:rsid w:val="00A36581"/>
    <w:rsid w:val="00A36F76"/>
    <w:rsid w:val="00A4027D"/>
    <w:rsid w:val="00A40EAC"/>
    <w:rsid w:val="00A418BC"/>
    <w:rsid w:val="00A419FF"/>
    <w:rsid w:val="00A41C73"/>
    <w:rsid w:val="00A41FCF"/>
    <w:rsid w:val="00A42936"/>
    <w:rsid w:val="00A43B21"/>
    <w:rsid w:val="00A43CF8"/>
    <w:rsid w:val="00A43DF2"/>
    <w:rsid w:val="00A445A8"/>
    <w:rsid w:val="00A44B0D"/>
    <w:rsid w:val="00A44D21"/>
    <w:rsid w:val="00A45087"/>
    <w:rsid w:val="00A452F3"/>
    <w:rsid w:val="00A45489"/>
    <w:rsid w:val="00A45858"/>
    <w:rsid w:val="00A45CED"/>
    <w:rsid w:val="00A465E9"/>
    <w:rsid w:val="00A46650"/>
    <w:rsid w:val="00A46670"/>
    <w:rsid w:val="00A46702"/>
    <w:rsid w:val="00A468E7"/>
    <w:rsid w:val="00A46DE0"/>
    <w:rsid w:val="00A478BA"/>
    <w:rsid w:val="00A50D73"/>
    <w:rsid w:val="00A50F40"/>
    <w:rsid w:val="00A518BB"/>
    <w:rsid w:val="00A51C60"/>
    <w:rsid w:val="00A52A88"/>
    <w:rsid w:val="00A52CAD"/>
    <w:rsid w:val="00A52F34"/>
    <w:rsid w:val="00A53FC7"/>
    <w:rsid w:val="00A55569"/>
    <w:rsid w:val="00A566A0"/>
    <w:rsid w:val="00A601E7"/>
    <w:rsid w:val="00A60AC1"/>
    <w:rsid w:val="00A61210"/>
    <w:rsid w:val="00A61990"/>
    <w:rsid w:val="00A626FF"/>
    <w:rsid w:val="00A62CE1"/>
    <w:rsid w:val="00A6335D"/>
    <w:rsid w:val="00A65469"/>
    <w:rsid w:val="00A65528"/>
    <w:rsid w:val="00A655D3"/>
    <w:rsid w:val="00A662D9"/>
    <w:rsid w:val="00A6630C"/>
    <w:rsid w:val="00A6741E"/>
    <w:rsid w:val="00A67E29"/>
    <w:rsid w:val="00A7016A"/>
    <w:rsid w:val="00A7018D"/>
    <w:rsid w:val="00A7074A"/>
    <w:rsid w:val="00A70794"/>
    <w:rsid w:val="00A7191D"/>
    <w:rsid w:val="00A722F9"/>
    <w:rsid w:val="00A72D42"/>
    <w:rsid w:val="00A73998"/>
    <w:rsid w:val="00A746C9"/>
    <w:rsid w:val="00A74C2A"/>
    <w:rsid w:val="00A74C60"/>
    <w:rsid w:val="00A75E40"/>
    <w:rsid w:val="00A76818"/>
    <w:rsid w:val="00A77A5D"/>
    <w:rsid w:val="00A77D1D"/>
    <w:rsid w:val="00A77E6B"/>
    <w:rsid w:val="00A81652"/>
    <w:rsid w:val="00A82BF0"/>
    <w:rsid w:val="00A82C91"/>
    <w:rsid w:val="00A83150"/>
    <w:rsid w:val="00A8331C"/>
    <w:rsid w:val="00A83398"/>
    <w:rsid w:val="00A83D6E"/>
    <w:rsid w:val="00A83FD5"/>
    <w:rsid w:val="00A84763"/>
    <w:rsid w:val="00A8521A"/>
    <w:rsid w:val="00A857C0"/>
    <w:rsid w:val="00A85ACB"/>
    <w:rsid w:val="00A90335"/>
    <w:rsid w:val="00A9092B"/>
    <w:rsid w:val="00A90F2C"/>
    <w:rsid w:val="00A90FED"/>
    <w:rsid w:val="00A91482"/>
    <w:rsid w:val="00A9189D"/>
    <w:rsid w:val="00A91E71"/>
    <w:rsid w:val="00A91F03"/>
    <w:rsid w:val="00A925B1"/>
    <w:rsid w:val="00A92A3E"/>
    <w:rsid w:val="00A934F9"/>
    <w:rsid w:val="00A934FB"/>
    <w:rsid w:val="00A940E3"/>
    <w:rsid w:val="00A94983"/>
    <w:rsid w:val="00A9532C"/>
    <w:rsid w:val="00A95F1A"/>
    <w:rsid w:val="00A96116"/>
    <w:rsid w:val="00A9614E"/>
    <w:rsid w:val="00A96422"/>
    <w:rsid w:val="00A96C0F"/>
    <w:rsid w:val="00A97075"/>
    <w:rsid w:val="00AA0E80"/>
    <w:rsid w:val="00AA16F4"/>
    <w:rsid w:val="00AA17CD"/>
    <w:rsid w:val="00AA1D85"/>
    <w:rsid w:val="00AA212B"/>
    <w:rsid w:val="00AA212F"/>
    <w:rsid w:val="00AA26A9"/>
    <w:rsid w:val="00AA2996"/>
    <w:rsid w:val="00AA2AF4"/>
    <w:rsid w:val="00AA3F1D"/>
    <w:rsid w:val="00AA4282"/>
    <w:rsid w:val="00AA43F2"/>
    <w:rsid w:val="00AA4790"/>
    <w:rsid w:val="00AA52BF"/>
    <w:rsid w:val="00AA559A"/>
    <w:rsid w:val="00AA570E"/>
    <w:rsid w:val="00AA6C31"/>
    <w:rsid w:val="00AA7752"/>
    <w:rsid w:val="00AA7CAD"/>
    <w:rsid w:val="00AA7CE8"/>
    <w:rsid w:val="00AA7FEB"/>
    <w:rsid w:val="00AB1457"/>
    <w:rsid w:val="00AB2AF1"/>
    <w:rsid w:val="00AB32CB"/>
    <w:rsid w:val="00AB3AD7"/>
    <w:rsid w:val="00AB3BA7"/>
    <w:rsid w:val="00AB3EC7"/>
    <w:rsid w:val="00AB5A64"/>
    <w:rsid w:val="00AB5CA1"/>
    <w:rsid w:val="00AB6456"/>
    <w:rsid w:val="00AB75C5"/>
    <w:rsid w:val="00AC044E"/>
    <w:rsid w:val="00AC0580"/>
    <w:rsid w:val="00AC2118"/>
    <w:rsid w:val="00AC2395"/>
    <w:rsid w:val="00AC2960"/>
    <w:rsid w:val="00AC2AC4"/>
    <w:rsid w:val="00AC3B41"/>
    <w:rsid w:val="00AC4284"/>
    <w:rsid w:val="00AC45BD"/>
    <w:rsid w:val="00AC50BB"/>
    <w:rsid w:val="00AC5256"/>
    <w:rsid w:val="00AC5726"/>
    <w:rsid w:val="00AC673A"/>
    <w:rsid w:val="00AC7578"/>
    <w:rsid w:val="00AC78F1"/>
    <w:rsid w:val="00AC7ACA"/>
    <w:rsid w:val="00AD0996"/>
    <w:rsid w:val="00AD0B22"/>
    <w:rsid w:val="00AD0EE7"/>
    <w:rsid w:val="00AD168E"/>
    <w:rsid w:val="00AD306C"/>
    <w:rsid w:val="00AD44CD"/>
    <w:rsid w:val="00AD5AD2"/>
    <w:rsid w:val="00AD6462"/>
    <w:rsid w:val="00AD66C5"/>
    <w:rsid w:val="00AD68C4"/>
    <w:rsid w:val="00AD71F9"/>
    <w:rsid w:val="00AE009C"/>
    <w:rsid w:val="00AE06C5"/>
    <w:rsid w:val="00AE09B3"/>
    <w:rsid w:val="00AE1A83"/>
    <w:rsid w:val="00AE30BE"/>
    <w:rsid w:val="00AE3E6A"/>
    <w:rsid w:val="00AE417E"/>
    <w:rsid w:val="00AE552C"/>
    <w:rsid w:val="00AE56EE"/>
    <w:rsid w:val="00AE6414"/>
    <w:rsid w:val="00AE68C1"/>
    <w:rsid w:val="00AE7269"/>
    <w:rsid w:val="00AE74E0"/>
    <w:rsid w:val="00AE797C"/>
    <w:rsid w:val="00AE7CE7"/>
    <w:rsid w:val="00AE7FAB"/>
    <w:rsid w:val="00AF0DE4"/>
    <w:rsid w:val="00AF12A0"/>
    <w:rsid w:val="00AF1866"/>
    <w:rsid w:val="00AF1E87"/>
    <w:rsid w:val="00AF2BB0"/>
    <w:rsid w:val="00AF436B"/>
    <w:rsid w:val="00AF5131"/>
    <w:rsid w:val="00AF5179"/>
    <w:rsid w:val="00AF5CC2"/>
    <w:rsid w:val="00AF6776"/>
    <w:rsid w:val="00AF6F98"/>
    <w:rsid w:val="00AF7277"/>
    <w:rsid w:val="00B00550"/>
    <w:rsid w:val="00B00875"/>
    <w:rsid w:val="00B00913"/>
    <w:rsid w:val="00B01310"/>
    <w:rsid w:val="00B01593"/>
    <w:rsid w:val="00B01D0F"/>
    <w:rsid w:val="00B01FF9"/>
    <w:rsid w:val="00B023F2"/>
    <w:rsid w:val="00B026FE"/>
    <w:rsid w:val="00B0271F"/>
    <w:rsid w:val="00B03591"/>
    <w:rsid w:val="00B038CA"/>
    <w:rsid w:val="00B041B3"/>
    <w:rsid w:val="00B0467A"/>
    <w:rsid w:val="00B05F00"/>
    <w:rsid w:val="00B06602"/>
    <w:rsid w:val="00B06DB4"/>
    <w:rsid w:val="00B0750D"/>
    <w:rsid w:val="00B07850"/>
    <w:rsid w:val="00B0799C"/>
    <w:rsid w:val="00B102CE"/>
    <w:rsid w:val="00B10A4D"/>
    <w:rsid w:val="00B10C90"/>
    <w:rsid w:val="00B10DFD"/>
    <w:rsid w:val="00B11002"/>
    <w:rsid w:val="00B1114F"/>
    <w:rsid w:val="00B11712"/>
    <w:rsid w:val="00B121B2"/>
    <w:rsid w:val="00B131B1"/>
    <w:rsid w:val="00B133AE"/>
    <w:rsid w:val="00B141B6"/>
    <w:rsid w:val="00B14BC1"/>
    <w:rsid w:val="00B154DE"/>
    <w:rsid w:val="00B162C3"/>
    <w:rsid w:val="00B16DD1"/>
    <w:rsid w:val="00B16EB8"/>
    <w:rsid w:val="00B1700A"/>
    <w:rsid w:val="00B177DF"/>
    <w:rsid w:val="00B17E6E"/>
    <w:rsid w:val="00B17E71"/>
    <w:rsid w:val="00B17FDE"/>
    <w:rsid w:val="00B20632"/>
    <w:rsid w:val="00B2379C"/>
    <w:rsid w:val="00B23D5D"/>
    <w:rsid w:val="00B23E6E"/>
    <w:rsid w:val="00B2450C"/>
    <w:rsid w:val="00B2598C"/>
    <w:rsid w:val="00B26608"/>
    <w:rsid w:val="00B2687D"/>
    <w:rsid w:val="00B271AB"/>
    <w:rsid w:val="00B27BDF"/>
    <w:rsid w:val="00B30ACB"/>
    <w:rsid w:val="00B3108D"/>
    <w:rsid w:val="00B32DDB"/>
    <w:rsid w:val="00B32F57"/>
    <w:rsid w:val="00B3345C"/>
    <w:rsid w:val="00B3385E"/>
    <w:rsid w:val="00B34255"/>
    <w:rsid w:val="00B342DE"/>
    <w:rsid w:val="00B343C4"/>
    <w:rsid w:val="00B34528"/>
    <w:rsid w:val="00B34750"/>
    <w:rsid w:val="00B34CC9"/>
    <w:rsid w:val="00B34CDA"/>
    <w:rsid w:val="00B3563B"/>
    <w:rsid w:val="00B36327"/>
    <w:rsid w:val="00B36BDC"/>
    <w:rsid w:val="00B37387"/>
    <w:rsid w:val="00B37D3A"/>
    <w:rsid w:val="00B37D96"/>
    <w:rsid w:val="00B402FC"/>
    <w:rsid w:val="00B410B8"/>
    <w:rsid w:val="00B422E2"/>
    <w:rsid w:val="00B42517"/>
    <w:rsid w:val="00B42D5F"/>
    <w:rsid w:val="00B43216"/>
    <w:rsid w:val="00B439DA"/>
    <w:rsid w:val="00B4411A"/>
    <w:rsid w:val="00B44A29"/>
    <w:rsid w:val="00B44BD5"/>
    <w:rsid w:val="00B45304"/>
    <w:rsid w:val="00B45DA6"/>
    <w:rsid w:val="00B45FE8"/>
    <w:rsid w:val="00B46604"/>
    <w:rsid w:val="00B47089"/>
    <w:rsid w:val="00B47587"/>
    <w:rsid w:val="00B4776F"/>
    <w:rsid w:val="00B5150A"/>
    <w:rsid w:val="00B52151"/>
    <w:rsid w:val="00B530CD"/>
    <w:rsid w:val="00B53639"/>
    <w:rsid w:val="00B53C7D"/>
    <w:rsid w:val="00B53E56"/>
    <w:rsid w:val="00B55311"/>
    <w:rsid w:val="00B55A97"/>
    <w:rsid w:val="00B55F5E"/>
    <w:rsid w:val="00B5601B"/>
    <w:rsid w:val="00B5642C"/>
    <w:rsid w:val="00B5658D"/>
    <w:rsid w:val="00B56B6F"/>
    <w:rsid w:val="00B5752E"/>
    <w:rsid w:val="00B57F25"/>
    <w:rsid w:val="00B57FF9"/>
    <w:rsid w:val="00B60AC1"/>
    <w:rsid w:val="00B61FF6"/>
    <w:rsid w:val="00B62316"/>
    <w:rsid w:val="00B62E55"/>
    <w:rsid w:val="00B63A11"/>
    <w:rsid w:val="00B64425"/>
    <w:rsid w:val="00B64C24"/>
    <w:rsid w:val="00B65CEF"/>
    <w:rsid w:val="00B6608F"/>
    <w:rsid w:val="00B67749"/>
    <w:rsid w:val="00B679FB"/>
    <w:rsid w:val="00B70E48"/>
    <w:rsid w:val="00B7188C"/>
    <w:rsid w:val="00B71FBF"/>
    <w:rsid w:val="00B734A0"/>
    <w:rsid w:val="00B73A14"/>
    <w:rsid w:val="00B748BD"/>
    <w:rsid w:val="00B76100"/>
    <w:rsid w:val="00B761FC"/>
    <w:rsid w:val="00B7620F"/>
    <w:rsid w:val="00B7680F"/>
    <w:rsid w:val="00B76B48"/>
    <w:rsid w:val="00B76D1E"/>
    <w:rsid w:val="00B77117"/>
    <w:rsid w:val="00B77543"/>
    <w:rsid w:val="00B77584"/>
    <w:rsid w:val="00B77E34"/>
    <w:rsid w:val="00B80BC9"/>
    <w:rsid w:val="00B80D89"/>
    <w:rsid w:val="00B80EC6"/>
    <w:rsid w:val="00B81288"/>
    <w:rsid w:val="00B816E5"/>
    <w:rsid w:val="00B81D70"/>
    <w:rsid w:val="00B833B9"/>
    <w:rsid w:val="00B838BC"/>
    <w:rsid w:val="00B83AAF"/>
    <w:rsid w:val="00B83E07"/>
    <w:rsid w:val="00B84CF6"/>
    <w:rsid w:val="00B85016"/>
    <w:rsid w:val="00B8561A"/>
    <w:rsid w:val="00B865FC"/>
    <w:rsid w:val="00B86628"/>
    <w:rsid w:val="00B86643"/>
    <w:rsid w:val="00B868F7"/>
    <w:rsid w:val="00B869B1"/>
    <w:rsid w:val="00B86EB1"/>
    <w:rsid w:val="00B871A7"/>
    <w:rsid w:val="00B90131"/>
    <w:rsid w:val="00B92951"/>
    <w:rsid w:val="00B92D1D"/>
    <w:rsid w:val="00B92D7E"/>
    <w:rsid w:val="00B930CE"/>
    <w:rsid w:val="00B935CC"/>
    <w:rsid w:val="00B938C5"/>
    <w:rsid w:val="00B940A8"/>
    <w:rsid w:val="00B9554A"/>
    <w:rsid w:val="00B95940"/>
    <w:rsid w:val="00B95ACA"/>
    <w:rsid w:val="00B95CD4"/>
    <w:rsid w:val="00B9619C"/>
    <w:rsid w:val="00B96AC3"/>
    <w:rsid w:val="00B96D74"/>
    <w:rsid w:val="00B9720E"/>
    <w:rsid w:val="00B97ACC"/>
    <w:rsid w:val="00B97FE2"/>
    <w:rsid w:val="00BA0E0B"/>
    <w:rsid w:val="00BA201A"/>
    <w:rsid w:val="00BA21DF"/>
    <w:rsid w:val="00BA246A"/>
    <w:rsid w:val="00BA361D"/>
    <w:rsid w:val="00BA3787"/>
    <w:rsid w:val="00BA3ECA"/>
    <w:rsid w:val="00BA403A"/>
    <w:rsid w:val="00BA46E8"/>
    <w:rsid w:val="00BA4AE9"/>
    <w:rsid w:val="00BA4E19"/>
    <w:rsid w:val="00BA6436"/>
    <w:rsid w:val="00BA64F2"/>
    <w:rsid w:val="00BA684E"/>
    <w:rsid w:val="00BA6C2B"/>
    <w:rsid w:val="00BA7B64"/>
    <w:rsid w:val="00BB02A3"/>
    <w:rsid w:val="00BB0351"/>
    <w:rsid w:val="00BB15C3"/>
    <w:rsid w:val="00BB1AF4"/>
    <w:rsid w:val="00BB2202"/>
    <w:rsid w:val="00BB3C6B"/>
    <w:rsid w:val="00BB3FD6"/>
    <w:rsid w:val="00BB453F"/>
    <w:rsid w:val="00BB46F3"/>
    <w:rsid w:val="00BB4A71"/>
    <w:rsid w:val="00BB4CB1"/>
    <w:rsid w:val="00BB4F98"/>
    <w:rsid w:val="00BB50C0"/>
    <w:rsid w:val="00BB5AB2"/>
    <w:rsid w:val="00BB5ABF"/>
    <w:rsid w:val="00BB657B"/>
    <w:rsid w:val="00BB6EA2"/>
    <w:rsid w:val="00BB76F3"/>
    <w:rsid w:val="00BB7B5B"/>
    <w:rsid w:val="00BB7EB1"/>
    <w:rsid w:val="00BC003F"/>
    <w:rsid w:val="00BC0930"/>
    <w:rsid w:val="00BC327F"/>
    <w:rsid w:val="00BC3512"/>
    <w:rsid w:val="00BC4B35"/>
    <w:rsid w:val="00BC50BE"/>
    <w:rsid w:val="00BC5332"/>
    <w:rsid w:val="00BC5715"/>
    <w:rsid w:val="00BC59FE"/>
    <w:rsid w:val="00BC5C12"/>
    <w:rsid w:val="00BC641B"/>
    <w:rsid w:val="00BC7154"/>
    <w:rsid w:val="00BC731E"/>
    <w:rsid w:val="00BC7614"/>
    <w:rsid w:val="00BD041B"/>
    <w:rsid w:val="00BD111B"/>
    <w:rsid w:val="00BD25BB"/>
    <w:rsid w:val="00BD2AF8"/>
    <w:rsid w:val="00BD366B"/>
    <w:rsid w:val="00BD3C09"/>
    <w:rsid w:val="00BD410B"/>
    <w:rsid w:val="00BD4A73"/>
    <w:rsid w:val="00BD4EDD"/>
    <w:rsid w:val="00BD4EF4"/>
    <w:rsid w:val="00BD6659"/>
    <w:rsid w:val="00BD6C75"/>
    <w:rsid w:val="00BD6D50"/>
    <w:rsid w:val="00BD7105"/>
    <w:rsid w:val="00BD73D2"/>
    <w:rsid w:val="00BD74E3"/>
    <w:rsid w:val="00BD7821"/>
    <w:rsid w:val="00BE0AD1"/>
    <w:rsid w:val="00BE0EF9"/>
    <w:rsid w:val="00BE10A1"/>
    <w:rsid w:val="00BE115B"/>
    <w:rsid w:val="00BE18B9"/>
    <w:rsid w:val="00BE190A"/>
    <w:rsid w:val="00BE2495"/>
    <w:rsid w:val="00BE24DD"/>
    <w:rsid w:val="00BE386D"/>
    <w:rsid w:val="00BE4DA9"/>
    <w:rsid w:val="00BE511E"/>
    <w:rsid w:val="00BE54BF"/>
    <w:rsid w:val="00BE557B"/>
    <w:rsid w:val="00BE5F23"/>
    <w:rsid w:val="00BE67AA"/>
    <w:rsid w:val="00BE6BAC"/>
    <w:rsid w:val="00BE7F5F"/>
    <w:rsid w:val="00BF02C8"/>
    <w:rsid w:val="00BF1578"/>
    <w:rsid w:val="00BF15CA"/>
    <w:rsid w:val="00BF1D12"/>
    <w:rsid w:val="00BF1D3A"/>
    <w:rsid w:val="00BF2B5B"/>
    <w:rsid w:val="00BF2D41"/>
    <w:rsid w:val="00BF3274"/>
    <w:rsid w:val="00BF32DC"/>
    <w:rsid w:val="00BF35C9"/>
    <w:rsid w:val="00BF4308"/>
    <w:rsid w:val="00BF4329"/>
    <w:rsid w:val="00BF4E43"/>
    <w:rsid w:val="00BF5C4C"/>
    <w:rsid w:val="00BF77FC"/>
    <w:rsid w:val="00C006D6"/>
    <w:rsid w:val="00C00BD7"/>
    <w:rsid w:val="00C00D3A"/>
    <w:rsid w:val="00C01410"/>
    <w:rsid w:val="00C024F0"/>
    <w:rsid w:val="00C02704"/>
    <w:rsid w:val="00C02B16"/>
    <w:rsid w:val="00C02D23"/>
    <w:rsid w:val="00C03D4D"/>
    <w:rsid w:val="00C044F4"/>
    <w:rsid w:val="00C04B78"/>
    <w:rsid w:val="00C052AA"/>
    <w:rsid w:val="00C06EE3"/>
    <w:rsid w:val="00C06F2F"/>
    <w:rsid w:val="00C07279"/>
    <w:rsid w:val="00C07749"/>
    <w:rsid w:val="00C07AD5"/>
    <w:rsid w:val="00C07C67"/>
    <w:rsid w:val="00C108C5"/>
    <w:rsid w:val="00C10950"/>
    <w:rsid w:val="00C110EA"/>
    <w:rsid w:val="00C11244"/>
    <w:rsid w:val="00C11D48"/>
    <w:rsid w:val="00C121E8"/>
    <w:rsid w:val="00C12304"/>
    <w:rsid w:val="00C12316"/>
    <w:rsid w:val="00C1246C"/>
    <w:rsid w:val="00C12FCC"/>
    <w:rsid w:val="00C139A8"/>
    <w:rsid w:val="00C1493E"/>
    <w:rsid w:val="00C15DBD"/>
    <w:rsid w:val="00C161C5"/>
    <w:rsid w:val="00C16556"/>
    <w:rsid w:val="00C167E9"/>
    <w:rsid w:val="00C172F7"/>
    <w:rsid w:val="00C2010D"/>
    <w:rsid w:val="00C20A61"/>
    <w:rsid w:val="00C20CB5"/>
    <w:rsid w:val="00C21382"/>
    <w:rsid w:val="00C21430"/>
    <w:rsid w:val="00C216DF"/>
    <w:rsid w:val="00C21E61"/>
    <w:rsid w:val="00C21F94"/>
    <w:rsid w:val="00C221B9"/>
    <w:rsid w:val="00C224BD"/>
    <w:rsid w:val="00C234DB"/>
    <w:rsid w:val="00C23909"/>
    <w:rsid w:val="00C23C5C"/>
    <w:rsid w:val="00C23F90"/>
    <w:rsid w:val="00C2479A"/>
    <w:rsid w:val="00C24903"/>
    <w:rsid w:val="00C2590D"/>
    <w:rsid w:val="00C25D9C"/>
    <w:rsid w:val="00C27913"/>
    <w:rsid w:val="00C27FA7"/>
    <w:rsid w:val="00C300E2"/>
    <w:rsid w:val="00C31F21"/>
    <w:rsid w:val="00C323C4"/>
    <w:rsid w:val="00C32631"/>
    <w:rsid w:val="00C33301"/>
    <w:rsid w:val="00C33311"/>
    <w:rsid w:val="00C33B68"/>
    <w:rsid w:val="00C33F7D"/>
    <w:rsid w:val="00C34AD4"/>
    <w:rsid w:val="00C35570"/>
    <w:rsid w:val="00C35A2A"/>
    <w:rsid w:val="00C36A79"/>
    <w:rsid w:val="00C37491"/>
    <w:rsid w:val="00C401A9"/>
    <w:rsid w:val="00C401D2"/>
    <w:rsid w:val="00C4031A"/>
    <w:rsid w:val="00C405D4"/>
    <w:rsid w:val="00C419D5"/>
    <w:rsid w:val="00C41D54"/>
    <w:rsid w:val="00C42EBB"/>
    <w:rsid w:val="00C43766"/>
    <w:rsid w:val="00C4513B"/>
    <w:rsid w:val="00C459E9"/>
    <w:rsid w:val="00C475E8"/>
    <w:rsid w:val="00C50E79"/>
    <w:rsid w:val="00C5197D"/>
    <w:rsid w:val="00C525FB"/>
    <w:rsid w:val="00C5390B"/>
    <w:rsid w:val="00C54257"/>
    <w:rsid w:val="00C54697"/>
    <w:rsid w:val="00C550CE"/>
    <w:rsid w:val="00C553A5"/>
    <w:rsid w:val="00C55402"/>
    <w:rsid w:val="00C55AC4"/>
    <w:rsid w:val="00C5603B"/>
    <w:rsid w:val="00C601AA"/>
    <w:rsid w:val="00C60AE3"/>
    <w:rsid w:val="00C61F47"/>
    <w:rsid w:val="00C62828"/>
    <w:rsid w:val="00C63B51"/>
    <w:rsid w:val="00C659B4"/>
    <w:rsid w:val="00C672C1"/>
    <w:rsid w:val="00C706D2"/>
    <w:rsid w:val="00C715CC"/>
    <w:rsid w:val="00C719A3"/>
    <w:rsid w:val="00C71D2F"/>
    <w:rsid w:val="00C72984"/>
    <w:rsid w:val="00C73885"/>
    <w:rsid w:val="00C73C93"/>
    <w:rsid w:val="00C7435A"/>
    <w:rsid w:val="00C747B1"/>
    <w:rsid w:val="00C75510"/>
    <w:rsid w:val="00C755F9"/>
    <w:rsid w:val="00C75752"/>
    <w:rsid w:val="00C75B60"/>
    <w:rsid w:val="00C761EC"/>
    <w:rsid w:val="00C770C9"/>
    <w:rsid w:val="00C81070"/>
    <w:rsid w:val="00C8174E"/>
    <w:rsid w:val="00C82191"/>
    <w:rsid w:val="00C83134"/>
    <w:rsid w:val="00C831E7"/>
    <w:rsid w:val="00C832F3"/>
    <w:rsid w:val="00C84307"/>
    <w:rsid w:val="00C845A4"/>
    <w:rsid w:val="00C85545"/>
    <w:rsid w:val="00C855B5"/>
    <w:rsid w:val="00C85F0E"/>
    <w:rsid w:val="00C867F9"/>
    <w:rsid w:val="00C872AA"/>
    <w:rsid w:val="00C87C6B"/>
    <w:rsid w:val="00C90357"/>
    <w:rsid w:val="00C90CF4"/>
    <w:rsid w:val="00C91C20"/>
    <w:rsid w:val="00C922DE"/>
    <w:rsid w:val="00C92843"/>
    <w:rsid w:val="00C92EB6"/>
    <w:rsid w:val="00C93389"/>
    <w:rsid w:val="00C948E6"/>
    <w:rsid w:val="00C94CDD"/>
    <w:rsid w:val="00C95123"/>
    <w:rsid w:val="00C97588"/>
    <w:rsid w:val="00C976DD"/>
    <w:rsid w:val="00CA0346"/>
    <w:rsid w:val="00CA0DA1"/>
    <w:rsid w:val="00CA1454"/>
    <w:rsid w:val="00CA1BD6"/>
    <w:rsid w:val="00CA2201"/>
    <w:rsid w:val="00CA37FF"/>
    <w:rsid w:val="00CA423A"/>
    <w:rsid w:val="00CA47BC"/>
    <w:rsid w:val="00CA4D42"/>
    <w:rsid w:val="00CA5EAD"/>
    <w:rsid w:val="00CA669C"/>
    <w:rsid w:val="00CA6AB4"/>
    <w:rsid w:val="00CA6BE6"/>
    <w:rsid w:val="00CA7255"/>
    <w:rsid w:val="00CA749B"/>
    <w:rsid w:val="00CB111E"/>
    <w:rsid w:val="00CB1857"/>
    <w:rsid w:val="00CB1BEE"/>
    <w:rsid w:val="00CB2351"/>
    <w:rsid w:val="00CB4022"/>
    <w:rsid w:val="00CB4930"/>
    <w:rsid w:val="00CB4BA9"/>
    <w:rsid w:val="00CB4C63"/>
    <w:rsid w:val="00CB5A48"/>
    <w:rsid w:val="00CB5E10"/>
    <w:rsid w:val="00CB613B"/>
    <w:rsid w:val="00CB6152"/>
    <w:rsid w:val="00CB64E1"/>
    <w:rsid w:val="00CB6C6F"/>
    <w:rsid w:val="00CB6E4D"/>
    <w:rsid w:val="00CC009B"/>
    <w:rsid w:val="00CC0834"/>
    <w:rsid w:val="00CC0AEA"/>
    <w:rsid w:val="00CC1B66"/>
    <w:rsid w:val="00CC20FE"/>
    <w:rsid w:val="00CC225C"/>
    <w:rsid w:val="00CC2E7D"/>
    <w:rsid w:val="00CC4408"/>
    <w:rsid w:val="00CC5875"/>
    <w:rsid w:val="00CC5BE8"/>
    <w:rsid w:val="00CC612B"/>
    <w:rsid w:val="00CC655F"/>
    <w:rsid w:val="00CC66F9"/>
    <w:rsid w:val="00CC6BB7"/>
    <w:rsid w:val="00CC6C2A"/>
    <w:rsid w:val="00CC6C3D"/>
    <w:rsid w:val="00CC6FE5"/>
    <w:rsid w:val="00CC7458"/>
    <w:rsid w:val="00CC76BD"/>
    <w:rsid w:val="00CC7A87"/>
    <w:rsid w:val="00CD08BF"/>
    <w:rsid w:val="00CD0D6B"/>
    <w:rsid w:val="00CD1024"/>
    <w:rsid w:val="00CD1060"/>
    <w:rsid w:val="00CD10A5"/>
    <w:rsid w:val="00CD1129"/>
    <w:rsid w:val="00CD1A80"/>
    <w:rsid w:val="00CD1CB5"/>
    <w:rsid w:val="00CD2076"/>
    <w:rsid w:val="00CD24CE"/>
    <w:rsid w:val="00CD29B5"/>
    <w:rsid w:val="00CD2B78"/>
    <w:rsid w:val="00CD3866"/>
    <w:rsid w:val="00CD3FAB"/>
    <w:rsid w:val="00CD52EB"/>
    <w:rsid w:val="00CD5456"/>
    <w:rsid w:val="00CD5C3E"/>
    <w:rsid w:val="00CD5C57"/>
    <w:rsid w:val="00CD6331"/>
    <w:rsid w:val="00CD6C09"/>
    <w:rsid w:val="00CD7E9E"/>
    <w:rsid w:val="00CE14BE"/>
    <w:rsid w:val="00CE17A4"/>
    <w:rsid w:val="00CE1BA9"/>
    <w:rsid w:val="00CE2D8F"/>
    <w:rsid w:val="00CE3532"/>
    <w:rsid w:val="00CE3695"/>
    <w:rsid w:val="00CE3E48"/>
    <w:rsid w:val="00CE46C0"/>
    <w:rsid w:val="00CE47B8"/>
    <w:rsid w:val="00CE54FD"/>
    <w:rsid w:val="00CE5C92"/>
    <w:rsid w:val="00CE62FA"/>
    <w:rsid w:val="00CE670B"/>
    <w:rsid w:val="00CE6833"/>
    <w:rsid w:val="00CE7FE1"/>
    <w:rsid w:val="00CF020B"/>
    <w:rsid w:val="00CF060D"/>
    <w:rsid w:val="00CF112D"/>
    <w:rsid w:val="00CF1183"/>
    <w:rsid w:val="00CF15BF"/>
    <w:rsid w:val="00CF284E"/>
    <w:rsid w:val="00CF2E4D"/>
    <w:rsid w:val="00CF4205"/>
    <w:rsid w:val="00CF4908"/>
    <w:rsid w:val="00CF51EC"/>
    <w:rsid w:val="00CF545D"/>
    <w:rsid w:val="00CF5873"/>
    <w:rsid w:val="00CF60B8"/>
    <w:rsid w:val="00CF6AB7"/>
    <w:rsid w:val="00CF73AE"/>
    <w:rsid w:val="00CF7514"/>
    <w:rsid w:val="00CF7777"/>
    <w:rsid w:val="00CF7897"/>
    <w:rsid w:val="00D00007"/>
    <w:rsid w:val="00D0085A"/>
    <w:rsid w:val="00D0197F"/>
    <w:rsid w:val="00D01B31"/>
    <w:rsid w:val="00D0242D"/>
    <w:rsid w:val="00D02716"/>
    <w:rsid w:val="00D02AA9"/>
    <w:rsid w:val="00D03A72"/>
    <w:rsid w:val="00D040DD"/>
    <w:rsid w:val="00D04134"/>
    <w:rsid w:val="00D04E27"/>
    <w:rsid w:val="00D05C65"/>
    <w:rsid w:val="00D06B56"/>
    <w:rsid w:val="00D06D68"/>
    <w:rsid w:val="00D075BE"/>
    <w:rsid w:val="00D07AFF"/>
    <w:rsid w:val="00D10C15"/>
    <w:rsid w:val="00D11011"/>
    <w:rsid w:val="00D11476"/>
    <w:rsid w:val="00D11E98"/>
    <w:rsid w:val="00D12C25"/>
    <w:rsid w:val="00D133B4"/>
    <w:rsid w:val="00D13986"/>
    <w:rsid w:val="00D13F3E"/>
    <w:rsid w:val="00D14262"/>
    <w:rsid w:val="00D14930"/>
    <w:rsid w:val="00D14C5B"/>
    <w:rsid w:val="00D15FED"/>
    <w:rsid w:val="00D16712"/>
    <w:rsid w:val="00D17137"/>
    <w:rsid w:val="00D17884"/>
    <w:rsid w:val="00D214EF"/>
    <w:rsid w:val="00D215B0"/>
    <w:rsid w:val="00D21D6D"/>
    <w:rsid w:val="00D21D83"/>
    <w:rsid w:val="00D2240D"/>
    <w:rsid w:val="00D22A47"/>
    <w:rsid w:val="00D235B7"/>
    <w:rsid w:val="00D23A99"/>
    <w:rsid w:val="00D23FAE"/>
    <w:rsid w:val="00D25F28"/>
    <w:rsid w:val="00D26071"/>
    <w:rsid w:val="00D260C7"/>
    <w:rsid w:val="00D269B9"/>
    <w:rsid w:val="00D27973"/>
    <w:rsid w:val="00D27F3A"/>
    <w:rsid w:val="00D31537"/>
    <w:rsid w:val="00D31E1E"/>
    <w:rsid w:val="00D322A0"/>
    <w:rsid w:val="00D32824"/>
    <w:rsid w:val="00D334E2"/>
    <w:rsid w:val="00D350B1"/>
    <w:rsid w:val="00D35AD6"/>
    <w:rsid w:val="00D35BBB"/>
    <w:rsid w:val="00D35E1A"/>
    <w:rsid w:val="00D36B0A"/>
    <w:rsid w:val="00D36DFB"/>
    <w:rsid w:val="00D36E1C"/>
    <w:rsid w:val="00D373AF"/>
    <w:rsid w:val="00D40556"/>
    <w:rsid w:val="00D41F74"/>
    <w:rsid w:val="00D428C8"/>
    <w:rsid w:val="00D43034"/>
    <w:rsid w:val="00D43857"/>
    <w:rsid w:val="00D43ED2"/>
    <w:rsid w:val="00D447AE"/>
    <w:rsid w:val="00D50F46"/>
    <w:rsid w:val="00D51ABF"/>
    <w:rsid w:val="00D533C4"/>
    <w:rsid w:val="00D5384E"/>
    <w:rsid w:val="00D544E7"/>
    <w:rsid w:val="00D5499F"/>
    <w:rsid w:val="00D5560A"/>
    <w:rsid w:val="00D56916"/>
    <w:rsid w:val="00D56FBF"/>
    <w:rsid w:val="00D57677"/>
    <w:rsid w:val="00D576E0"/>
    <w:rsid w:val="00D5781F"/>
    <w:rsid w:val="00D6014A"/>
    <w:rsid w:val="00D60415"/>
    <w:rsid w:val="00D60674"/>
    <w:rsid w:val="00D60BE8"/>
    <w:rsid w:val="00D60E3C"/>
    <w:rsid w:val="00D60FA7"/>
    <w:rsid w:val="00D61FAB"/>
    <w:rsid w:val="00D63BE5"/>
    <w:rsid w:val="00D6475F"/>
    <w:rsid w:val="00D65528"/>
    <w:rsid w:val="00D655D4"/>
    <w:rsid w:val="00D66223"/>
    <w:rsid w:val="00D667B8"/>
    <w:rsid w:val="00D67D55"/>
    <w:rsid w:val="00D70289"/>
    <w:rsid w:val="00D7041F"/>
    <w:rsid w:val="00D70822"/>
    <w:rsid w:val="00D72076"/>
    <w:rsid w:val="00D721B4"/>
    <w:rsid w:val="00D726A9"/>
    <w:rsid w:val="00D72DBA"/>
    <w:rsid w:val="00D73223"/>
    <w:rsid w:val="00D743E0"/>
    <w:rsid w:val="00D7469D"/>
    <w:rsid w:val="00D7490C"/>
    <w:rsid w:val="00D75AC1"/>
    <w:rsid w:val="00D77252"/>
    <w:rsid w:val="00D8084C"/>
    <w:rsid w:val="00D81809"/>
    <w:rsid w:val="00D81E79"/>
    <w:rsid w:val="00D82EF1"/>
    <w:rsid w:val="00D83937"/>
    <w:rsid w:val="00D84CC9"/>
    <w:rsid w:val="00D84F43"/>
    <w:rsid w:val="00D85114"/>
    <w:rsid w:val="00D85821"/>
    <w:rsid w:val="00D8598C"/>
    <w:rsid w:val="00D87C06"/>
    <w:rsid w:val="00D915EA"/>
    <w:rsid w:val="00D919ED"/>
    <w:rsid w:val="00D922A1"/>
    <w:rsid w:val="00D922F4"/>
    <w:rsid w:val="00D928BE"/>
    <w:rsid w:val="00D931D5"/>
    <w:rsid w:val="00D932B8"/>
    <w:rsid w:val="00D95302"/>
    <w:rsid w:val="00D95889"/>
    <w:rsid w:val="00D95B60"/>
    <w:rsid w:val="00D95C5D"/>
    <w:rsid w:val="00D96515"/>
    <w:rsid w:val="00D97D00"/>
    <w:rsid w:val="00DA096C"/>
    <w:rsid w:val="00DA1AB6"/>
    <w:rsid w:val="00DA21B0"/>
    <w:rsid w:val="00DA2E65"/>
    <w:rsid w:val="00DA37DE"/>
    <w:rsid w:val="00DA3ADF"/>
    <w:rsid w:val="00DA4174"/>
    <w:rsid w:val="00DA47DC"/>
    <w:rsid w:val="00DA544C"/>
    <w:rsid w:val="00DA5F8E"/>
    <w:rsid w:val="00DA6364"/>
    <w:rsid w:val="00DA7114"/>
    <w:rsid w:val="00DA7C0C"/>
    <w:rsid w:val="00DA7E2F"/>
    <w:rsid w:val="00DB03DD"/>
    <w:rsid w:val="00DB08A9"/>
    <w:rsid w:val="00DB0B33"/>
    <w:rsid w:val="00DB0FD9"/>
    <w:rsid w:val="00DB2DFA"/>
    <w:rsid w:val="00DB2EC8"/>
    <w:rsid w:val="00DB321D"/>
    <w:rsid w:val="00DB459B"/>
    <w:rsid w:val="00DB47FD"/>
    <w:rsid w:val="00DB5E3A"/>
    <w:rsid w:val="00DB5E9A"/>
    <w:rsid w:val="00DB613B"/>
    <w:rsid w:val="00DB657E"/>
    <w:rsid w:val="00DB67EA"/>
    <w:rsid w:val="00DB7342"/>
    <w:rsid w:val="00DB7489"/>
    <w:rsid w:val="00DB7E0D"/>
    <w:rsid w:val="00DC0CBB"/>
    <w:rsid w:val="00DC17D0"/>
    <w:rsid w:val="00DC1E5D"/>
    <w:rsid w:val="00DC21F3"/>
    <w:rsid w:val="00DC25AB"/>
    <w:rsid w:val="00DC2B41"/>
    <w:rsid w:val="00DC2EA7"/>
    <w:rsid w:val="00DC3128"/>
    <w:rsid w:val="00DC435B"/>
    <w:rsid w:val="00DC4AC4"/>
    <w:rsid w:val="00DC4FD0"/>
    <w:rsid w:val="00DC53D8"/>
    <w:rsid w:val="00DC56FE"/>
    <w:rsid w:val="00DC5B3B"/>
    <w:rsid w:val="00DC6C2D"/>
    <w:rsid w:val="00DC7B1A"/>
    <w:rsid w:val="00DC7F51"/>
    <w:rsid w:val="00DD04B0"/>
    <w:rsid w:val="00DD0C95"/>
    <w:rsid w:val="00DD129F"/>
    <w:rsid w:val="00DD13FC"/>
    <w:rsid w:val="00DD1A3F"/>
    <w:rsid w:val="00DD29B5"/>
    <w:rsid w:val="00DD32DD"/>
    <w:rsid w:val="00DD33E8"/>
    <w:rsid w:val="00DD5287"/>
    <w:rsid w:val="00DD5B36"/>
    <w:rsid w:val="00DD6DAD"/>
    <w:rsid w:val="00DD7849"/>
    <w:rsid w:val="00DE03DE"/>
    <w:rsid w:val="00DE0D8B"/>
    <w:rsid w:val="00DE1237"/>
    <w:rsid w:val="00DE140F"/>
    <w:rsid w:val="00DE17E9"/>
    <w:rsid w:val="00DE1CEC"/>
    <w:rsid w:val="00DE2491"/>
    <w:rsid w:val="00DE277A"/>
    <w:rsid w:val="00DE3E5D"/>
    <w:rsid w:val="00DE450F"/>
    <w:rsid w:val="00DE4865"/>
    <w:rsid w:val="00DE5CA6"/>
    <w:rsid w:val="00DE5E55"/>
    <w:rsid w:val="00DE7156"/>
    <w:rsid w:val="00DE7AC8"/>
    <w:rsid w:val="00DF0714"/>
    <w:rsid w:val="00DF0830"/>
    <w:rsid w:val="00DF199C"/>
    <w:rsid w:val="00DF2AD9"/>
    <w:rsid w:val="00DF2C5D"/>
    <w:rsid w:val="00DF3643"/>
    <w:rsid w:val="00DF42FF"/>
    <w:rsid w:val="00DF4369"/>
    <w:rsid w:val="00DF4423"/>
    <w:rsid w:val="00DF4ADF"/>
    <w:rsid w:val="00DF57D6"/>
    <w:rsid w:val="00DF5D1E"/>
    <w:rsid w:val="00DF63E3"/>
    <w:rsid w:val="00DF77E4"/>
    <w:rsid w:val="00DF7F88"/>
    <w:rsid w:val="00E00B88"/>
    <w:rsid w:val="00E01C0E"/>
    <w:rsid w:val="00E0368F"/>
    <w:rsid w:val="00E03D73"/>
    <w:rsid w:val="00E03E1E"/>
    <w:rsid w:val="00E03F9A"/>
    <w:rsid w:val="00E040DA"/>
    <w:rsid w:val="00E04694"/>
    <w:rsid w:val="00E1168B"/>
    <w:rsid w:val="00E11F8B"/>
    <w:rsid w:val="00E12191"/>
    <w:rsid w:val="00E129E7"/>
    <w:rsid w:val="00E12ABE"/>
    <w:rsid w:val="00E12B1E"/>
    <w:rsid w:val="00E135EB"/>
    <w:rsid w:val="00E13995"/>
    <w:rsid w:val="00E1444C"/>
    <w:rsid w:val="00E14544"/>
    <w:rsid w:val="00E17262"/>
    <w:rsid w:val="00E1742F"/>
    <w:rsid w:val="00E17F36"/>
    <w:rsid w:val="00E20016"/>
    <w:rsid w:val="00E2009B"/>
    <w:rsid w:val="00E20BB9"/>
    <w:rsid w:val="00E20BCC"/>
    <w:rsid w:val="00E20D05"/>
    <w:rsid w:val="00E21E9A"/>
    <w:rsid w:val="00E2251C"/>
    <w:rsid w:val="00E2363D"/>
    <w:rsid w:val="00E23C6A"/>
    <w:rsid w:val="00E2484B"/>
    <w:rsid w:val="00E25391"/>
    <w:rsid w:val="00E253A2"/>
    <w:rsid w:val="00E260F6"/>
    <w:rsid w:val="00E267F2"/>
    <w:rsid w:val="00E27127"/>
    <w:rsid w:val="00E27233"/>
    <w:rsid w:val="00E274BB"/>
    <w:rsid w:val="00E30F15"/>
    <w:rsid w:val="00E31771"/>
    <w:rsid w:val="00E3186D"/>
    <w:rsid w:val="00E31A3E"/>
    <w:rsid w:val="00E3205D"/>
    <w:rsid w:val="00E32080"/>
    <w:rsid w:val="00E32778"/>
    <w:rsid w:val="00E3309D"/>
    <w:rsid w:val="00E34E3F"/>
    <w:rsid w:val="00E350B1"/>
    <w:rsid w:val="00E35A53"/>
    <w:rsid w:val="00E35AA3"/>
    <w:rsid w:val="00E3634A"/>
    <w:rsid w:val="00E3656B"/>
    <w:rsid w:val="00E37069"/>
    <w:rsid w:val="00E3712B"/>
    <w:rsid w:val="00E371BE"/>
    <w:rsid w:val="00E3724A"/>
    <w:rsid w:val="00E378B1"/>
    <w:rsid w:val="00E417BE"/>
    <w:rsid w:val="00E41B25"/>
    <w:rsid w:val="00E41CD5"/>
    <w:rsid w:val="00E42054"/>
    <w:rsid w:val="00E4335A"/>
    <w:rsid w:val="00E4372D"/>
    <w:rsid w:val="00E43A9E"/>
    <w:rsid w:val="00E44243"/>
    <w:rsid w:val="00E453F9"/>
    <w:rsid w:val="00E45D7D"/>
    <w:rsid w:val="00E4623F"/>
    <w:rsid w:val="00E4665D"/>
    <w:rsid w:val="00E469FC"/>
    <w:rsid w:val="00E47854"/>
    <w:rsid w:val="00E478E2"/>
    <w:rsid w:val="00E47EBA"/>
    <w:rsid w:val="00E50156"/>
    <w:rsid w:val="00E504EB"/>
    <w:rsid w:val="00E5076C"/>
    <w:rsid w:val="00E50D2E"/>
    <w:rsid w:val="00E50D7D"/>
    <w:rsid w:val="00E51229"/>
    <w:rsid w:val="00E51EF0"/>
    <w:rsid w:val="00E53470"/>
    <w:rsid w:val="00E5368D"/>
    <w:rsid w:val="00E539F6"/>
    <w:rsid w:val="00E54698"/>
    <w:rsid w:val="00E54BE9"/>
    <w:rsid w:val="00E54FB4"/>
    <w:rsid w:val="00E5539A"/>
    <w:rsid w:val="00E55791"/>
    <w:rsid w:val="00E55E1A"/>
    <w:rsid w:val="00E578A2"/>
    <w:rsid w:val="00E579ED"/>
    <w:rsid w:val="00E60043"/>
    <w:rsid w:val="00E61740"/>
    <w:rsid w:val="00E617A3"/>
    <w:rsid w:val="00E61EB5"/>
    <w:rsid w:val="00E6324D"/>
    <w:rsid w:val="00E65084"/>
    <w:rsid w:val="00E6519D"/>
    <w:rsid w:val="00E65683"/>
    <w:rsid w:val="00E66062"/>
    <w:rsid w:val="00E6660E"/>
    <w:rsid w:val="00E66768"/>
    <w:rsid w:val="00E67305"/>
    <w:rsid w:val="00E67696"/>
    <w:rsid w:val="00E709AF"/>
    <w:rsid w:val="00E70C5F"/>
    <w:rsid w:val="00E71009"/>
    <w:rsid w:val="00E713E6"/>
    <w:rsid w:val="00E71A58"/>
    <w:rsid w:val="00E728D7"/>
    <w:rsid w:val="00E72A26"/>
    <w:rsid w:val="00E72A7A"/>
    <w:rsid w:val="00E7335A"/>
    <w:rsid w:val="00E736CE"/>
    <w:rsid w:val="00E73986"/>
    <w:rsid w:val="00E73B5E"/>
    <w:rsid w:val="00E7467D"/>
    <w:rsid w:val="00E747DC"/>
    <w:rsid w:val="00E74A2D"/>
    <w:rsid w:val="00E75597"/>
    <w:rsid w:val="00E75C94"/>
    <w:rsid w:val="00E76A08"/>
    <w:rsid w:val="00E76B9B"/>
    <w:rsid w:val="00E76E61"/>
    <w:rsid w:val="00E76EE4"/>
    <w:rsid w:val="00E77B7A"/>
    <w:rsid w:val="00E77CC0"/>
    <w:rsid w:val="00E80B3D"/>
    <w:rsid w:val="00E80CA3"/>
    <w:rsid w:val="00E81D18"/>
    <w:rsid w:val="00E81D99"/>
    <w:rsid w:val="00E82618"/>
    <w:rsid w:val="00E82A42"/>
    <w:rsid w:val="00E84E09"/>
    <w:rsid w:val="00E852EE"/>
    <w:rsid w:val="00E86E5D"/>
    <w:rsid w:val="00E87CE2"/>
    <w:rsid w:val="00E90CA8"/>
    <w:rsid w:val="00E911C6"/>
    <w:rsid w:val="00E91794"/>
    <w:rsid w:val="00E918E3"/>
    <w:rsid w:val="00E930A1"/>
    <w:rsid w:val="00E93820"/>
    <w:rsid w:val="00E94A86"/>
    <w:rsid w:val="00E94DD2"/>
    <w:rsid w:val="00E951AB"/>
    <w:rsid w:val="00E953F6"/>
    <w:rsid w:val="00E96143"/>
    <w:rsid w:val="00E96833"/>
    <w:rsid w:val="00E96F8D"/>
    <w:rsid w:val="00E97506"/>
    <w:rsid w:val="00E97BB5"/>
    <w:rsid w:val="00E97D5B"/>
    <w:rsid w:val="00E97F14"/>
    <w:rsid w:val="00EA0467"/>
    <w:rsid w:val="00EA0C68"/>
    <w:rsid w:val="00EA0E39"/>
    <w:rsid w:val="00EA1D0E"/>
    <w:rsid w:val="00EA1EC5"/>
    <w:rsid w:val="00EA2072"/>
    <w:rsid w:val="00EA2691"/>
    <w:rsid w:val="00EA2841"/>
    <w:rsid w:val="00EA32BC"/>
    <w:rsid w:val="00EA35A7"/>
    <w:rsid w:val="00EA3B32"/>
    <w:rsid w:val="00EA3CEB"/>
    <w:rsid w:val="00EA3D05"/>
    <w:rsid w:val="00EA4222"/>
    <w:rsid w:val="00EA4402"/>
    <w:rsid w:val="00EA46EA"/>
    <w:rsid w:val="00EA4B8D"/>
    <w:rsid w:val="00EA513E"/>
    <w:rsid w:val="00EA601A"/>
    <w:rsid w:val="00EA70BC"/>
    <w:rsid w:val="00EA7419"/>
    <w:rsid w:val="00EB0AD5"/>
    <w:rsid w:val="00EB0E32"/>
    <w:rsid w:val="00EB1520"/>
    <w:rsid w:val="00EB3882"/>
    <w:rsid w:val="00EB3E60"/>
    <w:rsid w:val="00EB4511"/>
    <w:rsid w:val="00EB48D7"/>
    <w:rsid w:val="00EB49F1"/>
    <w:rsid w:val="00EB4A8E"/>
    <w:rsid w:val="00EB4BC5"/>
    <w:rsid w:val="00EB5BF7"/>
    <w:rsid w:val="00EB5E79"/>
    <w:rsid w:val="00EB61F4"/>
    <w:rsid w:val="00EB6FAC"/>
    <w:rsid w:val="00EB7BAC"/>
    <w:rsid w:val="00EB7CC9"/>
    <w:rsid w:val="00EC03D7"/>
    <w:rsid w:val="00EC12F5"/>
    <w:rsid w:val="00EC13A7"/>
    <w:rsid w:val="00EC2EB6"/>
    <w:rsid w:val="00EC4CA3"/>
    <w:rsid w:val="00EC4FFF"/>
    <w:rsid w:val="00EC5517"/>
    <w:rsid w:val="00EC6E8C"/>
    <w:rsid w:val="00ED0EF0"/>
    <w:rsid w:val="00ED0F1A"/>
    <w:rsid w:val="00ED12B9"/>
    <w:rsid w:val="00ED16B8"/>
    <w:rsid w:val="00ED1959"/>
    <w:rsid w:val="00ED1A00"/>
    <w:rsid w:val="00ED1DF0"/>
    <w:rsid w:val="00ED1ED0"/>
    <w:rsid w:val="00ED2386"/>
    <w:rsid w:val="00ED2EA1"/>
    <w:rsid w:val="00ED3851"/>
    <w:rsid w:val="00ED3E51"/>
    <w:rsid w:val="00ED3F10"/>
    <w:rsid w:val="00ED3F9B"/>
    <w:rsid w:val="00ED4D04"/>
    <w:rsid w:val="00ED566D"/>
    <w:rsid w:val="00ED5907"/>
    <w:rsid w:val="00ED5F5B"/>
    <w:rsid w:val="00ED62C6"/>
    <w:rsid w:val="00ED6491"/>
    <w:rsid w:val="00ED64C1"/>
    <w:rsid w:val="00ED781F"/>
    <w:rsid w:val="00EE0A20"/>
    <w:rsid w:val="00EE0E7E"/>
    <w:rsid w:val="00EE249F"/>
    <w:rsid w:val="00EE2EB4"/>
    <w:rsid w:val="00EE3446"/>
    <w:rsid w:val="00EE3E78"/>
    <w:rsid w:val="00EE41FD"/>
    <w:rsid w:val="00EE460E"/>
    <w:rsid w:val="00EE4B1B"/>
    <w:rsid w:val="00EE5FBA"/>
    <w:rsid w:val="00EE64BA"/>
    <w:rsid w:val="00EE6680"/>
    <w:rsid w:val="00EE6E06"/>
    <w:rsid w:val="00EE7179"/>
    <w:rsid w:val="00EF072A"/>
    <w:rsid w:val="00EF0D90"/>
    <w:rsid w:val="00EF150D"/>
    <w:rsid w:val="00EF1F5A"/>
    <w:rsid w:val="00EF23B5"/>
    <w:rsid w:val="00EF326A"/>
    <w:rsid w:val="00EF3898"/>
    <w:rsid w:val="00EF39FD"/>
    <w:rsid w:val="00EF47BF"/>
    <w:rsid w:val="00EF48DC"/>
    <w:rsid w:val="00EF52F7"/>
    <w:rsid w:val="00EF55AD"/>
    <w:rsid w:val="00EF59B1"/>
    <w:rsid w:val="00EF5A13"/>
    <w:rsid w:val="00EF5FF9"/>
    <w:rsid w:val="00EF77D4"/>
    <w:rsid w:val="00EF7CC7"/>
    <w:rsid w:val="00F00535"/>
    <w:rsid w:val="00F00853"/>
    <w:rsid w:val="00F00866"/>
    <w:rsid w:val="00F00EC8"/>
    <w:rsid w:val="00F0160B"/>
    <w:rsid w:val="00F0193E"/>
    <w:rsid w:val="00F01C0D"/>
    <w:rsid w:val="00F03E2F"/>
    <w:rsid w:val="00F03F8D"/>
    <w:rsid w:val="00F04811"/>
    <w:rsid w:val="00F0488C"/>
    <w:rsid w:val="00F04BDB"/>
    <w:rsid w:val="00F07174"/>
    <w:rsid w:val="00F073ED"/>
    <w:rsid w:val="00F07C4C"/>
    <w:rsid w:val="00F10BA4"/>
    <w:rsid w:val="00F10F11"/>
    <w:rsid w:val="00F11159"/>
    <w:rsid w:val="00F11379"/>
    <w:rsid w:val="00F115E4"/>
    <w:rsid w:val="00F11AC4"/>
    <w:rsid w:val="00F120A5"/>
    <w:rsid w:val="00F12CFB"/>
    <w:rsid w:val="00F13897"/>
    <w:rsid w:val="00F13E60"/>
    <w:rsid w:val="00F13FDB"/>
    <w:rsid w:val="00F14C88"/>
    <w:rsid w:val="00F1533F"/>
    <w:rsid w:val="00F15AAA"/>
    <w:rsid w:val="00F15BEF"/>
    <w:rsid w:val="00F15C73"/>
    <w:rsid w:val="00F17898"/>
    <w:rsid w:val="00F20134"/>
    <w:rsid w:val="00F204BF"/>
    <w:rsid w:val="00F207C2"/>
    <w:rsid w:val="00F21337"/>
    <w:rsid w:val="00F219A1"/>
    <w:rsid w:val="00F21E3B"/>
    <w:rsid w:val="00F23C06"/>
    <w:rsid w:val="00F23E20"/>
    <w:rsid w:val="00F24407"/>
    <w:rsid w:val="00F24756"/>
    <w:rsid w:val="00F24FAA"/>
    <w:rsid w:val="00F25040"/>
    <w:rsid w:val="00F27071"/>
    <w:rsid w:val="00F27331"/>
    <w:rsid w:val="00F276D3"/>
    <w:rsid w:val="00F27EE5"/>
    <w:rsid w:val="00F27FB1"/>
    <w:rsid w:val="00F27FD6"/>
    <w:rsid w:val="00F307CB"/>
    <w:rsid w:val="00F30C0C"/>
    <w:rsid w:val="00F30C65"/>
    <w:rsid w:val="00F31A67"/>
    <w:rsid w:val="00F31B27"/>
    <w:rsid w:val="00F321D2"/>
    <w:rsid w:val="00F32649"/>
    <w:rsid w:val="00F33523"/>
    <w:rsid w:val="00F3364D"/>
    <w:rsid w:val="00F33914"/>
    <w:rsid w:val="00F349BF"/>
    <w:rsid w:val="00F34AF4"/>
    <w:rsid w:val="00F34DDC"/>
    <w:rsid w:val="00F352C5"/>
    <w:rsid w:val="00F36191"/>
    <w:rsid w:val="00F3629F"/>
    <w:rsid w:val="00F36DF3"/>
    <w:rsid w:val="00F37362"/>
    <w:rsid w:val="00F37EDC"/>
    <w:rsid w:val="00F437CC"/>
    <w:rsid w:val="00F44537"/>
    <w:rsid w:val="00F45EEF"/>
    <w:rsid w:val="00F46185"/>
    <w:rsid w:val="00F46423"/>
    <w:rsid w:val="00F4696A"/>
    <w:rsid w:val="00F47067"/>
    <w:rsid w:val="00F47234"/>
    <w:rsid w:val="00F47C48"/>
    <w:rsid w:val="00F51ADD"/>
    <w:rsid w:val="00F525AB"/>
    <w:rsid w:val="00F525EB"/>
    <w:rsid w:val="00F529FB"/>
    <w:rsid w:val="00F52CB5"/>
    <w:rsid w:val="00F53378"/>
    <w:rsid w:val="00F53A68"/>
    <w:rsid w:val="00F53E9C"/>
    <w:rsid w:val="00F54934"/>
    <w:rsid w:val="00F54F86"/>
    <w:rsid w:val="00F55A92"/>
    <w:rsid w:val="00F5615B"/>
    <w:rsid w:val="00F56700"/>
    <w:rsid w:val="00F575D3"/>
    <w:rsid w:val="00F57A76"/>
    <w:rsid w:val="00F57D57"/>
    <w:rsid w:val="00F6178B"/>
    <w:rsid w:val="00F62701"/>
    <w:rsid w:val="00F62BFF"/>
    <w:rsid w:val="00F62CCE"/>
    <w:rsid w:val="00F63092"/>
    <w:rsid w:val="00F63AAE"/>
    <w:rsid w:val="00F63DDE"/>
    <w:rsid w:val="00F63FB7"/>
    <w:rsid w:val="00F6421B"/>
    <w:rsid w:val="00F647F1"/>
    <w:rsid w:val="00F649D2"/>
    <w:rsid w:val="00F64C00"/>
    <w:rsid w:val="00F64D5A"/>
    <w:rsid w:val="00F6602B"/>
    <w:rsid w:val="00F6741E"/>
    <w:rsid w:val="00F6799D"/>
    <w:rsid w:val="00F7150B"/>
    <w:rsid w:val="00F717E4"/>
    <w:rsid w:val="00F71DE6"/>
    <w:rsid w:val="00F72C90"/>
    <w:rsid w:val="00F72D71"/>
    <w:rsid w:val="00F7381C"/>
    <w:rsid w:val="00F73A0C"/>
    <w:rsid w:val="00F752DC"/>
    <w:rsid w:val="00F7549F"/>
    <w:rsid w:val="00F756DB"/>
    <w:rsid w:val="00F766BE"/>
    <w:rsid w:val="00F767A8"/>
    <w:rsid w:val="00F77590"/>
    <w:rsid w:val="00F77A50"/>
    <w:rsid w:val="00F8046A"/>
    <w:rsid w:val="00F82670"/>
    <w:rsid w:val="00F82D14"/>
    <w:rsid w:val="00F84123"/>
    <w:rsid w:val="00F84593"/>
    <w:rsid w:val="00F84E7D"/>
    <w:rsid w:val="00F85066"/>
    <w:rsid w:val="00F8663C"/>
    <w:rsid w:val="00F87A4D"/>
    <w:rsid w:val="00F91B66"/>
    <w:rsid w:val="00F93688"/>
    <w:rsid w:val="00F939F3"/>
    <w:rsid w:val="00F93C6E"/>
    <w:rsid w:val="00F93F2C"/>
    <w:rsid w:val="00F94882"/>
    <w:rsid w:val="00F962AD"/>
    <w:rsid w:val="00F9644E"/>
    <w:rsid w:val="00F96E43"/>
    <w:rsid w:val="00FA0105"/>
    <w:rsid w:val="00FA05A0"/>
    <w:rsid w:val="00FA0AEF"/>
    <w:rsid w:val="00FA0EB0"/>
    <w:rsid w:val="00FA17CC"/>
    <w:rsid w:val="00FA1A7F"/>
    <w:rsid w:val="00FA1CFE"/>
    <w:rsid w:val="00FA1F01"/>
    <w:rsid w:val="00FA26DF"/>
    <w:rsid w:val="00FA32BC"/>
    <w:rsid w:val="00FA3FA8"/>
    <w:rsid w:val="00FA4059"/>
    <w:rsid w:val="00FA4574"/>
    <w:rsid w:val="00FA48A4"/>
    <w:rsid w:val="00FA4CB7"/>
    <w:rsid w:val="00FA5112"/>
    <w:rsid w:val="00FA5526"/>
    <w:rsid w:val="00FA5D4D"/>
    <w:rsid w:val="00FA6CB6"/>
    <w:rsid w:val="00FA70D3"/>
    <w:rsid w:val="00FA70F9"/>
    <w:rsid w:val="00FA7AD7"/>
    <w:rsid w:val="00FA7AEC"/>
    <w:rsid w:val="00FB00D6"/>
    <w:rsid w:val="00FB0AEA"/>
    <w:rsid w:val="00FB0EE2"/>
    <w:rsid w:val="00FB1A79"/>
    <w:rsid w:val="00FB208B"/>
    <w:rsid w:val="00FB2B2D"/>
    <w:rsid w:val="00FB346E"/>
    <w:rsid w:val="00FB35D1"/>
    <w:rsid w:val="00FB4932"/>
    <w:rsid w:val="00FB542E"/>
    <w:rsid w:val="00FB5580"/>
    <w:rsid w:val="00FB564F"/>
    <w:rsid w:val="00FB79BB"/>
    <w:rsid w:val="00FB7DBB"/>
    <w:rsid w:val="00FC04A1"/>
    <w:rsid w:val="00FC05F8"/>
    <w:rsid w:val="00FC077B"/>
    <w:rsid w:val="00FC0950"/>
    <w:rsid w:val="00FC0E5F"/>
    <w:rsid w:val="00FC1070"/>
    <w:rsid w:val="00FC1266"/>
    <w:rsid w:val="00FC1A95"/>
    <w:rsid w:val="00FC1ED4"/>
    <w:rsid w:val="00FC3BEC"/>
    <w:rsid w:val="00FC440B"/>
    <w:rsid w:val="00FC56DE"/>
    <w:rsid w:val="00FC61B5"/>
    <w:rsid w:val="00FC63D9"/>
    <w:rsid w:val="00FC64DE"/>
    <w:rsid w:val="00FC6785"/>
    <w:rsid w:val="00FC684B"/>
    <w:rsid w:val="00FC79D0"/>
    <w:rsid w:val="00FC7D98"/>
    <w:rsid w:val="00FD1135"/>
    <w:rsid w:val="00FD3265"/>
    <w:rsid w:val="00FD3CF7"/>
    <w:rsid w:val="00FD4124"/>
    <w:rsid w:val="00FD41A0"/>
    <w:rsid w:val="00FD4916"/>
    <w:rsid w:val="00FD4D12"/>
    <w:rsid w:val="00FD4DC7"/>
    <w:rsid w:val="00FD4F73"/>
    <w:rsid w:val="00FD595E"/>
    <w:rsid w:val="00FD66A4"/>
    <w:rsid w:val="00FD75AC"/>
    <w:rsid w:val="00FD75D3"/>
    <w:rsid w:val="00FD7802"/>
    <w:rsid w:val="00FD7D3B"/>
    <w:rsid w:val="00FE263A"/>
    <w:rsid w:val="00FE27C7"/>
    <w:rsid w:val="00FE2C7E"/>
    <w:rsid w:val="00FE2F78"/>
    <w:rsid w:val="00FE3137"/>
    <w:rsid w:val="00FE346B"/>
    <w:rsid w:val="00FE346F"/>
    <w:rsid w:val="00FE3E07"/>
    <w:rsid w:val="00FE431E"/>
    <w:rsid w:val="00FE460E"/>
    <w:rsid w:val="00FE48E4"/>
    <w:rsid w:val="00FE5466"/>
    <w:rsid w:val="00FE634C"/>
    <w:rsid w:val="00FE6E69"/>
    <w:rsid w:val="00FE6F59"/>
    <w:rsid w:val="00FF01B6"/>
    <w:rsid w:val="00FF0989"/>
    <w:rsid w:val="00FF1136"/>
    <w:rsid w:val="00FF38A4"/>
    <w:rsid w:val="00FF3D76"/>
    <w:rsid w:val="00FF4E35"/>
    <w:rsid w:val="00FF5838"/>
    <w:rsid w:val="00FF596B"/>
    <w:rsid w:val="00FF5B8C"/>
    <w:rsid w:val="00FF63E6"/>
    <w:rsid w:val="00FF72DC"/>
    <w:rsid w:val="00FF7B9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94332598">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354504476">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18414763">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898828998">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395809952">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66510082">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0638267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4652621">
      <w:bodyDiv w:val="1"/>
      <w:marLeft w:val="0"/>
      <w:marRight w:val="0"/>
      <w:marTop w:val="0"/>
      <w:marBottom w:val="0"/>
      <w:divBdr>
        <w:top w:val="none" w:sz="0" w:space="0" w:color="auto"/>
        <w:left w:val="none" w:sz="0" w:space="0" w:color="auto"/>
        <w:bottom w:val="none" w:sz="0" w:space="0" w:color="auto"/>
        <w:right w:val="none" w:sz="0" w:space="0" w:color="auto"/>
      </w:divBdr>
    </w:div>
    <w:div w:id="1658848773">
      <w:bodyDiv w:val="1"/>
      <w:marLeft w:val="0"/>
      <w:marRight w:val="0"/>
      <w:marTop w:val="0"/>
      <w:marBottom w:val="0"/>
      <w:divBdr>
        <w:top w:val="none" w:sz="0" w:space="0" w:color="auto"/>
        <w:left w:val="none" w:sz="0" w:space="0" w:color="auto"/>
        <w:bottom w:val="none" w:sz="0" w:space="0" w:color="auto"/>
        <w:right w:val="none" w:sz="0" w:space="0" w:color="auto"/>
      </w:divBdr>
    </w:div>
    <w:div w:id="1820418877">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099517120">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zso.cz/csu/czso/metodicka-poznamka-k-indexu-spotrebitelskych-cen-imputovane-najemn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zabojnikova31519\Documents\Anal&#253;za\Q\2021\2021Q4\eng\Makroanal&#253;za%20grafy_e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zabojnikova31519\Documents\Anal&#253;za\Q\2021\2021Q4\eng\Makroanal&#253;za%20grafy_e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zabojnikova31519\Documents\Anal&#253;za\Q\2021\2021Q4\eng\Makroanal&#253;za%20grafy_e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249577845322527E-2"/>
          <c:y val="2.1811335019919161E-2"/>
          <c:w val="0.92237743255066085"/>
          <c:h val="0.73318107621299466"/>
        </c:manualLayout>
      </c:layout>
      <c:barChart>
        <c:barDir val="col"/>
        <c:grouping val="clustered"/>
        <c:varyColors val="0"/>
        <c:ser>
          <c:idx val="0"/>
          <c:order val="0"/>
          <c:tx>
            <c:strRef>
              <c:f>'Ceny 2'!$C$5</c:f>
              <c:strCache>
                <c:ptCount val="1"/>
                <c:pt idx="0">
                  <c:v>Total</c:v>
                </c:pt>
              </c:strCache>
            </c:strRef>
          </c:tx>
          <c:spPr>
            <a:solidFill>
              <a:schemeClr val="bg1">
                <a:lumMod val="65000"/>
              </a:schemeClr>
            </a:solidFill>
            <a:ln w="19050">
              <a:noFill/>
            </a:ln>
          </c:spPr>
          <c:invertIfNegative val="0"/>
          <c:cat>
            <c:multiLvlStrRef>
              <c:f>'Ceny 2'!$A$22:$B$45</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2016</c:v>
                  </c:pt>
                  <c:pt idx="4">
                    <c:v>2017</c:v>
                  </c:pt>
                  <c:pt idx="8">
                    <c:v>2018</c:v>
                  </c:pt>
                  <c:pt idx="12">
                    <c:v>2019</c:v>
                  </c:pt>
                  <c:pt idx="16">
                    <c:v>2020</c:v>
                  </c:pt>
                  <c:pt idx="20">
                    <c:v>2021</c:v>
                  </c:pt>
                </c:lvl>
              </c:multiLvlStrCache>
            </c:multiLvlStrRef>
          </c:cat>
          <c:val>
            <c:numRef>
              <c:f>'Ceny 2'!$C$22:$C$45</c:f>
              <c:numCache>
                <c:formatCode>0.0</c:formatCode>
                <c:ptCount val="24"/>
                <c:pt idx="0">
                  <c:v>0.5</c:v>
                </c:pt>
                <c:pt idx="1">
                  <c:v>0.20000000000000284</c:v>
                </c:pt>
                <c:pt idx="2">
                  <c:v>0.5</c:v>
                </c:pt>
                <c:pt idx="3">
                  <c:v>1.4000000000000057</c:v>
                </c:pt>
                <c:pt idx="4" formatCode="General">
                  <c:v>2.4000000000000057</c:v>
                </c:pt>
                <c:pt idx="5" formatCode="General">
                  <c:v>2.2000000000000028</c:v>
                </c:pt>
                <c:pt idx="6">
                  <c:v>2.5</c:v>
                </c:pt>
                <c:pt idx="7">
                  <c:v>2.6</c:v>
                </c:pt>
                <c:pt idx="8">
                  <c:v>1.9</c:v>
                </c:pt>
                <c:pt idx="9">
                  <c:v>2.2999999999999998</c:v>
                </c:pt>
                <c:pt idx="10">
                  <c:v>2.4</c:v>
                </c:pt>
                <c:pt idx="11">
                  <c:v>2.1</c:v>
                </c:pt>
                <c:pt idx="12">
                  <c:v>2.7</c:v>
                </c:pt>
                <c:pt idx="13">
                  <c:v>2.8</c:v>
                </c:pt>
                <c:pt idx="14">
                  <c:v>2.8</c:v>
                </c:pt>
                <c:pt idx="15">
                  <c:v>3</c:v>
                </c:pt>
                <c:pt idx="16">
                  <c:v>3.6</c:v>
                </c:pt>
                <c:pt idx="17">
                  <c:v>3.1</c:v>
                </c:pt>
                <c:pt idx="18">
                  <c:v>3.3</c:v>
                </c:pt>
                <c:pt idx="19">
                  <c:v>2.6</c:v>
                </c:pt>
                <c:pt idx="20">
                  <c:v>2.2000000000000002</c:v>
                </c:pt>
                <c:pt idx="21">
                  <c:v>2.9</c:v>
                </c:pt>
                <c:pt idx="22">
                  <c:v>4.0999999999999996</c:v>
                </c:pt>
                <c:pt idx="23">
                  <c:v>6.1</c:v>
                </c:pt>
              </c:numCache>
            </c:numRef>
          </c:val>
          <c:extLst>
            <c:ext xmlns:c16="http://schemas.microsoft.com/office/drawing/2014/chart" uri="{C3380CC4-5D6E-409C-BE32-E72D297353CC}">
              <c16:uniqueId val="{00000000-E65F-48BA-9CEB-BE5F5CBBB794}"/>
            </c:ext>
          </c:extLst>
        </c:ser>
        <c:dLbls>
          <c:showLegendKey val="0"/>
          <c:showVal val="0"/>
          <c:showCatName val="0"/>
          <c:showSerName val="0"/>
          <c:showPercent val="0"/>
          <c:showBubbleSize val="0"/>
        </c:dLbls>
        <c:gapWidth val="95"/>
        <c:axId val="130513536"/>
        <c:axId val="130531712"/>
      </c:barChart>
      <c:lineChart>
        <c:grouping val="standard"/>
        <c:varyColors val="0"/>
        <c:ser>
          <c:idx val="1"/>
          <c:order val="1"/>
          <c:tx>
            <c:strRef>
              <c:f>'Ceny 2'!$D$5</c:f>
              <c:strCache>
                <c:ptCount val="1"/>
                <c:pt idx="0">
                  <c:v>Food</c:v>
                </c:pt>
              </c:strCache>
            </c:strRef>
          </c:tx>
          <c:spPr>
            <a:ln w="19050">
              <a:solidFill>
                <a:srgbClr val="0071BC"/>
              </a:solidFill>
            </a:ln>
          </c:spPr>
          <c:marker>
            <c:symbol val="none"/>
          </c:marker>
          <c:cat>
            <c:multiLvlStrRef>
              <c:f>'Ceny 2'!$A$22:$B$45</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2016</c:v>
                  </c:pt>
                  <c:pt idx="4">
                    <c:v>2017</c:v>
                  </c:pt>
                  <c:pt idx="8">
                    <c:v>2018</c:v>
                  </c:pt>
                  <c:pt idx="12">
                    <c:v>2019</c:v>
                  </c:pt>
                  <c:pt idx="16">
                    <c:v>2020</c:v>
                  </c:pt>
                  <c:pt idx="20">
                    <c:v>2021</c:v>
                  </c:pt>
                </c:lvl>
              </c:multiLvlStrCache>
            </c:multiLvlStrRef>
          </c:cat>
          <c:val>
            <c:numRef>
              <c:f>'Ceny 2'!$D$22:$D$45</c:f>
              <c:numCache>
                <c:formatCode>0.0</c:formatCode>
                <c:ptCount val="24"/>
                <c:pt idx="0">
                  <c:v>-1.7000000000000028</c:v>
                </c:pt>
                <c:pt idx="1">
                  <c:v>-2.4000000000000057</c:v>
                </c:pt>
                <c:pt idx="2">
                  <c:v>-0.79999999999999716</c:v>
                </c:pt>
                <c:pt idx="3">
                  <c:v>1.2000000000000028</c:v>
                </c:pt>
                <c:pt idx="4" formatCode="General">
                  <c:v>4.2000000000000028</c:v>
                </c:pt>
                <c:pt idx="5" formatCode="General">
                  <c:v>4.5</c:v>
                </c:pt>
                <c:pt idx="6">
                  <c:v>5.7</c:v>
                </c:pt>
                <c:pt idx="7">
                  <c:v>6.3</c:v>
                </c:pt>
                <c:pt idx="8">
                  <c:v>2.9</c:v>
                </c:pt>
                <c:pt idx="9" formatCode="#\ ##0.0_ ;\-#\ ##0.0\ ">
                  <c:v>2.2999999999999998</c:v>
                </c:pt>
                <c:pt idx="10">
                  <c:v>0.6</c:v>
                </c:pt>
                <c:pt idx="11">
                  <c:v>-0.5</c:v>
                </c:pt>
                <c:pt idx="12">
                  <c:v>1</c:v>
                </c:pt>
                <c:pt idx="13">
                  <c:v>2.5</c:v>
                </c:pt>
                <c:pt idx="14">
                  <c:v>3.5</c:v>
                </c:pt>
                <c:pt idx="15">
                  <c:v>4.3</c:v>
                </c:pt>
                <c:pt idx="16">
                  <c:v>6.1</c:v>
                </c:pt>
                <c:pt idx="17">
                  <c:v>6.5</c:v>
                </c:pt>
                <c:pt idx="18">
                  <c:v>4</c:v>
                </c:pt>
                <c:pt idx="19">
                  <c:v>1.7</c:v>
                </c:pt>
                <c:pt idx="20">
                  <c:v>0.3</c:v>
                </c:pt>
                <c:pt idx="21">
                  <c:v>-0.8</c:v>
                </c:pt>
                <c:pt idx="22">
                  <c:v>1.4</c:v>
                </c:pt>
                <c:pt idx="23">
                  <c:v>2.2999999999999998</c:v>
                </c:pt>
              </c:numCache>
            </c:numRef>
          </c:val>
          <c:smooth val="0"/>
          <c:extLst>
            <c:ext xmlns:c16="http://schemas.microsoft.com/office/drawing/2014/chart" uri="{C3380CC4-5D6E-409C-BE32-E72D297353CC}">
              <c16:uniqueId val="{00000001-E65F-48BA-9CEB-BE5F5CBBB794}"/>
            </c:ext>
          </c:extLst>
        </c:ser>
        <c:ser>
          <c:idx val="3"/>
          <c:order val="2"/>
          <c:tx>
            <c:strRef>
              <c:f>'Ceny 2'!$F$5</c:f>
              <c:strCache>
                <c:ptCount val="1"/>
                <c:pt idx="0">
                  <c:v>Housing and energy</c:v>
                </c:pt>
              </c:strCache>
            </c:strRef>
          </c:tx>
          <c:spPr>
            <a:ln w="19050">
              <a:solidFill>
                <a:srgbClr val="7DBB2D"/>
              </a:solidFill>
            </a:ln>
          </c:spPr>
          <c:marker>
            <c:symbol val="none"/>
          </c:marker>
          <c:cat>
            <c:multiLvlStrRef>
              <c:f>'Ceny 2'!$A$22:$B$45</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2016</c:v>
                  </c:pt>
                  <c:pt idx="4">
                    <c:v>2017</c:v>
                  </c:pt>
                  <c:pt idx="8">
                    <c:v>2018</c:v>
                  </c:pt>
                  <c:pt idx="12">
                    <c:v>2019</c:v>
                  </c:pt>
                  <c:pt idx="16">
                    <c:v>2020</c:v>
                  </c:pt>
                  <c:pt idx="20">
                    <c:v>2021</c:v>
                  </c:pt>
                </c:lvl>
              </c:multiLvlStrCache>
            </c:multiLvlStrRef>
          </c:cat>
          <c:val>
            <c:numRef>
              <c:f>'Ceny 2'!$F$22:$F$45</c:f>
              <c:numCache>
                <c:formatCode>0.0</c:formatCode>
                <c:ptCount val="24"/>
                <c:pt idx="0">
                  <c:v>0.90000000000000568</c:v>
                </c:pt>
                <c:pt idx="1">
                  <c:v>0.5</c:v>
                </c:pt>
                <c:pt idx="2">
                  <c:v>0.40000000000000568</c:v>
                </c:pt>
                <c:pt idx="3">
                  <c:v>0.59999999999999432</c:v>
                </c:pt>
                <c:pt idx="4" formatCode="General">
                  <c:v>0.79999999999999716</c:v>
                </c:pt>
                <c:pt idx="5" formatCode="General">
                  <c:v>1.5</c:v>
                </c:pt>
                <c:pt idx="6">
                  <c:v>2.1</c:v>
                </c:pt>
                <c:pt idx="7">
                  <c:v>2.2000000000000002</c:v>
                </c:pt>
                <c:pt idx="8">
                  <c:v>2.2999999999999998</c:v>
                </c:pt>
                <c:pt idx="9">
                  <c:v>2.6</c:v>
                </c:pt>
                <c:pt idx="10">
                  <c:v>3.2</c:v>
                </c:pt>
                <c:pt idx="11">
                  <c:v>3.8</c:v>
                </c:pt>
                <c:pt idx="12">
                  <c:v>5.4</c:v>
                </c:pt>
                <c:pt idx="13">
                  <c:v>5.7</c:v>
                </c:pt>
                <c:pt idx="14">
                  <c:v>5.2</c:v>
                </c:pt>
                <c:pt idx="15">
                  <c:v>5</c:v>
                </c:pt>
                <c:pt idx="16">
                  <c:v>4.2</c:v>
                </c:pt>
                <c:pt idx="17">
                  <c:v>3.2</c:v>
                </c:pt>
                <c:pt idx="18">
                  <c:v>2.7</c:v>
                </c:pt>
                <c:pt idx="19">
                  <c:v>1.4</c:v>
                </c:pt>
                <c:pt idx="20">
                  <c:v>0.6</c:v>
                </c:pt>
                <c:pt idx="21">
                  <c:v>1.3</c:v>
                </c:pt>
                <c:pt idx="22">
                  <c:v>3.6</c:v>
                </c:pt>
                <c:pt idx="23">
                  <c:v>5.6</c:v>
                </c:pt>
              </c:numCache>
            </c:numRef>
          </c:val>
          <c:smooth val="0"/>
          <c:extLst>
            <c:ext xmlns:c16="http://schemas.microsoft.com/office/drawing/2014/chart" uri="{C3380CC4-5D6E-409C-BE32-E72D297353CC}">
              <c16:uniqueId val="{00000002-E65F-48BA-9CEB-BE5F5CBBB794}"/>
            </c:ext>
          </c:extLst>
        </c:ser>
        <c:ser>
          <c:idx val="4"/>
          <c:order val="3"/>
          <c:tx>
            <c:strRef>
              <c:f>'Ceny 2'!$G$5</c:f>
              <c:strCache>
                <c:ptCount val="1"/>
                <c:pt idx="0">
                  <c:v>Transportation</c:v>
                </c:pt>
              </c:strCache>
            </c:strRef>
          </c:tx>
          <c:spPr>
            <a:ln w="19050">
              <a:solidFill>
                <a:srgbClr val="FFC000"/>
              </a:solidFill>
            </a:ln>
          </c:spPr>
          <c:marker>
            <c:symbol val="none"/>
          </c:marker>
          <c:cat>
            <c:multiLvlStrRef>
              <c:f>'Ceny 2'!$A$22:$B$45</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2016</c:v>
                  </c:pt>
                  <c:pt idx="4">
                    <c:v>2017</c:v>
                  </c:pt>
                  <c:pt idx="8">
                    <c:v>2018</c:v>
                  </c:pt>
                  <c:pt idx="12">
                    <c:v>2019</c:v>
                  </c:pt>
                  <c:pt idx="16">
                    <c:v>2020</c:v>
                  </c:pt>
                  <c:pt idx="20">
                    <c:v>2021</c:v>
                  </c:pt>
                </c:lvl>
              </c:multiLvlStrCache>
            </c:multiLvlStrRef>
          </c:cat>
          <c:val>
            <c:numRef>
              <c:f>'Ceny 2'!$G$22:$G$45</c:f>
              <c:numCache>
                <c:formatCode>General</c:formatCode>
                <c:ptCount val="24"/>
                <c:pt idx="0">
                  <c:v>-2.7000000000000028</c:v>
                </c:pt>
                <c:pt idx="1">
                  <c:v>-2.9000000000000057</c:v>
                </c:pt>
                <c:pt idx="2">
                  <c:v>-2.2999999999999972</c:v>
                </c:pt>
                <c:pt idx="3">
                  <c:v>1.0999999999999943</c:v>
                </c:pt>
                <c:pt idx="4">
                  <c:v>6</c:v>
                </c:pt>
                <c:pt idx="5">
                  <c:v>3.9000000000000057</c:v>
                </c:pt>
                <c:pt idx="6" formatCode="0.0">
                  <c:v>2.5</c:v>
                </c:pt>
                <c:pt idx="7" formatCode="0.0">
                  <c:v>2.5</c:v>
                </c:pt>
                <c:pt idx="8" formatCode="0.0">
                  <c:v>1</c:v>
                </c:pt>
                <c:pt idx="9" formatCode="0.0">
                  <c:v>3</c:v>
                </c:pt>
                <c:pt idx="10" formatCode="0.0">
                  <c:v>4.5</c:v>
                </c:pt>
                <c:pt idx="11" formatCode="0.0">
                  <c:v>2.6</c:v>
                </c:pt>
                <c:pt idx="12" formatCode="0.0">
                  <c:v>0.6</c:v>
                </c:pt>
                <c:pt idx="13" formatCode="0.0">
                  <c:v>0.8</c:v>
                </c:pt>
                <c:pt idx="14" formatCode="0.0">
                  <c:v>-0.2</c:v>
                </c:pt>
                <c:pt idx="15" formatCode="0.0">
                  <c:v>0.5</c:v>
                </c:pt>
                <c:pt idx="16">
                  <c:v>1.7</c:v>
                </c:pt>
                <c:pt idx="17" formatCode="0.0">
                  <c:v>-3.4</c:v>
                </c:pt>
                <c:pt idx="18" formatCode="0.0">
                  <c:v>-0.2</c:v>
                </c:pt>
                <c:pt idx="19" formatCode="0.0">
                  <c:v>0.6</c:v>
                </c:pt>
                <c:pt idx="20" formatCode="0.0">
                  <c:v>2.4</c:v>
                </c:pt>
                <c:pt idx="21" formatCode="0.0">
                  <c:v>9.1</c:v>
                </c:pt>
                <c:pt idx="22" formatCode="0.0">
                  <c:v>8.8000000000000007</c:v>
                </c:pt>
                <c:pt idx="23" formatCode="0.0">
                  <c:v>13.1</c:v>
                </c:pt>
              </c:numCache>
            </c:numRef>
          </c:val>
          <c:smooth val="0"/>
          <c:extLst>
            <c:ext xmlns:c16="http://schemas.microsoft.com/office/drawing/2014/chart" uri="{C3380CC4-5D6E-409C-BE32-E72D297353CC}">
              <c16:uniqueId val="{00000003-E65F-48BA-9CEB-BE5F5CBBB794}"/>
            </c:ext>
          </c:extLst>
        </c:ser>
        <c:ser>
          <c:idx val="5"/>
          <c:order val="4"/>
          <c:tx>
            <c:strRef>
              <c:f>'Ceny 2'!$E$5</c:f>
              <c:strCache>
                <c:ptCount val="1"/>
                <c:pt idx="0">
                  <c:v>Alcoholic beverages and tobacco</c:v>
                </c:pt>
              </c:strCache>
            </c:strRef>
          </c:tx>
          <c:spPr>
            <a:ln w="22225">
              <a:solidFill>
                <a:schemeClr val="accent2"/>
              </a:solidFill>
            </a:ln>
          </c:spPr>
          <c:marker>
            <c:symbol val="none"/>
          </c:marker>
          <c:cat>
            <c:multiLvlStrRef>
              <c:f>'Ceny 2'!$A$22:$B$45</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2016</c:v>
                  </c:pt>
                  <c:pt idx="4">
                    <c:v>2017</c:v>
                  </c:pt>
                  <c:pt idx="8">
                    <c:v>2018</c:v>
                  </c:pt>
                  <c:pt idx="12">
                    <c:v>2019</c:v>
                  </c:pt>
                  <c:pt idx="16">
                    <c:v>2020</c:v>
                  </c:pt>
                  <c:pt idx="20">
                    <c:v>2021</c:v>
                  </c:pt>
                </c:lvl>
              </c:multiLvlStrCache>
            </c:multiLvlStrRef>
          </c:cat>
          <c:val>
            <c:numRef>
              <c:f>'Ceny 2'!$E$22:$E$45</c:f>
              <c:numCache>
                <c:formatCode>0.0</c:formatCode>
                <c:ptCount val="24"/>
                <c:pt idx="0">
                  <c:v>3.5</c:v>
                </c:pt>
                <c:pt idx="1">
                  <c:v>4.4000000000000057</c:v>
                </c:pt>
                <c:pt idx="2">
                  <c:v>4.5</c:v>
                </c:pt>
                <c:pt idx="3">
                  <c:v>5.2000000000000028</c:v>
                </c:pt>
                <c:pt idx="4" formatCode="General">
                  <c:v>3.4000000000000057</c:v>
                </c:pt>
                <c:pt idx="5" formatCode="General">
                  <c:v>0.79999999999999716</c:v>
                </c:pt>
                <c:pt idx="6">
                  <c:v>1.3</c:v>
                </c:pt>
                <c:pt idx="7">
                  <c:v>1.5</c:v>
                </c:pt>
                <c:pt idx="8">
                  <c:v>2.5</c:v>
                </c:pt>
                <c:pt idx="9">
                  <c:v>3.6</c:v>
                </c:pt>
                <c:pt idx="10">
                  <c:v>2.8</c:v>
                </c:pt>
                <c:pt idx="11">
                  <c:v>3.1</c:v>
                </c:pt>
                <c:pt idx="12">
                  <c:v>3.3</c:v>
                </c:pt>
                <c:pt idx="13">
                  <c:v>1.7</c:v>
                </c:pt>
                <c:pt idx="14">
                  <c:v>1.9</c:v>
                </c:pt>
                <c:pt idx="15">
                  <c:v>1.8</c:v>
                </c:pt>
                <c:pt idx="16" formatCode="General">
                  <c:v>3.5</c:v>
                </c:pt>
                <c:pt idx="17">
                  <c:v>6.6</c:v>
                </c:pt>
                <c:pt idx="18">
                  <c:v>10.3</c:v>
                </c:pt>
                <c:pt idx="19">
                  <c:v>9.9</c:v>
                </c:pt>
                <c:pt idx="20">
                  <c:v>9.9</c:v>
                </c:pt>
                <c:pt idx="21">
                  <c:v>9.8000000000000007</c:v>
                </c:pt>
                <c:pt idx="22">
                  <c:v>6.5</c:v>
                </c:pt>
                <c:pt idx="23">
                  <c:v>7.7</c:v>
                </c:pt>
              </c:numCache>
            </c:numRef>
          </c:val>
          <c:smooth val="0"/>
          <c:extLst>
            <c:ext xmlns:c16="http://schemas.microsoft.com/office/drawing/2014/chart" uri="{C3380CC4-5D6E-409C-BE32-E72D297353CC}">
              <c16:uniqueId val="{00000004-E65F-48BA-9CEB-BE5F5CBBB794}"/>
            </c:ext>
          </c:extLst>
        </c:ser>
        <c:ser>
          <c:idx val="2"/>
          <c:order val="5"/>
          <c:tx>
            <c:strRef>
              <c:f>'Ceny 2'!$H$5</c:f>
              <c:strCache>
                <c:ptCount val="1"/>
                <c:pt idx="0">
                  <c:v>Restaurants and hotels</c:v>
                </c:pt>
              </c:strCache>
              <c:extLst xmlns:c15="http://schemas.microsoft.com/office/drawing/2012/chart"/>
            </c:strRef>
          </c:tx>
          <c:spPr>
            <a:ln w="19050">
              <a:solidFill>
                <a:srgbClr val="7030A0"/>
              </a:solidFill>
            </a:ln>
          </c:spPr>
          <c:marker>
            <c:symbol val="none"/>
          </c:marker>
          <c:cat>
            <c:multiLvlStrRef>
              <c:f>'Ceny 2'!$A$22:$B$45</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2016</c:v>
                  </c:pt>
                  <c:pt idx="4">
                    <c:v>2017</c:v>
                  </c:pt>
                  <c:pt idx="8">
                    <c:v>2018</c:v>
                  </c:pt>
                  <c:pt idx="12">
                    <c:v>2019</c:v>
                  </c:pt>
                  <c:pt idx="16">
                    <c:v>2020</c:v>
                  </c:pt>
                  <c:pt idx="20">
                    <c:v>2021</c:v>
                  </c:pt>
                </c:lvl>
              </c:multiLvlStrCache>
            </c:multiLvlStrRef>
          </c:cat>
          <c:val>
            <c:numRef>
              <c:f>'Ceny 2'!$H$22:$H$45</c:f>
              <c:numCache>
                <c:formatCode>###\ ###\ ##0.0</c:formatCode>
                <c:ptCount val="24"/>
                <c:pt idx="0">
                  <c:v>1.2000000000000028</c:v>
                </c:pt>
                <c:pt idx="1">
                  <c:v>1.0999999999999943</c:v>
                </c:pt>
                <c:pt idx="2">
                  <c:v>1.2000000000000028</c:v>
                </c:pt>
                <c:pt idx="3">
                  <c:v>2.7000000000000028</c:v>
                </c:pt>
                <c:pt idx="4">
                  <c:v>5.2000000000000028</c:v>
                </c:pt>
                <c:pt idx="5">
                  <c:v>5.7999999999999972</c:v>
                </c:pt>
                <c:pt idx="6">
                  <c:v>6.2999999999999972</c:v>
                </c:pt>
                <c:pt idx="7" formatCode="0.0">
                  <c:v>5.6</c:v>
                </c:pt>
                <c:pt idx="8" formatCode="0.0">
                  <c:v>3.5</c:v>
                </c:pt>
                <c:pt idx="9" formatCode="0.0">
                  <c:v>3.6</c:v>
                </c:pt>
                <c:pt idx="10" formatCode="0.0">
                  <c:v>3.5</c:v>
                </c:pt>
                <c:pt idx="11" formatCode="0.0">
                  <c:v>3.7</c:v>
                </c:pt>
                <c:pt idx="12" formatCode="0.0">
                  <c:v>3.8</c:v>
                </c:pt>
                <c:pt idx="13" formatCode="0.0">
                  <c:v>4</c:v>
                </c:pt>
                <c:pt idx="14" formatCode="0.0">
                  <c:v>4.5</c:v>
                </c:pt>
                <c:pt idx="15" formatCode="0.0">
                  <c:v>4.5999999999999996</c:v>
                </c:pt>
                <c:pt idx="16" formatCode="0.0">
                  <c:v>5.5</c:v>
                </c:pt>
                <c:pt idx="17" formatCode="0.0">
                  <c:v>5.0999999999999996</c:v>
                </c:pt>
                <c:pt idx="18" formatCode="0.0">
                  <c:v>4.9000000000000004</c:v>
                </c:pt>
                <c:pt idx="19" formatCode="0.0">
                  <c:v>4.3</c:v>
                </c:pt>
                <c:pt idx="20" formatCode="0.0">
                  <c:v>3</c:v>
                </c:pt>
                <c:pt idx="21" formatCode="0.0">
                  <c:v>2.9</c:v>
                </c:pt>
                <c:pt idx="22" formatCode="0.0">
                  <c:v>4.5999999999999996</c:v>
                </c:pt>
                <c:pt idx="23" formatCode="0.0">
                  <c:v>6.8</c:v>
                </c:pt>
              </c:numCache>
            </c:numRef>
          </c:val>
          <c:smooth val="0"/>
          <c:extLst xmlns:c15="http://schemas.microsoft.com/office/drawing/2012/chart">
            <c:ext xmlns:c16="http://schemas.microsoft.com/office/drawing/2014/chart" uri="{C3380CC4-5D6E-409C-BE32-E72D297353CC}">
              <c16:uniqueId val="{00000005-E65F-48BA-9CEB-BE5F5CBBB794}"/>
            </c:ext>
          </c:extLst>
        </c:ser>
        <c:dLbls>
          <c:showLegendKey val="0"/>
          <c:showVal val="0"/>
          <c:showCatName val="0"/>
          <c:showSerName val="0"/>
          <c:showPercent val="0"/>
          <c:showBubbleSize val="0"/>
        </c:dLbls>
        <c:marker val="1"/>
        <c:smooth val="0"/>
        <c:axId val="130513536"/>
        <c:axId val="130531712"/>
        <c:extLst/>
      </c:lineChart>
      <c:catAx>
        <c:axId val="130513536"/>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30531712"/>
        <c:crosses val="autoZero"/>
        <c:auto val="1"/>
        <c:lblAlgn val="ctr"/>
        <c:lblOffset val="100"/>
        <c:noMultiLvlLbl val="0"/>
      </c:catAx>
      <c:valAx>
        <c:axId val="130531712"/>
        <c:scaling>
          <c:orientation val="minMax"/>
          <c:min val="-4"/>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30513536"/>
        <c:crosses val="autoZero"/>
        <c:crossBetween val="between"/>
        <c:majorUnit val="1"/>
      </c:valAx>
      <c:spPr>
        <a:ln>
          <a:solidFill>
            <a:schemeClr val="tx1"/>
          </a:solidFill>
        </a:ln>
      </c:spPr>
    </c:plotArea>
    <c:legend>
      <c:legendPos val="b"/>
      <c:layout>
        <c:manualLayout>
          <c:xMode val="edge"/>
          <c:yMode val="edge"/>
          <c:x val="5.6562816616008108E-2"/>
          <c:y val="0.87970674321738151"/>
          <c:w val="0.92175447483958117"/>
          <c:h val="0.1095705279747833"/>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258203189717562E-2"/>
          <c:y val="2.9569886214146503E-2"/>
          <c:w val="0.92637856314472322"/>
          <c:h val="0.73556653157716956"/>
        </c:manualLayout>
      </c:layout>
      <c:barChart>
        <c:barDir val="col"/>
        <c:grouping val="clustered"/>
        <c:varyColors val="0"/>
        <c:ser>
          <c:idx val="0"/>
          <c:order val="0"/>
          <c:tx>
            <c:strRef>
              <c:f>'Ceny 1'!$C$5</c:f>
              <c:strCache>
                <c:ptCount val="1"/>
                <c:pt idx="0">
                  <c:v>Realised prices of older flats, the CR</c:v>
                </c:pt>
              </c:strCache>
            </c:strRef>
          </c:tx>
          <c:spPr>
            <a:solidFill>
              <a:schemeClr val="bg1">
                <a:lumMod val="65000"/>
              </a:schemeClr>
            </a:solidFill>
            <a:ln w="19050">
              <a:noFill/>
            </a:ln>
          </c:spPr>
          <c:invertIfNegative val="0"/>
          <c:cat>
            <c:multiLvlStrRef>
              <c:f>'Ceny 1'!$A$22:$B$45</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2016</c:v>
                  </c:pt>
                  <c:pt idx="4">
                    <c:v>2017</c:v>
                  </c:pt>
                  <c:pt idx="8">
                    <c:v>2018</c:v>
                  </c:pt>
                  <c:pt idx="12">
                    <c:v>2019</c:v>
                  </c:pt>
                  <c:pt idx="16">
                    <c:v>2020</c:v>
                  </c:pt>
                  <c:pt idx="20">
                    <c:v>2021</c:v>
                  </c:pt>
                </c:lvl>
              </c:multiLvlStrCache>
            </c:multiLvlStrRef>
          </c:cat>
          <c:val>
            <c:numRef>
              <c:f>'Ceny 1'!$C$22:$C$45</c:f>
              <c:numCache>
                <c:formatCode>General</c:formatCode>
                <c:ptCount val="24"/>
                <c:pt idx="0">
                  <c:v>8.9000000000000057</c:v>
                </c:pt>
                <c:pt idx="1">
                  <c:v>10.299999999999997</c:v>
                </c:pt>
                <c:pt idx="2">
                  <c:v>12.299999999999997</c:v>
                </c:pt>
                <c:pt idx="3">
                  <c:v>14.599999999999994</c:v>
                </c:pt>
                <c:pt idx="4">
                  <c:v>17.200000000000003</c:v>
                </c:pt>
                <c:pt idx="5">
                  <c:v>18.700000000000003</c:v>
                </c:pt>
                <c:pt idx="6">
                  <c:v>15.799999999999997</c:v>
                </c:pt>
                <c:pt idx="7">
                  <c:v>12</c:v>
                </c:pt>
                <c:pt idx="8">
                  <c:v>9.2000000000000028</c:v>
                </c:pt>
                <c:pt idx="9">
                  <c:v>8</c:v>
                </c:pt>
                <c:pt idx="10">
                  <c:v>9.4000000000000057</c:v>
                </c:pt>
                <c:pt idx="11">
                  <c:v>11.400000000000006</c:v>
                </c:pt>
                <c:pt idx="12">
                  <c:v>11.299999999999997</c:v>
                </c:pt>
                <c:pt idx="13">
                  <c:v>10.599999999999994</c:v>
                </c:pt>
                <c:pt idx="14">
                  <c:v>9.5</c:v>
                </c:pt>
                <c:pt idx="15">
                  <c:v>9.4000000000000057</c:v>
                </c:pt>
                <c:pt idx="16">
                  <c:v>10.599999999999994</c:v>
                </c:pt>
                <c:pt idx="17">
                  <c:v>10.200000000000003</c:v>
                </c:pt>
                <c:pt idx="18">
                  <c:v>11.200000000000003</c:v>
                </c:pt>
                <c:pt idx="19">
                  <c:v>13.299999999999997</c:v>
                </c:pt>
                <c:pt idx="20">
                  <c:v>15.200000000000003</c:v>
                </c:pt>
                <c:pt idx="21">
                  <c:v>17.900000000000006</c:v>
                </c:pt>
                <c:pt idx="22">
                  <c:v>21.299999999999997</c:v>
                </c:pt>
                <c:pt idx="23">
                  <c:v>25.200000000000003</c:v>
                </c:pt>
              </c:numCache>
            </c:numRef>
          </c:val>
          <c:extLst>
            <c:ext xmlns:c16="http://schemas.microsoft.com/office/drawing/2014/chart" uri="{C3380CC4-5D6E-409C-BE32-E72D297353CC}">
              <c16:uniqueId val="{00000000-23E8-4983-B16F-39AC504A1C6A}"/>
            </c:ext>
          </c:extLst>
        </c:ser>
        <c:ser>
          <c:idx val="1"/>
          <c:order val="1"/>
          <c:tx>
            <c:strRef>
              <c:f>'Ceny 1'!$D$5</c:f>
              <c:strCache>
                <c:ptCount val="1"/>
                <c:pt idx="0">
                  <c:v>Realised prices of older flats, Prague</c:v>
                </c:pt>
              </c:strCache>
            </c:strRef>
          </c:tx>
          <c:spPr>
            <a:solidFill>
              <a:prstClr val="black">
                <a:lumMod val="50000"/>
                <a:lumOff val="50000"/>
              </a:prstClr>
            </a:solidFill>
            <a:ln w="19050">
              <a:noFill/>
            </a:ln>
          </c:spPr>
          <c:invertIfNegative val="0"/>
          <c:cat>
            <c:multiLvlStrRef>
              <c:f>'Ceny 1'!$A$22:$B$45</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2016</c:v>
                  </c:pt>
                  <c:pt idx="4">
                    <c:v>2017</c:v>
                  </c:pt>
                  <c:pt idx="8">
                    <c:v>2018</c:v>
                  </c:pt>
                  <c:pt idx="12">
                    <c:v>2019</c:v>
                  </c:pt>
                  <c:pt idx="16">
                    <c:v>2020</c:v>
                  </c:pt>
                  <c:pt idx="20">
                    <c:v>2021</c:v>
                  </c:pt>
                </c:lvl>
              </c:multiLvlStrCache>
            </c:multiLvlStrRef>
          </c:cat>
          <c:val>
            <c:numRef>
              <c:f>'Ceny 1'!$D$22:$D$45</c:f>
              <c:numCache>
                <c:formatCode>General</c:formatCode>
                <c:ptCount val="24"/>
                <c:pt idx="0">
                  <c:v>5.7999999999999972</c:v>
                </c:pt>
                <c:pt idx="1">
                  <c:v>7.5</c:v>
                </c:pt>
                <c:pt idx="2">
                  <c:v>9.4000000000000057</c:v>
                </c:pt>
                <c:pt idx="3">
                  <c:v>13.900000000000006</c:v>
                </c:pt>
                <c:pt idx="4">
                  <c:v>16.200000000000003</c:v>
                </c:pt>
                <c:pt idx="5">
                  <c:v>19</c:v>
                </c:pt>
                <c:pt idx="6">
                  <c:v>16.400000000000006</c:v>
                </c:pt>
                <c:pt idx="7">
                  <c:v>11.099999999999994</c:v>
                </c:pt>
                <c:pt idx="8">
                  <c:v>8.2999999999999972</c:v>
                </c:pt>
                <c:pt idx="9">
                  <c:v>4</c:v>
                </c:pt>
                <c:pt idx="10">
                  <c:v>6</c:v>
                </c:pt>
                <c:pt idx="11">
                  <c:v>8.7000000000000028</c:v>
                </c:pt>
                <c:pt idx="12">
                  <c:v>9.4000000000000057</c:v>
                </c:pt>
                <c:pt idx="13">
                  <c:v>8.7000000000000028</c:v>
                </c:pt>
                <c:pt idx="14">
                  <c:v>6.5</c:v>
                </c:pt>
                <c:pt idx="15">
                  <c:v>7.0999999999999943</c:v>
                </c:pt>
                <c:pt idx="16">
                  <c:v>6.2000000000000028</c:v>
                </c:pt>
                <c:pt idx="17">
                  <c:v>8</c:v>
                </c:pt>
                <c:pt idx="18">
                  <c:v>9.4000000000000057</c:v>
                </c:pt>
                <c:pt idx="19">
                  <c:v>10.599999999999994</c:v>
                </c:pt>
                <c:pt idx="20">
                  <c:v>14.299999999999997</c:v>
                </c:pt>
                <c:pt idx="21">
                  <c:v>15.799999999999997</c:v>
                </c:pt>
                <c:pt idx="22">
                  <c:v>16.599999999999994</c:v>
                </c:pt>
                <c:pt idx="23">
                  <c:v>20</c:v>
                </c:pt>
              </c:numCache>
            </c:numRef>
          </c:val>
          <c:extLst>
            <c:ext xmlns:c16="http://schemas.microsoft.com/office/drawing/2014/chart" uri="{C3380CC4-5D6E-409C-BE32-E72D297353CC}">
              <c16:uniqueId val="{00000001-23E8-4983-B16F-39AC504A1C6A}"/>
            </c:ext>
          </c:extLst>
        </c:ser>
        <c:dLbls>
          <c:showLegendKey val="0"/>
          <c:showVal val="0"/>
          <c:showCatName val="0"/>
          <c:showSerName val="0"/>
          <c:showPercent val="0"/>
          <c:showBubbleSize val="0"/>
        </c:dLbls>
        <c:gapWidth val="95"/>
        <c:axId val="130418560"/>
        <c:axId val="130420096"/>
      </c:barChart>
      <c:lineChart>
        <c:grouping val="standard"/>
        <c:varyColors val="0"/>
        <c:ser>
          <c:idx val="2"/>
          <c:order val="2"/>
          <c:tx>
            <c:strRef>
              <c:f>'Ceny 1'!$E$5</c:f>
              <c:strCache>
                <c:ptCount val="1"/>
                <c:pt idx="0">
                  <c:v>Catalogue prices of flats, the CR</c:v>
                </c:pt>
              </c:strCache>
            </c:strRef>
          </c:tx>
          <c:spPr>
            <a:ln w="19050">
              <a:solidFill>
                <a:schemeClr val="accent2"/>
              </a:solidFill>
            </a:ln>
          </c:spPr>
          <c:marker>
            <c:symbol val="none"/>
          </c:marker>
          <c:cat>
            <c:multiLvlStrRef>
              <c:f>'Ceny 1'!$A$22:$B$45</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2016</c:v>
                  </c:pt>
                  <c:pt idx="4">
                    <c:v>2017</c:v>
                  </c:pt>
                  <c:pt idx="8">
                    <c:v>2018</c:v>
                  </c:pt>
                  <c:pt idx="12">
                    <c:v>2019</c:v>
                  </c:pt>
                  <c:pt idx="16">
                    <c:v>2020</c:v>
                  </c:pt>
                  <c:pt idx="20">
                    <c:v>2021</c:v>
                  </c:pt>
                </c:lvl>
              </c:multiLvlStrCache>
            </c:multiLvlStrRef>
          </c:cat>
          <c:val>
            <c:numRef>
              <c:f>'Ceny 1'!$E$22:$E$45</c:f>
              <c:numCache>
                <c:formatCode>0.0</c:formatCode>
                <c:ptCount val="24"/>
                <c:pt idx="0">
                  <c:v>10.204081632653043</c:v>
                </c:pt>
                <c:pt idx="1">
                  <c:v>10.321969696969703</c:v>
                </c:pt>
                <c:pt idx="2">
                  <c:v>9.8982423681776197</c:v>
                </c:pt>
                <c:pt idx="3">
                  <c:v>9.918845807033378</c:v>
                </c:pt>
                <c:pt idx="4">
                  <c:v>9.5238095238095184</c:v>
                </c:pt>
                <c:pt idx="5" formatCode="General">
                  <c:v>9.5278969957081472</c:v>
                </c:pt>
                <c:pt idx="6" formatCode="General">
                  <c:v>12.542087542087543</c:v>
                </c:pt>
                <c:pt idx="7" formatCode="General">
                  <c:v>12.469237079573418</c:v>
                </c:pt>
                <c:pt idx="8" formatCode="General">
                  <c:v>12.801932367149746</c:v>
                </c:pt>
                <c:pt idx="9" formatCode="General">
                  <c:v>12.225705329153584</c:v>
                </c:pt>
                <c:pt idx="10" formatCode="General">
                  <c:v>9.498878085265531</c:v>
                </c:pt>
                <c:pt idx="11" formatCode="General">
                  <c:v>8.4609773887673185</c:v>
                </c:pt>
                <c:pt idx="12" formatCode="General">
                  <c:v>7.4232690935046435</c:v>
                </c:pt>
                <c:pt idx="13" formatCode="General">
                  <c:v>5.7262569832402335</c:v>
                </c:pt>
                <c:pt idx="14" formatCode="General">
                  <c:v>5.1912568306010911</c:v>
                </c:pt>
                <c:pt idx="15" formatCode="General">
                  <c:v>5.5144586415601964</c:v>
                </c:pt>
                <c:pt idx="16" formatCode="General">
                  <c:v>6.0465116279069662</c:v>
                </c:pt>
                <c:pt idx="17" formatCode="General">
                  <c:v>7.1334214002641829</c:v>
                </c:pt>
                <c:pt idx="18" formatCode="General">
                  <c:v>7.9870129870129887</c:v>
                </c:pt>
                <c:pt idx="19" formatCode="General">
                  <c:v>7.6481835564053569</c:v>
                </c:pt>
                <c:pt idx="20" formatCode="General">
                  <c:v>7.6441102756892292</c:v>
                </c:pt>
                <c:pt idx="21" formatCode="General">
                  <c:v>7.9531442663378584</c:v>
                </c:pt>
                <c:pt idx="22" formatCode="General">
                  <c:v>9.3205051112447421</c:v>
                </c:pt>
                <c:pt idx="23" formatCode="General">
                  <c:v>12.433392539964473</c:v>
                </c:pt>
              </c:numCache>
            </c:numRef>
          </c:val>
          <c:smooth val="0"/>
          <c:extLst>
            <c:ext xmlns:c16="http://schemas.microsoft.com/office/drawing/2014/chart" uri="{C3380CC4-5D6E-409C-BE32-E72D297353CC}">
              <c16:uniqueId val="{00000002-23E8-4983-B16F-39AC504A1C6A}"/>
            </c:ext>
          </c:extLst>
        </c:ser>
        <c:ser>
          <c:idx val="3"/>
          <c:order val="3"/>
          <c:tx>
            <c:strRef>
              <c:f>'Ceny 1'!$F$5</c:f>
              <c:strCache>
                <c:ptCount val="1"/>
                <c:pt idx="0">
                  <c:v>Catalogue prices of flats, Prague</c:v>
                </c:pt>
              </c:strCache>
            </c:strRef>
          </c:tx>
          <c:spPr>
            <a:ln>
              <a:solidFill>
                <a:schemeClr val="accent1"/>
              </a:solidFill>
            </a:ln>
          </c:spPr>
          <c:marker>
            <c:symbol val="none"/>
          </c:marker>
          <c:cat>
            <c:multiLvlStrRef>
              <c:f>'Ceny 1'!$A$22:$B$45</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2016</c:v>
                  </c:pt>
                  <c:pt idx="4">
                    <c:v>2017</c:v>
                  </c:pt>
                  <c:pt idx="8">
                    <c:v>2018</c:v>
                  </c:pt>
                  <c:pt idx="12">
                    <c:v>2019</c:v>
                  </c:pt>
                  <c:pt idx="16">
                    <c:v>2020</c:v>
                  </c:pt>
                  <c:pt idx="20">
                    <c:v>2021</c:v>
                  </c:pt>
                </c:lvl>
              </c:multiLvlStrCache>
            </c:multiLvlStrRef>
          </c:cat>
          <c:val>
            <c:numRef>
              <c:f>'Ceny 1'!$F$22:$F$45</c:f>
              <c:numCache>
                <c:formatCode>0.0</c:formatCode>
                <c:ptCount val="24"/>
                <c:pt idx="0">
                  <c:v>10.196779964221832</c:v>
                </c:pt>
                <c:pt idx="1">
                  <c:v>10.549258936355699</c:v>
                </c:pt>
                <c:pt idx="2">
                  <c:v>9.7706032285471451</c:v>
                </c:pt>
                <c:pt idx="3">
                  <c:v>11.323896752706062</c:v>
                </c:pt>
                <c:pt idx="4">
                  <c:v>13.636363636363626</c:v>
                </c:pt>
                <c:pt idx="5" formatCode="General">
                  <c:v>14.589905362776051</c:v>
                </c:pt>
                <c:pt idx="6" formatCode="General">
                  <c:v>18.266253869969049</c:v>
                </c:pt>
                <c:pt idx="7" formatCode="General">
                  <c:v>18.773373223635019</c:v>
                </c:pt>
                <c:pt idx="8" formatCode="General">
                  <c:v>15.071428571428555</c:v>
                </c:pt>
                <c:pt idx="9" formatCode="General">
                  <c:v>14.24638678596007</c:v>
                </c:pt>
                <c:pt idx="10" formatCode="General">
                  <c:v>10.732984293193695</c:v>
                </c:pt>
                <c:pt idx="11" formatCode="General">
                  <c:v>8.7531486146095574</c:v>
                </c:pt>
                <c:pt idx="12" formatCode="General">
                  <c:v>8.3178150217256359</c:v>
                </c:pt>
                <c:pt idx="13" formatCode="General">
                  <c:v>4.9397590361445651</c:v>
                </c:pt>
                <c:pt idx="14" formatCode="General">
                  <c:v>3.3096926713947994</c:v>
                </c:pt>
                <c:pt idx="15" formatCode="General">
                  <c:v>2.9530978575564575</c:v>
                </c:pt>
                <c:pt idx="16" formatCode="General">
                  <c:v>3.5530085959885298</c:v>
                </c:pt>
                <c:pt idx="17" formatCode="General">
                  <c:v>5.2812858783008068</c:v>
                </c:pt>
                <c:pt idx="18" formatCode="General">
                  <c:v>6.2356979405034281</c:v>
                </c:pt>
                <c:pt idx="19" formatCode="General">
                  <c:v>5.1743532058492718</c:v>
                </c:pt>
                <c:pt idx="20" formatCode="General">
                  <c:v>4.759269507470961</c:v>
                </c:pt>
                <c:pt idx="21" formatCode="General">
                  <c:v>4.5256270447110012</c:v>
                </c:pt>
                <c:pt idx="22" formatCode="General">
                  <c:v>6.2466343564889826</c:v>
                </c:pt>
                <c:pt idx="23" formatCode="General">
                  <c:v>9.1443850267379503</c:v>
                </c:pt>
              </c:numCache>
            </c:numRef>
          </c:val>
          <c:smooth val="0"/>
          <c:extLst>
            <c:ext xmlns:c16="http://schemas.microsoft.com/office/drawing/2014/chart" uri="{C3380CC4-5D6E-409C-BE32-E72D297353CC}">
              <c16:uniqueId val="{00000003-23E8-4983-B16F-39AC504A1C6A}"/>
            </c:ext>
          </c:extLst>
        </c:ser>
        <c:dLbls>
          <c:showLegendKey val="0"/>
          <c:showVal val="0"/>
          <c:showCatName val="0"/>
          <c:showSerName val="0"/>
          <c:showPercent val="0"/>
          <c:showBubbleSize val="0"/>
        </c:dLbls>
        <c:marker val="1"/>
        <c:smooth val="0"/>
        <c:axId val="130418560"/>
        <c:axId val="130420096"/>
      </c:lineChart>
      <c:catAx>
        <c:axId val="130418560"/>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30420096"/>
        <c:crosses val="autoZero"/>
        <c:auto val="1"/>
        <c:lblAlgn val="ctr"/>
        <c:lblOffset val="100"/>
        <c:noMultiLvlLbl val="0"/>
      </c:catAx>
      <c:valAx>
        <c:axId val="130420096"/>
        <c:scaling>
          <c:orientation val="minMax"/>
          <c:min val="-6"/>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30418560"/>
        <c:crosses val="autoZero"/>
        <c:crossBetween val="between"/>
        <c:majorUnit val="2"/>
      </c:valAx>
      <c:spPr>
        <a:ln>
          <a:solidFill>
            <a:schemeClr val="tx1"/>
          </a:solidFill>
        </a:ln>
      </c:spPr>
    </c:plotArea>
    <c:legend>
      <c:legendPos val="b"/>
      <c:layout>
        <c:manualLayout>
          <c:xMode val="edge"/>
          <c:yMode val="edge"/>
          <c:x val="4.6528021206651497E-2"/>
          <c:y val="0.88817854328492629"/>
          <c:w val="0.9267997314289258"/>
          <c:h val="9.8380614657210319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1707738197712412E-2"/>
          <c:y val="2.1811315924219993E-2"/>
          <c:w val="0.91875683435012978"/>
          <c:h val="0.71663233141956562"/>
        </c:manualLayout>
      </c:layout>
      <c:barChart>
        <c:barDir val="col"/>
        <c:grouping val="clustered"/>
        <c:varyColors val="0"/>
        <c:ser>
          <c:idx val="0"/>
          <c:order val="0"/>
          <c:tx>
            <c:strRef>
              <c:f>'Ceny 4'!$C$5</c:f>
              <c:strCache>
                <c:ptCount val="1"/>
                <c:pt idx="0">
                  <c:v>Total</c:v>
                </c:pt>
              </c:strCache>
            </c:strRef>
          </c:tx>
          <c:spPr>
            <a:solidFill>
              <a:schemeClr val="bg1">
                <a:lumMod val="65000"/>
              </a:schemeClr>
            </a:solidFill>
            <a:ln w="19050">
              <a:noFill/>
            </a:ln>
          </c:spPr>
          <c:invertIfNegative val="0"/>
          <c:cat>
            <c:multiLvlStrRef>
              <c:f>'Ceny 4'!$A$42:$B$113</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2016</c:v>
                  </c:pt>
                  <c:pt idx="12">
                    <c:v>2017</c:v>
                  </c:pt>
                  <c:pt idx="24">
                    <c:v>2018</c:v>
                  </c:pt>
                  <c:pt idx="36">
                    <c:v>2019</c:v>
                  </c:pt>
                  <c:pt idx="48">
                    <c:v>2020</c:v>
                  </c:pt>
                  <c:pt idx="60">
                    <c:v>2021</c:v>
                  </c:pt>
                </c:lvl>
              </c:multiLvlStrCache>
            </c:multiLvlStrRef>
          </c:cat>
          <c:val>
            <c:numRef>
              <c:f>'Ceny 4'!$C$42:$C$113</c:f>
              <c:numCache>
                <c:formatCode>0.0</c:formatCode>
                <c:ptCount val="72"/>
                <c:pt idx="0">
                  <c:v>-3.4000000000000057</c:v>
                </c:pt>
                <c:pt idx="1">
                  <c:v>-4</c:v>
                </c:pt>
                <c:pt idx="2">
                  <c:v>-4.5</c:v>
                </c:pt>
                <c:pt idx="3">
                  <c:v>-4.7000000000000028</c:v>
                </c:pt>
                <c:pt idx="4">
                  <c:v>-4.7999999999999972</c:v>
                </c:pt>
                <c:pt idx="5">
                  <c:v>-4.4000000000000057</c:v>
                </c:pt>
                <c:pt idx="6">
                  <c:v>-4</c:v>
                </c:pt>
                <c:pt idx="7">
                  <c:v>-3.4000000000000057</c:v>
                </c:pt>
                <c:pt idx="8">
                  <c:v>-2.4000000000000057</c:v>
                </c:pt>
                <c:pt idx="9">
                  <c:v>-1.7000000000000028</c:v>
                </c:pt>
                <c:pt idx="10">
                  <c:v>-1.2999999999999972</c:v>
                </c:pt>
                <c:pt idx="11">
                  <c:v>-0.40000000000000568</c:v>
                </c:pt>
                <c:pt idx="12" formatCode="General">
                  <c:v>2.0999999999999943</c:v>
                </c:pt>
                <c:pt idx="13" formatCode="General">
                  <c:v>3.0999999999999943</c:v>
                </c:pt>
                <c:pt idx="14">
                  <c:v>3</c:v>
                </c:pt>
                <c:pt idx="15">
                  <c:v>3.2000000000000028</c:v>
                </c:pt>
                <c:pt idx="16" formatCode="General">
                  <c:v>2.2999999999999972</c:v>
                </c:pt>
                <c:pt idx="17" formatCode="General">
                  <c:v>1.2999999999999972</c:v>
                </c:pt>
                <c:pt idx="18" formatCode="General">
                  <c:v>1.1000000000000001</c:v>
                </c:pt>
                <c:pt idx="19" formatCode="General">
                  <c:v>1.4</c:v>
                </c:pt>
                <c:pt idx="20" formatCode="General">
                  <c:v>1.7</c:v>
                </c:pt>
                <c:pt idx="21" formatCode="General">
                  <c:v>1.1000000000000001</c:v>
                </c:pt>
                <c:pt idx="22" formatCode="General">
                  <c:v>0.9</c:v>
                </c:pt>
                <c:pt idx="23" formatCode="General">
                  <c:v>0.7</c:v>
                </c:pt>
                <c:pt idx="24" formatCode="General">
                  <c:v>0.5</c:v>
                </c:pt>
                <c:pt idx="25" formatCode="General">
                  <c:v>-0.3</c:v>
                </c:pt>
                <c:pt idx="26" formatCode="General">
                  <c:v>0.1</c:v>
                </c:pt>
                <c:pt idx="27" formatCode="General">
                  <c:v>0</c:v>
                </c:pt>
                <c:pt idx="28" formatCode="General">
                  <c:v>1.5</c:v>
                </c:pt>
                <c:pt idx="29" formatCode="General">
                  <c:v>2.9</c:v>
                </c:pt>
                <c:pt idx="30" formatCode="General">
                  <c:v>3.4</c:v>
                </c:pt>
                <c:pt idx="31" formatCode="General">
                  <c:v>3.3</c:v>
                </c:pt>
                <c:pt idx="32" formatCode="General">
                  <c:v>3.2</c:v>
                </c:pt>
                <c:pt idx="33" formatCode="General">
                  <c:v>3.9</c:v>
                </c:pt>
                <c:pt idx="34" formatCode="General">
                  <c:v>3.9</c:v>
                </c:pt>
                <c:pt idx="35" formatCode="General">
                  <c:v>2.4</c:v>
                </c:pt>
                <c:pt idx="36" formatCode="General">
                  <c:v>2.9</c:v>
                </c:pt>
                <c:pt idx="37" formatCode="General">
                  <c:v>3.6</c:v>
                </c:pt>
                <c:pt idx="38" formatCode="General">
                  <c:v>3.8</c:v>
                </c:pt>
                <c:pt idx="39" formatCode="General">
                  <c:v>4.3</c:v>
                </c:pt>
                <c:pt idx="40" formatCode="General">
                  <c:v>3.8</c:v>
                </c:pt>
                <c:pt idx="41" formatCode="General">
                  <c:v>2.5</c:v>
                </c:pt>
                <c:pt idx="42" formatCode="General">
                  <c:v>2.1</c:v>
                </c:pt>
                <c:pt idx="43" formatCode="General">
                  <c:v>2.1</c:v>
                </c:pt>
                <c:pt idx="44" formatCode="General">
                  <c:v>1.9</c:v>
                </c:pt>
                <c:pt idx="45" formatCode="General">
                  <c:v>0.9</c:v>
                </c:pt>
                <c:pt idx="46" formatCode="General">
                  <c:v>0.9</c:v>
                </c:pt>
                <c:pt idx="47" formatCode="General">
                  <c:v>2.1</c:v>
                </c:pt>
                <c:pt idx="48" formatCode="General">
                  <c:v>2.4</c:v>
                </c:pt>
                <c:pt idx="49" formatCode="General">
                  <c:v>1.4</c:v>
                </c:pt>
                <c:pt idx="50" formatCode="General">
                  <c:v>0.4</c:v>
                </c:pt>
                <c:pt idx="51" formatCode="General">
                  <c:v>-0.8</c:v>
                </c:pt>
                <c:pt idx="52" formatCode="General">
                  <c:v>-0.9</c:v>
                </c:pt>
                <c:pt idx="53" formatCode="General">
                  <c:v>-0.3</c:v>
                </c:pt>
                <c:pt idx="54" formatCode="General">
                  <c:v>-0.1</c:v>
                </c:pt>
                <c:pt idx="55" formatCode="General">
                  <c:v>-0.5</c:v>
                </c:pt>
                <c:pt idx="56" formatCode="General">
                  <c:v>-0.4</c:v>
                </c:pt>
                <c:pt idx="57" formatCode="General">
                  <c:v>0.3</c:v>
                </c:pt>
                <c:pt idx="58" formatCode="General">
                  <c:v>-0.1</c:v>
                </c:pt>
                <c:pt idx="59" formatCode="General">
                  <c:v>0</c:v>
                </c:pt>
                <c:pt idx="60" formatCode="General">
                  <c:v>0</c:v>
                </c:pt>
                <c:pt idx="61" formatCode="General">
                  <c:v>1.4</c:v>
                </c:pt>
                <c:pt idx="62" formatCode="General">
                  <c:v>3.3</c:v>
                </c:pt>
                <c:pt idx="63" formatCode="General">
                  <c:v>4.5999999999999996</c:v>
                </c:pt>
                <c:pt idx="64" formatCode="General">
                  <c:v>5.0999999999999996</c:v>
                </c:pt>
                <c:pt idx="65" formatCode="General">
                  <c:v>6.1</c:v>
                </c:pt>
                <c:pt idx="66" formatCode="General">
                  <c:v>7.8</c:v>
                </c:pt>
                <c:pt idx="67" formatCode="General">
                  <c:v>9.3000000000000007</c:v>
                </c:pt>
                <c:pt idx="68" formatCode="General">
                  <c:v>9.9</c:v>
                </c:pt>
                <c:pt idx="69" formatCode="General">
                  <c:v>11.6</c:v>
                </c:pt>
                <c:pt idx="70" formatCode="General">
                  <c:v>13.5</c:v>
                </c:pt>
                <c:pt idx="71" formatCode="General">
                  <c:v>13.2</c:v>
                </c:pt>
              </c:numCache>
            </c:numRef>
          </c:val>
          <c:extLst>
            <c:ext xmlns:c16="http://schemas.microsoft.com/office/drawing/2014/chart" uri="{C3380CC4-5D6E-409C-BE32-E72D297353CC}">
              <c16:uniqueId val="{00000000-1970-48C2-9B3D-D890D8F90E50}"/>
            </c:ext>
          </c:extLst>
        </c:ser>
        <c:dLbls>
          <c:showLegendKey val="0"/>
          <c:showVal val="0"/>
          <c:showCatName val="0"/>
          <c:showSerName val="0"/>
          <c:showPercent val="0"/>
          <c:showBubbleSize val="0"/>
        </c:dLbls>
        <c:gapWidth val="96"/>
        <c:axId val="119381376"/>
        <c:axId val="130745472"/>
      </c:barChart>
      <c:lineChart>
        <c:grouping val="standard"/>
        <c:varyColors val="0"/>
        <c:ser>
          <c:idx val="1"/>
          <c:order val="1"/>
          <c:tx>
            <c:strRef>
              <c:f>'Ceny 4'!$D$5</c:f>
              <c:strCache>
                <c:ptCount val="1"/>
                <c:pt idx="0">
                  <c:v>Mining and quarrying,</c:v>
                </c:pt>
              </c:strCache>
            </c:strRef>
          </c:tx>
          <c:spPr>
            <a:ln w="19050">
              <a:solidFill>
                <a:srgbClr val="7DBB2D"/>
              </a:solidFill>
            </a:ln>
          </c:spPr>
          <c:marker>
            <c:symbol val="none"/>
          </c:marker>
          <c:cat>
            <c:multiLvlStrRef>
              <c:f>'Ceny 4'!$A$42:$B$113</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2016</c:v>
                  </c:pt>
                  <c:pt idx="12">
                    <c:v>2017</c:v>
                  </c:pt>
                  <c:pt idx="24">
                    <c:v>2018</c:v>
                  </c:pt>
                  <c:pt idx="36">
                    <c:v>2019</c:v>
                  </c:pt>
                  <c:pt idx="48">
                    <c:v>2020</c:v>
                  </c:pt>
                  <c:pt idx="60">
                    <c:v>2021</c:v>
                  </c:pt>
                </c:lvl>
              </c:multiLvlStrCache>
            </c:multiLvlStrRef>
          </c:cat>
          <c:val>
            <c:numRef>
              <c:f>'Ceny 4'!$D$42:$D$113</c:f>
              <c:numCache>
                <c:formatCode>0.0</c:formatCode>
                <c:ptCount val="72"/>
                <c:pt idx="0">
                  <c:v>-6.5999999999999943</c:v>
                </c:pt>
                <c:pt idx="1">
                  <c:v>-6.0999999999999943</c:v>
                </c:pt>
                <c:pt idx="2">
                  <c:v>-6.5</c:v>
                </c:pt>
                <c:pt idx="3">
                  <c:v>-7</c:v>
                </c:pt>
                <c:pt idx="4">
                  <c:v>-7.0999999999999943</c:v>
                </c:pt>
                <c:pt idx="5">
                  <c:v>-7.2999999999999972</c:v>
                </c:pt>
                <c:pt idx="6">
                  <c:v>-6.5999999999999943</c:v>
                </c:pt>
                <c:pt idx="7">
                  <c:v>-6</c:v>
                </c:pt>
                <c:pt idx="8">
                  <c:v>-4.9000000000000057</c:v>
                </c:pt>
                <c:pt idx="9">
                  <c:v>-5.2000000000000028</c:v>
                </c:pt>
                <c:pt idx="10">
                  <c:v>-5.2999999999999972</c:v>
                </c:pt>
                <c:pt idx="11">
                  <c:v>-5.0999999999999943</c:v>
                </c:pt>
                <c:pt idx="12" formatCode="General">
                  <c:v>2.2999999999999972</c:v>
                </c:pt>
                <c:pt idx="13" formatCode="General">
                  <c:v>5.7999999999999972</c:v>
                </c:pt>
                <c:pt idx="14">
                  <c:v>6.2000000000000028</c:v>
                </c:pt>
                <c:pt idx="15">
                  <c:v>6.4000000000000057</c:v>
                </c:pt>
                <c:pt idx="16" formatCode="General">
                  <c:v>4.2999999999999972</c:v>
                </c:pt>
                <c:pt idx="17" formatCode="General">
                  <c:v>4.0999999999999943</c:v>
                </c:pt>
                <c:pt idx="18" formatCode="General">
                  <c:v>2.9</c:v>
                </c:pt>
                <c:pt idx="19" formatCode="General">
                  <c:v>1.7</c:v>
                </c:pt>
                <c:pt idx="20" formatCode="General">
                  <c:v>1.9</c:v>
                </c:pt>
                <c:pt idx="21" formatCode="General">
                  <c:v>3.4</c:v>
                </c:pt>
                <c:pt idx="22" formatCode="General">
                  <c:v>3.3</c:v>
                </c:pt>
                <c:pt idx="23" formatCode="General">
                  <c:v>3.6</c:v>
                </c:pt>
                <c:pt idx="24" formatCode="General">
                  <c:v>6.7</c:v>
                </c:pt>
                <c:pt idx="25" formatCode="General">
                  <c:v>5</c:v>
                </c:pt>
                <c:pt idx="26" formatCode="General">
                  <c:v>4.3</c:v>
                </c:pt>
                <c:pt idx="27" formatCode="General">
                  <c:v>4.5999999999999996</c:v>
                </c:pt>
                <c:pt idx="28" formatCode="General">
                  <c:v>7.4</c:v>
                </c:pt>
                <c:pt idx="29" formatCode="General">
                  <c:v>8</c:v>
                </c:pt>
                <c:pt idx="30" formatCode="General">
                  <c:v>8.4</c:v>
                </c:pt>
                <c:pt idx="31" formatCode="General">
                  <c:v>10.1</c:v>
                </c:pt>
                <c:pt idx="32" formatCode="General">
                  <c:v>9.9</c:v>
                </c:pt>
                <c:pt idx="33" formatCode="General">
                  <c:v>9</c:v>
                </c:pt>
                <c:pt idx="34" formatCode="General">
                  <c:v>9.1999999999999993</c:v>
                </c:pt>
                <c:pt idx="35" formatCode="General">
                  <c:v>8.3000000000000007</c:v>
                </c:pt>
                <c:pt idx="36" formatCode="General">
                  <c:v>7.9</c:v>
                </c:pt>
                <c:pt idx="37" formatCode="General">
                  <c:v>7.4</c:v>
                </c:pt>
                <c:pt idx="38" formatCode="General">
                  <c:v>8</c:v>
                </c:pt>
                <c:pt idx="39" formatCode="General">
                  <c:v>8.4</c:v>
                </c:pt>
                <c:pt idx="40" formatCode="General">
                  <c:v>7.5</c:v>
                </c:pt>
                <c:pt idx="41" formatCode="General">
                  <c:v>7.1</c:v>
                </c:pt>
                <c:pt idx="42" formatCode="General">
                  <c:v>6.9</c:v>
                </c:pt>
                <c:pt idx="43" formatCode="General">
                  <c:v>6.8</c:v>
                </c:pt>
                <c:pt idx="44" formatCode="General">
                  <c:v>6.6</c:v>
                </c:pt>
                <c:pt idx="45" formatCode="General">
                  <c:v>3.6</c:v>
                </c:pt>
                <c:pt idx="46" formatCode="General">
                  <c:v>3.2</c:v>
                </c:pt>
                <c:pt idx="47" formatCode="General">
                  <c:v>4.3</c:v>
                </c:pt>
                <c:pt idx="48" formatCode="General">
                  <c:v>-2.1</c:v>
                </c:pt>
                <c:pt idx="49" formatCode="General">
                  <c:v>-1.8</c:v>
                </c:pt>
                <c:pt idx="50" formatCode="General">
                  <c:v>-2.6</c:v>
                </c:pt>
                <c:pt idx="51" formatCode="General">
                  <c:v>-3.7</c:v>
                </c:pt>
                <c:pt idx="52" formatCode="General">
                  <c:v>-3.1</c:v>
                </c:pt>
                <c:pt idx="53" formatCode="General">
                  <c:v>-3.6</c:v>
                </c:pt>
                <c:pt idx="54" formatCode="General">
                  <c:v>-3.5</c:v>
                </c:pt>
                <c:pt idx="55" formatCode="General">
                  <c:v>-3.5</c:v>
                </c:pt>
                <c:pt idx="56" formatCode="General">
                  <c:v>-3.7</c:v>
                </c:pt>
                <c:pt idx="57" formatCode="General">
                  <c:v>-1.9</c:v>
                </c:pt>
                <c:pt idx="58" formatCode="General">
                  <c:v>-1.8</c:v>
                </c:pt>
                <c:pt idx="59" formatCode="General">
                  <c:v>-2.2000000000000002</c:v>
                </c:pt>
                <c:pt idx="60" formatCode="General">
                  <c:v>-0.3</c:v>
                </c:pt>
                <c:pt idx="61" formatCode="General">
                  <c:v>-0.8</c:v>
                </c:pt>
                <c:pt idx="62" formatCode="General">
                  <c:v>-0.3</c:v>
                </c:pt>
                <c:pt idx="63" formatCode="General">
                  <c:v>1</c:v>
                </c:pt>
                <c:pt idx="64" formatCode="General">
                  <c:v>0.3</c:v>
                </c:pt>
                <c:pt idx="65" formatCode="General">
                  <c:v>1.1000000000000001</c:v>
                </c:pt>
                <c:pt idx="66" formatCode="General">
                  <c:v>2</c:v>
                </c:pt>
                <c:pt idx="67" formatCode="General">
                  <c:v>3.6</c:v>
                </c:pt>
                <c:pt idx="68" formatCode="General">
                  <c:v>4.3</c:v>
                </c:pt>
                <c:pt idx="69" formatCode="General">
                  <c:v>12.7</c:v>
                </c:pt>
                <c:pt idx="70" formatCode="General">
                  <c:v>14</c:v>
                </c:pt>
                <c:pt idx="71" formatCode="General">
                  <c:v>14.6</c:v>
                </c:pt>
              </c:numCache>
            </c:numRef>
          </c:val>
          <c:smooth val="0"/>
          <c:extLst>
            <c:ext xmlns:c16="http://schemas.microsoft.com/office/drawing/2014/chart" uri="{C3380CC4-5D6E-409C-BE32-E72D297353CC}">
              <c16:uniqueId val="{00000001-1970-48C2-9B3D-D890D8F90E50}"/>
            </c:ext>
          </c:extLst>
        </c:ser>
        <c:ser>
          <c:idx val="2"/>
          <c:order val="2"/>
          <c:tx>
            <c:strRef>
              <c:f>'Ceny 4'!$E$5</c:f>
              <c:strCache>
                <c:ptCount val="1"/>
                <c:pt idx="0">
                  <c:v>Manufacturing</c:v>
                </c:pt>
              </c:strCache>
            </c:strRef>
          </c:tx>
          <c:spPr>
            <a:ln w="19050">
              <a:solidFill>
                <a:srgbClr val="BD1B21"/>
              </a:solidFill>
            </a:ln>
          </c:spPr>
          <c:marker>
            <c:symbol val="none"/>
          </c:marker>
          <c:cat>
            <c:multiLvlStrRef>
              <c:f>'Ceny 4'!$A$42:$B$113</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2016</c:v>
                  </c:pt>
                  <c:pt idx="12">
                    <c:v>2017</c:v>
                  </c:pt>
                  <c:pt idx="24">
                    <c:v>2018</c:v>
                  </c:pt>
                  <c:pt idx="36">
                    <c:v>2019</c:v>
                  </c:pt>
                  <c:pt idx="48">
                    <c:v>2020</c:v>
                  </c:pt>
                  <c:pt idx="60">
                    <c:v>2021</c:v>
                  </c:pt>
                </c:lvl>
              </c:multiLvlStrCache>
            </c:multiLvlStrRef>
          </c:cat>
          <c:val>
            <c:numRef>
              <c:f>'Ceny 4'!$E$42:$E$113</c:f>
              <c:numCache>
                <c:formatCode>0.0</c:formatCode>
                <c:ptCount val="72"/>
                <c:pt idx="0">
                  <c:v>-3.2999999999999972</c:v>
                </c:pt>
                <c:pt idx="1">
                  <c:v>-4.0999999999999943</c:v>
                </c:pt>
                <c:pt idx="2">
                  <c:v>-4.5999999999999943</c:v>
                </c:pt>
                <c:pt idx="3">
                  <c:v>-4.9000000000000057</c:v>
                </c:pt>
                <c:pt idx="4">
                  <c:v>-5</c:v>
                </c:pt>
                <c:pt idx="5">
                  <c:v>-4.5</c:v>
                </c:pt>
                <c:pt idx="6">
                  <c:v>-4</c:v>
                </c:pt>
                <c:pt idx="7">
                  <c:v>-3.2000000000000028</c:v>
                </c:pt>
                <c:pt idx="8">
                  <c:v>-2</c:v>
                </c:pt>
                <c:pt idx="9">
                  <c:v>-1.0999999999999943</c:v>
                </c:pt>
                <c:pt idx="10">
                  <c:v>-0.59999999999999432</c:v>
                </c:pt>
                <c:pt idx="11">
                  <c:v>0.59999999999999432</c:v>
                </c:pt>
                <c:pt idx="12" formatCode="General">
                  <c:v>2.5999999999999943</c:v>
                </c:pt>
                <c:pt idx="13" formatCode="General">
                  <c:v>4</c:v>
                </c:pt>
                <c:pt idx="14">
                  <c:v>3.7999999999999972</c:v>
                </c:pt>
                <c:pt idx="15">
                  <c:v>4</c:v>
                </c:pt>
                <c:pt idx="16" formatCode="General">
                  <c:v>2.7999999999999972</c:v>
                </c:pt>
                <c:pt idx="17" formatCode="General">
                  <c:v>1.5</c:v>
                </c:pt>
                <c:pt idx="18" formatCode="General">
                  <c:v>1.4</c:v>
                </c:pt>
                <c:pt idx="19" formatCode="General">
                  <c:v>2</c:v>
                </c:pt>
                <c:pt idx="20" formatCode="General">
                  <c:v>2.1</c:v>
                </c:pt>
                <c:pt idx="21" formatCode="General">
                  <c:v>1.4</c:v>
                </c:pt>
                <c:pt idx="22" formatCode="General">
                  <c:v>1.1000000000000001</c:v>
                </c:pt>
                <c:pt idx="23" formatCode="General">
                  <c:v>0.9</c:v>
                </c:pt>
                <c:pt idx="24" formatCode="General">
                  <c:v>0.2</c:v>
                </c:pt>
                <c:pt idx="25" formatCode="General">
                  <c:v>-0.9</c:v>
                </c:pt>
                <c:pt idx="26" formatCode="General">
                  <c:v>-0.5</c:v>
                </c:pt>
                <c:pt idx="27" formatCode="General">
                  <c:v>-0.5</c:v>
                </c:pt>
                <c:pt idx="28" formatCode="General">
                  <c:v>1.3</c:v>
                </c:pt>
                <c:pt idx="29" formatCode="General">
                  <c:v>2.8</c:v>
                </c:pt>
                <c:pt idx="30" formatCode="General">
                  <c:v>3.4</c:v>
                </c:pt>
                <c:pt idx="31" formatCode="General">
                  <c:v>3.2</c:v>
                </c:pt>
                <c:pt idx="32" formatCode="General">
                  <c:v>3</c:v>
                </c:pt>
                <c:pt idx="33" formatCode="General">
                  <c:v>3.8</c:v>
                </c:pt>
                <c:pt idx="34" formatCode="General">
                  <c:v>3.9</c:v>
                </c:pt>
                <c:pt idx="35" formatCode="General">
                  <c:v>2.2000000000000002</c:v>
                </c:pt>
                <c:pt idx="36" formatCode="General">
                  <c:v>1.9</c:v>
                </c:pt>
                <c:pt idx="37" formatCode="General">
                  <c:v>2.9</c:v>
                </c:pt>
                <c:pt idx="38" formatCode="General">
                  <c:v>3</c:v>
                </c:pt>
                <c:pt idx="39" formatCode="General">
                  <c:v>3.5</c:v>
                </c:pt>
                <c:pt idx="40" formatCode="General">
                  <c:v>2.9</c:v>
                </c:pt>
                <c:pt idx="41" formatCode="General">
                  <c:v>1.4</c:v>
                </c:pt>
                <c:pt idx="42" formatCode="General">
                  <c:v>0.9</c:v>
                </c:pt>
                <c:pt idx="43" formatCode="General">
                  <c:v>0.8</c:v>
                </c:pt>
                <c:pt idx="44" formatCode="General">
                  <c:v>0.7</c:v>
                </c:pt>
                <c:pt idx="45" formatCode="General">
                  <c:v>-0.4</c:v>
                </c:pt>
                <c:pt idx="46" formatCode="General">
                  <c:v>-0.7</c:v>
                </c:pt>
                <c:pt idx="47" formatCode="General">
                  <c:v>0.8</c:v>
                </c:pt>
                <c:pt idx="48" formatCode="General">
                  <c:v>1.2</c:v>
                </c:pt>
                <c:pt idx="49" formatCode="General">
                  <c:v>-0.1</c:v>
                </c:pt>
                <c:pt idx="50" formatCode="General">
                  <c:v>-1.2</c:v>
                </c:pt>
                <c:pt idx="51" formatCode="General">
                  <c:v>-2.5</c:v>
                </c:pt>
                <c:pt idx="52" formatCode="General">
                  <c:v>-2.6</c:v>
                </c:pt>
                <c:pt idx="53" formatCode="General">
                  <c:v>-1.9</c:v>
                </c:pt>
                <c:pt idx="54" formatCode="General">
                  <c:v>-1.6</c:v>
                </c:pt>
                <c:pt idx="55" formatCode="General">
                  <c:v>-2</c:v>
                </c:pt>
                <c:pt idx="56" formatCode="General">
                  <c:v>-1.9</c:v>
                </c:pt>
                <c:pt idx="57" formatCode="General">
                  <c:v>-1.1000000000000001</c:v>
                </c:pt>
                <c:pt idx="58" formatCode="General">
                  <c:v>-1.4</c:v>
                </c:pt>
                <c:pt idx="59" formatCode="General">
                  <c:v>-1.2</c:v>
                </c:pt>
                <c:pt idx="60" formatCode="General">
                  <c:v>-0.3</c:v>
                </c:pt>
                <c:pt idx="61" formatCode="General">
                  <c:v>1.6</c:v>
                </c:pt>
                <c:pt idx="62" formatCode="General">
                  <c:v>4.0999999999999996</c:v>
                </c:pt>
                <c:pt idx="63" formatCode="General">
                  <c:v>5.6</c:v>
                </c:pt>
                <c:pt idx="64" formatCode="General">
                  <c:v>6.3</c:v>
                </c:pt>
                <c:pt idx="65" formatCode="General">
                  <c:v>7.4</c:v>
                </c:pt>
                <c:pt idx="66" formatCode="General">
                  <c:v>9.5</c:v>
                </c:pt>
                <c:pt idx="67" formatCode="General">
                  <c:v>11.4</c:v>
                </c:pt>
                <c:pt idx="68" formatCode="General">
                  <c:v>12</c:v>
                </c:pt>
                <c:pt idx="69" formatCode="General">
                  <c:v>13.4</c:v>
                </c:pt>
                <c:pt idx="70" formatCode="General">
                  <c:v>15.4</c:v>
                </c:pt>
                <c:pt idx="71" formatCode="General">
                  <c:v>14.7</c:v>
                </c:pt>
              </c:numCache>
            </c:numRef>
          </c:val>
          <c:smooth val="0"/>
          <c:extLst>
            <c:ext xmlns:c16="http://schemas.microsoft.com/office/drawing/2014/chart" uri="{C3380CC4-5D6E-409C-BE32-E72D297353CC}">
              <c16:uniqueId val="{00000002-1970-48C2-9B3D-D890D8F90E50}"/>
            </c:ext>
          </c:extLst>
        </c:ser>
        <c:ser>
          <c:idx val="3"/>
          <c:order val="3"/>
          <c:tx>
            <c:strRef>
              <c:f>'Ceny 4'!$F$5</c:f>
              <c:strCache>
                <c:ptCount val="1"/>
                <c:pt idx="0">
                  <c:v>Electricity, gas, steam and air conditioning supply</c:v>
                </c:pt>
              </c:strCache>
            </c:strRef>
          </c:tx>
          <c:spPr>
            <a:ln w="19050">
              <a:solidFill>
                <a:srgbClr val="F8A124"/>
              </a:solidFill>
            </a:ln>
          </c:spPr>
          <c:marker>
            <c:symbol val="none"/>
          </c:marker>
          <c:cat>
            <c:multiLvlStrRef>
              <c:f>'Ceny 4'!$A$42:$B$113</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2016</c:v>
                  </c:pt>
                  <c:pt idx="12">
                    <c:v>2017</c:v>
                  </c:pt>
                  <c:pt idx="24">
                    <c:v>2018</c:v>
                  </c:pt>
                  <c:pt idx="36">
                    <c:v>2019</c:v>
                  </c:pt>
                  <c:pt idx="48">
                    <c:v>2020</c:v>
                  </c:pt>
                  <c:pt idx="60">
                    <c:v>2021</c:v>
                  </c:pt>
                </c:lvl>
              </c:multiLvlStrCache>
            </c:multiLvlStrRef>
          </c:cat>
          <c:val>
            <c:numRef>
              <c:f>'Ceny 4'!$F$42:$F$113</c:f>
              <c:numCache>
                <c:formatCode>0.0</c:formatCode>
                <c:ptCount val="72"/>
                <c:pt idx="0">
                  <c:v>-4</c:v>
                </c:pt>
                <c:pt idx="1">
                  <c:v>-4.0999999999999943</c:v>
                </c:pt>
                <c:pt idx="2">
                  <c:v>-4.0999999999999943</c:v>
                </c:pt>
                <c:pt idx="3">
                  <c:v>-4</c:v>
                </c:pt>
                <c:pt idx="4">
                  <c:v>-4</c:v>
                </c:pt>
                <c:pt idx="5">
                  <c:v>-4.0999999999999943</c:v>
                </c:pt>
                <c:pt idx="6">
                  <c:v>-4</c:v>
                </c:pt>
                <c:pt idx="7">
                  <c:v>-4</c:v>
                </c:pt>
                <c:pt idx="8">
                  <c:v>-4.0999999999999943</c:v>
                </c:pt>
                <c:pt idx="9">
                  <c:v>-4.0999999999999943</c:v>
                </c:pt>
                <c:pt idx="10">
                  <c:v>-4.0999999999999943</c:v>
                </c:pt>
                <c:pt idx="11">
                  <c:v>-4.0999999999999943</c:v>
                </c:pt>
                <c:pt idx="12" formatCode="General">
                  <c:v>-1.0999999999999943</c:v>
                </c:pt>
                <c:pt idx="13" formatCode="General">
                  <c:v>-1.2000000000000028</c:v>
                </c:pt>
                <c:pt idx="14">
                  <c:v>-1.2000000000000028</c:v>
                </c:pt>
                <c:pt idx="15">
                  <c:v>-1.4000000000000057</c:v>
                </c:pt>
                <c:pt idx="16" formatCode="General">
                  <c:v>-1.2999999999999972</c:v>
                </c:pt>
                <c:pt idx="17" formatCode="General">
                  <c:v>-1.0999999999999943</c:v>
                </c:pt>
                <c:pt idx="18" formatCode="General">
                  <c:v>-1.1000000000000001</c:v>
                </c:pt>
                <c:pt idx="19" formatCode="General">
                  <c:v>-1.3</c:v>
                </c:pt>
                <c:pt idx="20" formatCode="General">
                  <c:v>-1.1000000000000001</c:v>
                </c:pt>
                <c:pt idx="21" formatCode="General">
                  <c:v>-1.1000000000000001</c:v>
                </c:pt>
                <c:pt idx="22" formatCode="General">
                  <c:v>-1.1000000000000001</c:v>
                </c:pt>
                <c:pt idx="23" formatCode="General">
                  <c:v>-1.1000000000000001</c:v>
                </c:pt>
                <c:pt idx="24" formatCode="General">
                  <c:v>1.5</c:v>
                </c:pt>
                <c:pt idx="25" formatCode="General">
                  <c:v>1.6</c:v>
                </c:pt>
                <c:pt idx="26" formatCode="General">
                  <c:v>1.6</c:v>
                </c:pt>
                <c:pt idx="27" formatCode="General">
                  <c:v>1.7</c:v>
                </c:pt>
                <c:pt idx="28" formatCode="General">
                  <c:v>1.7</c:v>
                </c:pt>
                <c:pt idx="29" formatCode="General">
                  <c:v>2.2999999999999998</c:v>
                </c:pt>
                <c:pt idx="30" formatCode="General">
                  <c:v>2.2999999999999998</c:v>
                </c:pt>
                <c:pt idx="31" formatCode="General">
                  <c:v>2.6</c:v>
                </c:pt>
                <c:pt idx="32" formatCode="General">
                  <c:v>2.7</c:v>
                </c:pt>
                <c:pt idx="33" formatCode="General">
                  <c:v>2.8</c:v>
                </c:pt>
                <c:pt idx="34" formatCode="General">
                  <c:v>2.8</c:v>
                </c:pt>
                <c:pt idx="35" formatCode="General">
                  <c:v>2.8</c:v>
                </c:pt>
                <c:pt idx="36" formatCode="General">
                  <c:v>7.2</c:v>
                </c:pt>
                <c:pt idx="37" formatCode="General">
                  <c:v>7.5</c:v>
                </c:pt>
                <c:pt idx="38" formatCode="General">
                  <c:v>8.4</c:v>
                </c:pt>
                <c:pt idx="39" formatCode="General">
                  <c:v>8.1999999999999993</c:v>
                </c:pt>
                <c:pt idx="40" formatCode="General">
                  <c:v>8.6</c:v>
                </c:pt>
                <c:pt idx="41" formatCode="General">
                  <c:v>7.9</c:v>
                </c:pt>
                <c:pt idx="42" formatCode="General">
                  <c:v>8</c:v>
                </c:pt>
                <c:pt idx="43" formatCode="General">
                  <c:v>7.7</c:v>
                </c:pt>
                <c:pt idx="44" formatCode="General">
                  <c:v>7.7</c:v>
                </c:pt>
                <c:pt idx="45" formatCode="General">
                  <c:v>7.5</c:v>
                </c:pt>
                <c:pt idx="46" formatCode="General">
                  <c:v>8.6999999999999993</c:v>
                </c:pt>
                <c:pt idx="47" formatCode="General">
                  <c:v>8.8000000000000007</c:v>
                </c:pt>
                <c:pt idx="48" formatCode="General">
                  <c:v>9.3000000000000007</c:v>
                </c:pt>
                <c:pt idx="49" formatCode="General">
                  <c:v>9</c:v>
                </c:pt>
                <c:pt idx="50" formatCode="General">
                  <c:v>8.3000000000000007</c:v>
                </c:pt>
                <c:pt idx="51" formatCode="General">
                  <c:v>8.6</c:v>
                </c:pt>
                <c:pt idx="52" formatCode="General">
                  <c:v>8</c:v>
                </c:pt>
                <c:pt idx="53" formatCode="General">
                  <c:v>8</c:v>
                </c:pt>
                <c:pt idx="54" formatCode="General">
                  <c:v>7.7</c:v>
                </c:pt>
                <c:pt idx="55" formatCode="General">
                  <c:v>7.9</c:v>
                </c:pt>
                <c:pt idx="56" formatCode="General">
                  <c:v>7.7</c:v>
                </c:pt>
                <c:pt idx="57" formatCode="General">
                  <c:v>7</c:v>
                </c:pt>
                <c:pt idx="58" formatCode="General">
                  <c:v>5.8</c:v>
                </c:pt>
                <c:pt idx="59" formatCode="General">
                  <c:v>5.6</c:v>
                </c:pt>
                <c:pt idx="60" formatCode="General">
                  <c:v>0.4</c:v>
                </c:pt>
                <c:pt idx="61" formatCode="General">
                  <c:v>0.4</c:v>
                </c:pt>
                <c:pt idx="62" formatCode="General">
                  <c:v>0.1</c:v>
                </c:pt>
                <c:pt idx="63" formatCode="General">
                  <c:v>-0.1</c:v>
                </c:pt>
                <c:pt idx="64" formatCode="General">
                  <c:v>0.2</c:v>
                </c:pt>
                <c:pt idx="65" formatCode="General">
                  <c:v>0.2</c:v>
                </c:pt>
                <c:pt idx="66" formatCode="General">
                  <c:v>0.5</c:v>
                </c:pt>
                <c:pt idx="67" formatCode="General">
                  <c:v>0.7</c:v>
                </c:pt>
                <c:pt idx="68" formatCode="General">
                  <c:v>1.2</c:v>
                </c:pt>
                <c:pt idx="69" formatCode="General">
                  <c:v>3.7</c:v>
                </c:pt>
                <c:pt idx="70" formatCode="General">
                  <c:v>5.6</c:v>
                </c:pt>
                <c:pt idx="71" formatCode="General">
                  <c:v>7.1</c:v>
                </c:pt>
              </c:numCache>
            </c:numRef>
          </c:val>
          <c:smooth val="0"/>
          <c:extLst>
            <c:ext xmlns:c16="http://schemas.microsoft.com/office/drawing/2014/chart" uri="{C3380CC4-5D6E-409C-BE32-E72D297353CC}">
              <c16:uniqueId val="{00000003-1970-48C2-9B3D-D890D8F90E50}"/>
            </c:ext>
          </c:extLst>
        </c:ser>
        <c:ser>
          <c:idx val="4"/>
          <c:order val="4"/>
          <c:tx>
            <c:strRef>
              <c:f>'Ceny 4'!$G$5</c:f>
              <c:strCache>
                <c:ptCount val="1"/>
                <c:pt idx="0">
                  <c:v>Water supply, sewerage</c:v>
                </c:pt>
              </c:strCache>
            </c:strRef>
          </c:tx>
          <c:spPr>
            <a:ln w="19050">
              <a:solidFill>
                <a:schemeClr val="accent1"/>
              </a:solidFill>
            </a:ln>
          </c:spPr>
          <c:marker>
            <c:symbol val="none"/>
          </c:marker>
          <c:cat>
            <c:multiLvlStrRef>
              <c:f>'Ceny 4'!$A$42:$B$113</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2016</c:v>
                  </c:pt>
                  <c:pt idx="12">
                    <c:v>2017</c:v>
                  </c:pt>
                  <c:pt idx="24">
                    <c:v>2018</c:v>
                  </c:pt>
                  <c:pt idx="36">
                    <c:v>2019</c:v>
                  </c:pt>
                  <c:pt idx="48">
                    <c:v>2020</c:v>
                  </c:pt>
                  <c:pt idx="60">
                    <c:v>2021</c:v>
                  </c:pt>
                </c:lvl>
              </c:multiLvlStrCache>
            </c:multiLvlStrRef>
          </c:cat>
          <c:val>
            <c:numRef>
              <c:f>'Ceny 4'!$G$42:$G$113</c:f>
              <c:numCache>
                <c:formatCode>General</c:formatCode>
                <c:ptCount val="72"/>
                <c:pt idx="0">
                  <c:v>0.5</c:v>
                </c:pt>
                <c:pt idx="1">
                  <c:v>0.5</c:v>
                </c:pt>
                <c:pt idx="2">
                  <c:v>0.5</c:v>
                </c:pt>
                <c:pt idx="3">
                  <c:v>1.5999999999999943</c:v>
                </c:pt>
                <c:pt idx="4">
                  <c:v>1.5999999999999943</c:v>
                </c:pt>
                <c:pt idx="5">
                  <c:v>1.5999999999999943</c:v>
                </c:pt>
                <c:pt idx="6">
                  <c:v>1.5999999999999943</c:v>
                </c:pt>
                <c:pt idx="7">
                  <c:v>1.5999999999999943</c:v>
                </c:pt>
                <c:pt idx="8">
                  <c:v>1.5999999999999943</c:v>
                </c:pt>
                <c:pt idx="9">
                  <c:v>1.5999999999999943</c:v>
                </c:pt>
                <c:pt idx="10">
                  <c:v>1.5999999999999943</c:v>
                </c:pt>
                <c:pt idx="11">
                  <c:v>1.5999999999999943</c:v>
                </c:pt>
                <c:pt idx="12">
                  <c:v>2.0999999999999943</c:v>
                </c:pt>
                <c:pt idx="13">
                  <c:v>2.0999999999999943</c:v>
                </c:pt>
                <c:pt idx="14" formatCode="0.0">
                  <c:v>2.0999999999999943</c:v>
                </c:pt>
                <c:pt idx="15" formatCode="0.0">
                  <c:v>1</c:v>
                </c:pt>
                <c:pt idx="16">
                  <c:v>1</c:v>
                </c:pt>
                <c:pt idx="17">
                  <c:v>1</c:v>
                </c:pt>
                <c:pt idx="18">
                  <c:v>1</c:v>
                </c:pt>
                <c:pt idx="19">
                  <c:v>1</c:v>
                </c:pt>
                <c:pt idx="20">
                  <c:v>1</c:v>
                </c:pt>
                <c:pt idx="21">
                  <c:v>1</c:v>
                </c:pt>
                <c:pt idx="22">
                  <c:v>1</c:v>
                </c:pt>
                <c:pt idx="23">
                  <c:v>1</c:v>
                </c:pt>
                <c:pt idx="24">
                  <c:v>1.9</c:v>
                </c:pt>
                <c:pt idx="25">
                  <c:v>1.9</c:v>
                </c:pt>
                <c:pt idx="26">
                  <c:v>1.9</c:v>
                </c:pt>
                <c:pt idx="27">
                  <c:v>1.9</c:v>
                </c:pt>
                <c:pt idx="28">
                  <c:v>1.9</c:v>
                </c:pt>
                <c:pt idx="29">
                  <c:v>1.9</c:v>
                </c:pt>
                <c:pt idx="30">
                  <c:v>1.9</c:v>
                </c:pt>
                <c:pt idx="31">
                  <c:v>1.9</c:v>
                </c:pt>
                <c:pt idx="32">
                  <c:v>1.9</c:v>
                </c:pt>
                <c:pt idx="33">
                  <c:v>1.9</c:v>
                </c:pt>
                <c:pt idx="34">
                  <c:v>1.9</c:v>
                </c:pt>
                <c:pt idx="35">
                  <c:v>1.9</c:v>
                </c:pt>
                <c:pt idx="36">
                  <c:v>2.9</c:v>
                </c:pt>
                <c:pt idx="37">
                  <c:v>2.9</c:v>
                </c:pt>
                <c:pt idx="38">
                  <c:v>2.9</c:v>
                </c:pt>
                <c:pt idx="39">
                  <c:v>2.9</c:v>
                </c:pt>
                <c:pt idx="40">
                  <c:v>2.9</c:v>
                </c:pt>
                <c:pt idx="41">
                  <c:v>2.9</c:v>
                </c:pt>
                <c:pt idx="42">
                  <c:v>2.9</c:v>
                </c:pt>
                <c:pt idx="43">
                  <c:v>2.9</c:v>
                </c:pt>
                <c:pt idx="44">
                  <c:v>2.9</c:v>
                </c:pt>
                <c:pt idx="45">
                  <c:v>2.9</c:v>
                </c:pt>
                <c:pt idx="46">
                  <c:v>2.9</c:v>
                </c:pt>
                <c:pt idx="47">
                  <c:v>2.9</c:v>
                </c:pt>
                <c:pt idx="48">
                  <c:v>5.4</c:v>
                </c:pt>
                <c:pt idx="49">
                  <c:v>5.4</c:v>
                </c:pt>
                <c:pt idx="50">
                  <c:v>5.4</c:v>
                </c:pt>
                <c:pt idx="51">
                  <c:v>5.4</c:v>
                </c:pt>
                <c:pt idx="52">
                  <c:v>6.4</c:v>
                </c:pt>
                <c:pt idx="53">
                  <c:v>6.4</c:v>
                </c:pt>
                <c:pt idx="54">
                  <c:v>6.4</c:v>
                </c:pt>
                <c:pt idx="55">
                  <c:v>6.4</c:v>
                </c:pt>
                <c:pt idx="56">
                  <c:v>6.4</c:v>
                </c:pt>
                <c:pt idx="57">
                  <c:v>6.4</c:v>
                </c:pt>
                <c:pt idx="58">
                  <c:v>6.4</c:v>
                </c:pt>
                <c:pt idx="59">
                  <c:v>6.4</c:v>
                </c:pt>
                <c:pt idx="60">
                  <c:v>6.9</c:v>
                </c:pt>
                <c:pt idx="61">
                  <c:v>6.9</c:v>
                </c:pt>
                <c:pt idx="62">
                  <c:v>6.9</c:v>
                </c:pt>
                <c:pt idx="63">
                  <c:v>6.9</c:v>
                </c:pt>
                <c:pt idx="64">
                  <c:v>5.9</c:v>
                </c:pt>
                <c:pt idx="65">
                  <c:v>5.9</c:v>
                </c:pt>
                <c:pt idx="66">
                  <c:v>5.9</c:v>
                </c:pt>
                <c:pt idx="67">
                  <c:v>5.9</c:v>
                </c:pt>
                <c:pt idx="68">
                  <c:v>5.9</c:v>
                </c:pt>
                <c:pt idx="69">
                  <c:v>5.9</c:v>
                </c:pt>
                <c:pt idx="70">
                  <c:v>5.9</c:v>
                </c:pt>
                <c:pt idx="71">
                  <c:v>5.9</c:v>
                </c:pt>
              </c:numCache>
            </c:numRef>
          </c:val>
          <c:smooth val="0"/>
          <c:extLst>
            <c:ext xmlns:c16="http://schemas.microsoft.com/office/drawing/2014/chart" uri="{C3380CC4-5D6E-409C-BE32-E72D297353CC}">
              <c16:uniqueId val="{00000004-1970-48C2-9B3D-D890D8F90E50}"/>
            </c:ext>
          </c:extLst>
        </c:ser>
        <c:dLbls>
          <c:showLegendKey val="0"/>
          <c:showVal val="0"/>
          <c:showCatName val="0"/>
          <c:showSerName val="0"/>
          <c:showPercent val="0"/>
          <c:showBubbleSize val="0"/>
        </c:dLbls>
        <c:marker val="1"/>
        <c:smooth val="0"/>
        <c:axId val="119381376"/>
        <c:axId val="130745472"/>
      </c:lineChart>
      <c:catAx>
        <c:axId val="119381376"/>
        <c:scaling>
          <c:orientation val="minMax"/>
        </c:scaling>
        <c:delete val="0"/>
        <c:axPos val="b"/>
        <c:numFmt formatCode="General" sourceLinked="0"/>
        <c:majorTickMark val="out"/>
        <c:minorTickMark val="none"/>
        <c:tickLblPos val="low"/>
        <c:spPr>
          <a:ln>
            <a:solidFill>
              <a:schemeClr val="tx1"/>
            </a:solidFill>
          </a:ln>
        </c:spPr>
        <c:crossAx val="130745472"/>
        <c:crosses val="autoZero"/>
        <c:auto val="1"/>
        <c:lblAlgn val="ctr"/>
        <c:lblOffset val="100"/>
        <c:noMultiLvlLbl val="0"/>
      </c:catAx>
      <c:valAx>
        <c:axId val="130745472"/>
        <c:scaling>
          <c:orientation val="minMax"/>
          <c:max val="16"/>
          <c:min val="-8"/>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9381376"/>
        <c:crosses val="autoZero"/>
        <c:crossBetween val="between"/>
        <c:majorUnit val="2"/>
      </c:valAx>
      <c:spPr>
        <a:ln>
          <a:solidFill>
            <a:schemeClr val="tx1"/>
          </a:solidFill>
        </a:ln>
      </c:spPr>
    </c:plotArea>
    <c:legend>
      <c:legendPos val="b"/>
      <c:layout>
        <c:manualLayout>
          <c:xMode val="edge"/>
          <c:yMode val="edge"/>
          <c:x val="5.0596282132642133E-2"/>
          <c:y val="0.84079148283408278"/>
          <c:w val="0.91973570327837706"/>
          <c:h val="0.14254178013271129"/>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14E6D-F759-4E57-9FE4-6C319FEF6C12}">
  <ds:schemaRefs>
    <ds:schemaRef ds:uri="http://schemas.openxmlformats.org/officeDocument/2006/bibliography"/>
  </ds:schemaRefs>
</ds:datastoreItem>
</file>

<file path=customXml/itemProps2.xml><?xml version="1.0" encoding="utf-8"?>
<ds:datastoreItem xmlns:ds="http://schemas.openxmlformats.org/officeDocument/2006/customXml" ds:itemID="{CE9E1DFF-D12C-41C5-A65F-432A34B3D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1</TotalTime>
  <Pages>1</Pages>
  <Words>2948</Words>
  <Characters>17394</Characters>
  <Application>Microsoft Office Word</Application>
  <DocSecurity>0</DocSecurity>
  <Lines>144</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20302</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Mgr. Karolína Zábojníková</cp:lastModifiedBy>
  <cp:revision>4</cp:revision>
  <cp:lastPrinted>2019-04-08T10:52:00Z</cp:lastPrinted>
  <dcterms:created xsi:type="dcterms:W3CDTF">2022-04-21T10:41:00Z</dcterms:created>
  <dcterms:modified xsi:type="dcterms:W3CDTF">2022-04-21T10:49:00Z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2022-03-21T18:27:05Z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4e549edd-b07e-4b32-91fb-7727dcdc0524</vt:lpwstr>
  </property>
  <property fmtid="{D5CDD505-2E9C-101B-9397-08002B2CF9AE}" pid="8" name="MSIP_Label_29db9e61-aac5-4f6e-805d-ceb8cb9983a1_ContentBits">
    <vt:lpwstr>0</vt:lpwstr>
  </property>
</Properties>
</file>