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D769E" w14:textId="77777777" w:rsidR="00993ECA" w:rsidRDefault="00993ECA" w:rsidP="00993ECA">
      <w:pPr>
        <w:pStyle w:val="Nadpis1"/>
      </w:pPr>
      <w:bookmarkStart w:id="0" w:name="_Toc137721908"/>
      <w:bookmarkStart w:id="1" w:name="_Toc114134045"/>
      <w:bookmarkStart w:id="2" w:name="_Toc58605374"/>
      <w:bookmarkStart w:id="3" w:name="_Toc66719930"/>
      <w:bookmarkStart w:id="4" w:name="_Toc532558287"/>
      <w:bookmarkStart w:id="5" w:name="_Toc58605375"/>
      <w:bookmarkStart w:id="6" w:name="_Toc82508186"/>
      <w:bookmarkStart w:id="7" w:name="_Toc114134047"/>
      <w:bookmarkStart w:id="8" w:name="_Toc114134048"/>
      <w:bookmarkStart w:id="9" w:name="_Toc97736119"/>
      <w:bookmarkStart w:id="10" w:name="_Toc74643859"/>
      <w:bookmarkStart w:id="11" w:name="_Toc90395915"/>
      <w:bookmarkStart w:id="12" w:name="_Toc98245446"/>
      <w:bookmarkStart w:id="13" w:name="_Toc74643860"/>
      <w:r>
        <w:t>1. Shrnutí</w:t>
      </w:r>
      <w:bookmarkEnd w:id="0"/>
    </w:p>
    <w:p w14:paraId="792C7A24" w14:textId="77777777" w:rsidR="00993ECA" w:rsidRDefault="00993ECA" w:rsidP="00993ECA">
      <w:pPr>
        <w:pStyle w:val="Normalodrka"/>
        <w:spacing w:after="120"/>
        <w:rPr>
          <w:spacing w:val="-6"/>
        </w:rPr>
      </w:pPr>
      <w:r>
        <w:rPr>
          <w:spacing w:val="-6"/>
        </w:rPr>
        <w:t>Hrubý domácí produkt (HDP) se v 1. čtvrtletí 2023 meziročně snížil o 0,4 %</w:t>
      </w:r>
      <w:r>
        <w:rPr>
          <w:rStyle w:val="Znakapoznpodarou"/>
          <w:spacing w:val="-6"/>
          <w:szCs w:val="20"/>
        </w:rPr>
        <w:footnoteReference w:id="1"/>
      </w:r>
      <w:r>
        <w:rPr>
          <w:spacing w:val="-6"/>
        </w:rPr>
        <w:t>. Šlo o první meziroční pokles od začátku roku 2021. Meziročně se propadala spotřeba domácností i kapitálové výdaje. Naopak spotřeba vládních institucí a zahraniční poptávka působily ve směru růstu HDP. Mezičtvrtletně HDP stagnoval, přičemž podobně jako v meziročním srovnání v protichůdném směru působila domácí a zahraniční poptávka – klesala spotřeba i kapitálové výdaje, ale reálně rostl vývoz. Česká ekonomika v rámci EU patřila k zemím s podprůměrnou dynamikou HDP. Hrubý domácí produkt v EU v 1. čtvrtletí meziročně rostl o 1,0 % a mezičtvrtletně se zvýšil o 0,1 %.</w:t>
      </w:r>
    </w:p>
    <w:p w14:paraId="3A56A2C0" w14:textId="77777777" w:rsidR="00993ECA" w:rsidRDefault="00993ECA" w:rsidP="00993ECA">
      <w:pPr>
        <w:pStyle w:val="Normalodrka"/>
        <w:rPr>
          <w:spacing w:val="-6"/>
        </w:rPr>
      </w:pPr>
      <w:r>
        <w:t>Hrubá přidaná hodnota (HPH) meziročně vzrostla o 1,1 %. K růstu přispíval zejména zpracovatelský průmysl, kde HPH vzrostla o 4,4 %. V</w:t>
      </w:r>
      <w:r w:rsidRPr="003A32DB">
        <w:rPr>
          <w:spacing w:val="-6"/>
        </w:rPr>
        <w:t>ýrazně negativně působilo uskupení obchod, doprava, ubytování a</w:t>
      </w:r>
      <w:r>
        <w:rPr>
          <w:spacing w:val="-6"/>
        </w:rPr>
        <w:t> </w:t>
      </w:r>
      <w:r w:rsidRPr="003A32DB">
        <w:rPr>
          <w:spacing w:val="-6"/>
        </w:rPr>
        <w:t xml:space="preserve">pohostinství, kde došlo k meziročnímu propadu o 2,8 %. </w:t>
      </w:r>
      <w:r>
        <w:rPr>
          <w:spacing w:val="-6"/>
        </w:rPr>
        <w:t>Kromě toho ale m</w:t>
      </w:r>
      <w:r>
        <w:t>eziročně rostla HPH řady služeb včetně těch navázaných na podnikovou sféru nebo obecně celkový ekonomický růst. Mezičtvrtletně se HPH zvýšila o 0,8 %.</w:t>
      </w:r>
      <w:r w:rsidRPr="003A32DB">
        <w:rPr>
          <w:spacing w:val="-6"/>
        </w:rPr>
        <w:t xml:space="preserve"> Mezičtvrtletní růst HPH byl výrazně podpořen vývojem ve zpracovatelském průmyslu (růst o 2,0 %). </w:t>
      </w:r>
      <w:r>
        <w:rPr>
          <w:spacing w:val="-6"/>
        </w:rPr>
        <w:t>K</w:t>
      </w:r>
      <w:r w:rsidRPr="003A32DB">
        <w:rPr>
          <w:spacing w:val="-6"/>
        </w:rPr>
        <w:t xml:space="preserve"> mezičtvrtletnímu růstu HPH přispívaly</w:t>
      </w:r>
      <w:r>
        <w:rPr>
          <w:spacing w:val="-6"/>
        </w:rPr>
        <w:t xml:space="preserve"> také služby</w:t>
      </w:r>
      <w:r w:rsidRPr="003A32DB">
        <w:rPr>
          <w:spacing w:val="-6"/>
        </w:rPr>
        <w:t>. Jediným oborem, kde HPH mezičtvrtletně klesla, bylo peněžnictví a pojišťovnictví.</w:t>
      </w:r>
    </w:p>
    <w:p w14:paraId="28AE7A57" w14:textId="26AC1E6D" w:rsidR="00993ECA" w:rsidRDefault="00993ECA" w:rsidP="00993ECA">
      <w:pPr>
        <w:pStyle w:val="Normalodrka"/>
      </w:pPr>
      <w:r w:rsidRPr="001D6B3F">
        <w:t>Vývoz zboží a služeb v prvním čtvrtletí reálně meziročně vzrostl o 9,5 %</w:t>
      </w:r>
      <w:r>
        <w:rPr>
          <w:rStyle w:val="Znakapoznpodarou"/>
          <w:spacing w:val="-6"/>
        </w:rPr>
        <w:footnoteReference w:id="2"/>
      </w:r>
      <w:r w:rsidRPr="001D6B3F">
        <w:t xml:space="preserve"> a mezičtvrtletně o 2,5 %. Dynamika dovozu byla mírnější – import byl reálně meziročně vyšší o 3,3 % a mezičtvrtletně klesl </w:t>
      </w:r>
      <w:r>
        <w:br/>
      </w:r>
      <w:r w:rsidRPr="001D6B3F">
        <w:t>o 1,3</w:t>
      </w:r>
      <w:r>
        <w:t> </w:t>
      </w:r>
      <w:r w:rsidRPr="001D6B3F">
        <w:t>%. Bilance zahraničního obchodu se zbožím a službami v běžných cenách dosáhla v 1. čtvrtletí přebytku 93,7</w:t>
      </w:r>
      <w:r>
        <w:t> </w:t>
      </w:r>
      <w:r w:rsidRPr="001D6B3F">
        <w:t xml:space="preserve">mld. korun a </w:t>
      </w:r>
      <w:r>
        <w:t xml:space="preserve">ten se tak </w:t>
      </w:r>
      <w:r w:rsidRPr="001D6B3F">
        <w:t>meziročně zlepšil o 92,</w:t>
      </w:r>
      <w:r w:rsidR="0022521D">
        <w:t>7</w:t>
      </w:r>
      <w:r w:rsidRPr="001D6B3F">
        <w:t xml:space="preserve"> mld. K meziročnímu zlepšení </w:t>
      </w:r>
      <w:r>
        <w:t>bilance obchodu se zbožím n</w:t>
      </w:r>
      <w:r w:rsidRPr="001D6B3F">
        <w:t>ejvíce</w:t>
      </w:r>
      <w:r>
        <w:t xml:space="preserve"> přispívalo zlepše</w:t>
      </w:r>
      <w:r w:rsidRPr="001D6B3F">
        <w:t xml:space="preserve">ní </w:t>
      </w:r>
      <w:r>
        <w:t xml:space="preserve">přebytku </w:t>
      </w:r>
      <w:r w:rsidRPr="001D6B3F">
        <w:t xml:space="preserve">zahraničního obchodu </w:t>
      </w:r>
      <w:r>
        <w:t xml:space="preserve">s </w:t>
      </w:r>
      <w:r w:rsidRPr="001D6B3F">
        <w:t>motorov</w:t>
      </w:r>
      <w:r>
        <w:t>ými</w:t>
      </w:r>
      <w:r w:rsidRPr="001D6B3F">
        <w:t xml:space="preserve"> vozidl</w:t>
      </w:r>
      <w:r>
        <w:t xml:space="preserve">y </w:t>
      </w:r>
      <w:r>
        <w:br/>
        <w:t xml:space="preserve">a zmírnění deficitu obchodu s </w:t>
      </w:r>
      <w:r w:rsidRPr="001D6B3F">
        <w:t>ropou a zemním plynem</w:t>
      </w:r>
      <w:r>
        <w:t>. Naopak pokles cen vedl k meziročnímu zhoršení bilance obchodu s </w:t>
      </w:r>
      <w:r w:rsidRPr="001D6B3F">
        <w:t>elektřinou, plynem, párou a klimatizovaným vzduchem</w:t>
      </w:r>
      <w:r>
        <w:t>.</w:t>
      </w:r>
    </w:p>
    <w:p w14:paraId="4898263C" w14:textId="77777777" w:rsidR="00993ECA" w:rsidRPr="001D6B3F" w:rsidRDefault="00993ECA" w:rsidP="00993ECA">
      <w:pPr>
        <w:pStyle w:val="Normalodrka"/>
      </w:pPr>
      <w:r w:rsidRPr="001D6B3F">
        <w:t xml:space="preserve">Celková cenová hladina se </w:t>
      </w:r>
      <w:r>
        <w:t xml:space="preserve">v 1. čtvrtletí </w:t>
      </w:r>
      <w:r w:rsidRPr="001D6B3F">
        <w:t xml:space="preserve">(podle deflátoru HDP) </w:t>
      </w:r>
      <w:r>
        <w:t xml:space="preserve">meziročně </w:t>
      </w:r>
      <w:r w:rsidRPr="001D6B3F">
        <w:t xml:space="preserve">zvýšila o </w:t>
      </w:r>
      <w:r>
        <w:t>12,2 % a mezičtvrtletně vzrostla o 5,7 %. Meziroční růst s</w:t>
      </w:r>
      <w:r w:rsidRPr="001D6B3F">
        <w:t>potřebitelsk</w:t>
      </w:r>
      <w:r>
        <w:t>ých</w:t>
      </w:r>
      <w:r w:rsidRPr="001D6B3F">
        <w:t xml:space="preserve"> cen</w:t>
      </w:r>
      <w:r>
        <w:t xml:space="preserve"> zrychlil na 16,4 % a mezičtvrtletně byly ceny vyšší o 6,9 %. K meziročnímu růstu spotřebitelských cen, stejně jako k jeho zrychlení, nejvíce přispívaly ceny bydlení a energií. Velmi silný příspěvek stále měly i potraviny a nealkoholické nápoje. Významně přispělo i stravování a ubytování a rekreace a kultura. U většiny oddílů spotřebního koše ale meziroční dynamika vlivem vysoké srovnávací základny spíše zvolňovala. Mírnější byl meziroční růst cen průmyslových výrobců (15,0 %), tržních služeb (5,8 %) i cen zemědělských výrobců (19,4 %). </w:t>
      </w:r>
      <w:r w:rsidRPr="001D6B3F">
        <w:t xml:space="preserve"> </w:t>
      </w:r>
    </w:p>
    <w:p w14:paraId="0FFFA258" w14:textId="77777777" w:rsidR="00993ECA" w:rsidRDefault="00993ECA" w:rsidP="00993ECA">
      <w:pPr>
        <w:pStyle w:val="Normalodrka"/>
        <w:spacing w:after="120"/>
        <w:rPr>
          <w:spacing w:val="-6"/>
        </w:rPr>
      </w:pPr>
      <w:r>
        <w:rPr>
          <w:spacing w:val="-6"/>
        </w:rPr>
        <w:t>Měnověpolitické úrokové sazby zůstaly v 1. čtvrtletí na stejné úrovni, jakou měly ve druhé polovině roku 2022. To vedlo k zastavení růstu tržních sazeb i k úročení vkladů. U spotřebitelských úvěrů úrokové sazby klesly, zatímco úvěry na bydlení dál zdražovaly. Pokračoval příliv prostředků na termínované vklady.</w:t>
      </w:r>
    </w:p>
    <w:p w14:paraId="5D03B593" w14:textId="51FCC85B" w:rsidR="00993ECA" w:rsidRPr="00D418E9" w:rsidRDefault="00993ECA" w:rsidP="00993ECA">
      <w:pPr>
        <w:pStyle w:val="Normalodrka"/>
        <w:spacing w:after="120"/>
        <w:rPr>
          <w:spacing w:val="-6"/>
        </w:rPr>
      </w:pPr>
      <w:r w:rsidRPr="00D418E9">
        <w:rPr>
          <w:spacing w:val="-6"/>
        </w:rPr>
        <w:t>Celková zaměstnanost</w:t>
      </w:r>
      <w:r w:rsidRPr="00D418E9">
        <w:rPr>
          <w:rStyle w:val="Znakapoznpodarou"/>
          <w:spacing w:val="-6"/>
        </w:rPr>
        <w:footnoteReference w:id="3"/>
      </w:r>
      <w:r w:rsidRPr="00D418E9">
        <w:rPr>
          <w:spacing w:val="-6"/>
        </w:rPr>
        <w:t xml:space="preserve"> </w:t>
      </w:r>
      <w:r>
        <w:rPr>
          <w:spacing w:val="-6"/>
        </w:rPr>
        <w:t>v 1. čtvrtletí meziročně vzrostla o 1,4 % a mezičtvrtletně došlo k oživení o 0,4 %.</w:t>
      </w:r>
      <w:r w:rsidRPr="00D418E9">
        <w:rPr>
          <w:spacing w:val="-6"/>
        </w:rPr>
        <w:t xml:space="preserve"> </w:t>
      </w:r>
      <w:r>
        <w:rPr>
          <w:spacing w:val="-6"/>
        </w:rPr>
        <w:t>Na začátku roku bylo patrné mírné navýšení o</w:t>
      </w:r>
      <w:r w:rsidRPr="00D418E9">
        <w:rPr>
          <w:color w:val="0D0D0D" w:themeColor="text1" w:themeTint="F2"/>
          <w:spacing w:val="-4"/>
        </w:rPr>
        <w:t>becn</w:t>
      </w:r>
      <w:r>
        <w:rPr>
          <w:color w:val="0D0D0D" w:themeColor="text1" w:themeTint="F2"/>
          <w:spacing w:val="-4"/>
        </w:rPr>
        <w:t>é</w:t>
      </w:r>
      <w:r w:rsidRPr="00D418E9">
        <w:rPr>
          <w:color w:val="0D0D0D" w:themeColor="text1" w:themeTint="F2"/>
          <w:spacing w:val="-4"/>
        </w:rPr>
        <w:t xml:space="preserve"> mí</w:t>
      </w:r>
      <w:r>
        <w:rPr>
          <w:color w:val="0D0D0D" w:themeColor="text1" w:themeTint="F2"/>
          <w:spacing w:val="-4"/>
        </w:rPr>
        <w:t>ry</w:t>
      </w:r>
      <w:r w:rsidRPr="00D418E9">
        <w:rPr>
          <w:color w:val="0D0D0D" w:themeColor="text1" w:themeTint="F2"/>
          <w:spacing w:val="-4"/>
        </w:rPr>
        <w:t xml:space="preserve"> nezaměstnanosti</w:t>
      </w:r>
      <w:r>
        <w:rPr>
          <w:color w:val="0D0D0D" w:themeColor="text1" w:themeTint="F2"/>
          <w:spacing w:val="-4"/>
        </w:rPr>
        <w:t xml:space="preserve"> na</w:t>
      </w:r>
      <w:r w:rsidR="001A164B">
        <w:rPr>
          <w:color w:val="0D0D0D" w:themeColor="text1" w:themeTint="F2"/>
          <w:spacing w:val="-4"/>
        </w:rPr>
        <w:t xml:space="preserve"> březnová 2,5 %, stále ale šlo </w:t>
      </w:r>
      <w:r>
        <w:rPr>
          <w:color w:val="0D0D0D" w:themeColor="text1" w:themeTint="F2"/>
          <w:spacing w:val="-4"/>
        </w:rPr>
        <w:t>i</w:t>
      </w:r>
      <w:r w:rsidR="001A164B">
        <w:rPr>
          <w:color w:val="0D0D0D" w:themeColor="text1" w:themeTint="F2"/>
          <w:spacing w:val="-4"/>
        </w:rPr>
        <w:t> </w:t>
      </w:r>
      <w:r>
        <w:rPr>
          <w:color w:val="0D0D0D" w:themeColor="text1" w:themeTint="F2"/>
          <w:spacing w:val="-4"/>
        </w:rPr>
        <w:t>mezinárodně o rekordně nízkou hodnotu.</w:t>
      </w:r>
      <w:r w:rsidRPr="00D418E9">
        <w:rPr>
          <w:color w:val="1D1B11" w:themeColor="background2" w:themeShade="1A"/>
          <w:spacing w:val="-6"/>
        </w:rPr>
        <w:t xml:space="preserve"> </w:t>
      </w:r>
      <w:r w:rsidRPr="00D418E9">
        <w:rPr>
          <w:color w:val="0D0D0D" w:themeColor="text1" w:themeTint="F2"/>
          <w:spacing w:val="-6"/>
        </w:rPr>
        <w:t xml:space="preserve">Průměrná hrubá měsíční nominální mzda </w:t>
      </w:r>
      <w:r>
        <w:rPr>
          <w:color w:val="0D0D0D" w:themeColor="text1" w:themeTint="F2"/>
          <w:spacing w:val="-6"/>
        </w:rPr>
        <w:t>v 1. čtvrtletí nominálně meziročně vzrostla o 8,6 % a dosáhla 41 265 korun. V</w:t>
      </w:r>
      <w:r w:rsidRPr="00D418E9">
        <w:rPr>
          <w:color w:val="0D0D0D" w:themeColor="text1" w:themeTint="F2"/>
          <w:spacing w:val="-6"/>
        </w:rPr>
        <w:t>zhledem k</w:t>
      </w:r>
      <w:r>
        <w:rPr>
          <w:color w:val="0D0D0D" w:themeColor="text1" w:themeTint="F2"/>
          <w:spacing w:val="-6"/>
        </w:rPr>
        <w:t xml:space="preserve"> pokračujícímu </w:t>
      </w:r>
      <w:r w:rsidRPr="00D418E9">
        <w:rPr>
          <w:color w:val="0D0D0D" w:themeColor="text1" w:themeTint="F2"/>
          <w:spacing w:val="-6"/>
        </w:rPr>
        <w:t xml:space="preserve">silnému růstu spotřebitelských cen se ale </w:t>
      </w:r>
      <w:r>
        <w:rPr>
          <w:color w:val="0D0D0D" w:themeColor="text1" w:themeTint="F2"/>
          <w:spacing w:val="-6"/>
        </w:rPr>
        <w:t>r</w:t>
      </w:r>
      <w:r w:rsidRPr="00D418E9">
        <w:rPr>
          <w:color w:val="0D0D0D" w:themeColor="text1" w:themeTint="F2"/>
          <w:spacing w:val="-6"/>
        </w:rPr>
        <w:t xml:space="preserve">eálně propadla o </w:t>
      </w:r>
      <w:r>
        <w:rPr>
          <w:color w:val="0D0D0D" w:themeColor="text1" w:themeTint="F2"/>
          <w:spacing w:val="-6"/>
        </w:rPr>
        <w:t>6,7</w:t>
      </w:r>
      <w:r w:rsidRPr="00D418E9">
        <w:rPr>
          <w:color w:val="0D0D0D" w:themeColor="text1" w:themeTint="F2"/>
          <w:spacing w:val="-6"/>
        </w:rPr>
        <w:t xml:space="preserve"> %. </w:t>
      </w:r>
      <w:r>
        <w:rPr>
          <w:color w:val="0D0D0D" w:themeColor="text1" w:themeTint="F2"/>
          <w:spacing w:val="-6"/>
        </w:rPr>
        <w:t xml:space="preserve">Mezičtvrtletní nominální navýšení </w:t>
      </w:r>
      <w:r w:rsidRPr="00D418E9">
        <w:rPr>
          <w:color w:val="0D0D0D" w:themeColor="text1" w:themeTint="F2"/>
          <w:spacing w:val="-6"/>
        </w:rPr>
        <w:t>průměrn</w:t>
      </w:r>
      <w:r>
        <w:rPr>
          <w:color w:val="0D0D0D" w:themeColor="text1" w:themeTint="F2"/>
          <w:spacing w:val="-6"/>
        </w:rPr>
        <w:t>é</w:t>
      </w:r>
      <w:r w:rsidRPr="00D418E9">
        <w:rPr>
          <w:color w:val="0D0D0D" w:themeColor="text1" w:themeTint="F2"/>
          <w:spacing w:val="-6"/>
        </w:rPr>
        <w:t xml:space="preserve"> mzd</w:t>
      </w:r>
      <w:r>
        <w:rPr>
          <w:color w:val="0D0D0D" w:themeColor="text1" w:themeTint="F2"/>
          <w:spacing w:val="-6"/>
        </w:rPr>
        <w:t>y činilo 2,2 %.</w:t>
      </w:r>
    </w:p>
    <w:p w14:paraId="7259BDAA" w14:textId="77777777" w:rsidR="00993ECA" w:rsidRPr="00861EB6" w:rsidRDefault="00993ECA" w:rsidP="00993ECA">
      <w:pPr>
        <w:pStyle w:val="Normalodrka"/>
        <w:spacing w:after="0"/>
        <w:rPr>
          <w:spacing w:val="-6"/>
        </w:rPr>
      </w:pPr>
      <w:r>
        <w:rPr>
          <w:spacing w:val="-6"/>
        </w:rPr>
        <w:t xml:space="preserve">Schodek </w:t>
      </w:r>
      <w:r w:rsidRPr="004F601B">
        <w:rPr>
          <w:spacing w:val="-6"/>
        </w:rPr>
        <w:t>hospodaření státního rozpočtu</w:t>
      </w:r>
      <w:r>
        <w:rPr>
          <w:spacing w:val="-6"/>
        </w:rPr>
        <w:t xml:space="preserve"> se v 1. čtvrtletí prudce navýšil na </w:t>
      </w:r>
      <w:r w:rsidRPr="004F601B">
        <w:rPr>
          <w:spacing w:val="-6"/>
        </w:rPr>
        <w:t xml:space="preserve">rekordních 166,2 mld. korun. </w:t>
      </w:r>
      <w:r>
        <w:rPr>
          <w:spacing w:val="-6"/>
        </w:rPr>
        <w:t xml:space="preserve">Zhoršení deficitu bylo zčásti ovlivněno loňským omezením </w:t>
      </w:r>
      <w:r w:rsidRPr="004F601B">
        <w:rPr>
          <w:spacing w:val="-6"/>
        </w:rPr>
        <w:t xml:space="preserve">čerpání běžných i kapitálových výdajů </w:t>
      </w:r>
      <w:r>
        <w:rPr>
          <w:spacing w:val="-6"/>
        </w:rPr>
        <w:t xml:space="preserve">v rámci </w:t>
      </w:r>
      <w:r w:rsidRPr="004F601B">
        <w:rPr>
          <w:spacing w:val="-6"/>
        </w:rPr>
        <w:t>rozpočtov</w:t>
      </w:r>
      <w:r>
        <w:rPr>
          <w:spacing w:val="-6"/>
        </w:rPr>
        <w:t>ého</w:t>
      </w:r>
      <w:r w:rsidRPr="004F601B">
        <w:rPr>
          <w:spacing w:val="-6"/>
        </w:rPr>
        <w:t xml:space="preserve"> provizori</w:t>
      </w:r>
      <w:r>
        <w:rPr>
          <w:spacing w:val="-6"/>
        </w:rPr>
        <w:t>a</w:t>
      </w:r>
      <w:r w:rsidRPr="004F601B">
        <w:rPr>
          <w:spacing w:val="-6"/>
        </w:rPr>
        <w:t xml:space="preserve"> a leto</w:t>
      </w:r>
      <w:r>
        <w:rPr>
          <w:spacing w:val="-6"/>
        </w:rPr>
        <w:t xml:space="preserve">šním </w:t>
      </w:r>
      <w:r w:rsidRPr="004F601B">
        <w:rPr>
          <w:spacing w:val="-6"/>
        </w:rPr>
        <w:t>vyšším předfinancování</w:t>
      </w:r>
      <w:r>
        <w:rPr>
          <w:spacing w:val="-6"/>
        </w:rPr>
        <w:t>m</w:t>
      </w:r>
      <w:r w:rsidRPr="004F601B">
        <w:rPr>
          <w:spacing w:val="-6"/>
        </w:rPr>
        <w:t xml:space="preserve"> u dotací, zejména v sociální oblasti, školství či výzkumu a vývoji. </w:t>
      </w:r>
      <w:r>
        <w:rPr>
          <w:spacing w:val="-6"/>
        </w:rPr>
        <w:t xml:space="preserve">Do </w:t>
      </w:r>
      <w:r w:rsidRPr="004F601B">
        <w:rPr>
          <w:spacing w:val="-6"/>
        </w:rPr>
        <w:t>silné</w:t>
      </w:r>
      <w:r>
        <w:rPr>
          <w:spacing w:val="-6"/>
        </w:rPr>
        <w:t>ho</w:t>
      </w:r>
      <w:r w:rsidRPr="004F601B">
        <w:rPr>
          <w:spacing w:val="-6"/>
        </w:rPr>
        <w:t xml:space="preserve"> růstu výdajů SR </w:t>
      </w:r>
      <w:r>
        <w:rPr>
          <w:spacing w:val="-6"/>
        </w:rPr>
        <w:t xml:space="preserve">se </w:t>
      </w:r>
      <w:r w:rsidRPr="004F601B">
        <w:rPr>
          <w:spacing w:val="-6"/>
        </w:rPr>
        <w:t xml:space="preserve">na počátku letošního roku promítala pomoc státu související s vysokými cenami energií </w:t>
      </w:r>
      <w:r>
        <w:rPr>
          <w:spacing w:val="-6"/>
        </w:rPr>
        <w:t xml:space="preserve">i </w:t>
      </w:r>
      <w:r w:rsidRPr="004F601B">
        <w:rPr>
          <w:spacing w:val="-6"/>
        </w:rPr>
        <w:t>dopady přetrvávající pádivé inflace</w:t>
      </w:r>
      <w:r>
        <w:rPr>
          <w:spacing w:val="-6"/>
        </w:rPr>
        <w:t xml:space="preserve">, tedy </w:t>
      </w:r>
      <w:r w:rsidRPr="004F601B">
        <w:rPr>
          <w:spacing w:val="-6"/>
        </w:rPr>
        <w:t>valorizace důchodů, vyšší objem vyplacených sociálních dávek</w:t>
      </w:r>
      <w:r>
        <w:rPr>
          <w:spacing w:val="-6"/>
        </w:rPr>
        <w:t xml:space="preserve"> nebo</w:t>
      </w:r>
      <w:r w:rsidRPr="004F601B">
        <w:rPr>
          <w:spacing w:val="-6"/>
        </w:rPr>
        <w:t xml:space="preserve"> rostoucí splátky státního dluhu. Kromě toho měl na prohlubující se schodek SR vliv i slábnoucí výkon tuzemské ekonomiky, který ovlivňoval inkaso některých váhově významných rozpočtových příjmů</w:t>
      </w:r>
      <w:r>
        <w:rPr>
          <w:spacing w:val="-6"/>
        </w:rPr>
        <w:t>.</w:t>
      </w:r>
      <w:bookmarkStart w:id="14" w:name="_Toc98245441"/>
      <w:bookmarkStart w:id="15" w:name="_Toc90395910"/>
    </w:p>
    <w:p w14:paraId="77CE06DC" w14:textId="77777777" w:rsidR="00993ECA" w:rsidRPr="00C10805" w:rsidRDefault="00993ECA" w:rsidP="00993ECA">
      <w:pPr>
        <w:pStyle w:val="Normalodrka"/>
        <w:numPr>
          <w:ilvl w:val="0"/>
          <w:numId w:val="0"/>
        </w:numPr>
        <w:spacing w:after="0"/>
        <w:rPr>
          <w:b/>
          <w:sz w:val="2"/>
          <w:szCs w:val="2"/>
        </w:rPr>
      </w:pPr>
      <w:r>
        <w:rPr>
          <w:spacing w:val="-4"/>
        </w:rPr>
        <w:t xml:space="preserve"> </w:t>
      </w:r>
      <w:bookmarkEnd w:id="14"/>
      <w:bookmarkEnd w:id="15"/>
    </w:p>
    <w:p w14:paraId="35EA198A" w14:textId="77777777" w:rsidR="00993ECA" w:rsidRPr="00C10805" w:rsidRDefault="00993ECA" w:rsidP="00993ECA">
      <w:pPr>
        <w:pStyle w:val="Normalodrka"/>
        <w:numPr>
          <w:ilvl w:val="0"/>
          <w:numId w:val="0"/>
        </w:numPr>
        <w:spacing w:after="0"/>
        <w:rPr>
          <w:b/>
          <w:sz w:val="2"/>
          <w:szCs w:val="2"/>
        </w:rPr>
      </w:pPr>
      <w:r w:rsidRPr="00F1152E">
        <w:rPr>
          <w:noProof/>
        </w:rPr>
        <w:lastRenderedPageBreak/>
        <w:drawing>
          <wp:inline distT="0" distB="0" distL="0" distR="0" wp14:anchorId="021AC234" wp14:editId="579908C6">
            <wp:extent cx="5857875" cy="8829675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E4657" w14:textId="77777777" w:rsidR="004A3BE4" w:rsidRPr="001C3855" w:rsidRDefault="004A3BE4" w:rsidP="004A3BE4">
      <w:pPr>
        <w:pStyle w:val="Nadpis11"/>
        <w:rPr>
          <w:sz w:val="2"/>
          <w:szCs w:val="2"/>
        </w:rPr>
      </w:pPr>
      <w:bookmarkStart w:id="16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6"/>
    </w:p>
    <w:p w14:paraId="6D687C14" w14:textId="50D73027" w:rsidR="001C3855" w:rsidRPr="001C3855" w:rsidRDefault="001C3855" w:rsidP="00C15537">
      <w:pPr>
        <w:pStyle w:val="Nadpis11"/>
        <w:rPr>
          <w:sz w:val="2"/>
          <w:szCs w:val="2"/>
        </w:rPr>
      </w:pPr>
    </w:p>
    <w:sectPr w:rsidR="001C3855" w:rsidRPr="001C3855" w:rsidSect="00A4786C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73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E24EF" w14:textId="77777777" w:rsidR="00634C1C" w:rsidRDefault="00634C1C" w:rsidP="00E71A58">
      <w:r>
        <w:separator/>
      </w:r>
    </w:p>
  </w:endnote>
  <w:endnote w:type="continuationSeparator" w:id="0">
    <w:p w14:paraId="1055DD55" w14:textId="77777777" w:rsidR="00634C1C" w:rsidRDefault="00634C1C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573B33AE" w:rsidR="00D652EB" w:rsidRPr="00932443" w:rsidRDefault="00D652EB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A4786C">
      <w:rPr>
        <w:szCs w:val="16"/>
      </w:rPr>
      <w:t>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čtvrtletí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4BA9C54F" w:rsidR="00D652EB" w:rsidRPr="00932443" w:rsidRDefault="00D652EB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čtvrtletí 202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3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A4786C">
      <w:rPr>
        <w:rStyle w:val="ZpatChar"/>
        <w:szCs w:val="16"/>
      </w:rPr>
      <w:t>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F7531" w14:textId="77777777" w:rsidR="00634C1C" w:rsidRDefault="00634C1C" w:rsidP="00A21B4D">
      <w:pPr>
        <w:spacing w:after="0"/>
      </w:pPr>
      <w:r>
        <w:separator/>
      </w:r>
    </w:p>
  </w:footnote>
  <w:footnote w:type="continuationSeparator" w:id="0">
    <w:p w14:paraId="6F7F04CA" w14:textId="77777777" w:rsidR="00634C1C" w:rsidRDefault="00634C1C" w:rsidP="00E71A58">
      <w:r>
        <w:continuationSeparator/>
      </w:r>
    </w:p>
  </w:footnote>
  <w:footnote w:id="1">
    <w:p w14:paraId="24F28381" w14:textId="77777777" w:rsidR="00D652EB" w:rsidRDefault="00D652EB" w:rsidP="00993ECA">
      <w:pPr>
        <w:pStyle w:val="Textpoznpodarou"/>
        <w:rPr>
          <w:spacing w:val="-2"/>
          <w:sz w:val="16"/>
          <w:szCs w:val="16"/>
        </w:rPr>
      </w:pPr>
      <w:r>
        <w:rPr>
          <w:rStyle w:val="Znakapoznpodarou"/>
          <w:spacing w:val="-2"/>
          <w:sz w:val="16"/>
          <w:szCs w:val="16"/>
        </w:rPr>
        <w:footnoteRef/>
      </w:r>
      <w:r>
        <w:rPr>
          <w:spacing w:val="-2"/>
          <w:sz w:val="16"/>
          <w:szCs w:val="16"/>
        </w:rPr>
        <w:t xml:space="preserve"> Data o HDP, hrubé přidané hodnotě a jejich složkách jsou vyjádřena ve stálých cenách a v očištění o sezónní a kalendářní vlivy.</w:t>
      </w:r>
    </w:p>
  </w:footnote>
  <w:footnote w:id="2">
    <w:p w14:paraId="06ABA1BE" w14:textId="77777777" w:rsidR="00D652EB" w:rsidRDefault="00D652EB" w:rsidP="00993ECA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Podle metodiky čtvrtletních národních účtů (vývoz a dovoz v ocenění FOB/FOB).</w:t>
      </w:r>
    </w:p>
  </w:footnote>
  <w:footnote w:id="3">
    <w:p w14:paraId="01689A25" w14:textId="77777777" w:rsidR="00D652EB" w:rsidRDefault="00D652EB" w:rsidP="00993ECA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  <w:spacing w:val="-2"/>
          <w:sz w:val="16"/>
          <w:szCs w:val="16"/>
        </w:rPr>
        <w:footnoteRef/>
      </w:r>
      <w:r>
        <w:rPr>
          <w:spacing w:val="-2"/>
          <w:sz w:val="16"/>
          <w:szCs w:val="16"/>
        </w:rPr>
        <w:t xml:space="preserve"> Údaje o zaměstnanosti jsou uvedeny v pojetí národních účtů a očištěny o sezónní vlivy.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D652EB" w:rsidRDefault="00D652EB" w:rsidP="00937AE2">
    <w:pPr>
      <w:pStyle w:val="Zhlav"/>
    </w:pPr>
    <w:r>
      <w:t>Vývoj ekonomiky České republiky</w:t>
    </w:r>
  </w:p>
  <w:p w14:paraId="3E881AB3" w14:textId="77777777" w:rsidR="00D652EB" w:rsidRPr="006F5416" w:rsidRDefault="00D652EB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D652EB" w:rsidRDefault="00D652EB" w:rsidP="00937AE2">
    <w:pPr>
      <w:pStyle w:val="Zhlav"/>
    </w:pPr>
    <w:r>
      <w:t>Vývoj ekonomiky České republiky</w:t>
    </w:r>
  </w:p>
  <w:p w14:paraId="57266714" w14:textId="77777777" w:rsidR="00D652EB" w:rsidRPr="006F5416" w:rsidRDefault="00D652EB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5764B"/>
    <w:multiLevelType w:val="hybridMultilevel"/>
    <w:tmpl w:val="84788BC8"/>
    <w:lvl w:ilvl="0" w:tplc="1B96A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3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678F7"/>
    <w:multiLevelType w:val="hybridMultilevel"/>
    <w:tmpl w:val="A4DE7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567A6"/>
    <w:multiLevelType w:val="hybridMultilevel"/>
    <w:tmpl w:val="50E0F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8"/>
  </w:num>
  <w:num w:numId="14">
    <w:abstractNumId w:val="14"/>
  </w:num>
  <w:num w:numId="15">
    <w:abstractNumId w:val="20"/>
  </w:num>
  <w:num w:numId="16">
    <w:abstractNumId w:val="16"/>
  </w:num>
  <w:num w:numId="17">
    <w:abstractNumId w:val="29"/>
  </w:num>
  <w:num w:numId="18">
    <w:abstractNumId w:val="21"/>
  </w:num>
  <w:num w:numId="19">
    <w:abstractNumId w:val="31"/>
  </w:num>
  <w:num w:numId="20">
    <w:abstractNumId w:val="32"/>
  </w:num>
  <w:num w:numId="21">
    <w:abstractNumId w:val="27"/>
  </w:num>
  <w:num w:numId="22">
    <w:abstractNumId w:val="19"/>
  </w:num>
  <w:num w:numId="23">
    <w:abstractNumId w:val="17"/>
  </w:num>
  <w:num w:numId="24">
    <w:abstractNumId w:val="18"/>
  </w:num>
  <w:num w:numId="25">
    <w:abstractNumId w:val="13"/>
  </w:num>
  <w:num w:numId="26">
    <w:abstractNumId w:val="23"/>
  </w:num>
  <w:num w:numId="27">
    <w:abstractNumId w:val="22"/>
  </w:num>
  <w:num w:numId="28">
    <w:abstractNumId w:val="10"/>
  </w:num>
  <w:num w:numId="29">
    <w:abstractNumId w:val="32"/>
  </w:num>
  <w:num w:numId="30">
    <w:abstractNumId w:val="24"/>
  </w:num>
  <w:num w:numId="31">
    <w:abstractNumId w:val="12"/>
  </w:num>
  <w:num w:numId="32">
    <w:abstractNumId w:val="33"/>
  </w:num>
  <w:num w:numId="33">
    <w:abstractNumId w:val="32"/>
  </w:num>
  <w:num w:numId="34">
    <w:abstractNumId w:val="11"/>
  </w:num>
  <w:num w:numId="35">
    <w:abstractNumId w:val="3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994"/>
    <w:rsid w:val="00000B55"/>
    <w:rsid w:val="0000209D"/>
    <w:rsid w:val="00002566"/>
    <w:rsid w:val="0000370A"/>
    <w:rsid w:val="00003849"/>
    <w:rsid w:val="00003F5C"/>
    <w:rsid w:val="00004D5A"/>
    <w:rsid w:val="00005219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107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22B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AD4"/>
    <w:rsid w:val="00047D54"/>
    <w:rsid w:val="00050541"/>
    <w:rsid w:val="0005054A"/>
    <w:rsid w:val="00050A87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296"/>
    <w:rsid w:val="0006533F"/>
    <w:rsid w:val="00065348"/>
    <w:rsid w:val="0006551C"/>
    <w:rsid w:val="0006558D"/>
    <w:rsid w:val="00065A75"/>
    <w:rsid w:val="000663F0"/>
    <w:rsid w:val="00066558"/>
    <w:rsid w:val="000671DB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457"/>
    <w:rsid w:val="000834ED"/>
    <w:rsid w:val="000837CD"/>
    <w:rsid w:val="00083B7F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22C"/>
    <w:rsid w:val="000913B1"/>
    <w:rsid w:val="0009290F"/>
    <w:rsid w:val="00093241"/>
    <w:rsid w:val="00093868"/>
    <w:rsid w:val="00094A84"/>
    <w:rsid w:val="00095025"/>
    <w:rsid w:val="00095135"/>
    <w:rsid w:val="00095152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85C"/>
    <w:rsid w:val="000A3A2C"/>
    <w:rsid w:val="000A3D9E"/>
    <w:rsid w:val="000A4A54"/>
    <w:rsid w:val="000A4ED9"/>
    <w:rsid w:val="000A5DB7"/>
    <w:rsid w:val="000A6753"/>
    <w:rsid w:val="000A6D94"/>
    <w:rsid w:val="000A72BC"/>
    <w:rsid w:val="000A7377"/>
    <w:rsid w:val="000A74A4"/>
    <w:rsid w:val="000A775A"/>
    <w:rsid w:val="000A7D63"/>
    <w:rsid w:val="000A7FF4"/>
    <w:rsid w:val="000B03CC"/>
    <w:rsid w:val="000B4212"/>
    <w:rsid w:val="000B67B7"/>
    <w:rsid w:val="000B6A0A"/>
    <w:rsid w:val="000C012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C7A79"/>
    <w:rsid w:val="000D0A26"/>
    <w:rsid w:val="000D13CB"/>
    <w:rsid w:val="000D2196"/>
    <w:rsid w:val="000D2C2E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D7AC7"/>
    <w:rsid w:val="000E04FD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15F7"/>
    <w:rsid w:val="000F1AA2"/>
    <w:rsid w:val="000F378E"/>
    <w:rsid w:val="000F3F3B"/>
    <w:rsid w:val="000F4721"/>
    <w:rsid w:val="000F47E8"/>
    <w:rsid w:val="000F70E4"/>
    <w:rsid w:val="000F76EA"/>
    <w:rsid w:val="00100A8B"/>
    <w:rsid w:val="00100F5C"/>
    <w:rsid w:val="00101B15"/>
    <w:rsid w:val="00101CDA"/>
    <w:rsid w:val="00102037"/>
    <w:rsid w:val="00103DCB"/>
    <w:rsid w:val="00104C4C"/>
    <w:rsid w:val="00105015"/>
    <w:rsid w:val="001055D2"/>
    <w:rsid w:val="001057C2"/>
    <w:rsid w:val="00107124"/>
    <w:rsid w:val="0011038E"/>
    <w:rsid w:val="00111573"/>
    <w:rsid w:val="00112370"/>
    <w:rsid w:val="0011239B"/>
    <w:rsid w:val="001125EF"/>
    <w:rsid w:val="00112CAB"/>
    <w:rsid w:val="0011440C"/>
    <w:rsid w:val="00114C33"/>
    <w:rsid w:val="00114D5B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8F1"/>
    <w:rsid w:val="00130ADC"/>
    <w:rsid w:val="00130D9F"/>
    <w:rsid w:val="00132C4D"/>
    <w:rsid w:val="00133FC1"/>
    <w:rsid w:val="00134659"/>
    <w:rsid w:val="00135111"/>
    <w:rsid w:val="00136A6F"/>
    <w:rsid w:val="00136C1A"/>
    <w:rsid w:val="00137812"/>
    <w:rsid w:val="001405FA"/>
    <w:rsid w:val="00140D1A"/>
    <w:rsid w:val="00141184"/>
    <w:rsid w:val="00141315"/>
    <w:rsid w:val="0014152B"/>
    <w:rsid w:val="00141AA0"/>
    <w:rsid w:val="001425C3"/>
    <w:rsid w:val="0014262D"/>
    <w:rsid w:val="00142B29"/>
    <w:rsid w:val="00144108"/>
    <w:rsid w:val="00144588"/>
    <w:rsid w:val="001447DD"/>
    <w:rsid w:val="00145358"/>
    <w:rsid w:val="001459BC"/>
    <w:rsid w:val="0014779E"/>
    <w:rsid w:val="00150ECA"/>
    <w:rsid w:val="0015108F"/>
    <w:rsid w:val="00151707"/>
    <w:rsid w:val="00152C86"/>
    <w:rsid w:val="00152F4F"/>
    <w:rsid w:val="00153264"/>
    <w:rsid w:val="0015329F"/>
    <w:rsid w:val="001544A1"/>
    <w:rsid w:val="001553B8"/>
    <w:rsid w:val="001554C2"/>
    <w:rsid w:val="00156D04"/>
    <w:rsid w:val="001571C0"/>
    <w:rsid w:val="001574FE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3868"/>
    <w:rsid w:val="00164CA1"/>
    <w:rsid w:val="00165313"/>
    <w:rsid w:val="001659C3"/>
    <w:rsid w:val="001665AB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4F2"/>
    <w:rsid w:val="00185C22"/>
    <w:rsid w:val="00186BA9"/>
    <w:rsid w:val="00187D50"/>
    <w:rsid w:val="00190B4D"/>
    <w:rsid w:val="0019196C"/>
    <w:rsid w:val="001926A9"/>
    <w:rsid w:val="00192F05"/>
    <w:rsid w:val="00194729"/>
    <w:rsid w:val="00194850"/>
    <w:rsid w:val="00195234"/>
    <w:rsid w:val="00195EA6"/>
    <w:rsid w:val="00196016"/>
    <w:rsid w:val="00196117"/>
    <w:rsid w:val="00197A70"/>
    <w:rsid w:val="00197C0F"/>
    <w:rsid w:val="00197D0E"/>
    <w:rsid w:val="001A0487"/>
    <w:rsid w:val="001A0675"/>
    <w:rsid w:val="001A0A37"/>
    <w:rsid w:val="001A164B"/>
    <w:rsid w:val="001A1F68"/>
    <w:rsid w:val="001A21FA"/>
    <w:rsid w:val="001A4D7C"/>
    <w:rsid w:val="001A4EF0"/>
    <w:rsid w:val="001A552F"/>
    <w:rsid w:val="001A70B1"/>
    <w:rsid w:val="001A7672"/>
    <w:rsid w:val="001B0738"/>
    <w:rsid w:val="001B1235"/>
    <w:rsid w:val="001B158D"/>
    <w:rsid w:val="001B1BBB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1A6"/>
    <w:rsid w:val="001C1B24"/>
    <w:rsid w:val="001C1B66"/>
    <w:rsid w:val="001C1BB5"/>
    <w:rsid w:val="001C2732"/>
    <w:rsid w:val="001C31A2"/>
    <w:rsid w:val="001C351D"/>
    <w:rsid w:val="001C3794"/>
    <w:rsid w:val="001C3855"/>
    <w:rsid w:val="001C4B8F"/>
    <w:rsid w:val="001C4BB8"/>
    <w:rsid w:val="001C4D8C"/>
    <w:rsid w:val="001C4FD0"/>
    <w:rsid w:val="001C544D"/>
    <w:rsid w:val="001C5E46"/>
    <w:rsid w:val="001C6B3B"/>
    <w:rsid w:val="001C7A26"/>
    <w:rsid w:val="001C7E3F"/>
    <w:rsid w:val="001D0EF1"/>
    <w:rsid w:val="001D1A44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6B3F"/>
    <w:rsid w:val="001D7EFD"/>
    <w:rsid w:val="001D7F60"/>
    <w:rsid w:val="001E085B"/>
    <w:rsid w:val="001E149B"/>
    <w:rsid w:val="001E15CB"/>
    <w:rsid w:val="001E3306"/>
    <w:rsid w:val="001E504C"/>
    <w:rsid w:val="001E56AC"/>
    <w:rsid w:val="001E5A17"/>
    <w:rsid w:val="001E74C5"/>
    <w:rsid w:val="001F1236"/>
    <w:rsid w:val="001F2F90"/>
    <w:rsid w:val="001F4597"/>
    <w:rsid w:val="001F4826"/>
    <w:rsid w:val="001F4933"/>
    <w:rsid w:val="001F59C8"/>
    <w:rsid w:val="001F6483"/>
    <w:rsid w:val="001F6CD3"/>
    <w:rsid w:val="001F75DA"/>
    <w:rsid w:val="001F7931"/>
    <w:rsid w:val="001F7CE0"/>
    <w:rsid w:val="00200085"/>
    <w:rsid w:val="00201633"/>
    <w:rsid w:val="00203332"/>
    <w:rsid w:val="002036E6"/>
    <w:rsid w:val="00203CD5"/>
    <w:rsid w:val="00203D8F"/>
    <w:rsid w:val="00203DA4"/>
    <w:rsid w:val="00204EA6"/>
    <w:rsid w:val="00205186"/>
    <w:rsid w:val="00206516"/>
    <w:rsid w:val="002070CF"/>
    <w:rsid w:val="002071D5"/>
    <w:rsid w:val="002073FD"/>
    <w:rsid w:val="002111E5"/>
    <w:rsid w:val="0021149E"/>
    <w:rsid w:val="002118B9"/>
    <w:rsid w:val="00213691"/>
    <w:rsid w:val="002142C0"/>
    <w:rsid w:val="00217BED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1D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2B7"/>
    <w:rsid w:val="00251496"/>
    <w:rsid w:val="00251B08"/>
    <w:rsid w:val="00251C53"/>
    <w:rsid w:val="00252AB9"/>
    <w:rsid w:val="002532B1"/>
    <w:rsid w:val="00253C0F"/>
    <w:rsid w:val="00253F48"/>
    <w:rsid w:val="00254FC3"/>
    <w:rsid w:val="002558C1"/>
    <w:rsid w:val="00256207"/>
    <w:rsid w:val="002575F3"/>
    <w:rsid w:val="002601B4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4B85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9C7"/>
    <w:rsid w:val="00275DEF"/>
    <w:rsid w:val="00275E43"/>
    <w:rsid w:val="002763A2"/>
    <w:rsid w:val="00276B33"/>
    <w:rsid w:val="00277669"/>
    <w:rsid w:val="002803A5"/>
    <w:rsid w:val="00280ACB"/>
    <w:rsid w:val="002812E3"/>
    <w:rsid w:val="00281576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461A"/>
    <w:rsid w:val="0029509B"/>
    <w:rsid w:val="0029588F"/>
    <w:rsid w:val="00295E96"/>
    <w:rsid w:val="00297256"/>
    <w:rsid w:val="00297A5C"/>
    <w:rsid w:val="00297D51"/>
    <w:rsid w:val="002A0122"/>
    <w:rsid w:val="002A016B"/>
    <w:rsid w:val="002A103E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B75C0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DCE"/>
    <w:rsid w:val="002E4E4C"/>
    <w:rsid w:val="002E4EA7"/>
    <w:rsid w:val="002E5846"/>
    <w:rsid w:val="002E631B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357F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4F9C"/>
    <w:rsid w:val="003052D4"/>
    <w:rsid w:val="00305863"/>
    <w:rsid w:val="003060D6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2A85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3A8E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C6C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1BB"/>
    <w:rsid w:val="00354502"/>
    <w:rsid w:val="00354F89"/>
    <w:rsid w:val="0035506D"/>
    <w:rsid w:val="003579A1"/>
    <w:rsid w:val="0036077F"/>
    <w:rsid w:val="00360A35"/>
    <w:rsid w:val="00360C86"/>
    <w:rsid w:val="00360F7A"/>
    <w:rsid w:val="00360FBC"/>
    <w:rsid w:val="00361537"/>
    <w:rsid w:val="00361B2D"/>
    <w:rsid w:val="00361FB7"/>
    <w:rsid w:val="0036242A"/>
    <w:rsid w:val="00362C23"/>
    <w:rsid w:val="00362DCA"/>
    <w:rsid w:val="00362E90"/>
    <w:rsid w:val="00364FA0"/>
    <w:rsid w:val="003657F3"/>
    <w:rsid w:val="00365844"/>
    <w:rsid w:val="00365F61"/>
    <w:rsid w:val="0036624C"/>
    <w:rsid w:val="00367F84"/>
    <w:rsid w:val="003712BC"/>
    <w:rsid w:val="00372164"/>
    <w:rsid w:val="003738BD"/>
    <w:rsid w:val="00374263"/>
    <w:rsid w:val="003746F0"/>
    <w:rsid w:val="00374A20"/>
    <w:rsid w:val="00374B96"/>
    <w:rsid w:val="00374E21"/>
    <w:rsid w:val="0037537A"/>
    <w:rsid w:val="00377B2E"/>
    <w:rsid w:val="00380C9B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402D"/>
    <w:rsid w:val="00396739"/>
    <w:rsid w:val="003978B1"/>
    <w:rsid w:val="003A04F6"/>
    <w:rsid w:val="003A0837"/>
    <w:rsid w:val="003A2B4D"/>
    <w:rsid w:val="003A2D12"/>
    <w:rsid w:val="003A2EBA"/>
    <w:rsid w:val="003A32DB"/>
    <w:rsid w:val="003A45E3"/>
    <w:rsid w:val="003A46B8"/>
    <w:rsid w:val="003A478C"/>
    <w:rsid w:val="003A4A38"/>
    <w:rsid w:val="003A5295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87"/>
    <w:rsid w:val="003C3AE8"/>
    <w:rsid w:val="003C3D2C"/>
    <w:rsid w:val="003C4058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05C"/>
    <w:rsid w:val="003E1EF8"/>
    <w:rsid w:val="003E2DFB"/>
    <w:rsid w:val="003E4466"/>
    <w:rsid w:val="003E4C91"/>
    <w:rsid w:val="003E52D8"/>
    <w:rsid w:val="003E62F1"/>
    <w:rsid w:val="003E6ED5"/>
    <w:rsid w:val="003E6F84"/>
    <w:rsid w:val="003F0148"/>
    <w:rsid w:val="003F313C"/>
    <w:rsid w:val="003F33B1"/>
    <w:rsid w:val="003F33B9"/>
    <w:rsid w:val="003F37FC"/>
    <w:rsid w:val="003F3E76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17106"/>
    <w:rsid w:val="00420880"/>
    <w:rsid w:val="00421179"/>
    <w:rsid w:val="004225D7"/>
    <w:rsid w:val="00423623"/>
    <w:rsid w:val="0042470E"/>
    <w:rsid w:val="00425352"/>
    <w:rsid w:val="00426C99"/>
    <w:rsid w:val="004272BE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5833"/>
    <w:rsid w:val="00456FB5"/>
    <w:rsid w:val="00456FE5"/>
    <w:rsid w:val="00457490"/>
    <w:rsid w:val="0045778B"/>
    <w:rsid w:val="0045786C"/>
    <w:rsid w:val="00457953"/>
    <w:rsid w:val="004604D8"/>
    <w:rsid w:val="00460656"/>
    <w:rsid w:val="00460FB3"/>
    <w:rsid w:val="00463D3C"/>
    <w:rsid w:val="00464851"/>
    <w:rsid w:val="00464BF5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28DA"/>
    <w:rsid w:val="0048368C"/>
    <w:rsid w:val="0048372F"/>
    <w:rsid w:val="0048399F"/>
    <w:rsid w:val="00483A0C"/>
    <w:rsid w:val="004841CC"/>
    <w:rsid w:val="00484ECE"/>
    <w:rsid w:val="00485E82"/>
    <w:rsid w:val="00486132"/>
    <w:rsid w:val="0048686D"/>
    <w:rsid w:val="00486A4D"/>
    <w:rsid w:val="004915CB"/>
    <w:rsid w:val="00491A2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3BE4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A7DC0"/>
    <w:rsid w:val="004B1417"/>
    <w:rsid w:val="004B1627"/>
    <w:rsid w:val="004B305C"/>
    <w:rsid w:val="004B31B8"/>
    <w:rsid w:val="004B339A"/>
    <w:rsid w:val="004B4C83"/>
    <w:rsid w:val="004B55B7"/>
    <w:rsid w:val="004B591D"/>
    <w:rsid w:val="004B5BFA"/>
    <w:rsid w:val="004B619E"/>
    <w:rsid w:val="004B6468"/>
    <w:rsid w:val="004B6EF8"/>
    <w:rsid w:val="004B7125"/>
    <w:rsid w:val="004B756A"/>
    <w:rsid w:val="004B7FB1"/>
    <w:rsid w:val="004C0970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D31"/>
    <w:rsid w:val="004D2E03"/>
    <w:rsid w:val="004D3296"/>
    <w:rsid w:val="004D4056"/>
    <w:rsid w:val="004D4CB0"/>
    <w:rsid w:val="004D5B0F"/>
    <w:rsid w:val="004D7626"/>
    <w:rsid w:val="004E085C"/>
    <w:rsid w:val="004E12DF"/>
    <w:rsid w:val="004E186A"/>
    <w:rsid w:val="004E1A40"/>
    <w:rsid w:val="004E1DB2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01B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4DED"/>
    <w:rsid w:val="00515485"/>
    <w:rsid w:val="00515BE9"/>
    <w:rsid w:val="00515C74"/>
    <w:rsid w:val="00515CEB"/>
    <w:rsid w:val="0051630F"/>
    <w:rsid w:val="00517113"/>
    <w:rsid w:val="0052007E"/>
    <w:rsid w:val="0052032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2792D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782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32B"/>
    <w:rsid w:val="00546FC7"/>
    <w:rsid w:val="005500F9"/>
    <w:rsid w:val="00550160"/>
    <w:rsid w:val="00550249"/>
    <w:rsid w:val="00550540"/>
    <w:rsid w:val="005519E2"/>
    <w:rsid w:val="00551E16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5F3"/>
    <w:rsid w:val="00560C41"/>
    <w:rsid w:val="00560C68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601"/>
    <w:rsid w:val="00570BC3"/>
    <w:rsid w:val="00571766"/>
    <w:rsid w:val="0057182A"/>
    <w:rsid w:val="00571E59"/>
    <w:rsid w:val="00572079"/>
    <w:rsid w:val="00572900"/>
    <w:rsid w:val="00573602"/>
    <w:rsid w:val="0057364B"/>
    <w:rsid w:val="00574773"/>
    <w:rsid w:val="005761EC"/>
    <w:rsid w:val="00576E34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0C"/>
    <w:rsid w:val="005A0463"/>
    <w:rsid w:val="005A05DF"/>
    <w:rsid w:val="005A0948"/>
    <w:rsid w:val="005A0A03"/>
    <w:rsid w:val="005A10F2"/>
    <w:rsid w:val="005A16C0"/>
    <w:rsid w:val="005A2156"/>
    <w:rsid w:val="005A21E0"/>
    <w:rsid w:val="005A2401"/>
    <w:rsid w:val="005A28FF"/>
    <w:rsid w:val="005A2C09"/>
    <w:rsid w:val="005A3778"/>
    <w:rsid w:val="005A37B0"/>
    <w:rsid w:val="005A3DF8"/>
    <w:rsid w:val="005A5549"/>
    <w:rsid w:val="005A566A"/>
    <w:rsid w:val="005A56E0"/>
    <w:rsid w:val="005A70CA"/>
    <w:rsid w:val="005A7ABD"/>
    <w:rsid w:val="005A7CF8"/>
    <w:rsid w:val="005B0EDA"/>
    <w:rsid w:val="005B121D"/>
    <w:rsid w:val="005B1705"/>
    <w:rsid w:val="005B26B0"/>
    <w:rsid w:val="005B41C9"/>
    <w:rsid w:val="005B44E6"/>
    <w:rsid w:val="005B4853"/>
    <w:rsid w:val="005B591B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C70AB"/>
    <w:rsid w:val="005D015C"/>
    <w:rsid w:val="005D3F06"/>
    <w:rsid w:val="005D4608"/>
    <w:rsid w:val="005D4B73"/>
    <w:rsid w:val="005D533D"/>
    <w:rsid w:val="005D5645"/>
    <w:rsid w:val="005D5802"/>
    <w:rsid w:val="005D5AA9"/>
    <w:rsid w:val="005D66E6"/>
    <w:rsid w:val="005D7119"/>
    <w:rsid w:val="005D76C8"/>
    <w:rsid w:val="005D7890"/>
    <w:rsid w:val="005D7AAF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64D"/>
    <w:rsid w:val="005E7724"/>
    <w:rsid w:val="005E7C78"/>
    <w:rsid w:val="005F04A7"/>
    <w:rsid w:val="005F114F"/>
    <w:rsid w:val="005F18C5"/>
    <w:rsid w:val="005F247B"/>
    <w:rsid w:val="005F2A08"/>
    <w:rsid w:val="005F36CC"/>
    <w:rsid w:val="005F3EB1"/>
    <w:rsid w:val="005F413E"/>
    <w:rsid w:val="005F466B"/>
    <w:rsid w:val="005F46D8"/>
    <w:rsid w:val="005F480F"/>
    <w:rsid w:val="005F5271"/>
    <w:rsid w:val="005F5469"/>
    <w:rsid w:val="005F63F3"/>
    <w:rsid w:val="005F66F0"/>
    <w:rsid w:val="005F6D7F"/>
    <w:rsid w:val="005F6DFE"/>
    <w:rsid w:val="005F7174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641"/>
    <w:rsid w:val="00620B77"/>
    <w:rsid w:val="00621190"/>
    <w:rsid w:val="0062131B"/>
    <w:rsid w:val="00621E26"/>
    <w:rsid w:val="006224EA"/>
    <w:rsid w:val="0062263A"/>
    <w:rsid w:val="006227DF"/>
    <w:rsid w:val="006234A0"/>
    <w:rsid w:val="006236C8"/>
    <w:rsid w:val="00624093"/>
    <w:rsid w:val="0062415E"/>
    <w:rsid w:val="00625A84"/>
    <w:rsid w:val="00626079"/>
    <w:rsid w:val="006275B5"/>
    <w:rsid w:val="00631698"/>
    <w:rsid w:val="00631E44"/>
    <w:rsid w:val="00634C1C"/>
    <w:rsid w:val="00634C57"/>
    <w:rsid w:val="00634CE7"/>
    <w:rsid w:val="006350D5"/>
    <w:rsid w:val="00635EBE"/>
    <w:rsid w:val="0063642C"/>
    <w:rsid w:val="006376B3"/>
    <w:rsid w:val="00637858"/>
    <w:rsid w:val="006404A7"/>
    <w:rsid w:val="00640A38"/>
    <w:rsid w:val="00640E6B"/>
    <w:rsid w:val="00641787"/>
    <w:rsid w:val="0064179B"/>
    <w:rsid w:val="00642338"/>
    <w:rsid w:val="00642489"/>
    <w:rsid w:val="00644055"/>
    <w:rsid w:val="00644137"/>
    <w:rsid w:val="0064478C"/>
    <w:rsid w:val="00645160"/>
    <w:rsid w:val="006451E4"/>
    <w:rsid w:val="0064574B"/>
    <w:rsid w:val="00645B33"/>
    <w:rsid w:val="0065153D"/>
    <w:rsid w:val="006516CB"/>
    <w:rsid w:val="00652444"/>
    <w:rsid w:val="00652E30"/>
    <w:rsid w:val="00653BD0"/>
    <w:rsid w:val="00654110"/>
    <w:rsid w:val="00656C5D"/>
    <w:rsid w:val="00656CFB"/>
    <w:rsid w:val="00656D25"/>
    <w:rsid w:val="00657E87"/>
    <w:rsid w:val="00660D2D"/>
    <w:rsid w:val="0066110B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501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27BC"/>
    <w:rsid w:val="006741CD"/>
    <w:rsid w:val="006745DF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5C8C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981"/>
    <w:rsid w:val="006C7AEC"/>
    <w:rsid w:val="006C7CA6"/>
    <w:rsid w:val="006D15D3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1A6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1F2A"/>
    <w:rsid w:val="007434E5"/>
    <w:rsid w:val="00743884"/>
    <w:rsid w:val="0074499B"/>
    <w:rsid w:val="007449D6"/>
    <w:rsid w:val="0074501E"/>
    <w:rsid w:val="007450BF"/>
    <w:rsid w:val="0074599A"/>
    <w:rsid w:val="00746EE5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A88"/>
    <w:rsid w:val="00763B85"/>
    <w:rsid w:val="007644A2"/>
    <w:rsid w:val="00764974"/>
    <w:rsid w:val="00764D18"/>
    <w:rsid w:val="0076521E"/>
    <w:rsid w:val="0076579C"/>
    <w:rsid w:val="00765928"/>
    <w:rsid w:val="00765BCC"/>
    <w:rsid w:val="0076600D"/>
    <w:rsid w:val="007661E9"/>
    <w:rsid w:val="00766460"/>
    <w:rsid w:val="00767062"/>
    <w:rsid w:val="00767601"/>
    <w:rsid w:val="00767777"/>
    <w:rsid w:val="00767933"/>
    <w:rsid w:val="00770AB9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5E00"/>
    <w:rsid w:val="0077605B"/>
    <w:rsid w:val="00776169"/>
    <w:rsid w:val="00776527"/>
    <w:rsid w:val="00777040"/>
    <w:rsid w:val="00777CE6"/>
    <w:rsid w:val="00777D57"/>
    <w:rsid w:val="00780BF0"/>
    <w:rsid w:val="00780EF1"/>
    <w:rsid w:val="00781A91"/>
    <w:rsid w:val="00781AD3"/>
    <w:rsid w:val="00781F36"/>
    <w:rsid w:val="00783576"/>
    <w:rsid w:val="007853FD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0B5E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6E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1D1B"/>
    <w:rsid w:val="007B2011"/>
    <w:rsid w:val="007B2CFE"/>
    <w:rsid w:val="007B309B"/>
    <w:rsid w:val="007B3D5E"/>
    <w:rsid w:val="007B3DCB"/>
    <w:rsid w:val="007B54AE"/>
    <w:rsid w:val="007B5725"/>
    <w:rsid w:val="007B5C1F"/>
    <w:rsid w:val="007B6689"/>
    <w:rsid w:val="007B6747"/>
    <w:rsid w:val="007B6F72"/>
    <w:rsid w:val="007B74AA"/>
    <w:rsid w:val="007C10BD"/>
    <w:rsid w:val="007C162D"/>
    <w:rsid w:val="007C1A03"/>
    <w:rsid w:val="007C1F0C"/>
    <w:rsid w:val="007C1FFB"/>
    <w:rsid w:val="007C2D94"/>
    <w:rsid w:val="007C4A6B"/>
    <w:rsid w:val="007C5F92"/>
    <w:rsid w:val="007C6227"/>
    <w:rsid w:val="007C64F7"/>
    <w:rsid w:val="007C6BBD"/>
    <w:rsid w:val="007C6D89"/>
    <w:rsid w:val="007C6F5E"/>
    <w:rsid w:val="007D0382"/>
    <w:rsid w:val="007D0F6B"/>
    <w:rsid w:val="007D14FE"/>
    <w:rsid w:val="007D1A1F"/>
    <w:rsid w:val="007D213B"/>
    <w:rsid w:val="007D2783"/>
    <w:rsid w:val="007D2E18"/>
    <w:rsid w:val="007D3EF3"/>
    <w:rsid w:val="007D40DF"/>
    <w:rsid w:val="007D42E5"/>
    <w:rsid w:val="007D4458"/>
    <w:rsid w:val="007D6AF9"/>
    <w:rsid w:val="007D7763"/>
    <w:rsid w:val="007E0535"/>
    <w:rsid w:val="007E07F2"/>
    <w:rsid w:val="007E0D4A"/>
    <w:rsid w:val="007E1788"/>
    <w:rsid w:val="007E1EE3"/>
    <w:rsid w:val="007E29B4"/>
    <w:rsid w:val="007E2F12"/>
    <w:rsid w:val="007E3627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3CB6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1B1"/>
    <w:rsid w:val="0080734C"/>
    <w:rsid w:val="00807C82"/>
    <w:rsid w:val="008107EE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007"/>
    <w:rsid w:val="00825120"/>
    <w:rsid w:val="00825C4D"/>
    <w:rsid w:val="00826A08"/>
    <w:rsid w:val="00826AC0"/>
    <w:rsid w:val="00826D45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3CE"/>
    <w:rsid w:val="0083471A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1163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1EB6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5FB"/>
    <w:rsid w:val="00870ECD"/>
    <w:rsid w:val="0087347C"/>
    <w:rsid w:val="008734E7"/>
    <w:rsid w:val="0087368D"/>
    <w:rsid w:val="008740CC"/>
    <w:rsid w:val="0087442A"/>
    <w:rsid w:val="00874578"/>
    <w:rsid w:val="00874FE8"/>
    <w:rsid w:val="00875A32"/>
    <w:rsid w:val="00875CC1"/>
    <w:rsid w:val="00876086"/>
    <w:rsid w:val="00876651"/>
    <w:rsid w:val="00876E83"/>
    <w:rsid w:val="0087722C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2A5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5797"/>
    <w:rsid w:val="008967E9"/>
    <w:rsid w:val="00896A5C"/>
    <w:rsid w:val="00897155"/>
    <w:rsid w:val="008972D2"/>
    <w:rsid w:val="0089754C"/>
    <w:rsid w:val="00897CFA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1850"/>
    <w:rsid w:val="008B2639"/>
    <w:rsid w:val="008B3537"/>
    <w:rsid w:val="008B3690"/>
    <w:rsid w:val="008B3A80"/>
    <w:rsid w:val="008B3AEC"/>
    <w:rsid w:val="008B3C07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25A"/>
    <w:rsid w:val="008C0314"/>
    <w:rsid w:val="008C0E88"/>
    <w:rsid w:val="008C0EBE"/>
    <w:rsid w:val="008C1717"/>
    <w:rsid w:val="008C17F0"/>
    <w:rsid w:val="008C3A32"/>
    <w:rsid w:val="008C3B05"/>
    <w:rsid w:val="008C4B50"/>
    <w:rsid w:val="008C5A37"/>
    <w:rsid w:val="008C7569"/>
    <w:rsid w:val="008C79C3"/>
    <w:rsid w:val="008D006F"/>
    <w:rsid w:val="008D033D"/>
    <w:rsid w:val="008D06A2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D7F47"/>
    <w:rsid w:val="008E0001"/>
    <w:rsid w:val="008E039E"/>
    <w:rsid w:val="008E292B"/>
    <w:rsid w:val="008E2C57"/>
    <w:rsid w:val="008E31FF"/>
    <w:rsid w:val="008E3287"/>
    <w:rsid w:val="008E38E4"/>
    <w:rsid w:val="008E3DFA"/>
    <w:rsid w:val="008E51EB"/>
    <w:rsid w:val="008E5746"/>
    <w:rsid w:val="008E64D7"/>
    <w:rsid w:val="008E6DCB"/>
    <w:rsid w:val="008E6E5D"/>
    <w:rsid w:val="008E6F06"/>
    <w:rsid w:val="008E7000"/>
    <w:rsid w:val="008E723E"/>
    <w:rsid w:val="008E7B8E"/>
    <w:rsid w:val="008E7FC9"/>
    <w:rsid w:val="008F0107"/>
    <w:rsid w:val="008F029B"/>
    <w:rsid w:val="008F0589"/>
    <w:rsid w:val="008F130B"/>
    <w:rsid w:val="008F2A5D"/>
    <w:rsid w:val="008F2BC7"/>
    <w:rsid w:val="008F2E83"/>
    <w:rsid w:val="008F3636"/>
    <w:rsid w:val="008F3FC9"/>
    <w:rsid w:val="008F509F"/>
    <w:rsid w:val="008F525A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3B36"/>
    <w:rsid w:val="0091476D"/>
    <w:rsid w:val="00915D07"/>
    <w:rsid w:val="009162AE"/>
    <w:rsid w:val="00917154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239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0FA"/>
    <w:rsid w:val="0093648B"/>
    <w:rsid w:val="00937017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46C4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5BA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3"/>
    <w:rsid w:val="00977C3D"/>
    <w:rsid w:val="00980D3D"/>
    <w:rsid w:val="0098103E"/>
    <w:rsid w:val="0098157D"/>
    <w:rsid w:val="00983101"/>
    <w:rsid w:val="00983E41"/>
    <w:rsid w:val="009845E1"/>
    <w:rsid w:val="00984CE5"/>
    <w:rsid w:val="00984D1B"/>
    <w:rsid w:val="00986246"/>
    <w:rsid w:val="00987A30"/>
    <w:rsid w:val="00990312"/>
    <w:rsid w:val="009908AF"/>
    <w:rsid w:val="0099182E"/>
    <w:rsid w:val="00991D45"/>
    <w:rsid w:val="00992B49"/>
    <w:rsid w:val="00992BB3"/>
    <w:rsid w:val="00992CF3"/>
    <w:rsid w:val="00993194"/>
    <w:rsid w:val="0099321E"/>
    <w:rsid w:val="00993ECA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2B7"/>
    <w:rsid w:val="009A1CAB"/>
    <w:rsid w:val="009A2359"/>
    <w:rsid w:val="009A24F1"/>
    <w:rsid w:val="009A27E0"/>
    <w:rsid w:val="009A4D57"/>
    <w:rsid w:val="009A51A5"/>
    <w:rsid w:val="009A5309"/>
    <w:rsid w:val="009A5759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53D"/>
    <w:rsid w:val="009B59EA"/>
    <w:rsid w:val="009B5B6E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6EA6"/>
    <w:rsid w:val="009D7731"/>
    <w:rsid w:val="009D78C3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032E"/>
    <w:rsid w:val="009F1CA6"/>
    <w:rsid w:val="009F2921"/>
    <w:rsid w:val="009F42CF"/>
    <w:rsid w:val="009F4982"/>
    <w:rsid w:val="009F4CA7"/>
    <w:rsid w:val="009F4F6A"/>
    <w:rsid w:val="009F55BA"/>
    <w:rsid w:val="009F7D36"/>
    <w:rsid w:val="009F7D61"/>
    <w:rsid w:val="00A00470"/>
    <w:rsid w:val="00A00E71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B1"/>
    <w:rsid w:val="00A05EE4"/>
    <w:rsid w:val="00A06F99"/>
    <w:rsid w:val="00A1053B"/>
    <w:rsid w:val="00A10D66"/>
    <w:rsid w:val="00A113A4"/>
    <w:rsid w:val="00A12A8E"/>
    <w:rsid w:val="00A133F9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28B"/>
    <w:rsid w:val="00A20FE1"/>
    <w:rsid w:val="00A2102F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6777"/>
    <w:rsid w:val="00A269AB"/>
    <w:rsid w:val="00A2731E"/>
    <w:rsid w:val="00A309AC"/>
    <w:rsid w:val="00A30EA4"/>
    <w:rsid w:val="00A30F65"/>
    <w:rsid w:val="00A315D0"/>
    <w:rsid w:val="00A3279E"/>
    <w:rsid w:val="00A33DB1"/>
    <w:rsid w:val="00A33EEB"/>
    <w:rsid w:val="00A351C8"/>
    <w:rsid w:val="00A35900"/>
    <w:rsid w:val="00A35F33"/>
    <w:rsid w:val="00A401A3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240"/>
    <w:rsid w:val="00A4786C"/>
    <w:rsid w:val="00A478BA"/>
    <w:rsid w:val="00A50D73"/>
    <w:rsid w:val="00A518BB"/>
    <w:rsid w:val="00A52A88"/>
    <w:rsid w:val="00A52CAD"/>
    <w:rsid w:val="00A53340"/>
    <w:rsid w:val="00A53FC7"/>
    <w:rsid w:val="00A55569"/>
    <w:rsid w:val="00A55C36"/>
    <w:rsid w:val="00A5661B"/>
    <w:rsid w:val="00A566A0"/>
    <w:rsid w:val="00A601E7"/>
    <w:rsid w:val="00A60AC1"/>
    <w:rsid w:val="00A62162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09AD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36F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C7B96"/>
    <w:rsid w:val="00AD0B22"/>
    <w:rsid w:val="00AD0EE7"/>
    <w:rsid w:val="00AD168E"/>
    <w:rsid w:val="00AD306C"/>
    <w:rsid w:val="00AD44CD"/>
    <w:rsid w:val="00AD47A7"/>
    <w:rsid w:val="00AD5AD2"/>
    <w:rsid w:val="00AD6462"/>
    <w:rsid w:val="00AD66C5"/>
    <w:rsid w:val="00AD68C4"/>
    <w:rsid w:val="00AD71F9"/>
    <w:rsid w:val="00AE09B3"/>
    <w:rsid w:val="00AE1A83"/>
    <w:rsid w:val="00AE2A78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60D"/>
    <w:rsid w:val="00AF6776"/>
    <w:rsid w:val="00AF6F98"/>
    <w:rsid w:val="00AF7277"/>
    <w:rsid w:val="00B00550"/>
    <w:rsid w:val="00B00913"/>
    <w:rsid w:val="00B00D4D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27EC6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160"/>
    <w:rsid w:val="00B3563B"/>
    <w:rsid w:val="00B36BDC"/>
    <w:rsid w:val="00B37D3A"/>
    <w:rsid w:val="00B37D96"/>
    <w:rsid w:val="00B402FC"/>
    <w:rsid w:val="00B422E2"/>
    <w:rsid w:val="00B42517"/>
    <w:rsid w:val="00B42902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274C"/>
    <w:rsid w:val="00B63A11"/>
    <w:rsid w:val="00B64425"/>
    <w:rsid w:val="00B64C24"/>
    <w:rsid w:val="00B64E72"/>
    <w:rsid w:val="00B65CEF"/>
    <w:rsid w:val="00B6608F"/>
    <w:rsid w:val="00B674C7"/>
    <w:rsid w:val="00B67749"/>
    <w:rsid w:val="00B679FB"/>
    <w:rsid w:val="00B71FBF"/>
    <w:rsid w:val="00B734A0"/>
    <w:rsid w:val="00B73A14"/>
    <w:rsid w:val="00B748BD"/>
    <w:rsid w:val="00B74964"/>
    <w:rsid w:val="00B76100"/>
    <w:rsid w:val="00B7680F"/>
    <w:rsid w:val="00B76B48"/>
    <w:rsid w:val="00B76D1E"/>
    <w:rsid w:val="00B77543"/>
    <w:rsid w:val="00B77584"/>
    <w:rsid w:val="00B77E34"/>
    <w:rsid w:val="00B80D4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5C12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9DB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5F94"/>
    <w:rsid w:val="00BB6EA2"/>
    <w:rsid w:val="00BB714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C7EFA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4BB"/>
    <w:rsid w:val="00BE386D"/>
    <w:rsid w:val="00BE4DA9"/>
    <w:rsid w:val="00BE54BF"/>
    <w:rsid w:val="00BE557B"/>
    <w:rsid w:val="00BE55EF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65C"/>
    <w:rsid w:val="00BF77FC"/>
    <w:rsid w:val="00C006D6"/>
    <w:rsid w:val="00C00BD7"/>
    <w:rsid w:val="00C01410"/>
    <w:rsid w:val="00C024BB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0805"/>
    <w:rsid w:val="00C11244"/>
    <w:rsid w:val="00C118A9"/>
    <w:rsid w:val="00C11D48"/>
    <w:rsid w:val="00C12304"/>
    <w:rsid w:val="00C12316"/>
    <w:rsid w:val="00C1246C"/>
    <w:rsid w:val="00C1493E"/>
    <w:rsid w:val="00C15537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272B"/>
    <w:rsid w:val="00C234DB"/>
    <w:rsid w:val="00C23C5C"/>
    <w:rsid w:val="00C2479A"/>
    <w:rsid w:val="00C24903"/>
    <w:rsid w:val="00C2590D"/>
    <w:rsid w:val="00C25D9C"/>
    <w:rsid w:val="00C26086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35E8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655DA"/>
    <w:rsid w:val="00C672C1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019E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67F9"/>
    <w:rsid w:val="00C872AA"/>
    <w:rsid w:val="00C87C6B"/>
    <w:rsid w:val="00C90357"/>
    <w:rsid w:val="00C90CF4"/>
    <w:rsid w:val="00C91C20"/>
    <w:rsid w:val="00C922DE"/>
    <w:rsid w:val="00C92843"/>
    <w:rsid w:val="00C929FE"/>
    <w:rsid w:val="00C92EB6"/>
    <w:rsid w:val="00C93389"/>
    <w:rsid w:val="00C948E6"/>
    <w:rsid w:val="00C94CDD"/>
    <w:rsid w:val="00C95123"/>
    <w:rsid w:val="00C97588"/>
    <w:rsid w:val="00CA0346"/>
    <w:rsid w:val="00CA0BD5"/>
    <w:rsid w:val="00CA0DA1"/>
    <w:rsid w:val="00CA1BD6"/>
    <w:rsid w:val="00CA37FF"/>
    <w:rsid w:val="00CA423A"/>
    <w:rsid w:val="00CA47BC"/>
    <w:rsid w:val="00CA5EAD"/>
    <w:rsid w:val="00CA6AB4"/>
    <w:rsid w:val="00CA7255"/>
    <w:rsid w:val="00CA79E2"/>
    <w:rsid w:val="00CB111E"/>
    <w:rsid w:val="00CB1BEE"/>
    <w:rsid w:val="00CB2351"/>
    <w:rsid w:val="00CB3605"/>
    <w:rsid w:val="00CB4022"/>
    <w:rsid w:val="00CB4930"/>
    <w:rsid w:val="00CB4BA9"/>
    <w:rsid w:val="00CB4C48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469E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8BF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6331"/>
    <w:rsid w:val="00CD7E9E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5E12"/>
    <w:rsid w:val="00CE62FA"/>
    <w:rsid w:val="00CE670B"/>
    <w:rsid w:val="00CE6833"/>
    <w:rsid w:val="00CE7562"/>
    <w:rsid w:val="00CF020B"/>
    <w:rsid w:val="00CF0E03"/>
    <w:rsid w:val="00CF15BF"/>
    <w:rsid w:val="00CF2E4D"/>
    <w:rsid w:val="00CF35A7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07CC2"/>
    <w:rsid w:val="00D10C15"/>
    <w:rsid w:val="00D11011"/>
    <w:rsid w:val="00D11476"/>
    <w:rsid w:val="00D12C25"/>
    <w:rsid w:val="00D133B4"/>
    <w:rsid w:val="00D13986"/>
    <w:rsid w:val="00D13F3E"/>
    <w:rsid w:val="00D14C5B"/>
    <w:rsid w:val="00D15D3A"/>
    <w:rsid w:val="00D15FED"/>
    <w:rsid w:val="00D16712"/>
    <w:rsid w:val="00D174E0"/>
    <w:rsid w:val="00D214EF"/>
    <w:rsid w:val="00D215B0"/>
    <w:rsid w:val="00D21B36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133"/>
    <w:rsid w:val="00D269B9"/>
    <w:rsid w:val="00D27973"/>
    <w:rsid w:val="00D27F3A"/>
    <w:rsid w:val="00D31537"/>
    <w:rsid w:val="00D31E1E"/>
    <w:rsid w:val="00D322A0"/>
    <w:rsid w:val="00D32824"/>
    <w:rsid w:val="00D334E2"/>
    <w:rsid w:val="00D335E5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8E9"/>
    <w:rsid w:val="00D41F74"/>
    <w:rsid w:val="00D428C8"/>
    <w:rsid w:val="00D43034"/>
    <w:rsid w:val="00D43ED2"/>
    <w:rsid w:val="00D50F46"/>
    <w:rsid w:val="00D5302A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DAE"/>
    <w:rsid w:val="00D60E3C"/>
    <w:rsid w:val="00D60FA7"/>
    <w:rsid w:val="00D61FAB"/>
    <w:rsid w:val="00D62C4E"/>
    <w:rsid w:val="00D63BE5"/>
    <w:rsid w:val="00D6475F"/>
    <w:rsid w:val="00D652EB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2CD7"/>
    <w:rsid w:val="00D932B8"/>
    <w:rsid w:val="00D932F0"/>
    <w:rsid w:val="00D95302"/>
    <w:rsid w:val="00D95889"/>
    <w:rsid w:val="00D95C5D"/>
    <w:rsid w:val="00D95CBE"/>
    <w:rsid w:val="00D95E7F"/>
    <w:rsid w:val="00D97D00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13EF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B4D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5F11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273F"/>
    <w:rsid w:val="00DE27CD"/>
    <w:rsid w:val="00DE3231"/>
    <w:rsid w:val="00DE3E22"/>
    <w:rsid w:val="00DE3E5D"/>
    <w:rsid w:val="00DE450F"/>
    <w:rsid w:val="00DE4865"/>
    <w:rsid w:val="00DE5CA6"/>
    <w:rsid w:val="00DE5E55"/>
    <w:rsid w:val="00DE63AE"/>
    <w:rsid w:val="00DE7156"/>
    <w:rsid w:val="00DE7AC8"/>
    <w:rsid w:val="00DF0830"/>
    <w:rsid w:val="00DF2C5D"/>
    <w:rsid w:val="00DF2CD3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05333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131"/>
    <w:rsid w:val="00E41179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D22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47C1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6EE4"/>
    <w:rsid w:val="00E77CC0"/>
    <w:rsid w:val="00E80B3D"/>
    <w:rsid w:val="00E80CA3"/>
    <w:rsid w:val="00E81AAA"/>
    <w:rsid w:val="00E82618"/>
    <w:rsid w:val="00E82A42"/>
    <w:rsid w:val="00E84E09"/>
    <w:rsid w:val="00E87CE2"/>
    <w:rsid w:val="00E87D5B"/>
    <w:rsid w:val="00E90CA8"/>
    <w:rsid w:val="00E911C6"/>
    <w:rsid w:val="00E920DE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1CDC"/>
    <w:rsid w:val="00EB1D89"/>
    <w:rsid w:val="00EB3E60"/>
    <w:rsid w:val="00EB4511"/>
    <w:rsid w:val="00EB48D7"/>
    <w:rsid w:val="00EB49F1"/>
    <w:rsid w:val="00EB4A8E"/>
    <w:rsid w:val="00EB4BC5"/>
    <w:rsid w:val="00EB5BF7"/>
    <w:rsid w:val="00EB5E79"/>
    <w:rsid w:val="00EB6473"/>
    <w:rsid w:val="00EB6DA6"/>
    <w:rsid w:val="00EB6FAC"/>
    <w:rsid w:val="00EB7BAC"/>
    <w:rsid w:val="00EB7CC9"/>
    <w:rsid w:val="00EC03D7"/>
    <w:rsid w:val="00EC13A7"/>
    <w:rsid w:val="00EC2EB6"/>
    <w:rsid w:val="00EC4FFF"/>
    <w:rsid w:val="00EC5517"/>
    <w:rsid w:val="00EC6E8C"/>
    <w:rsid w:val="00ED0962"/>
    <w:rsid w:val="00ED0EF0"/>
    <w:rsid w:val="00ED0F73"/>
    <w:rsid w:val="00ED12B9"/>
    <w:rsid w:val="00ED16B8"/>
    <w:rsid w:val="00ED1959"/>
    <w:rsid w:val="00ED1A00"/>
    <w:rsid w:val="00ED1DF0"/>
    <w:rsid w:val="00ED2386"/>
    <w:rsid w:val="00ED2525"/>
    <w:rsid w:val="00ED2EA1"/>
    <w:rsid w:val="00ED3851"/>
    <w:rsid w:val="00ED3E51"/>
    <w:rsid w:val="00ED3F10"/>
    <w:rsid w:val="00ED3F9B"/>
    <w:rsid w:val="00ED3FB3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01C"/>
    <w:rsid w:val="00EE6A09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4CF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4955"/>
    <w:rsid w:val="00F052D2"/>
    <w:rsid w:val="00F06002"/>
    <w:rsid w:val="00F067B8"/>
    <w:rsid w:val="00F0730A"/>
    <w:rsid w:val="00F073ED"/>
    <w:rsid w:val="00F07C4C"/>
    <w:rsid w:val="00F07E45"/>
    <w:rsid w:val="00F10F11"/>
    <w:rsid w:val="00F11159"/>
    <w:rsid w:val="00F1152E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9CE"/>
    <w:rsid w:val="00F24FAA"/>
    <w:rsid w:val="00F25040"/>
    <w:rsid w:val="00F269D7"/>
    <w:rsid w:val="00F26FB5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917"/>
    <w:rsid w:val="00F53A68"/>
    <w:rsid w:val="00F54934"/>
    <w:rsid w:val="00F55A92"/>
    <w:rsid w:val="00F5615B"/>
    <w:rsid w:val="00F575D3"/>
    <w:rsid w:val="00F5798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4F8"/>
    <w:rsid w:val="00F87A4D"/>
    <w:rsid w:val="00F90EEB"/>
    <w:rsid w:val="00F9135C"/>
    <w:rsid w:val="00F91B66"/>
    <w:rsid w:val="00F9354A"/>
    <w:rsid w:val="00F93688"/>
    <w:rsid w:val="00F939F3"/>
    <w:rsid w:val="00F93C6E"/>
    <w:rsid w:val="00F93F2C"/>
    <w:rsid w:val="00F947E9"/>
    <w:rsid w:val="00F962AD"/>
    <w:rsid w:val="00F9644E"/>
    <w:rsid w:val="00FA0105"/>
    <w:rsid w:val="00FA05A0"/>
    <w:rsid w:val="00FA0AEF"/>
    <w:rsid w:val="00FA17CC"/>
    <w:rsid w:val="00FA1CFE"/>
    <w:rsid w:val="00FA1EE7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1BA4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2C5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372"/>
    <w:rsid w:val="00FD4916"/>
    <w:rsid w:val="00FD4D12"/>
    <w:rsid w:val="00FD4F73"/>
    <w:rsid w:val="00FD595E"/>
    <w:rsid w:val="00FD7802"/>
    <w:rsid w:val="00FD7D3B"/>
    <w:rsid w:val="00FD7FBE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0F79"/>
    <w:rsid w:val="00FF1136"/>
    <w:rsid w:val="00FF3D76"/>
    <w:rsid w:val="00FF5B8C"/>
    <w:rsid w:val="00FF63E6"/>
    <w:rsid w:val="00FF72DC"/>
    <w:rsid w:val="00FF7B96"/>
    <w:rsid w:val="019CB78C"/>
    <w:rsid w:val="0523CDF2"/>
    <w:rsid w:val="06B1A837"/>
    <w:rsid w:val="0EBE9DEC"/>
    <w:rsid w:val="12650F4E"/>
    <w:rsid w:val="1394E51D"/>
    <w:rsid w:val="17513AF8"/>
    <w:rsid w:val="2A0E9F3A"/>
    <w:rsid w:val="2A2A6298"/>
    <w:rsid w:val="38C72AFC"/>
    <w:rsid w:val="3C7646FC"/>
    <w:rsid w:val="3E4A9713"/>
    <w:rsid w:val="47207A7B"/>
    <w:rsid w:val="48038D4B"/>
    <w:rsid w:val="49E8263C"/>
    <w:rsid w:val="4A567F3C"/>
    <w:rsid w:val="50A35788"/>
    <w:rsid w:val="52944939"/>
    <w:rsid w:val="5536E42E"/>
    <w:rsid w:val="5CF587E8"/>
    <w:rsid w:val="6AEA4E8B"/>
    <w:rsid w:val="6AEC8A78"/>
    <w:rsid w:val="6D951AA9"/>
    <w:rsid w:val="7059F910"/>
    <w:rsid w:val="74EA3077"/>
    <w:rsid w:val="75B5B795"/>
    <w:rsid w:val="78E73CD1"/>
    <w:rsid w:val="7F508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BBA9E39CFCF469C5C18733081B222" ma:contentTypeVersion="2" ma:contentTypeDescription="Vytvoří nový dokument" ma:contentTypeScope="" ma:versionID="eb01c1c0223ab0a1c9372071ddfa2e5f">
  <xsd:schema xmlns:xsd="http://www.w3.org/2001/XMLSchema" xmlns:xs="http://www.w3.org/2001/XMLSchema" xmlns:p="http://schemas.microsoft.com/office/2006/metadata/properties" xmlns:ns2="eabc42bd-08fe-4a27-9645-04f6ad96d74a" targetNamespace="http://schemas.microsoft.com/office/2006/metadata/properties" ma:root="true" ma:fieldsID="3d4f44d82d427914eb8ec1afbd279452" ns2:_="">
    <xsd:import namespace="eabc42bd-08fe-4a27-9645-04f6ad96d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42bd-08fe-4a27-9645-04f6ad96d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38702-393C-4E0B-95FC-639749005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87926D-EFC2-4F8B-B71C-495191F49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0C5A8-E1D4-45B9-A6FC-B1B245DAB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c42bd-08fe-4a27-9645-04f6ad96d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5F0B92-B507-43F0-9714-8599D0597B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E3C7DB-C77F-4816-A277-07B4E74C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5</TotalTime>
  <Pages>2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Zábojníková Karolína</cp:lastModifiedBy>
  <cp:revision>5</cp:revision>
  <cp:lastPrinted>2023-06-09T17:23:00Z</cp:lastPrinted>
  <dcterms:created xsi:type="dcterms:W3CDTF">2023-06-15T09:42:00Z</dcterms:created>
  <dcterms:modified xsi:type="dcterms:W3CDTF">2023-06-15T09:48:00Z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0x010100331BBA9E39CFCF469C5C18733081B222</vt:lpwstr>
  </property>
</Properties>
</file>