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5BDD3" w14:textId="77777777" w:rsidR="00151B99" w:rsidRPr="00C42FD6" w:rsidRDefault="00151B99" w:rsidP="00151B99">
      <w:pPr>
        <w:pStyle w:val="Nadpis2"/>
      </w:pPr>
      <w:bookmarkStart w:id="0" w:name="_Toc444112495"/>
      <w:bookmarkStart w:id="1" w:name="_Toc136412147"/>
      <w:bookmarkStart w:id="2" w:name="_Toc167965222"/>
      <w:r w:rsidRPr="00C42FD6">
        <w:t>4. Analytická část</w:t>
      </w:r>
      <w:bookmarkEnd w:id="1"/>
      <w:bookmarkEnd w:id="2"/>
    </w:p>
    <w:p w14:paraId="01B01D99" w14:textId="77777777" w:rsidR="00151B99" w:rsidRPr="008927A8" w:rsidRDefault="00151B99" w:rsidP="00151B99">
      <w:pPr>
        <w:pStyle w:val="Nadpis3"/>
      </w:pPr>
      <w:bookmarkStart w:id="3" w:name="_Toc136412148"/>
      <w:bookmarkStart w:id="4" w:name="_Toc167965223"/>
      <w:r w:rsidRPr="008927A8">
        <w:t>4.1 Nemocensky pojištěné osoby</w:t>
      </w:r>
      <w:bookmarkEnd w:id="3"/>
      <w:bookmarkEnd w:id="4"/>
    </w:p>
    <w:p w14:paraId="5C6C372B" w14:textId="77777777" w:rsidR="00151B99" w:rsidRPr="00DA421C" w:rsidRDefault="00151B99" w:rsidP="00151B99">
      <w:pPr>
        <w:spacing w:after="120"/>
        <w:jc w:val="both"/>
      </w:pPr>
      <w:r w:rsidRPr="00DA421C">
        <w:t>Základním ukazatelem, ke kterému se vztahují údaje o pracovní neschopnosti, je ukazatel průměrného počtu nemocensky pojištěných osob.</w:t>
      </w:r>
    </w:p>
    <w:p w14:paraId="3E8D5C7E" w14:textId="77777777" w:rsidR="00151B99" w:rsidRPr="00DA421C" w:rsidRDefault="00151B99" w:rsidP="00151B99">
      <w:pPr>
        <w:pStyle w:val="Box1"/>
        <w:spacing w:before="120" w:after="120"/>
        <w:ind w:left="0"/>
        <w:contextualSpacing w:val="0"/>
        <w:jc w:val="both"/>
        <w:rPr>
          <w:i/>
        </w:rPr>
      </w:pPr>
      <w:r w:rsidRPr="00DA421C">
        <w:rPr>
          <w:b/>
          <w:i/>
        </w:rPr>
        <w:t xml:space="preserve">Průměrný počet nemocensky pojištěných osob </w:t>
      </w:r>
      <w:r w:rsidRPr="00DA421C">
        <w:rPr>
          <w:i/>
        </w:rPr>
        <w:t xml:space="preserve">– ukazatel udává průměrný počet osob, které jsou povinně či dobrovolně nemocensky pojištěné podle zákona č. 187/2006 Sb., o nemocenském pojištění, ve znění pozdějších předpisů. Zahrnuje všechny osoby, které byly alespoň po jeden den vykazovaného období nemocensky pojištěné. V případě více překrývajících se pojistných vztahů pojištěnce v rámci jednoho zaměstnavatele a jedné mzdové účtárny se započítává pojištěnec pouze jedenkrát. V ostatních případech je pojištěnec započítáván tolikrát, kolik má pracovněprávních pojistných vztahů. </w:t>
      </w:r>
    </w:p>
    <w:p w14:paraId="50221F85" w14:textId="77777777" w:rsidR="00151B99" w:rsidRPr="00DA421C" w:rsidRDefault="00151B99" w:rsidP="00151B99">
      <w:pPr>
        <w:pStyle w:val="Box1"/>
        <w:ind w:left="0"/>
        <w:jc w:val="both"/>
        <w:rPr>
          <w:i/>
          <w:u w:val="single"/>
        </w:rPr>
      </w:pPr>
      <w:r w:rsidRPr="00DA421C">
        <w:rPr>
          <w:i/>
          <w:u w:val="single"/>
        </w:rPr>
        <w:t>Poznámka:</w:t>
      </w:r>
    </w:p>
    <w:p w14:paraId="482011AD" w14:textId="77777777" w:rsidR="00151B99" w:rsidRPr="00DA421C" w:rsidRDefault="00151B99" w:rsidP="00151B99">
      <w:pPr>
        <w:pStyle w:val="Box1"/>
        <w:ind w:left="0"/>
        <w:jc w:val="both"/>
        <w:rPr>
          <w:i/>
        </w:rPr>
      </w:pPr>
      <w:r w:rsidRPr="00DA421C">
        <w:rPr>
          <w:i/>
        </w:rPr>
        <w:t xml:space="preserve">Do průměrného počtu nemocensky pojištěných nejsou započteni vojáci z povolání a příslušníci Policie ČR, Hasičského záchranného sboru ČR, Celní správy ČR, Vězeňské služby ČR, Generální inspekce bezpečnostních sborů, Bezpečnostní informační služby a Úřadu pro zahraniční styky a informace. </w:t>
      </w:r>
    </w:p>
    <w:p w14:paraId="1152E3F4" w14:textId="77777777" w:rsidR="00151B99" w:rsidRPr="00DA421C" w:rsidRDefault="00151B99" w:rsidP="00151B99">
      <w:pPr>
        <w:pStyle w:val="Box1"/>
        <w:ind w:left="0"/>
        <w:jc w:val="both"/>
        <w:rPr>
          <w:i/>
          <w:u w:val="single"/>
        </w:rPr>
      </w:pPr>
      <w:r w:rsidRPr="00DA421C">
        <w:rPr>
          <w:i/>
          <w:u w:val="single"/>
        </w:rPr>
        <w:t>Způsob výpočtu:</w:t>
      </w:r>
    </w:p>
    <w:p w14:paraId="33FFD3C5" w14:textId="72398C0F" w:rsidR="00151B99" w:rsidRDefault="00151B99" w:rsidP="00151B99">
      <w:pPr>
        <w:pStyle w:val="Box1"/>
        <w:spacing w:before="120" w:after="120"/>
        <w:ind w:left="0"/>
        <w:contextualSpacing w:val="0"/>
        <w:jc w:val="both"/>
        <w:rPr>
          <w:i/>
        </w:rPr>
      </w:pPr>
      <w:r w:rsidRPr="00DA421C">
        <w:rPr>
          <w:i/>
        </w:rPr>
        <w:t>Průměrný počet nemocensky pojištěných osob = počet dnů nemocenského pojištění jednotlivých pojištěných osob ve vykazovaném období / počet kalendářních dnů ve vykazovaném období.</w:t>
      </w:r>
    </w:p>
    <w:p w14:paraId="6863E820" w14:textId="75E544D1" w:rsidR="00151B99" w:rsidRPr="00251BF8" w:rsidRDefault="00151B99" w:rsidP="00151B99">
      <w:pPr>
        <w:spacing w:after="120"/>
        <w:jc w:val="both"/>
        <w:rPr>
          <w:rFonts w:cs="Arial"/>
          <w:bCs/>
          <w:color w:val="000000"/>
          <w:szCs w:val="20"/>
        </w:rPr>
      </w:pPr>
      <w:r w:rsidRPr="00251BF8">
        <w:rPr>
          <w:rFonts w:cs="Arial"/>
          <w:bCs/>
          <w:color w:val="000000"/>
          <w:szCs w:val="20"/>
        </w:rPr>
        <w:t xml:space="preserve">V roce 2023 činil průměrný počet nemocensky pojištěných </w:t>
      </w:r>
      <w:r w:rsidRPr="00251BF8">
        <w:rPr>
          <w:rFonts w:cs="Arial"/>
          <w:b/>
          <w:bCs/>
          <w:color w:val="000000"/>
          <w:szCs w:val="20"/>
        </w:rPr>
        <w:t>celkem</w:t>
      </w:r>
      <w:r w:rsidRPr="00251BF8">
        <w:rPr>
          <w:rFonts w:cs="Arial"/>
          <w:bCs/>
          <w:color w:val="000000"/>
          <w:szCs w:val="20"/>
        </w:rPr>
        <w:t xml:space="preserve"> </w:t>
      </w:r>
      <w:r w:rsidRPr="00251BF8">
        <w:rPr>
          <w:rFonts w:cs="Arial"/>
          <w:b/>
          <w:bCs/>
          <w:color w:val="000000"/>
          <w:szCs w:val="20"/>
        </w:rPr>
        <w:t>4 767 tis. osob</w:t>
      </w:r>
      <w:r w:rsidRPr="00251BF8">
        <w:rPr>
          <w:rFonts w:cs="Arial"/>
          <w:bCs/>
          <w:color w:val="000000"/>
          <w:szCs w:val="20"/>
        </w:rPr>
        <w:t xml:space="preserve">, tedy téměř o 20 tis. (tj. o 0,4 %) více než před rokem. Po poklesu v roce 2020, na kterém se zřejmě odrazilo propouštění v některých odvětvích kvůli epidemii nemoci covid-19, se už v roce 2022 počet nemocensky pojištěných vrátil na hodnoty z roku 2018 a 2019, ba je dokonce překonal. V roce 2022 meziročně vzrostl počet nemocensky pojištěných téměř o 40 tis. Na meziročním nárůstu se mohou podílet i občané z Ukrajiny, kteří zejména během 1. pol. roku 2022 přicestovali do České republiky a při zaměstnání jim vznikla účast na nemocenském pojištění, tudíž jsou součástí českého systému nemocenského pojištění. </w:t>
      </w:r>
    </w:p>
    <w:p w14:paraId="24BF1F06" w14:textId="78DDF195" w:rsidR="00151B99" w:rsidRDefault="00151B99" w:rsidP="00151B99">
      <w:pPr>
        <w:spacing w:after="120"/>
        <w:jc w:val="both"/>
      </w:pPr>
      <w:r w:rsidRPr="00251BF8">
        <w:rPr>
          <w:rFonts w:cs="Arial"/>
          <w:bCs/>
          <w:color w:val="000000"/>
          <w:szCs w:val="20"/>
        </w:rPr>
        <w:t>Podruhé v řadě za sebou v desetileté historii bylo mezi pojištěnci více žen (50,6 %) než mužů (49,4 %). V roce 2023 bylo nemocensky pojištěných 2 413 tis. žen a 2 354 tis. mužů. To opět patrně souvisí s příchodem občanů, resp. převážně právě občanek – žen se svými potomky – z Ukrajiny. V</w:t>
      </w:r>
      <w:r w:rsidRPr="00251BF8">
        <w:t xml:space="preserve">liv může mít i zvyšující se věk žen při odchodu do důchodu. </w:t>
      </w:r>
      <w:r w:rsidRPr="00251BF8">
        <w:rPr>
          <w:rFonts w:cs="Arial"/>
          <w:bCs/>
          <w:color w:val="000000"/>
          <w:szCs w:val="20"/>
        </w:rPr>
        <w:t>Meziročně vzrostl počet pojištěných žen o 23,5 tis. (v relativním vyjádření o necelé 1 %), zatímco mezi muži byl zaznamenán pokles o 4,6 tis. (tj. o 0,2 %).</w:t>
      </w:r>
    </w:p>
    <w:p w14:paraId="085DA973" w14:textId="77777777" w:rsidR="00151B99" w:rsidRDefault="00151B99" w:rsidP="00FC2CD8">
      <w:pPr>
        <w:spacing w:after="120"/>
        <w:jc w:val="both"/>
        <w:rPr>
          <w:b/>
        </w:rPr>
      </w:pPr>
      <w:r w:rsidRPr="00151B99">
        <w:rPr>
          <w:b/>
        </w:rPr>
        <w:t>Tab. 1.1: Průměrný počet nemocensky pojištěných osob, 2013–2023 (v tis.)</w:t>
      </w:r>
    </w:p>
    <w:tbl>
      <w:tblPr>
        <w:tblW w:w="9690" w:type="dxa"/>
        <w:tblCellMar>
          <w:left w:w="70" w:type="dxa"/>
          <w:right w:w="70" w:type="dxa"/>
        </w:tblCellMar>
        <w:tblLook w:val="04A0" w:firstRow="1" w:lastRow="0" w:firstColumn="1" w:lastColumn="0" w:noHBand="0" w:noVBand="1"/>
      </w:tblPr>
      <w:tblGrid>
        <w:gridCol w:w="850"/>
        <w:gridCol w:w="960"/>
        <w:gridCol w:w="960"/>
        <w:gridCol w:w="960"/>
        <w:gridCol w:w="1060"/>
        <w:gridCol w:w="960"/>
        <w:gridCol w:w="960"/>
        <w:gridCol w:w="960"/>
        <w:gridCol w:w="1060"/>
        <w:gridCol w:w="960"/>
      </w:tblGrid>
      <w:tr w:rsidR="00151B99" w:rsidRPr="00151B99" w14:paraId="264937CC" w14:textId="77777777" w:rsidTr="00151B99">
        <w:trPr>
          <w:trHeight w:val="300"/>
        </w:trPr>
        <w:tc>
          <w:tcPr>
            <w:tcW w:w="850" w:type="dxa"/>
            <w:vMerge w:val="restart"/>
            <w:tcBorders>
              <w:top w:val="single" w:sz="4" w:space="0" w:color="auto"/>
              <w:left w:val="nil"/>
              <w:bottom w:val="single" w:sz="4" w:space="0" w:color="000000"/>
              <w:right w:val="single" w:sz="4" w:space="0" w:color="auto"/>
            </w:tcBorders>
            <w:shd w:val="clear" w:color="000000" w:fill="F5DADD"/>
            <w:vAlign w:val="center"/>
            <w:hideMark/>
          </w:tcPr>
          <w:p w14:paraId="46496ED0"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Rok</w:t>
            </w:r>
          </w:p>
        </w:tc>
        <w:tc>
          <w:tcPr>
            <w:tcW w:w="960" w:type="dxa"/>
            <w:vMerge w:val="restart"/>
            <w:tcBorders>
              <w:top w:val="single" w:sz="4" w:space="0" w:color="auto"/>
              <w:left w:val="nil"/>
              <w:bottom w:val="single" w:sz="4" w:space="0" w:color="000000"/>
              <w:right w:val="nil"/>
            </w:tcBorders>
            <w:shd w:val="clear" w:color="000000" w:fill="F2DBDB"/>
            <w:vAlign w:val="center"/>
            <w:hideMark/>
          </w:tcPr>
          <w:p w14:paraId="0A2D0C0A" w14:textId="77777777" w:rsidR="00151B99" w:rsidRPr="00151B99" w:rsidRDefault="00151B99" w:rsidP="00151B99">
            <w:pPr>
              <w:spacing w:after="0" w:line="240" w:lineRule="auto"/>
              <w:jc w:val="center"/>
              <w:rPr>
                <w:rFonts w:cs="Arial"/>
                <w:b/>
                <w:bCs/>
                <w:color w:val="000000"/>
                <w:sz w:val="16"/>
                <w:szCs w:val="16"/>
              </w:rPr>
            </w:pPr>
            <w:r w:rsidRPr="00151B99">
              <w:rPr>
                <w:rFonts w:cs="Arial"/>
                <w:b/>
                <w:bCs/>
                <w:color w:val="000000"/>
                <w:sz w:val="16"/>
                <w:szCs w:val="16"/>
              </w:rPr>
              <w:t>Celkem</w:t>
            </w:r>
          </w:p>
        </w:tc>
        <w:tc>
          <w:tcPr>
            <w:tcW w:w="1920" w:type="dxa"/>
            <w:gridSpan w:val="2"/>
            <w:tcBorders>
              <w:top w:val="single" w:sz="4" w:space="0" w:color="auto"/>
              <w:left w:val="single" w:sz="4" w:space="0" w:color="auto"/>
              <w:bottom w:val="single" w:sz="4" w:space="0" w:color="auto"/>
              <w:right w:val="single" w:sz="4" w:space="0" w:color="auto"/>
            </w:tcBorders>
            <w:shd w:val="clear" w:color="000000" w:fill="F2DBDB"/>
            <w:vAlign w:val="center"/>
            <w:hideMark/>
          </w:tcPr>
          <w:p w14:paraId="7D339360"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podle pohlaví</w:t>
            </w:r>
          </w:p>
        </w:tc>
        <w:tc>
          <w:tcPr>
            <w:tcW w:w="1060" w:type="dxa"/>
            <w:vMerge w:val="restart"/>
            <w:tcBorders>
              <w:top w:val="single" w:sz="4" w:space="0" w:color="auto"/>
              <w:left w:val="nil"/>
              <w:bottom w:val="single" w:sz="4" w:space="0" w:color="000000"/>
              <w:right w:val="nil"/>
            </w:tcBorders>
            <w:shd w:val="clear" w:color="000000" w:fill="F2DBDB"/>
            <w:vAlign w:val="center"/>
            <w:hideMark/>
          </w:tcPr>
          <w:p w14:paraId="3EA9CF79"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Zaměstnanci</w:t>
            </w:r>
          </w:p>
        </w:tc>
        <w:tc>
          <w:tcPr>
            <w:tcW w:w="1920" w:type="dxa"/>
            <w:gridSpan w:val="2"/>
            <w:tcBorders>
              <w:top w:val="single" w:sz="4" w:space="0" w:color="auto"/>
              <w:left w:val="single" w:sz="4" w:space="0" w:color="auto"/>
              <w:bottom w:val="single" w:sz="4" w:space="0" w:color="auto"/>
              <w:right w:val="single" w:sz="4" w:space="0" w:color="auto"/>
            </w:tcBorders>
            <w:shd w:val="clear" w:color="000000" w:fill="F2DBDB"/>
            <w:vAlign w:val="center"/>
            <w:hideMark/>
          </w:tcPr>
          <w:p w14:paraId="138929B4"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podle pohlaví</w:t>
            </w:r>
          </w:p>
        </w:tc>
        <w:tc>
          <w:tcPr>
            <w:tcW w:w="960" w:type="dxa"/>
            <w:vMerge w:val="restart"/>
            <w:tcBorders>
              <w:top w:val="single" w:sz="4" w:space="0" w:color="auto"/>
              <w:left w:val="nil"/>
              <w:bottom w:val="single" w:sz="4" w:space="0" w:color="000000"/>
              <w:right w:val="nil"/>
            </w:tcBorders>
            <w:shd w:val="clear" w:color="000000" w:fill="F2DBDB"/>
            <w:vAlign w:val="center"/>
            <w:hideMark/>
          </w:tcPr>
          <w:p w14:paraId="1011A294"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OSVČ</w:t>
            </w:r>
          </w:p>
        </w:tc>
        <w:tc>
          <w:tcPr>
            <w:tcW w:w="2020" w:type="dxa"/>
            <w:gridSpan w:val="2"/>
            <w:tcBorders>
              <w:top w:val="single" w:sz="4" w:space="0" w:color="auto"/>
              <w:left w:val="single" w:sz="4" w:space="0" w:color="auto"/>
              <w:bottom w:val="single" w:sz="4" w:space="0" w:color="auto"/>
            </w:tcBorders>
            <w:shd w:val="clear" w:color="000000" w:fill="F2DBDB"/>
            <w:vAlign w:val="center"/>
            <w:hideMark/>
          </w:tcPr>
          <w:p w14:paraId="0F96C67C"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podle pohlaví</w:t>
            </w:r>
          </w:p>
        </w:tc>
      </w:tr>
      <w:tr w:rsidR="00151B99" w:rsidRPr="00151B99" w14:paraId="2A9D1E64" w14:textId="77777777" w:rsidTr="00151B99">
        <w:trPr>
          <w:trHeight w:val="300"/>
        </w:trPr>
        <w:tc>
          <w:tcPr>
            <w:tcW w:w="850" w:type="dxa"/>
            <w:vMerge/>
            <w:tcBorders>
              <w:top w:val="single" w:sz="4" w:space="0" w:color="auto"/>
              <w:left w:val="nil"/>
              <w:bottom w:val="single" w:sz="4" w:space="0" w:color="000000"/>
              <w:right w:val="single" w:sz="4" w:space="0" w:color="auto"/>
            </w:tcBorders>
            <w:vAlign w:val="center"/>
            <w:hideMark/>
          </w:tcPr>
          <w:p w14:paraId="61EE6227" w14:textId="77777777" w:rsidR="00151B99" w:rsidRPr="00151B99" w:rsidRDefault="00151B99" w:rsidP="00151B99">
            <w:pPr>
              <w:spacing w:after="0" w:line="240" w:lineRule="auto"/>
              <w:rPr>
                <w:rFonts w:cs="Arial"/>
                <w:color w:val="000000"/>
                <w:sz w:val="16"/>
                <w:szCs w:val="16"/>
              </w:rPr>
            </w:pPr>
          </w:p>
        </w:tc>
        <w:tc>
          <w:tcPr>
            <w:tcW w:w="960" w:type="dxa"/>
            <w:vMerge/>
            <w:tcBorders>
              <w:top w:val="single" w:sz="4" w:space="0" w:color="auto"/>
              <w:left w:val="nil"/>
              <w:bottom w:val="single" w:sz="4" w:space="0" w:color="000000"/>
              <w:right w:val="nil"/>
            </w:tcBorders>
            <w:vAlign w:val="center"/>
            <w:hideMark/>
          </w:tcPr>
          <w:p w14:paraId="1138523B" w14:textId="77777777" w:rsidR="00151B99" w:rsidRPr="00151B99" w:rsidRDefault="00151B99" w:rsidP="00151B99">
            <w:pPr>
              <w:spacing w:after="0" w:line="240" w:lineRule="auto"/>
              <w:rPr>
                <w:rFonts w:cs="Arial"/>
                <w:b/>
                <w:bCs/>
                <w:color w:val="000000"/>
                <w:sz w:val="16"/>
                <w:szCs w:val="16"/>
              </w:rPr>
            </w:pPr>
          </w:p>
        </w:tc>
        <w:tc>
          <w:tcPr>
            <w:tcW w:w="960" w:type="dxa"/>
            <w:tcBorders>
              <w:top w:val="nil"/>
              <w:left w:val="single" w:sz="4" w:space="0" w:color="auto"/>
              <w:bottom w:val="single" w:sz="4" w:space="0" w:color="auto"/>
              <w:right w:val="single" w:sz="4" w:space="0" w:color="auto"/>
            </w:tcBorders>
            <w:shd w:val="clear" w:color="000000" w:fill="F2DBDB"/>
            <w:vAlign w:val="center"/>
            <w:hideMark/>
          </w:tcPr>
          <w:p w14:paraId="38B74FAA"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muži</w:t>
            </w:r>
          </w:p>
        </w:tc>
        <w:tc>
          <w:tcPr>
            <w:tcW w:w="960" w:type="dxa"/>
            <w:tcBorders>
              <w:top w:val="nil"/>
              <w:left w:val="nil"/>
              <w:bottom w:val="single" w:sz="4" w:space="0" w:color="auto"/>
              <w:right w:val="single" w:sz="4" w:space="0" w:color="auto"/>
            </w:tcBorders>
            <w:shd w:val="clear" w:color="000000" w:fill="F2DBDB"/>
            <w:vAlign w:val="center"/>
            <w:hideMark/>
          </w:tcPr>
          <w:p w14:paraId="6B78095E"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ženy</w:t>
            </w:r>
          </w:p>
        </w:tc>
        <w:tc>
          <w:tcPr>
            <w:tcW w:w="1060" w:type="dxa"/>
            <w:vMerge/>
            <w:tcBorders>
              <w:top w:val="single" w:sz="4" w:space="0" w:color="auto"/>
              <w:left w:val="nil"/>
              <w:bottom w:val="single" w:sz="4" w:space="0" w:color="000000"/>
              <w:right w:val="nil"/>
            </w:tcBorders>
            <w:vAlign w:val="center"/>
            <w:hideMark/>
          </w:tcPr>
          <w:p w14:paraId="770C4877" w14:textId="77777777" w:rsidR="00151B99" w:rsidRPr="00151B99" w:rsidRDefault="00151B99" w:rsidP="00151B99">
            <w:pPr>
              <w:spacing w:after="0" w:line="240" w:lineRule="auto"/>
              <w:rPr>
                <w:rFonts w:cs="Arial"/>
                <w:color w:val="000000"/>
                <w:sz w:val="16"/>
                <w:szCs w:val="16"/>
              </w:rPr>
            </w:pPr>
          </w:p>
        </w:tc>
        <w:tc>
          <w:tcPr>
            <w:tcW w:w="960" w:type="dxa"/>
            <w:tcBorders>
              <w:top w:val="nil"/>
              <w:left w:val="single" w:sz="4" w:space="0" w:color="auto"/>
              <w:bottom w:val="single" w:sz="4" w:space="0" w:color="auto"/>
              <w:right w:val="single" w:sz="4" w:space="0" w:color="auto"/>
            </w:tcBorders>
            <w:shd w:val="clear" w:color="000000" w:fill="F2DBDB"/>
            <w:vAlign w:val="center"/>
            <w:hideMark/>
          </w:tcPr>
          <w:p w14:paraId="2D44FE09"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muži</w:t>
            </w:r>
          </w:p>
        </w:tc>
        <w:tc>
          <w:tcPr>
            <w:tcW w:w="960" w:type="dxa"/>
            <w:tcBorders>
              <w:top w:val="nil"/>
              <w:left w:val="nil"/>
              <w:bottom w:val="single" w:sz="4" w:space="0" w:color="auto"/>
              <w:right w:val="single" w:sz="4" w:space="0" w:color="auto"/>
            </w:tcBorders>
            <w:shd w:val="clear" w:color="000000" w:fill="F2DBDB"/>
            <w:vAlign w:val="center"/>
            <w:hideMark/>
          </w:tcPr>
          <w:p w14:paraId="4AD25C09"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ženy</w:t>
            </w:r>
          </w:p>
        </w:tc>
        <w:tc>
          <w:tcPr>
            <w:tcW w:w="960" w:type="dxa"/>
            <w:vMerge/>
            <w:tcBorders>
              <w:top w:val="single" w:sz="4" w:space="0" w:color="auto"/>
              <w:left w:val="nil"/>
              <w:bottom w:val="single" w:sz="4" w:space="0" w:color="000000"/>
              <w:right w:val="nil"/>
            </w:tcBorders>
            <w:vAlign w:val="center"/>
            <w:hideMark/>
          </w:tcPr>
          <w:p w14:paraId="0321AB07" w14:textId="77777777" w:rsidR="00151B99" w:rsidRPr="00151B99" w:rsidRDefault="00151B99" w:rsidP="00151B99">
            <w:pPr>
              <w:spacing w:after="0" w:line="240" w:lineRule="auto"/>
              <w:rPr>
                <w:rFonts w:cs="Arial"/>
                <w:color w:val="000000"/>
                <w:sz w:val="16"/>
                <w:szCs w:val="16"/>
              </w:rPr>
            </w:pPr>
          </w:p>
        </w:tc>
        <w:tc>
          <w:tcPr>
            <w:tcW w:w="1060" w:type="dxa"/>
            <w:tcBorders>
              <w:top w:val="nil"/>
              <w:left w:val="single" w:sz="4" w:space="0" w:color="auto"/>
              <w:bottom w:val="single" w:sz="4" w:space="0" w:color="auto"/>
              <w:right w:val="single" w:sz="4" w:space="0" w:color="auto"/>
            </w:tcBorders>
            <w:shd w:val="clear" w:color="000000" w:fill="F2DBDB"/>
            <w:vAlign w:val="center"/>
            <w:hideMark/>
          </w:tcPr>
          <w:p w14:paraId="3DAAD248"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muži</w:t>
            </w:r>
          </w:p>
        </w:tc>
        <w:tc>
          <w:tcPr>
            <w:tcW w:w="960" w:type="dxa"/>
            <w:tcBorders>
              <w:top w:val="nil"/>
              <w:left w:val="nil"/>
              <w:bottom w:val="single" w:sz="4" w:space="0" w:color="auto"/>
              <w:right w:val="nil"/>
            </w:tcBorders>
            <w:shd w:val="clear" w:color="000000" w:fill="F2DBDB"/>
            <w:vAlign w:val="center"/>
            <w:hideMark/>
          </w:tcPr>
          <w:p w14:paraId="5D51EA79"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ženy</w:t>
            </w:r>
          </w:p>
        </w:tc>
      </w:tr>
      <w:tr w:rsidR="00151B99" w:rsidRPr="00151B99" w14:paraId="5D2B5723" w14:textId="77777777" w:rsidTr="00151B99">
        <w:trPr>
          <w:trHeight w:val="300"/>
        </w:trPr>
        <w:tc>
          <w:tcPr>
            <w:tcW w:w="850" w:type="dxa"/>
            <w:tcBorders>
              <w:top w:val="nil"/>
              <w:left w:val="nil"/>
              <w:bottom w:val="nil"/>
              <w:right w:val="nil"/>
            </w:tcBorders>
            <w:shd w:val="clear" w:color="auto" w:fill="auto"/>
            <w:vAlign w:val="center"/>
            <w:hideMark/>
          </w:tcPr>
          <w:p w14:paraId="68A3B486"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2013</w:t>
            </w:r>
          </w:p>
        </w:tc>
        <w:tc>
          <w:tcPr>
            <w:tcW w:w="960" w:type="dxa"/>
            <w:tcBorders>
              <w:top w:val="nil"/>
              <w:left w:val="single" w:sz="4" w:space="0" w:color="auto"/>
              <w:bottom w:val="nil"/>
              <w:right w:val="nil"/>
            </w:tcBorders>
            <w:shd w:val="clear" w:color="auto" w:fill="auto"/>
            <w:vAlign w:val="center"/>
            <w:hideMark/>
          </w:tcPr>
          <w:p w14:paraId="6B515C7B"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4 440,3</w:t>
            </w:r>
          </w:p>
        </w:tc>
        <w:tc>
          <w:tcPr>
            <w:tcW w:w="960" w:type="dxa"/>
            <w:tcBorders>
              <w:top w:val="nil"/>
              <w:left w:val="nil"/>
              <w:bottom w:val="nil"/>
              <w:right w:val="nil"/>
            </w:tcBorders>
            <w:shd w:val="clear" w:color="auto" w:fill="auto"/>
            <w:vAlign w:val="center"/>
            <w:hideMark/>
          </w:tcPr>
          <w:p w14:paraId="2B55D8CA"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2 260,7</w:t>
            </w:r>
          </w:p>
        </w:tc>
        <w:tc>
          <w:tcPr>
            <w:tcW w:w="960" w:type="dxa"/>
            <w:tcBorders>
              <w:top w:val="nil"/>
              <w:left w:val="nil"/>
              <w:bottom w:val="nil"/>
              <w:right w:val="single" w:sz="4" w:space="0" w:color="auto"/>
            </w:tcBorders>
            <w:shd w:val="clear" w:color="auto" w:fill="auto"/>
            <w:vAlign w:val="center"/>
            <w:hideMark/>
          </w:tcPr>
          <w:p w14:paraId="176A8BD6"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2 179,6</w:t>
            </w:r>
          </w:p>
        </w:tc>
        <w:tc>
          <w:tcPr>
            <w:tcW w:w="1060" w:type="dxa"/>
            <w:tcBorders>
              <w:top w:val="nil"/>
              <w:left w:val="nil"/>
              <w:bottom w:val="nil"/>
              <w:right w:val="nil"/>
            </w:tcBorders>
            <w:shd w:val="clear" w:color="auto" w:fill="auto"/>
            <w:vAlign w:val="center"/>
            <w:hideMark/>
          </w:tcPr>
          <w:p w14:paraId="6D834B09"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4 331,2</w:t>
            </w:r>
          </w:p>
        </w:tc>
        <w:tc>
          <w:tcPr>
            <w:tcW w:w="960" w:type="dxa"/>
            <w:tcBorders>
              <w:top w:val="nil"/>
              <w:left w:val="nil"/>
              <w:bottom w:val="nil"/>
              <w:right w:val="nil"/>
            </w:tcBorders>
            <w:shd w:val="clear" w:color="auto" w:fill="auto"/>
            <w:vAlign w:val="center"/>
            <w:hideMark/>
          </w:tcPr>
          <w:p w14:paraId="60E27E3F"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2 194,2</w:t>
            </w:r>
          </w:p>
        </w:tc>
        <w:tc>
          <w:tcPr>
            <w:tcW w:w="960" w:type="dxa"/>
            <w:tcBorders>
              <w:top w:val="nil"/>
              <w:left w:val="nil"/>
              <w:bottom w:val="nil"/>
              <w:right w:val="single" w:sz="4" w:space="0" w:color="auto"/>
            </w:tcBorders>
            <w:shd w:val="clear" w:color="auto" w:fill="auto"/>
            <w:vAlign w:val="center"/>
            <w:hideMark/>
          </w:tcPr>
          <w:p w14:paraId="6C1218F7"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2 136,9</w:t>
            </w:r>
          </w:p>
        </w:tc>
        <w:tc>
          <w:tcPr>
            <w:tcW w:w="960" w:type="dxa"/>
            <w:tcBorders>
              <w:top w:val="nil"/>
              <w:left w:val="nil"/>
              <w:bottom w:val="nil"/>
              <w:right w:val="nil"/>
            </w:tcBorders>
            <w:shd w:val="clear" w:color="auto" w:fill="auto"/>
            <w:vAlign w:val="center"/>
            <w:hideMark/>
          </w:tcPr>
          <w:p w14:paraId="0D54B305"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109,2</w:t>
            </w:r>
          </w:p>
        </w:tc>
        <w:tc>
          <w:tcPr>
            <w:tcW w:w="1060" w:type="dxa"/>
            <w:tcBorders>
              <w:top w:val="nil"/>
              <w:left w:val="nil"/>
              <w:bottom w:val="nil"/>
              <w:right w:val="nil"/>
            </w:tcBorders>
            <w:shd w:val="clear" w:color="auto" w:fill="auto"/>
            <w:vAlign w:val="center"/>
            <w:hideMark/>
          </w:tcPr>
          <w:p w14:paraId="056480E4"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66,5</w:t>
            </w:r>
          </w:p>
        </w:tc>
        <w:tc>
          <w:tcPr>
            <w:tcW w:w="960" w:type="dxa"/>
            <w:tcBorders>
              <w:top w:val="nil"/>
              <w:left w:val="nil"/>
              <w:bottom w:val="nil"/>
              <w:right w:val="nil"/>
            </w:tcBorders>
            <w:shd w:val="clear" w:color="auto" w:fill="auto"/>
            <w:vAlign w:val="center"/>
            <w:hideMark/>
          </w:tcPr>
          <w:p w14:paraId="7BB15589"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42,7</w:t>
            </w:r>
          </w:p>
        </w:tc>
      </w:tr>
      <w:tr w:rsidR="00151B99" w:rsidRPr="00151B99" w14:paraId="3400D6A2" w14:textId="77777777" w:rsidTr="00151B99">
        <w:trPr>
          <w:trHeight w:val="300"/>
        </w:trPr>
        <w:tc>
          <w:tcPr>
            <w:tcW w:w="850" w:type="dxa"/>
            <w:tcBorders>
              <w:top w:val="nil"/>
              <w:left w:val="nil"/>
              <w:bottom w:val="nil"/>
              <w:right w:val="nil"/>
            </w:tcBorders>
            <w:shd w:val="clear" w:color="auto" w:fill="auto"/>
            <w:vAlign w:val="center"/>
            <w:hideMark/>
          </w:tcPr>
          <w:p w14:paraId="62BAC8FB"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2014</w:t>
            </w:r>
          </w:p>
        </w:tc>
        <w:tc>
          <w:tcPr>
            <w:tcW w:w="960" w:type="dxa"/>
            <w:tcBorders>
              <w:top w:val="nil"/>
              <w:left w:val="single" w:sz="4" w:space="0" w:color="auto"/>
              <w:bottom w:val="nil"/>
              <w:right w:val="nil"/>
            </w:tcBorders>
            <w:shd w:val="clear" w:color="auto" w:fill="auto"/>
            <w:vAlign w:val="center"/>
            <w:hideMark/>
          </w:tcPr>
          <w:p w14:paraId="32BD3B46"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4 464,1</w:t>
            </w:r>
          </w:p>
        </w:tc>
        <w:tc>
          <w:tcPr>
            <w:tcW w:w="960" w:type="dxa"/>
            <w:tcBorders>
              <w:top w:val="nil"/>
              <w:left w:val="nil"/>
              <w:bottom w:val="nil"/>
              <w:right w:val="nil"/>
            </w:tcBorders>
            <w:shd w:val="clear" w:color="auto" w:fill="auto"/>
            <w:vAlign w:val="center"/>
            <w:hideMark/>
          </w:tcPr>
          <w:p w14:paraId="2097AA19"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2 272,9</w:t>
            </w:r>
          </w:p>
        </w:tc>
        <w:tc>
          <w:tcPr>
            <w:tcW w:w="960" w:type="dxa"/>
            <w:tcBorders>
              <w:top w:val="nil"/>
              <w:left w:val="nil"/>
              <w:bottom w:val="nil"/>
              <w:right w:val="single" w:sz="4" w:space="0" w:color="auto"/>
            </w:tcBorders>
            <w:shd w:val="clear" w:color="auto" w:fill="auto"/>
            <w:vAlign w:val="center"/>
            <w:hideMark/>
          </w:tcPr>
          <w:p w14:paraId="7565475D"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2 191,2</w:t>
            </w:r>
          </w:p>
        </w:tc>
        <w:tc>
          <w:tcPr>
            <w:tcW w:w="1060" w:type="dxa"/>
            <w:tcBorders>
              <w:top w:val="nil"/>
              <w:left w:val="nil"/>
              <w:bottom w:val="nil"/>
              <w:right w:val="nil"/>
            </w:tcBorders>
            <w:shd w:val="clear" w:color="auto" w:fill="auto"/>
            <w:vAlign w:val="center"/>
            <w:hideMark/>
          </w:tcPr>
          <w:p w14:paraId="496FA329"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4 358,3</w:t>
            </w:r>
          </w:p>
        </w:tc>
        <w:tc>
          <w:tcPr>
            <w:tcW w:w="960" w:type="dxa"/>
            <w:tcBorders>
              <w:top w:val="nil"/>
              <w:left w:val="nil"/>
              <w:bottom w:val="nil"/>
              <w:right w:val="nil"/>
            </w:tcBorders>
            <w:shd w:val="clear" w:color="auto" w:fill="auto"/>
            <w:vAlign w:val="center"/>
            <w:hideMark/>
          </w:tcPr>
          <w:p w14:paraId="5AD336C8"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2 207,8</w:t>
            </w:r>
          </w:p>
        </w:tc>
        <w:tc>
          <w:tcPr>
            <w:tcW w:w="960" w:type="dxa"/>
            <w:tcBorders>
              <w:top w:val="nil"/>
              <w:left w:val="nil"/>
              <w:bottom w:val="nil"/>
              <w:right w:val="single" w:sz="4" w:space="0" w:color="auto"/>
            </w:tcBorders>
            <w:shd w:val="clear" w:color="auto" w:fill="auto"/>
            <w:vAlign w:val="center"/>
            <w:hideMark/>
          </w:tcPr>
          <w:p w14:paraId="73E97D28"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2 150,6</w:t>
            </w:r>
          </w:p>
        </w:tc>
        <w:tc>
          <w:tcPr>
            <w:tcW w:w="960" w:type="dxa"/>
            <w:tcBorders>
              <w:top w:val="nil"/>
              <w:left w:val="nil"/>
              <w:bottom w:val="nil"/>
              <w:right w:val="nil"/>
            </w:tcBorders>
            <w:shd w:val="clear" w:color="auto" w:fill="auto"/>
            <w:vAlign w:val="center"/>
            <w:hideMark/>
          </w:tcPr>
          <w:p w14:paraId="5F7353F3"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105,7</w:t>
            </w:r>
          </w:p>
        </w:tc>
        <w:tc>
          <w:tcPr>
            <w:tcW w:w="1060" w:type="dxa"/>
            <w:tcBorders>
              <w:top w:val="nil"/>
              <w:left w:val="nil"/>
              <w:bottom w:val="nil"/>
              <w:right w:val="nil"/>
            </w:tcBorders>
            <w:shd w:val="clear" w:color="auto" w:fill="auto"/>
            <w:vAlign w:val="center"/>
            <w:hideMark/>
          </w:tcPr>
          <w:p w14:paraId="66688B2F"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65,1</w:t>
            </w:r>
          </w:p>
        </w:tc>
        <w:tc>
          <w:tcPr>
            <w:tcW w:w="960" w:type="dxa"/>
            <w:tcBorders>
              <w:top w:val="nil"/>
              <w:left w:val="nil"/>
              <w:bottom w:val="nil"/>
              <w:right w:val="nil"/>
            </w:tcBorders>
            <w:shd w:val="clear" w:color="auto" w:fill="auto"/>
            <w:vAlign w:val="center"/>
            <w:hideMark/>
          </w:tcPr>
          <w:p w14:paraId="53B07838"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40,6</w:t>
            </w:r>
          </w:p>
        </w:tc>
      </w:tr>
      <w:tr w:rsidR="00151B99" w:rsidRPr="00151B99" w14:paraId="59FBBD0C" w14:textId="77777777" w:rsidTr="00151B99">
        <w:trPr>
          <w:trHeight w:val="300"/>
        </w:trPr>
        <w:tc>
          <w:tcPr>
            <w:tcW w:w="850" w:type="dxa"/>
            <w:tcBorders>
              <w:top w:val="nil"/>
              <w:left w:val="nil"/>
              <w:bottom w:val="nil"/>
              <w:right w:val="nil"/>
            </w:tcBorders>
            <w:shd w:val="clear" w:color="auto" w:fill="auto"/>
            <w:vAlign w:val="center"/>
            <w:hideMark/>
          </w:tcPr>
          <w:p w14:paraId="1F36D9F9"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2015</w:t>
            </w:r>
          </w:p>
        </w:tc>
        <w:tc>
          <w:tcPr>
            <w:tcW w:w="960" w:type="dxa"/>
            <w:tcBorders>
              <w:top w:val="nil"/>
              <w:left w:val="single" w:sz="4" w:space="0" w:color="auto"/>
              <w:bottom w:val="nil"/>
              <w:right w:val="nil"/>
            </w:tcBorders>
            <w:shd w:val="clear" w:color="auto" w:fill="auto"/>
            <w:vAlign w:val="center"/>
            <w:hideMark/>
          </w:tcPr>
          <w:p w14:paraId="1654E61F"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4 507,0</w:t>
            </w:r>
          </w:p>
        </w:tc>
        <w:tc>
          <w:tcPr>
            <w:tcW w:w="960" w:type="dxa"/>
            <w:tcBorders>
              <w:top w:val="nil"/>
              <w:left w:val="nil"/>
              <w:bottom w:val="nil"/>
              <w:right w:val="nil"/>
            </w:tcBorders>
            <w:shd w:val="clear" w:color="auto" w:fill="auto"/>
            <w:vAlign w:val="center"/>
            <w:hideMark/>
          </w:tcPr>
          <w:p w14:paraId="520D03BC"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2 301,3</w:t>
            </w:r>
          </w:p>
        </w:tc>
        <w:tc>
          <w:tcPr>
            <w:tcW w:w="960" w:type="dxa"/>
            <w:tcBorders>
              <w:top w:val="nil"/>
              <w:left w:val="nil"/>
              <w:bottom w:val="nil"/>
              <w:right w:val="single" w:sz="4" w:space="0" w:color="auto"/>
            </w:tcBorders>
            <w:shd w:val="clear" w:color="auto" w:fill="auto"/>
            <w:vAlign w:val="center"/>
            <w:hideMark/>
          </w:tcPr>
          <w:p w14:paraId="58552048"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2 205,7</w:t>
            </w:r>
          </w:p>
        </w:tc>
        <w:tc>
          <w:tcPr>
            <w:tcW w:w="1060" w:type="dxa"/>
            <w:tcBorders>
              <w:top w:val="nil"/>
              <w:left w:val="nil"/>
              <w:bottom w:val="nil"/>
              <w:right w:val="nil"/>
            </w:tcBorders>
            <w:shd w:val="clear" w:color="auto" w:fill="auto"/>
            <w:vAlign w:val="center"/>
            <w:hideMark/>
          </w:tcPr>
          <w:p w14:paraId="54C453F4"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4 417,6</w:t>
            </w:r>
          </w:p>
        </w:tc>
        <w:tc>
          <w:tcPr>
            <w:tcW w:w="960" w:type="dxa"/>
            <w:tcBorders>
              <w:top w:val="nil"/>
              <w:left w:val="nil"/>
              <w:bottom w:val="nil"/>
              <w:right w:val="nil"/>
            </w:tcBorders>
            <w:shd w:val="clear" w:color="auto" w:fill="auto"/>
            <w:vAlign w:val="center"/>
            <w:hideMark/>
          </w:tcPr>
          <w:p w14:paraId="0AD5A3C4"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2 252,8</w:t>
            </w:r>
          </w:p>
        </w:tc>
        <w:tc>
          <w:tcPr>
            <w:tcW w:w="960" w:type="dxa"/>
            <w:tcBorders>
              <w:top w:val="nil"/>
              <w:left w:val="nil"/>
              <w:bottom w:val="nil"/>
              <w:right w:val="single" w:sz="4" w:space="0" w:color="auto"/>
            </w:tcBorders>
            <w:shd w:val="clear" w:color="auto" w:fill="auto"/>
            <w:vAlign w:val="center"/>
            <w:hideMark/>
          </w:tcPr>
          <w:p w14:paraId="40F84DCD"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2 164,8</w:t>
            </w:r>
          </w:p>
        </w:tc>
        <w:tc>
          <w:tcPr>
            <w:tcW w:w="960" w:type="dxa"/>
            <w:tcBorders>
              <w:top w:val="nil"/>
              <w:left w:val="nil"/>
              <w:bottom w:val="nil"/>
              <w:right w:val="nil"/>
            </w:tcBorders>
            <w:shd w:val="clear" w:color="auto" w:fill="auto"/>
            <w:vAlign w:val="center"/>
            <w:hideMark/>
          </w:tcPr>
          <w:p w14:paraId="10CD82C6"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89,4</w:t>
            </w:r>
          </w:p>
        </w:tc>
        <w:tc>
          <w:tcPr>
            <w:tcW w:w="1060" w:type="dxa"/>
            <w:tcBorders>
              <w:top w:val="nil"/>
              <w:left w:val="nil"/>
              <w:bottom w:val="nil"/>
              <w:right w:val="nil"/>
            </w:tcBorders>
            <w:shd w:val="clear" w:color="auto" w:fill="auto"/>
            <w:vAlign w:val="center"/>
            <w:hideMark/>
          </w:tcPr>
          <w:p w14:paraId="371E9C7A"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48,5</w:t>
            </w:r>
          </w:p>
        </w:tc>
        <w:tc>
          <w:tcPr>
            <w:tcW w:w="960" w:type="dxa"/>
            <w:tcBorders>
              <w:top w:val="nil"/>
              <w:left w:val="nil"/>
              <w:bottom w:val="nil"/>
              <w:right w:val="nil"/>
            </w:tcBorders>
            <w:shd w:val="clear" w:color="auto" w:fill="auto"/>
            <w:vAlign w:val="center"/>
            <w:hideMark/>
          </w:tcPr>
          <w:p w14:paraId="2C65D727"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40,9</w:t>
            </w:r>
          </w:p>
        </w:tc>
      </w:tr>
      <w:tr w:rsidR="00151B99" w:rsidRPr="00151B99" w14:paraId="07509211" w14:textId="77777777" w:rsidTr="00151B99">
        <w:trPr>
          <w:trHeight w:val="300"/>
        </w:trPr>
        <w:tc>
          <w:tcPr>
            <w:tcW w:w="850" w:type="dxa"/>
            <w:tcBorders>
              <w:top w:val="nil"/>
              <w:left w:val="nil"/>
              <w:bottom w:val="nil"/>
              <w:right w:val="nil"/>
            </w:tcBorders>
            <w:shd w:val="clear" w:color="auto" w:fill="auto"/>
            <w:vAlign w:val="center"/>
            <w:hideMark/>
          </w:tcPr>
          <w:p w14:paraId="299052F2"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2016</w:t>
            </w:r>
          </w:p>
        </w:tc>
        <w:tc>
          <w:tcPr>
            <w:tcW w:w="960" w:type="dxa"/>
            <w:tcBorders>
              <w:top w:val="nil"/>
              <w:left w:val="single" w:sz="4" w:space="0" w:color="auto"/>
              <w:bottom w:val="nil"/>
              <w:right w:val="nil"/>
            </w:tcBorders>
            <w:shd w:val="clear" w:color="auto" w:fill="auto"/>
            <w:vAlign w:val="center"/>
            <w:hideMark/>
          </w:tcPr>
          <w:p w14:paraId="20CAE2BC"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4 571,3</w:t>
            </w:r>
          </w:p>
        </w:tc>
        <w:tc>
          <w:tcPr>
            <w:tcW w:w="960" w:type="dxa"/>
            <w:tcBorders>
              <w:top w:val="nil"/>
              <w:left w:val="nil"/>
              <w:bottom w:val="nil"/>
              <w:right w:val="nil"/>
            </w:tcBorders>
            <w:shd w:val="clear" w:color="auto" w:fill="auto"/>
            <w:vAlign w:val="center"/>
            <w:hideMark/>
          </w:tcPr>
          <w:p w14:paraId="22691174"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2 328,5</w:t>
            </w:r>
          </w:p>
        </w:tc>
        <w:tc>
          <w:tcPr>
            <w:tcW w:w="960" w:type="dxa"/>
            <w:tcBorders>
              <w:top w:val="nil"/>
              <w:left w:val="nil"/>
              <w:bottom w:val="nil"/>
              <w:right w:val="single" w:sz="4" w:space="0" w:color="auto"/>
            </w:tcBorders>
            <w:shd w:val="clear" w:color="auto" w:fill="auto"/>
            <w:vAlign w:val="center"/>
            <w:hideMark/>
          </w:tcPr>
          <w:p w14:paraId="33CF49BC"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2 242,8</w:t>
            </w:r>
          </w:p>
        </w:tc>
        <w:tc>
          <w:tcPr>
            <w:tcW w:w="1060" w:type="dxa"/>
            <w:tcBorders>
              <w:top w:val="nil"/>
              <w:left w:val="nil"/>
              <w:bottom w:val="nil"/>
              <w:right w:val="nil"/>
            </w:tcBorders>
            <w:shd w:val="clear" w:color="auto" w:fill="auto"/>
            <w:vAlign w:val="center"/>
            <w:hideMark/>
          </w:tcPr>
          <w:p w14:paraId="324C8CC9"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4 481,8</w:t>
            </w:r>
          </w:p>
        </w:tc>
        <w:tc>
          <w:tcPr>
            <w:tcW w:w="960" w:type="dxa"/>
            <w:tcBorders>
              <w:top w:val="nil"/>
              <w:left w:val="nil"/>
              <w:bottom w:val="nil"/>
              <w:right w:val="nil"/>
            </w:tcBorders>
            <w:shd w:val="clear" w:color="auto" w:fill="auto"/>
            <w:vAlign w:val="center"/>
            <w:hideMark/>
          </w:tcPr>
          <w:p w14:paraId="3DC1CC8B"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2 273,5</w:t>
            </w:r>
          </w:p>
        </w:tc>
        <w:tc>
          <w:tcPr>
            <w:tcW w:w="960" w:type="dxa"/>
            <w:tcBorders>
              <w:top w:val="nil"/>
              <w:left w:val="nil"/>
              <w:bottom w:val="nil"/>
              <w:right w:val="single" w:sz="4" w:space="0" w:color="auto"/>
            </w:tcBorders>
            <w:shd w:val="clear" w:color="auto" w:fill="auto"/>
            <w:vAlign w:val="center"/>
            <w:hideMark/>
          </w:tcPr>
          <w:p w14:paraId="4ED0BBF3"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2 208,3</w:t>
            </w:r>
          </w:p>
        </w:tc>
        <w:tc>
          <w:tcPr>
            <w:tcW w:w="960" w:type="dxa"/>
            <w:tcBorders>
              <w:top w:val="nil"/>
              <w:left w:val="nil"/>
              <w:bottom w:val="nil"/>
              <w:right w:val="nil"/>
            </w:tcBorders>
            <w:shd w:val="clear" w:color="auto" w:fill="auto"/>
            <w:vAlign w:val="center"/>
            <w:hideMark/>
          </w:tcPr>
          <w:p w14:paraId="38C72FBF"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89,5</w:t>
            </w:r>
          </w:p>
        </w:tc>
        <w:tc>
          <w:tcPr>
            <w:tcW w:w="1060" w:type="dxa"/>
            <w:tcBorders>
              <w:top w:val="nil"/>
              <w:left w:val="nil"/>
              <w:bottom w:val="nil"/>
              <w:right w:val="nil"/>
            </w:tcBorders>
            <w:shd w:val="clear" w:color="auto" w:fill="auto"/>
            <w:vAlign w:val="center"/>
            <w:hideMark/>
          </w:tcPr>
          <w:p w14:paraId="4C7F7D64"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55,0</w:t>
            </w:r>
          </w:p>
        </w:tc>
        <w:tc>
          <w:tcPr>
            <w:tcW w:w="960" w:type="dxa"/>
            <w:tcBorders>
              <w:top w:val="nil"/>
              <w:left w:val="nil"/>
              <w:bottom w:val="nil"/>
              <w:right w:val="nil"/>
            </w:tcBorders>
            <w:shd w:val="clear" w:color="auto" w:fill="auto"/>
            <w:vAlign w:val="center"/>
            <w:hideMark/>
          </w:tcPr>
          <w:p w14:paraId="51FA3859"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34,5</w:t>
            </w:r>
          </w:p>
        </w:tc>
      </w:tr>
      <w:tr w:rsidR="00151B99" w:rsidRPr="00151B99" w14:paraId="188DF398" w14:textId="77777777" w:rsidTr="00151B99">
        <w:trPr>
          <w:trHeight w:val="300"/>
        </w:trPr>
        <w:tc>
          <w:tcPr>
            <w:tcW w:w="850" w:type="dxa"/>
            <w:tcBorders>
              <w:top w:val="nil"/>
              <w:left w:val="nil"/>
              <w:bottom w:val="nil"/>
              <w:right w:val="nil"/>
            </w:tcBorders>
            <w:shd w:val="clear" w:color="auto" w:fill="auto"/>
            <w:vAlign w:val="center"/>
            <w:hideMark/>
          </w:tcPr>
          <w:p w14:paraId="39004096"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2017</w:t>
            </w:r>
          </w:p>
        </w:tc>
        <w:tc>
          <w:tcPr>
            <w:tcW w:w="960" w:type="dxa"/>
            <w:tcBorders>
              <w:top w:val="nil"/>
              <w:left w:val="single" w:sz="4" w:space="0" w:color="auto"/>
              <w:bottom w:val="nil"/>
              <w:right w:val="nil"/>
            </w:tcBorders>
            <w:shd w:val="clear" w:color="auto" w:fill="auto"/>
            <w:vAlign w:val="center"/>
            <w:hideMark/>
          </w:tcPr>
          <w:p w14:paraId="59BA8CFD"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4 671,8</w:t>
            </w:r>
          </w:p>
        </w:tc>
        <w:tc>
          <w:tcPr>
            <w:tcW w:w="960" w:type="dxa"/>
            <w:tcBorders>
              <w:top w:val="nil"/>
              <w:left w:val="nil"/>
              <w:bottom w:val="nil"/>
              <w:right w:val="nil"/>
            </w:tcBorders>
            <w:shd w:val="clear" w:color="auto" w:fill="auto"/>
            <w:vAlign w:val="center"/>
            <w:hideMark/>
          </w:tcPr>
          <w:p w14:paraId="64BF9F39"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2 370,0</w:t>
            </w:r>
          </w:p>
        </w:tc>
        <w:tc>
          <w:tcPr>
            <w:tcW w:w="960" w:type="dxa"/>
            <w:tcBorders>
              <w:top w:val="nil"/>
              <w:left w:val="nil"/>
              <w:bottom w:val="nil"/>
              <w:right w:val="single" w:sz="4" w:space="0" w:color="auto"/>
            </w:tcBorders>
            <w:shd w:val="clear" w:color="auto" w:fill="auto"/>
            <w:vAlign w:val="center"/>
            <w:hideMark/>
          </w:tcPr>
          <w:p w14:paraId="264C3B54"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2 301,8</w:t>
            </w:r>
          </w:p>
        </w:tc>
        <w:tc>
          <w:tcPr>
            <w:tcW w:w="1060" w:type="dxa"/>
            <w:tcBorders>
              <w:top w:val="nil"/>
              <w:left w:val="nil"/>
              <w:bottom w:val="nil"/>
              <w:right w:val="nil"/>
            </w:tcBorders>
            <w:shd w:val="clear" w:color="auto" w:fill="auto"/>
            <w:vAlign w:val="center"/>
            <w:hideMark/>
          </w:tcPr>
          <w:p w14:paraId="558CD563"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4 582,2</w:t>
            </w:r>
          </w:p>
        </w:tc>
        <w:tc>
          <w:tcPr>
            <w:tcW w:w="960" w:type="dxa"/>
            <w:tcBorders>
              <w:top w:val="nil"/>
              <w:left w:val="nil"/>
              <w:bottom w:val="nil"/>
              <w:right w:val="nil"/>
            </w:tcBorders>
            <w:shd w:val="clear" w:color="auto" w:fill="auto"/>
            <w:vAlign w:val="center"/>
            <w:hideMark/>
          </w:tcPr>
          <w:p w14:paraId="16E328EF"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2 315,8</w:t>
            </w:r>
          </w:p>
        </w:tc>
        <w:tc>
          <w:tcPr>
            <w:tcW w:w="960" w:type="dxa"/>
            <w:tcBorders>
              <w:top w:val="nil"/>
              <w:left w:val="nil"/>
              <w:bottom w:val="nil"/>
              <w:right w:val="single" w:sz="4" w:space="0" w:color="auto"/>
            </w:tcBorders>
            <w:shd w:val="clear" w:color="auto" w:fill="auto"/>
            <w:vAlign w:val="center"/>
            <w:hideMark/>
          </w:tcPr>
          <w:p w14:paraId="23A616DE"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2 266,4</w:t>
            </w:r>
          </w:p>
        </w:tc>
        <w:tc>
          <w:tcPr>
            <w:tcW w:w="960" w:type="dxa"/>
            <w:tcBorders>
              <w:top w:val="nil"/>
              <w:left w:val="nil"/>
              <w:bottom w:val="nil"/>
              <w:right w:val="nil"/>
            </w:tcBorders>
            <w:shd w:val="clear" w:color="auto" w:fill="auto"/>
            <w:vAlign w:val="center"/>
            <w:hideMark/>
          </w:tcPr>
          <w:p w14:paraId="35C80569"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89,7</w:t>
            </w:r>
          </w:p>
        </w:tc>
        <w:tc>
          <w:tcPr>
            <w:tcW w:w="1060" w:type="dxa"/>
            <w:tcBorders>
              <w:top w:val="nil"/>
              <w:left w:val="nil"/>
              <w:bottom w:val="nil"/>
              <w:right w:val="nil"/>
            </w:tcBorders>
            <w:shd w:val="clear" w:color="auto" w:fill="auto"/>
            <w:vAlign w:val="center"/>
            <w:hideMark/>
          </w:tcPr>
          <w:p w14:paraId="558460EA"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54,2</w:t>
            </w:r>
          </w:p>
        </w:tc>
        <w:tc>
          <w:tcPr>
            <w:tcW w:w="960" w:type="dxa"/>
            <w:tcBorders>
              <w:top w:val="nil"/>
              <w:left w:val="nil"/>
              <w:bottom w:val="nil"/>
              <w:right w:val="nil"/>
            </w:tcBorders>
            <w:shd w:val="clear" w:color="auto" w:fill="auto"/>
            <w:vAlign w:val="center"/>
            <w:hideMark/>
          </w:tcPr>
          <w:p w14:paraId="5286CDB1"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35,4</w:t>
            </w:r>
          </w:p>
        </w:tc>
      </w:tr>
      <w:tr w:rsidR="00151B99" w:rsidRPr="00151B99" w14:paraId="4CC38F38" w14:textId="77777777" w:rsidTr="00151B99">
        <w:trPr>
          <w:trHeight w:val="300"/>
        </w:trPr>
        <w:tc>
          <w:tcPr>
            <w:tcW w:w="850" w:type="dxa"/>
            <w:tcBorders>
              <w:top w:val="nil"/>
              <w:left w:val="nil"/>
              <w:bottom w:val="nil"/>
              <w:right w:val="nil"/>
            </w:tcBorders>
            <w:shd w:val="clear" w:color="auto" w:fill="auto"/>
            <w:vAlign w:val="center"/>
            <w:hideMark/>
          </w:tcPr>
          <w:p w14:paraId="18C6BE1A"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2018</w:t>
            </w:r>
          </w:p>
        </w:tc>
        <w:tc>
          <w:tcPr>
            <w:tcW w:w="960" w:type="dxa"/>
            <w:tcBorders>
              <w:top w:val="nil"/>
              <w:left w:val="single" w:sz="4" w:space="0" w:color="auto"/>
              <w:bottom w:val="nil"/>
              <w:right w:val="nil"/>
            </w:tcBorders>
            <w:shd w:val="clear" w:color="auto" w:fill="auto"/>
            <w:vAlign w:val="center"/>
            <w:hideMark/>
          </w:tcPr>
          <w:p w14:paraId="1B77A18C"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4 732,7</w:t>
            </w:r>
          </w:p>
        </w:tc>
        <w:tc>
          <w:tcPr>
            <w:tcW w:w="960" w:type="dxa"/>
            <w:tcBorders>
              <w:top w:val="nil"/>
              <w:left w:val="nil"/>
              <w:bottom w:val="nil"/>
              <w:right w:val="nil"/>
            </w:tcBorders>
            <w:shd w:val="clear" w:color="auto" w:fill="auto"/>
            <w:vAlign w:val="center"/>
            <w:hideMark/>
          </w:tcPr>
          <w:p w14:paraId="577D30E1"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2 391,4</w:t>
            </w:r>
          </w:p>
        </w:tc>
        <w:tc>
          <w:tcPr>
            <w:tcW w:w="960" w:type="dxa"/>
            <w:tcBorders>
              <w:top w:val="nil"/>
              <w:left w:val="nil"/>
              <w:bottom w:val="nil"/>
              <w:right w:val="single" w:sz="4" w:space="0" w:color="auto"/>
            </w:tcBorders>
            <w:shd w:val="clear" w:color="auto" w:fill="auto"/>
            <w:vAlign w:val="center"/>
            <w:hideMark/>
          </w:tcPr>
          <w:p w14:paraId="78C90A57"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2 341,3</w:t>
            </w:r>
          </w:p>
        </w:tc>
        <w:tc>
          <w:tcPr>
            <w:tcW w:w="1060" w:type="dxa"/>
            <w:tcBorders>
              <w:top w:val="nil"/>
              <w:left w:val="nil"/>
              <w:bottom w:val="nil"/>
              <w:right w:val="nil"/>
            </w:tcBorders>
            <w:shd w:val="clear" w:color="auto" w:fill="auto"/>
            <w:vAlign w:val="center"/>
            <w:hideMark/>
          </w:tcPr>
          <w:p w14:paraId="539EAD4E"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4 641,5</w:t>
            </w:r>
          </w:p>
        </w:tc>
        <w:tc>
          <w:tcPr>
            <w:tcW w:w="960" w:type="dxa"/>
            <w:tcBorders>
              <w:top w:val="nil"/>
              <w:left w:val="nil"/>
              <w:bottom w:val="nil"/>
              <w:right w:val="nil"/>
            </w:tcBorders>
            <w:shd w:val="clear" w:color="auto" w:fill="auto"/>
            <w:vAlign w:val="center"/>
            <w:hideMark/>
          </w:tcPr>
          <w:p w14:paraId="096B735D"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2 336,8</w:t>
            </w:r>
          </w:p>
        </w:tc>
        <w:tc>
          <w:tcPr>
            <w:tcW w:w="960" w:type="dxa"/>
            <w:tcBorders>
              <w:top w:val="nil"/>
              <w:left w:val="nil"/>
              <w:bottom w:val="nil"/>
              <w:right w:val="single" w:sz="4" w:space="0" w:color="auto"/>
            </w:tcBorders>
            <w:shd w:val="clear" w:color="auto" w:fill="auto"/>
            <w:vAlign w:val="center"/>
            <w:hideMark/>
          </w:tcPr>
          <w:p w14:paraId="7A356B15"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2 304,6</w:t>
            </w:r>
          </w:p>
        </w:tc>
        <w:tc>
          <w:tcPr>
            <w:tcW w:w="960" w:type="dxa"/>
            <w:tcBorders>
              <w:top w:val="nil"/>
              <w:left w:val="nil"/>
              <w:bottom w:val="nil"/>
              <w:right w:val="nil"/>
            </w:tcBorders>
            <w:shd w:val="clear" w:color="auto" w:fill="auto"/>
            <w:vAlign w:val="center"/>
            <w:hideMark/>
          </w:tcPr>
          <w:p w14:paraId="6E59FC96"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91,3</w:t>
            </w:r>
          </w:p>
        </w:tc>
        <w:tc>
          <w:tcPr>
            <w:tcW w:w="1060" w:type="dxa"/>
            <w:tcBorders>
              <w:top w:val="nil"/>
              <w:left w:val="nil"/>
              <w:bottom w:val="nil"/>
              <w:right w:val="nil"/>
            </w:tcBorders>
            <w:shd w:val="clear" w:color="auto" w:fill="auto"/>
            <w:vAlign w:val="center"/>
            <w:hideMark/>
          </w:tcPr>
          <w:p w14:paraId="0D3BFF5B"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54,5</w:t>
            </w:r>
          </w:p>
        </w:tc>
        <w:tc>
          <w:tcPr>
            <w:tcW w:w="960" w:type="dxa"/>
            <w:tcBorders>
              <w:top w:val="nil"/>
              <w:left w:val="nil"/>
              <w:bottom w:val="nil"/>
              <w:right w:val="nil"/>
            </w:tcBorders>
            <w:shd w:val="clear" w:color="auto" w:fill="auto"/>
            <w:vAlign w:val="center"/>
            <w:hideMark/>
          </w:tcPr>
          <w:p w14:paraId="51BFF916"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36,7</w:t>
            </w:r>
          </w:p>
        </w:tc>
      </w:tr>
      <w:tr w:rsidR="00151B99" w:rsidRPr="00151B99" w14:paraId="799363E1" w14:textId="77777777" w:rsidTr="00151B99">
        <w:trPr>
          <w:trHeight w:val="300"/>
        </w:trPr>
        <w:tc>
          <w:tcPr>
            <w:tcW w:w="850" w:type="dxa"/>
            <w:tcBorders>
              <w:top w:val="nil"/>
              <w:left w:val="nil"/>
              <w:bottom w:val="nil"/>
              <w:right w:val="nil"/>
            </w:tcBorders>
            <w:shd w:val="clear" w:color="auto" w:fill="auto"/>
            <w:vAlign w:val="center"/>
            <w:hideMark/>
          </w:tcPr>
          <w:p w14:paraId="055A231A"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2019</w:t>
            </w:r>
          </w:p>
        </w:tc>
        <w:tc>
          <w:tcPr>
            <w:tcW w:w="960" w:type="dxa"/>
            <w:tcBorders>
              <w:top w:val="nil"/>
              <w:left w:val="single" w:sz="4" w:space="0" w:color="auto"/>
              <w:bottom w:val="nil"/>
              <w:right w:val="nil"/>
            </w:tcBorders>
            <w:shd w:val="clear" w:color="auto" w:fill="auto"/>
            <w:vAlign w:val="center"/>
            <w:hideMark/>
          </w:tcPr>
          <w:p w14:paraId="6E01420F"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4 732,9</w:t>
            </w:r>
          </w:p>
        </w:tc>
        <w:tc>
          <w:tcPr>
            <w:tcW w:w="960" w:type="dxa"/>
            <w:tcBorders>
              <w:top w:val="nil"/>
              <w:left w:val="nil"/>
              <w:bottom w:val="nil"/>
              <w:right w:val="nil"/>
            </w:tcBorders>
            <w:shd w:val="clear" w:color="auto" w:fill="auto"/>
            <w:vAlign w:val="center"/>
            <w:hideMark/>
          </w:tcPr>
          <w:p w14:paraId="41501A55"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2 384,9</w:t>
            </w:r>
          </w:p>
        </w:tc>
        <w:tc>
          <w:tcPr>
            <w:tcW w:w="960" w:type="dxa"/>
            <w:tcBorders>
              <w:top w:val="nil"/>
              <w:left w:val="nil"/>
              <w:bottom w:val="nil"/>
              <w:right w:val="single" w:sz="4" w:space="0" w:color="auto"/>
            </w:tcBorders>
            <w:shd w:val="clear" w:color="auto" w:fill="auto"/>
            <w:vAlign w:val="center"/>
            <w:hideMark/>
          </w:tcPr>
          <w:p w14:paraId="390F0379"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2 348,0</w:t>
            </w:r>
          </w:p>
        </w:tc>
        <w:tc>
          <w:tcPr>
            <w:tcW w:w="1060" w:type="dxa"/>
            <w:tcBorders>
              <w:top w:val="nil"/>
              <w:left w:val="nil"/>
              <w:bottom w:val="nil"/>
              <w:right w:val="nil"/>
            </w:tcBorders>
            <w:shd w:val="clear" w:color="auto" w:fill="auto"/>
            <w:vAlign w:val="center"/>
            <w:hideMark/>
          </w:tcPr>
          <w:p w14:paraId="10051592"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4 638,5</w:t>
            </w:r>
          </w:p>
        </w:tc>
        <w:tc>
          <w:tcPr>
            <w:tcW w:w="960" w:type="dxa"/>
            <w:tcBorders>
              <w:top w:val="nil"/>
              <w:left w:val="nil"/>
              <w:bottom w:val="nil"/>
              <w:right w:val="nil"/>
            </w:tcBorders>
            <w:shd w:val="clear" w:color="auto" w:fill="auto"/>
            <w:vAlign w:val="center"/>
            <w:hideMark/>
          </w:tcPr>
          <w:p w14:paraId="2E1948FF"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2 329,4</w:t>
            </w:r>
          </w:p>
        </w:tc>
        <w:tc>
          <w:tcPr>
            <w:tcW w:w="960" w:type="dxa"/>
            <w:tcBorders>
              <w:top w:val="nil"/>
              <w:left w:val="nil"/>
              <w:bottom w:val="nil"/>
              <w:right w:val="single" w:sz="4" w:space="0" w:color="auto"/>
            </w:tcBorders>
            <w:shd w:val="clear" w:color="auto" w:fill="auto"/>
            <w:vAlign w:val="center"/>
            <w:hideMark/>
          </w:tcPr>
          <w:p w14:paraId="1B123901"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2 309,1</w:t>
            </w:r>
          </w:p>
        </w:tc>
        <w:tc>
          <w:tcPr>
            <w:tcW w:w="960" w:type="dxa"/>
            <w:tcBorders>
              <w:top w:val="nil"/>
              <w:left w:val="nil"/>
              <w:bottom w:val="nil"/>
              <w:right w:val="nil"/>
            </w:tcBorders>
            <w:shd w:val="clear" w:color="auto" w:fill="auto"/>
            <w:vAlign w:val="center"/>
            <w:hideMark/>
          </w:tcPr>
          <w:p w14:paraId="25219117"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94,4</w:t>
            </w:r>
          </w:p>
        </w:tc>
        <w:tc>
          <w:tcPr>
            <w:tcW w:w="1060" w:type="dxa"/>
            <w:tcBorders>
              <w:top w:val="nil"/>
              <w:left w:val="nil"/>
              <w:bottom w:val="nil"/>
              <w:right w:val="nil"/>
            </w:tcBorders>
            <w:shd w:val="clear" w:color="auto" w:fill="auto"/>
            <w:vAlign w:val="center"/>
            <w:hideMark/>
          </w:tcPr>
          <w:p w14:paraId="13C7DBE7"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55,5</w:t>
            </w:r>
          </w:p>
        </w:tc>
        <w:tc>
          <w:tcPr>
            <w:tcW w:w="960" w:type="dxa"/>
            <w:tcBorders>
              <w:top w:val="nil"/>
              <w:left w:val="nil"/>
              <w:bottom w:val="nil"/>
              <w:right w:val="nil"/>
            </w:tcBorders>
            <w:shd w:val="clear" w:color="auto" w:fill="auto"/>
            <w:vAlign w:val="center"/>
            <w:hideMark/>
          </w:tcPr>
          <w:p w14:paraId="754BD766"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39,0</w:t>
            </w:r>
          </w:p>
        </w:tc>
      </w:tr>
      <w:tr w:rsidR="00151B99" w:rsidRPr="00151B99" w14:paraId="6FC7BECA" w14:textId="77777777" w:rsidTr="00151B99">
        <w:trPr>
          <w:trHeight w:val="300"/>
        </w:trPr>
        <w:tc>
          <w:tcPr>
            <w:tcW w:w="850" w:type="dxa"/>
            <w:tcBorders>
              <w:top w:val="nil"/>
              <w:left w:val="nil"/>
              <w:bottom w:val="nil"/>
              <w:right w:val="nil"/>
            </w:tcBorders>
            <w:shd w:val="clear" w:color="auto" w:fill="auto"/>
            <w:vAlign w:val="center"/>
            <w:hideMark/>
          </w:tcPr>
          <w:p w14:paraId="266BAA72"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2020</w:t>
            </w:r>
          </w:p>
        </w:tc>
        <w:tc>
          <w:tcPr>
            <w:tcW w:w="960" w:type="dxa"/>
            <w:tcBorders>
              <w:top w:val="nil"/>
              <w:left w:val="single" w:sz="4" w:space="0" w:color="auto"/>
              <w:bottom w:val="nil"/>
              <w:right w:val="nil"/>
            </w:tcBorders>
            <w:shd w:val="clear" w:color="auto" w:fill="auto"/>
            <w:vAlign w:val="center"/>
            <w:hideMark/>
          </w:tcPr>
          <w:p w14:paraId="0B76AD10"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4 690,4</w:t>
            </w:r>
          </w:p>
        </w:tc>
        <w:tc>
          <w:tcPr>
            <w:tcW w:w="960" w:type="dxa"/>
            <w:tcBorders>
              <w:top w:val="nil"/>
              <w:left w:val="nil"/>
              <w:bottom w:val="nil"/>
              <w:right w:val="nil"/>
            </w:tcBorders>
            <w:shd w:val="clear" w:color="auto" w:fill="auto"/>
            <w:vAlign w:val="center"/>
            <w:hideMark/>
          </w:tcPr>
          <w:p w14:paraId="62D9E387"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2 354,0</w:t>
            </w:r>
          </w:p>
        </w:tc>
        <w:tc>
          <w:tcPr>
            <w:tcW w:w="960" w:type="dxa"/>
            <w:tcBorders>
              <w:top w:val="nil"/>
              <w:left w:val="nil"/>
              <w:bottom w:val="nil"/>
              <w:right w:val="single" w:sz="4" w:space="0" w:color="auto"/>
            </w:tcBorders>
            <w:shd w:val="clear" w:color="auto" w:fill="auto"/>
            <w:vAlign w:val="center"/>
            <w:hideMark/>
          </w:tcPr>
          <w:p w14:paraId="5BFA8C08"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2 336,4</w:t>
            </w:r>
          </w:p>
        </w:tc>
        <w:tc>
          <w:tcPr>
            <w:tcW w:w="1060" w:type="dxa"/>
            <w:tcBorders>
              <w:top w:val="nil"/>
              <w:left w:val="nil"/>
              <w:bottom w:val="nil"/>
              <w:right w:val="nil"/>
            </w:tcBorders>
            <w:shd w:val="clear" w:color="auto" w:fill="auto"/>
            <w:vAlign w:val="center"/>
            <w:hideMark/>
          </w:tcPr>
          <w:p w14:paraId="35DAEE84"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4 594,7</w:t>
            </w:r>
          </w:p>
        </w:tc>
        <w:tc>
          <w:tcPr>
            <w:tcW w:w="960" w:type="dxa"/>
            <w:tcBorders>
              <w:top w:val="nil"/>
              <w:left w:val="nil"/>
              <w:bottom w:val="nil"/>
              <w:right w:val="nil"/>
            </w:tcBorders>
            <w:shd w:val="clear" w:color="auto" w:fill="auto"/>
            <w:vAlign w:val="center"/>
            <w:hideMark/>
          </w:tcPr>
          <w:p w14:paraId="2AFD0F1A"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2 298,4</w:t>
            </w:r>
          </w:p>
        </w:tc>
        <w:tc>
          <w:tcPr>
            <w:tcW w:w="960" w:type="dxa"/>
            <w:tcBorders>
              <w:top w:val="nil"/>
              <w:left w:val="nil"/>
              <w:bottom w:val="nil"/>
              <w:right w:val="single" w:sz="4" w:space="0" w:color="auto"/>
            </w:tcBorders>
            <w:shd w:val="clear" w:color="auto" w:fill="auto"/>
            <w:vAlign w:val="center"/>
            <w:hideMark/>
          </w:tcPr>
          <w:p w14:paraId="4939276B"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2 296,3</w:t>
            </w:r>
          </w:p>
        </w:tc>
        <w:tc>
          <w:tcPr>
            <w:tcW w:w="960" w:type="dxa"/>
            <w:tcBorders>
              <w:top w:val="nil"/>
              <w:left w:val="nil"/>
              <w:bottom w:val="nil"/>
              <w:right w:val="nil"/>
            </w:tcBorders>
            <w:shd w:val="clear" w:color="auto" w:fill="auto"/>
            <w:vAlign w:val="center"/>
            <w:hideMark/>
          </w:tcPr>
          <w:p w14:paraId="30AA1EF2"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95,7</w:t>
            </w:r>
          </w:p>
        </w:tc>
        <w:tc>
          <w:tcPr>
            <w:tcW w:w="1060" w:type="dxa"/>
            <w:tcBorders>
              <w:top w:val="nil"/>
              <w:left w:val="nil"/>
              <w:bottom w:val="nil"/>
              <w:right w:val="nil"/>
            </w:tcBorders>
            <w:shd w:val="clear" w:color="auto" w:fill="auto"/>
            <w:vAlign w:val="center"/>
            <w:hideMark/>
          </w:tcPr>
          <w:p w14:paraId="0971F30C"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55,5</w:t>
            </w:r>
          </w:p>
        </w:tc>
        <w:tc>
          <w:tcPr>
            <w:tcW w:w="960" w:type="dxa"/>
            <w:tcBorders>
              <w:top w:val="nil"/>
              <w:left w:val="nil"/>
              <w:bottom w:val="nil"/>
              <w:right w:val="nil"/>
            </w:tcBorders>
            <w:shd w:val="clear" w:color="auto" w:fill="auto"/>
            <w:vAlign w:val="center"/>
            <w:hideMark/>
          </w:tcPr>
          <w:p w14:paraId="7385D19F"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40,1</w:t>
            </w:r>
          </w:p>
        </w:tc>
      </w:tr>
      <w:tr w:rsidR="00151B99" w:rsidRPr="00151B99" w14:paraId="6FCA0E3A" w14:textId="77777777" w:rsidTr="00151B99">
        <w:trPr>
          <w:trHeight w:val="300"/>
        </w:trPr>
        <w:tc>
          <w:tcPr>
            <w:tcW w:w="850" w:type="dxa"/>
            <w:tcBorders>
              <w:top w:val="nil"/>
              <w:left w:val="nil"/>
              <w:bottom w:val="nil"/>
              <w:right w:val="single" w:sz="4" w:space="0" w:color="auto"/>
            </w:tcBorders>
            <w:shd w:val="clear" w:color="auto" w:fill="auto"/>
            <w:vAlign w:val="center"/>
            <w:hideMark/>
          </w:tcPr>
          <w:p w14:paraId="5CEF394D"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2021</w:t>
            </w:r>
          </w:p>
        </w:tc>
        <w:tc>
          <w:tcPr>
            <w:tcW w:w="960" w:type="dxa"/>
            <w:tcBorders>
              <w:top w:val="nil"/>
              <w:left w:val="nil"/>
              <w:bottom w:val="nil"/>
              <w:right w:val="nil"/>
            </w:tcBorders>
            <w:shd w:val="clear" w:color="auto" w:fill="auto"/>
            <w:noWrap/>
            <w:vAlign w:val="center"/>
            <w:hideMark/>
          </w:tcPr>
          <w:p w14:paraId="60762ACB"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4 708,2</w:t>
            </w:r>
          </w:p>
        </w:tc>
        <w:tc>
          <w:tcPr>
            <w:tcW w:w="960" w:type="dxa"/>
            <w:tcBorders>
              <w:top w:val="nil"/>
              <w:left w:val="nil"/>
              <w:bottom w:val="nil"/>
              <w:right w:val="nil"/>
            </w:tcBorders>
            <w:shd w:val="clear" w:color="auto" w:fill="auto"/>
            <w:vAlign w:val="center"/>
            <w:hideMark/>
          </w:tcPr>
          <w:p w14:paraId="30549633"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2 354,2</w:t>
            </w:r>
          </w:p>
        </w:tc>
        <w:tc>
          <w:tcPr>
            <w:tcW w:w="960" w:type="dxa"/>
            <w:tcBorders>
              <w:top w:val="nil"/>
              <w:left w:val="nil"/>
              <w:bottom w:val="nil"/>
              <w:right w:val="single" w:sz="4" w:space="0" w:color="auto"/>
            </w:tcBorders>
            <w:shd w:val="clear" w:color="auto" w:fill="auto"/>
            <w:noWrap/>
            <w:vAlign w:val="center"/>
            <w:hideMark/>
          </w:tcPr>
          <w:p w14:paraId="3812DDF2"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2 354,0</w:t>
            </w:r>
          </w:p>
        </w:tc>
        <w:tc>
          <w:tcPr>
            <w:tcW w:w="1060" w:type="dxa"/>
            <w:tcBorders>
              <w:top w:val="nil"/>
              <w:left w:val="nil"/>
              <w:bottom w:val="nil"/>
              <w:right w:val="nil"/>
            </w:tcBorders>
            <w:shd w:val="clear" w:color="auto" w:fill="auto"/>
            <w:vAlign w:val="center"/>
            <w:hideMark/>
          </w:tcPr>
          <w:p w14:paraId="46D96854"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4 609,6</w:t>
            </w:r>
          </w:p>
        </w:tc>
        <w:tc>
          <w:tcPr>
            <w:tcW w:w="960" w:type="dxa"/>
            <w:tcBorders>
              <w:top w:val="nil"/>
              <w:left w:val="nil"/>
              <w:bottom w:val="nil"/>
              <w:right w:val="nil"/>
            </w:tcBorders>
            <w:shd w:val="clear" w:color="auto" w:fill="auto"/>
            <w:vAlign w:val="center"/>
            <w:hideMark/>
          </w:tcPr>
          <w:p w14:paraId="1D842912"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2 297,4</w:t>
            </w:r>
          </w:p>
        </w:tc>
        <w:tc>
          <w:tcPr>
            <w:tcW w:w="960" w:type="dxa"/>
            <w:tcBorders>
              <w:top w:val="nil"/>
              <w:left w:val="nil"/>
              <w:bottom w:val="nil"/>
              <w:right w:val="single" w:sz="4" w:space="0" w:color="auto"/>
            </w:tcBorders>
            <w:shd w:val="clear" w:color="auto" w:fill="auto"/>
            <w:vAlign w:val="center"/>
            <w:hideMark/>
          </w:tcPr>
          <w:p w14:paraId="7228671C"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2 312,2</w:t>
            </w:r>
          </w:p>
        </w:tc>
        <w:tc>
          <w:tcPr>
            <w:tcW w:w="960" w:type="dxa"/>
            <w:tcBorders>
              <w:top w:val="nil"/>
              <w:left w:val="nil"/>
              <w:bottom w:val="nil"/>
              <w:right w:val="nil"/>
            </w:tcBorders>
            <w:shd w:val="clear" w:color="auto" w:fill="auto"/>
            <w:noWrap/>
            <w:vAlign w:val="center"/>
            <w:hideMark/>
          </w:tcPr>
          <w:p w14:paraId="130899A1"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98,5</w:t>
            </w:r>
          </w:p>
        </w:tc>
        <w:tc>
          <w:tcPr>
            <w:tcW w:w="1060" w:type="dxa"/>
            <w:tcBorders>
              <w:top w:val="nil"/>
              <w:left w:val="nil"/>
              <w:bottom w:val="nil"/>
              <w:right w:val="nil"/>
            </w:tcBorders>
            <w:shd w:val="clear" w:color="auto" w:fill="auto"/>
            <w:vAlign w:val="center"/>
            <w:hideMark/>
          </w:tcPr>
          <w:p w14:paraId="4BFA8416"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56,8</w:t>
            </w:r>
          </w:p>
        </w:tc>
        <w:tc>
          <w:tcPr>
            <w:tcW w:w="960" w:type="dxa"/>
            <w:tcBorders>
              <w:top w:val="nil"/>
              <w:left w:val="nil"/>
              <w:bottom w:val="nil"/>
              <w:right w:val="nil"/>
            </w:tcBorders>
            <w:shd w:val="clear" w:color="auto" w:fill="auto"/>
            <w:noWrap/>
            <w:vAlign w:val="center"/>
            <w:hideMark/>
          </w:tcPr>
          <w:p w14:paraId="64AA2E96"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41,8</w:t>
            </w:r>
          </w:p>
        </w:tc>
      </w:tr>
      <w:tr w:rsidR="00151B99" w:rsidRPr="00151B99" w14:paraId="25E6E65D" w14:textId="77777777" w:rsidTr="00151B99">
        <w:trPr>
          <w:trHeight w:val="300"/>
        </w:trPr>
        <w:tc>
          <w:tcPr>
            <w:tcW w:w="850" w:type="dxa"/>
            <w:tcBorders>
              <w:top w:val="nil"/>
              <w:left w:val="nil"/>
              <w:bottom w:val="nil"/>
              <w:right w:val="nil"/>
            </w:tcBorders>
            <w:shd w:val="clear" w:color="auto" w:fill="auto"/>
            <w:vAlign w:val="center"/>
            <w:hideMark/>
          </w:tcPr>
          <w:p w14:paraId="3590A9D4"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2022</w:t>
            </w:r>
          </w:p>
        </w:tc>
        <w:tc>
          <w:tcPr>
            <w:tcW w:w="960" w:type="dxa"/>
            <w:tcBorders>
              <w:top w:val="nil"/>
              <w:left w:val="single" w:sz="4" w:space="0" w:color="auto"/>
              <w:bottom w:val="nil"/>
              <w:right w:val="nil"/>
            </w:tcBorders>
            <w:shd w:val="clear" w:color="auto" w:fill="auto"/>
            <w:noWrap/>
            <w:vAlign w:val="center"/>
            <w:hideMark/>
          </w:tcPr>
          <w:p w14:paraId="09CFED15"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4 747,9</w:t>
            </w:r>
          </w:p>
        </w:tc>
        <w:tc>
          <w:tcPr>
            <w:tcW w:w="960" w:type="dxa"/>
            <w:tcBorders>
              <w:top w:val="nil"/>
              <w:left w:val="nil"/>
              <w:bottom w:val="nil"/>
              <w:right w:val="nil"/>
            </w:tcBorders>
            <w:shd w:val="clear" w:color="auto" w:fill="auto"/>
            <w:vAlign w:val="center"/>
            <w:hideMark/>
          </w:tcPr>
          <w:p w14:paraId="08C6E18D"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2 358,5</w:t>
            </w:r>
          </w:p>
        </w:tc>
        <w:tc>
          <w:tcPr>
            <w:tcW w:w="960" w:type="dxa"/>
            <w:tcBorders>
              <w:top w:val="nil"/>
              <w:left w:val="nil"/>
              <w:bottom w:val="nil"/>
              <w:right w:val="single" w:sz="4" w:space="0" w:color="auto"/>
            </w:tcBorders>
            <w:shd w:val="clear" w:color="auto" w:fill="auto"/>
            <w:noWrap/>
            <w:vAlign w:val="center"/>
            <w:hideMark/>
          </w:tcPr>
          <w:p w14:paraId="50C78410"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2 389,4</w:t>
            </w:r>
          </w:p>
        </w:tc>
        <w:tc>
          <w:tcPr>
            <w:tcW w:w="1060" w:type="dxa"/>
            <w:tcBorders>
              <w:top w:val="nil"/>
              <w:left w:val="nil"/>
              <w:bottom w:val="nil"/>
              <w:right w:val="nil"/>
            </w:tcBorders>
            <w:shd w:val="clear" w:color="auto" w:fill="auto"/>
            <w:vAlign w:val="center"/>
            <w:hideMark/>
          </w:tcPr>
          <w:p w14:paraId="1122293D"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4 647,0</w:t>
            </w:r>
          </w:p>
        </w:tc>
        <w:tc>
          <w:tcPr>
            <w:tcW w:w="960" w:type="dxa"/>
            <w:tcBorders>
              <w:top w:val="nil"/>
              <w:left w:val="nil"/>
              <w:bottom w:val="nil"/>
              <w:right w:val="nil"/>
            </w:tcBorders>
            <w:shd w:val="clear" w:color="auto" w:fill="auto"/>
            <w:vAlign w:val="center"/>
            <w:hideMark/>
          </w:tcPr>
          <w:p w14:paraId="6694D150"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2 300,7</w:t>
            </w:r>
          </w:p>
        </w:tc>
        <w:tc>
          <w:tcPr>
            <w:tcW w:w="960" w:type="dxa"/>
            <w:tcBorders>
              <w:top w:val="nil"/>
              <w:left w:val="nil"/>
              <w:bottom w:val="nil"/>
              <w:right w:val="single" w:sz="4" w:space="0" w:color="auto"/>
            </w:tcBorders>
            <w:shd w:val="clear" w:color="auto" w:fill="auto"/>
            <w:vAlign w:val="center"/>
            <w:hideMark/>
          </w:tcPr>
          <w:p w14:paraId="762EE731"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2 346,3</w:t>
            </w:r>
          </w:p>
        </w:tc>
        <w:tc>
          <w:tcPr>
            <w:tcW w:w="960" w:type="dxa"/>
            <w:tcBorders>
              <w:top w:val="nil"/>
              <w:left w:val="nil"/>
              <w:bottom w:val="nil"/>
              <w:right w:val="nil"/>
            </w:tcBorders>
            <w:shd w:val="clear" w:color="auto" w:fill="auto"/>
            <w:noWrap/>
            <w:vAlign w:val="center"/>
            <w:hideMark/>
          </w:tcPr>
          <w:p w14:paraId="006829AE"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100,9</w:t>
            </w:r>
          </w:p>
        </w:tc>
        <w:tc>
          <w:tcPr>
            <w:tcW w:w="1060" w:type="dxa"/>
            <w:tcBorders>
              <w:top w:val="nil"/>
              <w:left w:val="nil"/>
              <w:bottom w:val="nil"/>
              <w:right w:val="nil"/>
            </w:tcBorders>
            <w:shd w:val="clear" w:color="auto" w:fill="auto"/>
            <w:vAlign w:val="center"/>
            <w:hideMark/>
          </w:tcPr>
          <w:p w14:paraId="3713BAD3"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57,8</w:t>
            </w:r>
          </w:p>
        </w:tc>
        <w:tc>
          <w:tcPr>
            <w:tcW w:w="960" w:type="dxa"/>
            <w:tcBorders>
              <w:top w:val="nil"/>
              <w:left w:val="nil"/>
              <w:bottom w:val="nil"/>
              <w:right w:val="nil"/>
            </w:tcBorders>
            <w:shd w:val="clear" w:color="auto" w:fill="auto"/>
            <w:noWrap/>
            <w:vAlign w:val="center"/>
            <w:hideMark/>
          </w:tcPr>
          <w:p w14:paraId="0AF2F67E"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43,1</w:t>
            </w:r>
          </w:p>
        </w:tc>
      </w:tr>
      <w:tr w:rsidR="00151B99" w:rsidRPr="00151B99" w14:paraId="72F8F066" w14:textId="77777777" w:rsidTr="00151B99">
        <w:trPr>
          <w:trHeight w:val="300"/>
        </w:trPr>
        <w:tc>
          <w:tcPr>
            <w:tcW w:w="850" w:type="dxa"/>
            <w:tcBorders>
              <w:top w:val="nil"/>
              <w:left w:val="nil"/>
              <w:bottom w:val="nil"/>
              <w:right w:val="nil"/>
            </w:tcBorders>
            <w:shd w:val="clear" w:color="auto" w:fill="auto"/>
            <w:vAlign w:val="center"/>
            <w:hideMark/>
          </w:tcPr>
          <w:p w14:paraId="2620462B" w14:textId="77777777" w:rsidR="00151B99" w:rsidRPr="00151B99" w:rsidRDefault="00151B99" w:rsidP="00151B99">
            <w:pPr>
              <w:spacing w:after="0" w:line="240" w:lineRule="auto"/>
              <w:jc w:val="center"/>
              <w:rPr>
                <w:rFonts w:cs="Arial"/>
                <w:color w:val="000000"/>
                <w:sz w:val="16"/>
                <w:szCs w:val="16"/>
              </w:rPr>
            </w:pPr>
            <w:r w:rsidRPr="00151B99">
              <w:rPr>
                <w:rFonts w:cs="Arial"/>
                <w:color w:val="000000"/>
                <w:sz w:val="16"/>
                <w:szCs w:val="16"/>
              </w:rPr>
              <w:t>2023</w:t>
            </w:r>
          </w:p>
        </w:tc>
        <w:tc>
          <w:tcPr>
            <w:tcW w:w="960" w:type="dxa"/>
            <w:tcBorders>
              <w:top w:val="nil"/>
              <w:left w:val="single" w:sz="4" w:space="0" w:color="auto"/>
              <w:bottom w:val="nil"/>
              <w:right w:val="nil"/>
            </w:tcBorders>
            <w:shd w:val="clear" w:color="auto" w:fill="auto"/>
            <w:noWrap/>
            <w:vAlign w:val="center"/>
            <w:hideMark/>
          </w:tcPr>
          <w:p w14:paraId="3F30A4EE"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4 766,9</w:t>
            </w:r>
          </w:p>
        </w:tc>
        <w:tc>
          <w:tcPr>
            <w:tcW w:w="960" w:type="dxa"/>
            <w:tcBorders>
              <w:top w:val="nil"/>
              <w:left w:val="nil"/>
              <w:bottom w:val="nil"/>
              <w:right w:val="nil"/>
            </w:tcBorders>
            <w:shd w:val="clear" w:color="auto" w:fill="auto"/>
            <w:vAlign w:val="center"/>
            <w:hideMark/>
          </w:tcPr>
          <w:p w14:paraId="483418F9"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2 353,9</w:t>
            </w:r>
          </w:p>
        </w:tc>
        <w:tc>
          <w:tcPr>
            <w:tcW w:w="960" w:type="dxa"/>
            <w:tcBorders>
              <w:top w:val="nil"/>
              <w:left w:val="nil"/>
              <w:bottom w:val="nil"/>
              <w:right w:val="single" w:sz="4" w:space="0" w:color="auto"/>
            </w:tcBorders>
            <w:shd w:val="clear" w:color="auto" w:fill="auto"/>
            <w:noWrap/>
            <w:vAlign w:val="center"/>
            <w:hideMark/>
          </w:tcPr>
          <w:p w14:paraId="11AEF27C"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2 413,0</w:t>
            </w:r>
          </w:p>
        </w:tc>
        <w:tc>
          <w:tcPr>
            <w:tcW w:w="1060" w:type="dxa"/>
            <w:tcBorders>
              <w:top w:val="nil"/>
              <w:left w:val="nil"/>
              <w:bottom w:val="nil"/>
              <w:right w:val="nil"/>
            </w:tcBorders>
            <w:shd w:val="clear" w:color="auto" w:fill="auto"/>
            <w:vAlign w:val="center"/>
            <w:hideMark/>
          </w:tcPr>
          <w:p w14:paraId="7F993358"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4 667,9</w:t>
            </w:r>
          </w:p>
        </w:tc>
        <w:tc>
          <w:tcPr>
            <w:tcW w:w="960" w:type="dxa"/>
            <w:tcBorders>
              <w:top w:val="nil"/>
              <w:left w:val="nil"/>
              <w:bottom w:val="nil"/>
              <w:right w:val="nil"/>
            </w:tcBorders>
            <w:shd w:val="clear" w:color="auto" w:fill="auto"/>
            <w:vAlign w:val="center"/>
            <w:hideMark/>
          </w:tcPr>
          <w:p w14:paraId="3353AEEE"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2 297,5</w:t>
            </w:r>
          </w:p>
        </w:tc>
        <w:tc>
          <w:tcPr>
            <w:tcW w:w="960" w:type="dxa"/>
            <w:tcBorders>
              <w:top w:val="nil"/>
              <w:left w:val="nil"/>
              <w:bottom w:val="nil"/>
              <w:right w:val="single" w:sz="4" w:space="0" w:color="auto"/>
            </w:tcBorders>
            <w:shd w:val="clear" w:color="auto" w:fill="auto"/>
            <w:vAlign w:val="center"/>
            <w:hideMark/>
          </w:tcPr>
          <w:p w14:paraId="2C6AB2F5"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2 370,5</w:t>
            </w:r>
          </w:p>
        </w:tc>
        <w:tc>
          <w:tcPr>
            <w:tcW w:w="960" w:type="dxa"/>
            <w:tcBorders>
              <w:top w:val="nil"/>
              <w:left w:val="nil"/>
              <w:bottom w:val="nil"/>
              <w:right w:val="nil"/>
            </w:tcBorders>
            <w:shd w:val="clear" w:color="auto" w:fill="auto"/>
            <w:noWrap/>
            <w:vAlign w:val="center"/>
            <w:hideMark/>
          </w:tcPr>
          <w:p w14:paraId="14603A52"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98,9</w:t>
            </w:r>
          </w:p>
        </w:tc>
        <w:tc>
          <w:tcPr>
            <w:tcW w:w="1060" w:type="dxa"/>
            <w:tcBorders>
              <w:top w:val="nil"/>
              <w:left w:val="nil"/>
              <w:bottom w:val="nil"/>
              <w:right w:val="nil"/>
            </w:tcBorders>
            <w:shd w:val="clear" w:color="auto" w:fill="auto"/>
            <w:vAlign w:val="center"/>
            <w:hideMark/>
          </w:tcPr>
          <w:p w14:paraId="4AAA230C"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56,4</w:t>
            </w:r>
          </w:p>
        </w:tc>
        <w:tc>
          <w:tcPr>
            <w:tcW w:w="960" w:type="dxa"/>
            <w:tcBorders>
              <w:top w:val="nil"/>
              <w:left w:val="nil"/>
              <w:bottom w:val="nil"/>
              <w:right w:val="nil"/>
            </w:tcBorders>
            <w:shd w:val="clear" w:color="auto" w:fill="auto"/>
            <w:noWrap/>
            <w:vAlign w:val="center"/>
            <w:hideMark/>
          </w:tcPr>
          <w:p w14:paraId="7C0F533B" w14:textId="77777777" w:rsidR="00151B99" w:rsidRPr="00151B99" w:rsidRDefault="00151B99" w:rsidP="00151B99">
            <w:pPr>
              <w:spacing w:after="0" w:line="240" w:lineRule="auto"/>
              <w:jc w:val="right"/>
              <w:rPr>
                <w:rFonts w:cs="Arial"/>
                <w:color w:val="000000"/>
                <w:sz w:val="16"/>
                <w:szCs w:val="16"/>
              </w:rPr>
            </w:pPr>
            <w:r w:rsidRPr="00151B99">
              <w:rPr>
                <w:rFonts w:cs="Arial"/>
                <w:color w:val="000000"/>
                <w:sz w:val="16"/>
                <w:szCs w:val="16"/>
              </w:rPr>
              <w:t>42,5</w:t>
            </w:r>
          </w:p>
        </w:tc>
      </w:tr>
    </w:tbl>
    <w:p w14:paraId="5618B9CA" w14:textId="77777777" w:rsidR="00151B99" w:rsidRDefault="00151B99" w:rsidP="00FC2CD8">
      <w:pPr>
        <w:spacing w:after="120"/>
        <w:jc w:val="both"/>
        <w:rPr>
          <w:b/>
          <w:highlight w:val="yellow"/>
        </w:rPr>
      </w:pPr>
    </w:p>
    <w:p w14:paraId="42238EE4" w14:textId="23D3DC2B" w:rsidR="00151B99" w:rsidRDefault="00151B99" w:rsidP="00151B99">
      <w:pPr>
        <w:spacing w:before="120" w:after="120"/>
        <w:jc w:val="both"/>
        <w:rPr>
          <w:rFonts w:cs="Arial"/>
          <w:bCs/>
          <w:color w:val="000000"/>
          <w:sz w:val="16"/>
          <w:szCs w:val="20"/>
        </w:rPr>
      </w:pPr>
      <w:r w:rsidRPr="00DA421C">
        <w:rPr>
          <w:rFonts w:cs="Arial"/>
          <w:bCs/>
          <w:color w:val="000000"/>
          <w:sz w:val="16"/>
          <w:szCs w:val="20"/>
        </w:rPr>
        <w:t>Zdroj: ČSÚ</w:t>
      </w:r>
      <w:bookmarkStart w:id="5" w:name="_GoBack"/>
      <w:bookmarkEnd w:id="5"/>
    </w:p>
    <w:p w14:paraId="173BD82D" w14:textId="3C81527A" w:rsidR="005D381C" w:rsidRPr="00251BF8" w:rsidRDefault="005D381C" w:rsidP="005D381C">
      <w:pPr>
        <w:spacing w:after="120"/>
        <w:jc w:val="both"/>
      </w:pPr>
      <w:r w:rsidRPr="00251BF8">
        <w:lastRenderedPageBreak/>
        <w:t xml:space="preserve">Počet </w:t>
      </w:r>
      <w:r w:rsidRPr="00251BF8">
        <w:rPr>
          <w:b/>
        </w:rPr>
        <w:t>dobrovolně nemocensky pojištěných</w:t>
      </w:r>
      <w:r w:rsidRPr="00251BF8">
        <w:t xml:space="preserve"> – tedy </w:t>
      </w:r>
      <w:r w:rsidRPr="00251BF8">
        <w:rPr>
          <w:b/>
        </w:rPr>
        <w:t>osob samostatně výdělečně činných</w:t>
      </w:r>
      <w:r w:rsidRPr="00251BF8">
        <w:t xml:space="preserve"> </w:t>
      </w:r>
      <w:r w:rsidRPr="00251BF8">
        <w:rPr>
          <w:b/>
        </w:rPr>
        <w:t>(OSVČ)</w:t>
      </w:r>
      <w:r w:rsidRPr="00251BF8">
        <w:t xml:space="preserve"> </w:t>
      </w:r>
      <w:r w:rsidRPr="00251BF8">
        <w:br/>
        <w:t xml:space="preserve">– </w:t>
      </w:r>
      <w:r w:rsidR="002C730B" w:rsidRPr="00251BF8">
        <w:t>meziročně o necelé 2 tis. (2 %) klesl na hodnotu 99 tis. P</w:t>
      </w:r>
      <w:r w:rsidRPr="00251BF8">
        <w:t xml:space="preserve">odíl pojištěných OSVČ na celkovém počtu OSVČ vykonávajících hlavní činnost </w:t>
      </w:r>
      <w:r w:rsidR="00383865" w:rsidRPr="00251BF8">
        <w:t xml:space="preserve">přestavoval </w:t>
      </w:r>
      <w:r w:rsidRPr="00251BF8">
        <w:t>necelých 1</w:t>
      </w:r>
      <w:r w:rsidR="00383865" w:rsidRPr="00251BF8">
        <w:t>5</w:t>
      </w:r>
      <w:r w:rsidRPr="00251BF8">
        <w:t xml:space="preserve"> %. Muži </w:t>
      </w:r>
      <w:r w:rsidR="00383865" w:rsidRPr="00251BF8">
        <w:t>tvořili</w:t>
      </w:r>
      <w:r w:rsidRPr="00251BF8">
        <w:t xml:space="preserve"> 57 % nemocensky pojištěných OSVČ. </w:t>
      </w:r>
      <w:r w:rsidR="00307467" w:rsidRPr="00251BF8">
        <w:t>Ačkoliv u nemocensky pojištěných OSVČ z řad žen došlo meziročně k mírnému poklesu,</w:t>
      </w:r>
      <w:r w:rsidRPr="00251BF8">
        <w:t xml:space="preserve"> </w:t>
      </w:r>
      <w:r w:rsidR="00383865" w:rsidRPr="00251BF8">
        <w:t xml:space="preserve">dlouhodobě </w:t>
      </w:r>
      <w:r w:rsidR="00307467" w:rsidRPr="00251BF8">
        <w:t xml:space="preserve">jich </w:t>
      </w:r>
      <w:r w:rsidRPr="00251BF8">
        <w:t>přibývá</w:t>
      </w:r>
      <w:r w:rsidR="008F09C3" w:rsidRPr="00251BF8">
        <w:t xml:space="preserve"> a </w:t>
      </w:r>
      <w:r w:rsidR="001E59FF">
        <w:t xml:space="preserve">jejich počet </w:t>
      </w:r>
      <w:r w:rsidR="008F09C3" w:rsidRPr="00251BF8">
        <w:t xml:space="preserve">činí zhruba 43 tisíc. </w:t>
      </w:r>
      <w:r w:rsidRPr="00251BF8">
        <w:t>Může to být ovlivněno nárokem na peněžitou podporu v mateřství v případě placení nemocenského pojištění, ale i větší ochotou žen samostatně výdělečně činných si nemocenské pojištění platit. Zatímco v roce 201</w:t>
      </w:r>
      <w:r w:rsidR="008F09C3" w:rsidRPr="00251BF8">
        <w:t>3 ženy tvořily 39</w:t>
      </w:r>
      <w:r w:rsidRPr="00251BF8">
        <w:t xml:space="preserve"> % všech nemocensky pojištěných OSVČ, v roce 202</w:t>
      </w:r>
      <w:r w:rsidR="008F09C3" w:rsidRPr="00251BF8">
        <w:t>3</w:t>
      </w:r>
      <w:r w:rsidRPr="00251BF8">
        <w:t xml:space="preserve"> to bylo o 4 p. b. více.</w:t>
      </w:r>
    </w:p>
    <w:p w14:paraId="6DE0F223" w14:textId="61A34C8D" w:rsidR="005D381C" w:rsidRPr="00251BF8" w:rsidRDefault="005D381C" w:rsidP="005D381C">
      <w:pPr>
        <w:spacing w:after="120"/>
        <w:jc w:val="both"/>
      </w:pPr>
      <w:r w:rsidRPr="00251BF8">
        <w:t xml:space="preserve">Pomineme-li meziroční pokles v roce 2020 a stagnaci v roce </w:t>
      </w:r>
      <w:r w:rsidR="00093988">
        <w:t>2019</w:t>
      </w:r>
      <w:r w:rsidRPr="00251BF8">
        <w:t xml:space="preserve">, je patrné, že vlivem rostoucího počtu zaměstnanců se </w:t>
      </w:r>
      <w:r w:rsidR="008F09C3" w:rsidRPr="00251BF8">
        <w:t>v poslední dekádě ko</w:t>
      </w:r>
      <w:r w:rsidRPr="00251BF8">
        <w:t>ntinuálně zvyšoval i průměrný počet nemocensky pojištěných. Mezi roky 201</w:t>
      </w:r>
      <w:r w:rsidR="008F09C3" w:rsidRPr="00251BF8">
        <w:t>3</w:t>
      </w:r>
      <w:r w:rsidRPr="00251BF8">
        <w:t xml:space="preserve"> a 202</w:t>
      </w:r>
      <w:r w:rsidR="008F09C3" w:rsidRPr="00251BF8">
        <w:t>3</w:t>
      </w:r>
      <w:r w:rsidRPr="00251BF8">
        <w:t xml:space="preserve"> došlo k nárůstu počtu</w:t>
      </w:r>
      <w:r w:rsidR="008F09C3" w:rsidRPr="00251BF8">
        <w:t xml:space="preserve"> p</w:t>
      </w:r>
      <w:r w:rsidR="002B1226" w:rsidRPr="00251BF8">
        <w:t xml:space="preserve">ojištěnců </w:t>
      </w:r>
      <w:r w:rsidR="002B1226" w:rsidRPr="00EA74DB">
        <w:rPr>
          <w:b/>
        </w:rPr>
        <w:t>mezi zaměstnanci</w:t>
      </w:r>
      <w:r w:rsidR="002B1226" w:rsidRPr="00251BF8">
        <w:t xml:space="preserve"> o 7,</w:t>
      </w:r>
      <w:r w:rsidR="00C57B87" w:rsidRPr="00251BF8">
        <w:t>8</w:t>
      </w:r>
      <w:r w:rsidRPr="00251BF8">
        <w:t xml:space="preserve"> % (</w:t>
      </w:r>
      <w:r w:rsidR="008F09C3" w:rsidRPr="00251BF8">
        <w:t>3</w:t>
      </w:r>
      <w:r w:rsidR="00C57B87" w:rsidRPr="00251BF8">
        <w:t>3</w:t>
      </w:r>
      <w:r w:rsidR="008F09C3" w:rsidRPr="00251BF8">
        <w:t>7</w:t>
      </w:r>
      <w:r w:rsidRPr="00251BF8">
        <w:t xml:space="preserve"> tis.). Na tomto nárůstu se podílely především ženy. Za toto období vzrostl </w:t>
      </w:r>
      <w:r w:rsidRPr="00251BF8">
        <w:rPr>
          <w:b/>
        </w:rPr>
        <w:t xml:space="preserve">počet nemocensky pojištěných zaměstnankyň </w:t>
      </w:r>
      <w:r w:rsidRPr="00251BF8">
        <w:t xml:space="preserve">o </w:t>
      </w:r>
      <w:r w:rsidR="008F09C3" w:rsidRPr="00251BF8">
        <w:t>11</w:t>
      </w:r>
      <w:r w:rsidRPr="00251BF8">
        <w:t xml:space="preserve"> % (</w:t>
      </w:r>
      <w:r w:rsidR="008F09C3" w:rsidRPr="00251BF8">
        <w:t>234</w:t>
      </w:r>
      <w:r w:rsidRPr="00251BF8">
        <w:t xml:space="preserve"> tis.). Nemocensky pojištěných zaměstnanců (mužů) přibylo o </w:t>
      </w:r>
      <w:r w:rsidR="008F09C3" w:rsidRPr="00251BF8">
        <w:t>5</w:t>
      </w:r>
      <w:r w:rsidRPr="00251BF8">
        <w:t xml:space="preserve"> % (</w:t>
      </w:r>
      <w:r w:rsidR="008F09C3" w:rsidRPr="00251BF8">
        <w:t>10</w:t>
      </w:r>
      <w:r w:rsidRPr="00251BF8">
        <w:t>3 tis.).</w:t>
      </w:r>
    </w:p>
    <w:p w14:paraId="32FD4832" w14:textId="0CE44F57" w:rsidR="008F09C3" w:rsidRDefault="005D381C" w:rsidP="005D381C">
      <w:pPr>
        <w:spacing w:after="120"/>
        <w:jc w:val="both"/>
      </w:pPr>
      <w:r w:rsidRPr="00251BF8">
        <w:t xml:space="preserve">Co se týče </w:t>
      </w:r>
      <w:r w:rsidRPr="00251BF8">
        <w:rPr>
          <w:b/>
        </w:rPr>
        <w:t>velikosti podniku</w:t>
      </w:r>
      <w:r w:rsidRPr="00251BF8">
        <w:t>, třetina nemocensky pojištěných osob (1 5</w:t>
      </w:r>
      <w:r w:rsidR="008F09C3" w:rsidRPr="00251BF8">
        <w:t>30</w:t>
      </w:r>
      <w:r w:rsidRPr="00251BF8">
        <w:t xml:space="preserve"> tis.) pracuje ve velkých firmách s 500 a více zaměstnanci. Za posledních deset let jejich počet vzrostl </w:t>
      </w:r>
      <w:r w:rsidR="008F09C3" w:rsidRPr="00251BF8">
        <w:t xml:space="preserve">o </w:t>
      </w:r>
      <w:r w:rsidRPr="00251BF8">
        <w:t>1</w:t>
      </w:r>
      <w:r w:rsidR="008F09C3" w:rsidRPr="00251BF8">
        <w:t>1</w:t>
      </w:r>
      <w:r w:rsidRPr="00251BF8">
        <w:t>8 tis. osob. Další necelá třetina připadá na podniky mající do 50 zaměstnanců, kde v roce 202</w:t>
      </w:r>
      <w:r w:rsidR="008F09C3" w:rsidRPr="00251BF8">
        <w:t>3</w:t>
      </w:r>
      <w:r w:rsidRPr="00251BF8">
        <w:t xml:space="preserve"> pracovalo více než 1,5 mil. nemocensky pojištěných osob. Nejnižší podíl mezi nemocensky pojištěnými osobami představují </w:t>
      </w:r>
      <w:r w:rsidRPr="00251BF8">
        <w:rPr>
          <w:b/>
        </w:rPr>
        <w:t>OSVČ</w:t>
      </w:r>
      <w:r w:rsidRPr="00251BF8">
        <w:t>, které jsou, jak už bylo zmíněno, p</w:t>
      </w:r>
      <w:r w:rsidR="008F09C3" w:rsidRPr="00251BF8">
        <w:t>ojištěny dobrovolně. V roce 2023</w:t>
      </w:r>
      <w:r w:rsidRPr="00251BF8">
        <w:t xml:space="preserve"> tvořily pouhá 2 % z celkového počtu pojištěnců v ČR. Před deseti lety byl jejich podíl 2,</w:t>
      </w:r>
      <w:r w:rsidR="008F09C3" w:rsidRPr="00251BF8">
        <w:t>5</w:t>
      </w:r>
      <w:r w:rsidRPr="00251BF8">
        <w:t xml:space="preserve"> %.</w:t>
      </w:r>
    </w:p>
    <w:p w14:paraId="0C01D47C" w14:textId="136FC292" w:rsidR="005D381C" w:rsidRPr="008F09C3" w:rsidRDefault="008F09C3" w:rsidP="005D381C">
      <w:pPr>
        <w:spacing w:after="120"/>
        <w:jc w:val="both"/>
        <w:rPr>
          <w:b/>
        </w:rPr>
      </w:pPr>
      <w:r>
        <w:rPr>
          <w:noProof/>
        </w:rPr>
        <w:drawing>
          <wp:anchor distT="0" distB="0" distL="114300" distR="114300" simplePos="0" relativeHeight="251662848" behindDoc="1" locked="0" layoutInCell="1" allowOverlap="1" wp14:anchorId="33C33C9F" wp14:editId="71808A09">
            <wp:simplePos x="0" y="0"/>
            <wp:positionH relativeFrom="margin">
              <wp:align>right</wp:align>
            </wp:positionH>
            <wp:positionV relativeFrom="paragraph">
              <wp:posOffset>245745</wp:posOffset>
            </wp:positionV>
            <wp:extent cx="3247200" cy="2703600"/>
            <wp:effectExtent l="0" t="0" r="10795" b="1905"/>
            <wp:wrapTight wrapText="bothSides">
              <wp:wrapPolygon edited="0">
                <wp:start x="0" y="0"/>
                <wp:lineTo x="0" y="21463"/>
                <wp:lineTo x="21545" y="21463"/>
                <wp:lineTo x="21545" y="0"/>
                <wp:lineTo x="0" y="0"/>
              </wp:wrapPolygon>
            </wp:wrapTight>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3BF599F0" wp14:editId="251A2591">
            <wp:simplePos x="0" y="0"/>
            <wp:positionH relativeFrom="margin">
              <wp:align>left</wp:align>
            </wp:positionH>
            <wp:positionV relativeFrom="paragraph">
              <wp:posOffset>245745</wp:posOffset>
            </wp:positionV>
            <wp:extent cx="2865600" cy="2703600"/>
            <wp:effectExtent l="0" t="0" r="11430" b="1905"/>
            <wp:wrapTight wrapText="bothSides">
              <wp:wrapPolygon edited="0">
                <wp:start x="0" y="0"/>
                <wp:lineTo x="0" y="21463"/>
                <wp:lineTo x="21543" y="21463"/>
                <wp:lineTo x="21543" y="0"/>
                <wp:lineTo x="0" y="0"/>
              </wp:wrapPolygon>
            </wp:wrapTight>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8F09C3">
        <w:rPr>
          <w:b/>
        </w:rPr>
        <w:t>Graf 1.1: Průměrný počet nemocensky pojištěných osob podle velikosti podniku, 2013, 2018, 2023</w:t>
      </w:r>
      <w:r w:rsidR="005D381C" w:rsidRPr="008F09C3">
        <w:rPr>
          <w:b/>
        </w:rPr>
        <w:t xml:space="preserve"> </w:t>
      </w:r>
    </w:p>
    <w:p w14:paraId="11B215F8" w14:textId="55216E57" w:rsidR="005D381C" w:rsidRPr="00DA421C" w:rsidRDefault="008F09C3" w:rsidP="00151B99">
      <w:pPr>
        <w:spacing w:before="120" w:after="120"/>
        <w:jc w:val="both"/>
        <w:rPr>
          <w:rFonts w:cs="Arial"/>
          <w:bCs/>
          <w:color w:val="000000"/>
          <w:sz w:val="16"/>
          <w:szCs w:val="20"/>
        </w:rPr>
      </w:pPr>
      <w:r w:rsidRPr="008F09C3">
        <w:rPr>
          <w:noProof/>
        </w:rPr>
        <w:t xml:space="preserve"> </w:t>
      </w:r>
    </w:p>
    <w:p w14:paraId="4AF78B23" w14:textId="3D5B3B60" w:rsidR="00A2262D" w:rsidRDefault="00A2262D" w:rsidP="00A2262D">
      <w:pPr>
        <w:spacing w:after="120"/>
        <w:jc w:val="both"/>
        <w:rPr>
          <w:rFonts w:cs="Arial"/>
          <w:bCs/>
          <w:color w:val="000000"/>
          <w:sz w:val="16"/>
          <w:szCs w:val="20"/>
        </w:rPr>
      </w:pPr>
      <w:r w:rsidRPr="00F5334B">
        <w:rPr>
          <w:rFonts w:cs="Arial"/>
          <w:bCs/>
          <w:color w:val="000000"/>
          <w:sz w:val="16"/>
          <w:szCs w:val="20"/>
        </w:rPr>
        <w:t>Zdroj: ČSÚ</w:t>
      </w:r>
    </w:p>
    <w:p w14:paraId="48B920B2" w14:textId="4A0249BC" w:rsidR="00A2262D" w:rsidRPr="00251BF8" w:rsidRDefault="00A2262D" w:rsidP="00A2262D">
      <w:pPr>
        <w:spacing w:after="120"/>
        <w:jc w:val="both"/>
      </w:pPr>
      <w:r w:rsidRPr="00251BF8">
        <w:t xml:space="preserve">Nejvíce zastoupenými </w:t>
      </w:r>
      <w:r w:rsidRPr="00251BF8">
        <w:rPr>
          <w:b/>
        </w:rPr>
        <w:t>odvětvími</w:t>
      </w:r>
      <w:r w:rsidRPr="00251BF8">
        <w:t xml:space="preserve">, co do počtu nemocensky pojištěných, jsou sekce Zpracovatelský průmysl a Velkoobchod a maloobchod, opravy a údržba motorových vozidel, což odráží strukturu české ekonomiky. Tato dvě odvětví dohromady zaměstnávají téměř dvě pětiny (38 %) všech nemocensky pojištěných, přičemž na podniky s převažující ekonomickou činností ve zpracovatelském průmyslu připadá 25 % pojištěnců. V rámci zpracovatelského průmyslu působilo nejvíce nemocensky pojištěných osob v automobilovém průmyslu (CZ-NACE oddíl 29), kde v roce 2023 pracovalo 15 % všech nemocensky pojištěných osob ze zpracovatelského průmyslu. S menším odstupem následovaly kovozpracující (oddíl 25) a strojírenský (oddíl 28) průmysl, na které připadalo 13 %, resp. 10 % ze všech nemocensky pojištěných osob ve zpracovatelském průmyslu. Vzhledem k velkému zastoupení zpracovatelského průmyslu v rámci české ekonomiky je této sekci věnována samostatná část </w:t>
      </w:r>
      <w:r w:rsidR="006A65FC" w:rsidRPr="00251BF8">
        <w:t>6</w:t>
      </w:r>
      <w:r w:rsidRPr="00251BF8">
        <w:t xml:space="preserve"> tabulkové přílohy.</w:t>
      </w:r>
    </w:p>
    <w:p w14:paraId="012827DB" w14:textId="4B0F7089" w:rsidR="00A2262D" w:rsidRPr="00BE515D" w:rsidRDefault="00A2262D" w:rsidP="00A2262D">
      <w:pPr>
        <w:spacing w:after="120"/>
        <w:jc w:val="both"/>
      </w:pPr>
      <w:r w:rsidRPr="00251BF8">
        <w:lastRenderedPageBreak/>
        <w:t>V odvětvových sekcích Veřejná správa</w:t>
      </w:r>
      <w:r w:rsidRPr="00251BF8">
        <w:rPr>
          <w:rStyle w:val="Znakapoznpodarou"/>
        </w:rPr>
        <w:footnoteReference w:id="1"/>
      </w:r>
      <w:r w:rsidRPr="00251BF8">
        <w:t>, Vzdělávání a Zdravotní a sociální péče byla v roce 2023 celkově zaměstnána více než pětina (23 %) ze všech nemocensky pojištěných</w:t>
      </w:r>
      <w:r w:rsidRPr="00251BF8">
        <w:rPr>
          <w:rStyle w:val="Znakapoznpodarou"/>
        </w:rPr>
        <w:footnoteReference w:id="2"/>
      </w:r>
      <w:r w:rsidRPr="00251BF8">
        <w:t>. V roce 2023 dohromady v těchto odvětvových sekcích více než tři čtvrtiny z nemocensky pojištěných osob tvořily ženy. Jen v sekci Zdravotní a sociální péče to bylo více než 80 %.</w:t>
      </w:r>
    </w:p>
    <w:p w14:paraId="7001A591" w14:textId="1E036C1F" w:rsidR="00A2262D" w:rsidRDefault="00A2262D" w:rsidP="00A2262D">
      <w:pPr>
        <w:spacing w:after="120"/>
        <w:jc w:val="both"/>
        <w:rPr>
          <w:rFonts w:cs="Arial"/>
          <w:b/>
          <w:bCs/>
          <w:color w:val="000000"/>
          <w:szCs w:val="20"/>
        </w:rPr>
      </w:pPr>
      <w:r w:rsidRPr="00A2262D">
        <w:rPr>
          <w:rFonts w:cs="Arial"/>
          <w:b/>
          <w:bCs/>
          <w:color w:val="000000"/>
          <w:szCs w:val="20"/>
        </w:rPr>
        <w:t>Graf 1.2: Průměrný počet nemocensky pojištěných osob podle odvět</w:t>
      </w:r>
      <w:r>
        <w:rPr>
          <w:rFonts w:cs="Arial"/>
          <w:b/>
          <w:bCs/>
          <w:color w:val="000000"/>
          <w:szCs w:val="20"/>
        </w:rPr>
        <w:t>ví (sekce CZ-NACE), 2013 a 2023</w:t>
      </w:r>
    </w:p>
    <w:p w14:paraId="0457AD78" w14:textId="2898417C" w:rsidR="00A2262D" w:rsidRPr="00A2262D" w:rsidRDefault="00A2262D" w:rsidP="00A2262D">
      <w:pPr>
        <w:spacing w:after="120"/>
        <w:jc w:val="both"/>
        <w:rPr>
          <w:rFonts w:cs="Arial"/>
          <w:b/>
          <w:bCs/>
          <w:color w:val="000000"/>
          <w:szCs w:val="20"/>
        </w:rPr>
      </w:pPr>
      <w:r>
        <w:rPr>
          <w:noProof/>
        </w:rPr>
        <w:drawing>
          <wp:inline distT="0" distB="0" distL="0" distR="0" wp14:anchorId="7414F5B4" wp14:editId="0EDB47E7">
            <wp:extent cx="6120130" cy="5164455"/>
            <wp:effectExtent l="0" t="0" r="13970" b="1714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19CB4F" w14:textId="5AFC5E70" w:rsidR="00A2262D" w:rsidRDefault="00A2262D" w:rsidP="00A2262D">
      <w:pPr>
        <w:spacing w:after="120"/>
        <w:jc w:val="both"/>
        <w:rPr>
          <w:rFonts w:cs="Arial"/>
          <w:bCs/>
          <w:color w:val="000000"/>
          <w:sz w:val="16"/>
          <w:szCs w:val="20"/>
        </w:rPr>
      </w:pPr>
      <w:r w:rsidRPr="00F5334B">
        <w:rPr>
          <w:rFonts w:cs="Arial"/>
          <w:bCs/>
          <w:color w:val="000000"/>
          <w:sz w:val="16"/>
          <w:szCs w:val="20"/>
        </w:rPr>
        <w:t>Zdroj: ČSÚ</w:t>
      </w:r>
    </w:p>
    <w:p w14:paraId="7E26B45B" w14:textId="18703123" w:rsidR="00A2262D" w:rsidRPr="00251BF8" w:rsidRDefault="00A2262D" w:rsidP="00A2262D">
      <w:pPr>
        <w:pStyle w:val="Seznam"/>
        <w:spacing w:after="120"/>
        <w:contextualSpacing w:val="0"/>
        <w:jc w:val="both"/>
      </w:pPr>
      <w:r w:rsidRPr="00251BF8">
        <w:rPr>
          <w:b/>
        </w:rPr>
        <w:t>Mezi roky 2013 a 2023</w:t>
      </w:r>
      <w:r w:rsidRPr="00251BF8">
        <w:t xml:space="preserve"> došlo k nárůstu počtu nemocensky pojištěných téměř o 327 tis. osob (tj. o 7 %). </w:t>
      </w:r>
      <w:r w:rsidRPr="00251BF8">
        <w:rPr>
          <w:rFonts w:cs="Arial"/>
          <w:bCs/>
          <w:color w:val="000000"/>
          <w:szCs w:val="20"/>
        </w:rPr>
        <w:t xml:space="preserve">Na tomto nárůstu se podílely především ženy. Jejich počet </w:t>
      </w:r>
      <w:r w:rsidR="00F77AD9">
        <w:rPr>
          <w:rFonts w:cs="Arial"/>
          <w:bCs/>
          <w:color w:val="000000"/>
          <w:szCs w:val="20"/>
        </w:rPr>
        <w:t xml:space="preserve">za deset let </w:t>
      </w:r>
      <w:r w:rsidRPr="00251BF8">
        <w:rPr>
          <w:rFonts w:cs="Arial"/>
          <w:bCs/>
          <w:color w:val="000000"/>
          <w:szCs w:val="20"/>
        </w:rPr>
        <w:t>vzrostl o</w:t>
      </w:r>
      <w:r w:rsidR="00F77AD9">
        <w:rPr>
          <w:rFonts w:cs="Arial"/>
          <w:bCs/>
          <w:color w:val="000000"/>
          <w:szCs w:val="20"/>
        </w:rPr>
        <w:t xml:space="preserve"> více než desetinu (10,7 %)</w:t>
      </w:r>
      <w:r w:rsidRPr="00251BF8">
        <w:rPr>
          <w:rFonts w:cs="Arial"/>
          <w:bCs/>
          <w:color w:val="000000"/>
          <w:szCs w:val="20"/>
        </w:rPr>
        <w:t>, což v absolutním vyjádření představuje nárůst o 233 tisíc</w:t>
      </w:r>
      <w:r w:rsidR="00481559">
        <w:rPr>
          <w:rFonts w:cs="Arial"/>
          <w:bCs/>
          <w:color w:val="000000"/>
          <w:szCs w:val="20"/>
        </w:rPr>
        <w:t>.</w:t>
      </w:r>
      <w:r w:rsidRPr="00251BF8">
        <w:rPr>
          <w:rFonts w:cs="Arial"/>
          <w:bCs/>
          <w:color w:val="000000"/>
          <w:szCs w:val="20"/>
        </w:rPr>
        <w:t xml:space="preserve"> Jen pro srovnání, počet mužů se zvýšil o 4 % (93 tis.). Tomu odpovídá i srovnání dle odvětví. </w:t>
      </w:r>
      <w:r w:rsidRPr="00251BF8">
        <w:t xml:space="preserve">Nejvíce pojištěnců, více než 103 tis. (tedy 31 %) přibylo v sekci Zdravotní a sociální péče. Přičemž jen nárůst oproti roku 2019 – v souvislosti s nebývalým náporem na zdravotnictví v podobě pandemie, </w:t>
      </w:r>
      <w:r w:rsidR="00A7027D" w:rsidRPr="00251BF8">
        <w:t>potažmo</w:t>
      </w:r>
      <w:r w:rsidRPr="00251BF8">
        <w:t xml:space="preserve"> i důsledk</w:t>
      </w:r>
      <w:r w:rsidR="00A7027D" w:rsidRPr="00251BF8">
        <w:t>em</w:t>
      </w:r>
      <w:r w:rsidRPr="00251BF8">
        <w:t xml:space="preserve"> stárnutí populace – činil 60 tis., resp. 16 %. Odvětvovou sekcí s druhým nejvyšším absolutním přírůstkem za poslední desetiletí bylo Vzdělávání. Zde vzrostl počet nemocenských pojištěnců o </w:t>
      </w:r>
      <w:r w:rsidR="00A7027D" w:rsidRPr="00251BF8">
        <w:t>83</w:t>
      </w:r>
      <w:r w:rsidRPr="00251BF8">
        <w:t xml:space="preserve"> tis, což představovalo </w:t>
      </w:r>
      <w:r w:rsidR="00A7027D" w:rsidRPr="00251BF8">
        <w:t>25</w:t>
      </w:r>
      <w:r w:rsidRPr="00251BF8">
        <w:t>% nárůst.</w:t>
      </w:r>
    </w:p>
    <w:p w14:paraId="2DE1F248" w14:textId="4A3BFBF0" w:rsidR="00A2262D" w:rsidRPr="00251BF8" w:rsidRDefault="00A2262D" w:rsidP="00A2262D">
      <w:pPr>
        <w:pStyle w:val="Seznam"/>
        <w:spacing w:after="120"/>
        <w:contextualSpacing w:val="0"/>
        <w:jc w:val="both"/>
      </w:pPr>
      <w:r w:rsidRPr="00251BF8">
        <w:lastRenderedPageBreak/>
        <w:t>Výrazné zvýšení bylo zaznamenáno i v odvětvové sekci Informační a komunikační činnosti, kde počet nemocensky pojištěných osob za posledních deset let vzrostl o 43 tis., tj. o 3</w:t>
      </w:r>
      <w:r w:rsidR="00A7027D" w:rsidRPr="00251BF8">
        <w:t>7</w:t>
      </w:r>
      <w:r w:rsidRPr="00251BF8">
        <w:t xml:space="preserve"> %. Tato odvětvová sekce zahrnuje řadu ekonomických činností od vydavatelských, audiovizuálních a mediálních činností přes telekomunikace až po činnosti v oblasti informačních a komunikačních technologií. Tam spadá např. programování či IT poradenství a zpracování dat. Největší nárůst počtu nemocensky pojištěných osob byl v této sekci zaznamenán v oddílu Činnosti v oblasti informačních technologií (CZ-NACE 62), kde se počet pojištěnců od roku 201</w:t>
      </w:r>
      <w:r w:rsidR="00A7027D" w:rsidRPr="00251BF8">
        <w:t>8</w:t>
      </w:r>
      <w:r w:rsidRPr="00251BF8">
        <w:t xml:space="preserve"> zvýšil o více než </w:t>
      </w:r>
      <w:r w:rsidR="00A7027D" w:rsidRPr="00251BF8">
        <w:t>čtvrtinu</w:t>
      </w:r>
      <w:r w:rsidRPr="00251BF8">
        <w:t xml:space="preserve"> (tj. o 2</w:t>
      </w:r>
      <w:r w:rsidR="00A7027D" w:rsidRPr="00251BF8">
        <w:t>1</w:t>
      </w:r>
      <w:r w:rsidRPr="00251BF8">
        <w:t xml:space="preserve"> tis.).</w:t>
      </w:r>
    </w:p>
    <w:p w14:paraId="50188B4C" w14:textId="1ABB85C1" w:rsidR="00A2262D" w:rsidRPr="00251BF8" w:rsidRDefault="00A2262D" w:rsidP="00A2262D">
      <w:pPr>
        <w:pStyle w:val="Seznam"/>
        <w:spacing w:after="120"/>
        <w:contextualSpacing w:val="0"/>
        <w:jc w:val="both"/>
      </w:pPr>
      <w:r w:rsidRPr="00251BF8">
        <w:t>Naopak odvětvími, která měla v roce 202</w:t>
      </w:r>
      <w:r w:rsidR="00A7027D" w:rsidRPr="00251BF8">
        <w:t>3</w:t>
      </w:r>
      <w:r w:rsidRPr="00251BF8">
        <w:t xml:space="preserve"> méně pojištěnců než v roce 201</w:t>
      </w:r>
      <w:r w:rsidR="00A7027D" w:rsidRPr="00251BF8">
        <w:t>3</w:t>
      </w:r>
      <w:r w:rsidRPr="00251BF8">
        <w:t xml:space="preserve">, byly </w:t>
      </w:r>
      <w:r w:rsidRPr="00481559">
        <w:t>Těžba a dobývání</w:t>
      </w:r>
      <w:r w:rsidRPr="00251BF8">
        <w:t xml:space="preserve">, </w:t>
      </w:r>
      <w:r w:rsidR="00A7027D" w:rsidRPr="00251BF8">
        <w:t>kde došlo k poklesu o 15 tis. (44 %), dále Země</w:t>
      </w:r>
      <w:r w:rsidRPr="00251BF8">
        <w:t>dělství, lesnictví a rybářství (−6 tis.</w:t>
      </w:r>
      <w:r w:rsidR="00A7027D" w:rsidRPr="00251BF8">
        <w:t>; 6 %</w:t>
      </w:r>
      <w:r w:rsidRPr="00251BF8">
        <w:t xml:space="preserve">). </w:t>
      </w:r>
    </w:p>
    <w:p w14:paraId="58A4C5F7" w14:textId="599EC473" w:rsidR="00A2262D" w:rsidRPr="00251BF8" w:rsidRDefault="00A2262D" w:rsidP="00A2262D">
      <w:pPr>
        <w:pStyle w:val="Seznam"/>
        <w:spacing w:after="120"/>
        <w:contextualSpacing w:val="0"/>
        <w:jc w:val="both"/>
      </w:pPr>
      <w:r w:rsidRPr="00251BF8">
        <w:t>Sekce Ubytování, stravování a pohostinství zažila mezi roky 2019 a 2022 pokles počtu nemocensky pojištěných ze 153 tis. na 139 tis., čili o 14 tis. (9 %). Zde svou roli patrně sehrála proticovidová opatření v podobě omezení provozu restaurací a uzavření ubytovacích zařízení.</w:t>
      </w:r>
      <w:r w:rsidR="00A7027D" w:rsidRPr="00251BF8">
        <w:t xml:space="preserve"> V roce 2023 čítala 144 tis. nemocensky pojištěných.</w:t>
      </w:r>
    </w:p>
    <w:p w14:paraId="444B6906" w14:textId="48032F96" w:rsidR="00A2262D" w:rsidRDefault="00A2262D" w:rsidP="00EA74DB">
      <w:pPr>
        <w:spacing w:after="120"/>
        <w:jc w:val="both"/>
        <w:rPr>
          <w:rFonts w:cs="Arial"/>
          <w:bCs/>
          <w:color w:val="000000"/>
          <w:szCs w:val="20"/>
        </w:rPr>
      </w:pPr>
      <w:r w:rsidRPr="00251BF8">
        <w:rPr>
          <w:rFonts w:cs="Arial"/>
          <w:bCs/>
          <w:color w:val="000000"/>
          <w:szCs w:val="20"/>
        </w:rPr>
        <w:t>V roce 202</w:t>
      </w:r>
      <w:r w:rsidR="00A7027D" w:rsidRPr="00251BF8">
        <w:rPr>
          <w:rFonts w:cs="Arial"/>
          <w:bCs/>
          <w:color w:val="000000"/>
          <w:szCs w:val="20"/>
        </w:rPr>
        <w:t>3</w:t>
      </w:r>
      <w:r w:rsidRPr="00251BF8">
        <w:rPr>
          <w:rFonts w:cs="Arial"/>
          <w:bCs/>
          <w:color w:val="000000"/>
          <w:szCs w:val="20"/>
        </w:rPr>
        <w:t xml:space="preserve"> vzrostl</w:t>
      </w:r>
      <w:r w:rsidR="00A7027D" w:rsidRPr="00251BF8">
        <w:rPr>
          <w:rFonts w:cs="Arial"/>
          <w:bCs/>
          <w:color w:val="000000"/>
          <w:szCs w:val="20"/>
        </w:rPr>
        <w:t xml:space="preserve"> meziročně počet pojištěnců v sekci Zdravotní a sociální péče o 24 tis. (6 %).</w:t>
      </w:r>
      <w:r w:rsidRPr="00251BF8">
        <w:rPr>
          <w:rFonts w:cs="Arial"/>
          <w:bCs/>
          <w:color w:val="000000"/>
          <w:szCs w:val="20"/>
        </w:rPr>
        <w:t xml:space="preserve"> Jde o největší absolutní meziroční nárůst ze všech sledovaných odvětvových sekcí. </w:t>
      </w:r>
      <w:r w:rsidR="008360E3">
        <w:rPr>
          <w:rFonts w:cs="Arial"/>
          <w:bCs/>
          <w:color w:val="000000"/>
          <w:szCs w:val="20"/>
        </w:rPr>
        <w:t xml:space="preserve">Nárůst o více než 10 tisíc </w:t>
      </w:r>
      <w:r w:rsidR="00481559">
        <w:rPr>
          <w:rFonts w:cs="Arial"/>
          <w:bCs/>
          <w:color w:val="000000"/>
          <w:szCs w:val="20"/>
        </w:rPr>
        <w:t xml:space="preserve">pojištěnců nastal v </w:t>
      </w:r>
      <w:r w:rsidR="008360E3">
        <w:rPr>
          <w:rFonts w:cs="Arial"/>
          <w:bCs/>
          <w:color w:val="000000"/>
          <w:szCs w:val="20"/>
        </w:rPr>
        <w:t xml:space="preserve">odvětvových </w:t>
      </w:r>
      <w:r w:rsidR="00A7027D" w:rsidRPr="00251BF8">
        <w:rPr>
          <w:rFonts w:cs="Arial"/>
          <w:bCs/>
          <w:color w:val="000000"/>
          <w:szCs w:val="20"/>
        </w:rPr>
        <w:t>sekc</w:t>
      </w:r>
      <w:r w:rsidR="008360E3">
        <w:rPr>
          <w:rFonts w:cs="Arial"/>
          <w:bCs/>
          <w:color w:val="000000"/>
          <w:szCs w:val="20"/>
        </w:rPr>
        <w:t>ích</w:t>
      </w:r>
      <w:r w:rsidR="00A7027D" w:rsidRPr="00251BF8">
        <w:rPr>
          <w:rFonts w:cs="Arial"/>
          <w:bCs/>
          <w:color w:val="000000"/>
          <w:szCs w:val="20"/>
        </w:rPr>
        <w:t xml:space="preserve"> Administrativní a podpůrné činnosti (13 tis.; 5 %) a Vzdělávání (11 tis.; 3 %). Naopak o 20 tis. (2 %) klesl počet pojištěnců ve Zpracovatelském průmyslu.</w:t>
      </w:r>
    </w:p>
    <w:p w14:paraId="10FDD4D3" w14:textId="77777777" w:rsidR="00A854BA" w:rsidRPr="00B717E3" w:rsidRDefault="00A854BA" w:rsidP="00A854BA">
      <w:pPr>
        <w:pStyle w:val="Box1"/>
        <w:spacing w:before="120" w:after="120"/>
        <w:ind w:left="0"/>
        <w:contextualSpacing w:val="0"/>
        <w:jc w:val="both"/>
        <w:rPr>
          <w:i/>
        </w:rPr>
      </w:pPr>
      <w:r w:rsidRPr="00B717E3">
        <w:rPr>
          <w:b/>
          <w:i/>
        </w:rPr>
        <w:t xml:space="preserve">Průměrný počet nemocensky pojištěných mladistvých </w:t>
      </w:r>
      <w:r w:rsidRPr="00B717E3">
        <w:rPr>
          <w:i/>
        </w:rPr>
        <w:t>– ukazatel udává průměrný počet nemocensky pojištěných osob mladších 18 let (viz § 350 odst. 2 zákona č. 262/2006 Sb., zákoník práce, ve znění pozdějších předpisů).</w:t>
      </w:r>
    </w:p>
    <w:p w14:paraId="74DA51C8" w14:textId="77777777" w:rsidR="00A854BA" w:rsidRPr="00B717E3" w:rsidRDefault="00A854BA" w:rsidP="00A854BA">
      <w:pPr>
        <w:pStyle w:val="Box1"/>
        <w:ind w:left="0"/>
        <w:jc w:val="both"/>
        <w:rPr>
          <w:i/>
          <w:u w:val="single"/>
        </w:rPr>
      </w:pPr>
      <w:r w:rsidRPr="00B717E3">
        <w:rPr>
          <w:i/>
          <w:u w:val="single"/>
        </w:rPr>
        <w:t>Způsob výpočtu:</w:t>
      </w:r>
    </w:p>
    <w:p w14:paraId="76804928" w14:textId="77777777" w:rsidR="00A854BA" w:rsidRPr="00B717E3" w:rsidRDefault="00A854BA" w:rsidP="00A854BA">
      <w:pPr>
        <w:pStyle w:val="Box1"/>
        <w:spacing w:before="120" w:after="120"/>
        <w:ind w:left="0"/>
        <w:contextualSpacing w:val="0"/>
        <w:jc w:val="both"/>
        <w:rPr>
          <w:i/>
        </w:rPr>
      </w:pPr>
      <w:r w:rsidRPr="00B717E3">
        <w:rPr>
          <w:i/>
        </w:rPr>
        <w:t>Průměrný počet nemocensky pojištěných mladistvých = počet dnů nemocenského pojištění jednotlivých pojištěných mladistvých ve vykazovaném období / počet kalendářních dnů ve vykazovaném období.</w:t>
      </w:r>
    </w:p>
    <w:p w14:paraId="59EF804A" w14:textId="10CD0F9E" w:rsidR="00774CE9" w:rsidRDefault="00A854BA" w:rsidP="003E2FAF">
      <w:pPr>
        <w:pStyle w:val="Seznam"/>
        <w:spacing w:after="120"/>
        <w:contextualSpacing w:val="0"/>
        <w:jc w:val="both"/>
      </w:pPr>
      <w:r w:rsidRPr="00251BF8">
        <w:t>V roce 2023 bylo evidováno 14,4 tis. nemocensky pojištěných mladistvých, tedy osob mladších 18 let. Na celkovém počtu pojištěnců se podíleli 0,3 %. Jejich počet meziročně vzrostl z 11,7 tis. o 2 622 osob, tj. o 22 %.</w:t>
      </w:r>
      <w:bookmarkEnd w:id="0"/>
    </w:p>
    <w:p w14:paraId="3BE606FD" w14:textId="77777777" w:rsidR="003E2FAF" w:rsidRPr="005A75BA" w:rsidRDefault="003E2FAF" w:rsidP="003E2FAF">
      <w:pPr>
        <w:pStyle w:val="Nadpis3"/>
      </w:pPr>
      <w:bookmarkStart w:id="6" w:name="_Toc136412149"/>
      <w:bookmarkStart w:id="7" w:name="_Toc167965224"/>
      <w:r w:rsidRPr="005A75BA">
        <w:t>4.2 Nově hlášené případy dočasné pracovní neschopnosti</w:t>
      </w:r>
      <w:bookmarkEnd w:id="6"/>
      <w:bookmarkEnd w:id="7"/>
    </w:p>
    <w:p w14:paraId="57397F94" w14:textId="77777777" w:rsidR="003E2FAF" w:rsidRPr="00263CD8" w:rsidRDefault="003E2FAF" w:rsidP="003E2FAF">
      <w:pPr>
        <w:pStyle w:val="Nadpis4"/>
        <w:rPr>
          <w:sz w:val="24"/>
        </w:rPr>
      </w:pPr>
      <w:bookmarkStart w:id="8" w:name="_Toc136412150"/>
      <w:bookmarkStart w:id="9" w:name="_Toc167965225"/>
      <w:r w:rsidRPr="00263CD8">
        <w:rPr>
          <w:sz w:val="24"/>
        </w:rPr>
        <w:t>4.2.1 Počet případů dočasné pracovní neschopnosti</w:t>
      </w:r>
      <w:bookmarkEnd w:id="8"/>
      <w:bookmarkEnd w:id="9"/>
    </w:p>
    <w:p w14:paraId="53E03F96" w14:textId="083C13B0" w:rsidR="003E2FAF" w:rsidRPr="004B2783" w:rsidRDefault="003E2FAF" w:rsidP="003E2FAF">
      <w:pPr>
        <w:spacing w:after="120"/>
        <w:jc w:val="both"/>
        <w:rPr>
          <w:bCs/>
        </w:rPr>
      </w:pPr>
      <w:r w:rsidRPr="004B2783">
        <w:rPr>
          <w:b/>
          <w:bCs/>
        </w:rPr>
        <w:t>Četnost dočasné pracovní neschopnosti</w:t>
      </w:r>
      <w:r w:rsidRPr="004B2783">
        <w:rPr>
          <w:bCs/>
        </w:rPr>
        <w:t xml:space="preserve"> </w:t>
      </w:r>
      <w:r w:rsidRPr="004B2783">
        <w:rPr>
          <w:b/>
          <w:bCs/>
        </w:rPr>
        <w:t>(DPN)</w:t>
      </w:r>
      <w:r w:rsidRPr="004B2783">
        <w:rPr>
          <w:bCs/>
        </w:rPr>
        <w:t xml:space="preserve"> odráží ukazatel o počtu nově hlášených případů pracovní neschopnosti. Tento absolutní ukazatel je rovněž vhodný pro posouzení trendů vývoje pracovní neschopnosti v čase. Avšak z pohledu porovnání</w:t>
      </w:r>
      <w:r w:rsidR="009E4E0A">
        <w:rPr>
          <w:bCs/>
        </w:rPr>
        <w:t xml:space="preserve"> </w:t>
      </w:r>
      <w:r w:rsidRPr="004B2783">
        <w:rPr>
          <w:bCs/>
        </w:rPr>
        <w:t xml:space="preserve">jednotlivých odvětví ekonomických činností či velikosti podniku má vyšší vypovídací schopnost </w:t>
      </w:r>
      <w:r w:rsidRPr="004B2783">
        <w:rPr>
          <w:b/>
          <w:bCs/>
        </w:rPr>
        <w:t>ukazatel relativní</w:t>
      </w:r>
      <w:r w:rsidRPr="004B2783">
        <w:rPr>
          <w:bCs/>
        </w:rPr>
        <w:t xml:space="preserve"> – </w:t>
      </w:r>
      <w:r w:rsidRPr="004B2783">
        <w:rPr>
          <w:b/>
          <w:bCs/>
        </w:rPr>
        <w:t>počet</w:t>
      </w:r>
      <w:r w:rsidRPr="004B2783">
        <w:rPr>
          <w:bCs/>
        </w:rPr>
        <w:t xml:space="preserve"> nově hlášených případů pracovní neschopnosti </w:t>
      </w:r>
      <w:r w:rsidRPr="004B2783">
        <w:rPr>
          <w:b/>
          <w:bCs/>
        </w:rPr>
        <w:t>na 100</w:t>
      </w:r>
      <w:r w:rsidR="00957C5B">
        <w:rPr>
          <w:b/>
          <w:bCs/>
        </w:rPr>
        <w:t> </w:t>
      </w:r>
      <w:r w:rsidRPr="004B2783">
        <w:rPr>
          <w:b/>
          <w:bCs/>
        </w:rPr>
        <w:t>pojištěnců</w:t>
      </w:r>
      <w:r w:rsidRPr="004B2783">
        <w:rPr>
          <w:bCs/>
        </w:rPr>
        <w:t xml:space="preserve"> v dané kategorii, např. ve zpracovatelském průmyslu</w:t>
      </w:r>
      <w:r w:rsidR="009E4E0A">
        <w:rPr>
          <w:bCs/>
        </w:rPr>
        <w:t xml:space="preserve"> či v malých podnicích.</w:t>
      </w:r>
    </w:p>
    <w:p w14:paraId="5CF440C5" w14:textId="77777777" w:rsidR="003E2FAF" w:rsidRPr="004B2783" w:rsidRDefault="003E2FAF" w:rsidP="003E2FAF">
      <w:pPr>
        <w:pStyle w:val="Box1"/>
        <w:spacing w:before="120" w:after="120"/>
        <w:ind w:left="0"/>
        <w:contextualSpacing w:val="0"/>
        <w:jc w:val="both"/>
        <w:rPr>
          <w:i/>
        </w:rPr>
      </w:pPr>
      <w:r w:rsidRPr="004B2783">
        <w:rPr>
          <w:b/>
          <w:i/>
        </w:rPr>
        <w:t xml:space="preserve">Počet nově hlášených případů dočasné pracovní neschopnosti </w:t>
      </w:r>
      <w:r w:rsidRPr="004B2783">
        <w:rPr>
          <w:i/>
        </w:rPr>
        <w:t>– ukazatel zahrnuje nově hlášené případy pracovní neschopnosti ve sledovaném období na základě hlášení o vzniku pracovní neschopnosti nemocensky pojištěných osob.</w:t>
      </w:r>
    </w:p>
    <w:p w14:paraId="2165B942" w14:textId="77777777" w:rsidR="003E2FAF" w:rsidRPr="004B2783" w:rsidRDefault="003E2FAF" w:rsidP="003E2FAF">
      <w:pPr>
        <w:pStyle w:val="Box1"/>
        <w:spacing w:before="120" w:after="120"/>
        <w:ind w:left="0"/>
        <w:contextualSpacing w:val="0"/>
        <w:jc w:val="both"/>
        <w:rPr>
          <w:i/>
        </w:rPr>
      </w:pPr>
      <w:r w:rsidRPr="004B2783">
        <w:rPr>
          <w:b/>
          <w:i/>
        </w:rPr>
        <w:t xml:space="preserve">Počet případů pracovní neschopnosti na 100 pojištěnců </w:t>
      </w:r>
      <w:r w:rsidRPr="004B2783">
        <w:rPr>
          <w:i/>
        </w:rPr>
        <w:t xml:space="preserve">– ukazatel vyjadřuje počet nově hlášených případů pracovní neschopnosti, které připadají v průměru na 100 nemocensky pojištěných osob. </w:t>
      </w:r>
    </w:p>
    <w:p w14:paraId="25E56FE6" w14:textId="60E5FF3F" w:rsidR="00EA74DB" w:rsidRDefault="009E4E0A" w:rsidP="00EA74DB">
      <w:pPr>
        <w:spacing w:before="120" w:after="120"/>
        <w:jc w:val="both"/>
        <w:rPr>
          <w:bCs/>
        </w:rPr>
      </w:pPr>
      <w:r w:rsidRPr="00251BF8">
        <w:rPr>
          <w:bCs/>
        </w:rPr>
        <w:t>V roce 2023</w:t>
      </w:r>
      <w:r w:rsidR="003E2FAF" w:rsidRPr="00251BF8">
        <w:rPr>
          <w:bCs/>
        </w:rPr>
        <w:t xml:space="preserve"> bylo v Česku nahlášeno </w:t>
      </w:r>
      <w:r w:rsidR="003E2FAF" w:rsidRPr="00251BF8">
        <w:rPr>
          <w:b/>
          <w:bCs/>
        </w:rPr>
        <w:t>celkem</w:t>
      </w:r>
      <w:r w:rsidR="003E2FAF" w:rsidRPr="00251BF8">
        <w:rPr>
          <w:bCs/>
        </w:rPr>
        <w:t xml:space="preserve"> </w:t>
      </w:r>
      <w:r w:rsidRPr="00251BF8">
        <w:rPr>
          <w:b/>
          <w:bCs/>
        </w:rPr>
        <w:t>2 535</w:t>
      </w:r>
      <w:r w:rsidR="003E2FAF" w:rsidRPr="00251BF8">
        <w:rPr>
          <w:b/>
          <w:bCs/>
        </w:rPr>
        <w:t xml:space="preserve"> tis. případů pracovní neschopnosti.</w:t>
      </w:r>
      <w:r w:rsidR="003E2FAF" w:rsidRPr="00251BF8">
        <w:rPr>
          <w:bCs/>
        </w:rPr>
        <w:t xml:space="preserve"> To je o 2</w:t>
      </w:r>
      <w:r w:rsidRPr="00251BF8">
        <w:rPr>
          <w:bCs/>
        </w:rPr>
        <w:t>7</w:t>
      </w:r>
      <w:r w:rsidR="003E2FAF" w:rsidRPr="00251BF8">
        <w:rPr>
          <w:bCs/>
        </w:rPr>
        <w:t xml:space="preserve"> % (</w:t>
      </w:r>
      <w:r w:rsidRPr="00251BF8">
        <w:rPr>
          <w:bCs/>
        </w:rPr>
        <w:t>923</w:t>
      </w:r>
      <w:r w:rsidR="003E2FAF" w:rsidRPr="00251BF8">
        <w:rPr>
          <w:bCs/>
        </w:rPr>
        <w:t xml:space="preserve"> tis.) případů </w:t>
      </w:r>
      <w:r w:rsidRPr="00251BF8">
        <w:rPr>
          <w:bCs/>
        </w:rPr>
        <w:t>méně</w:t>
      </w:r>
      <w:r w:rsidR="003E2FAF" w:rsidRPr="00251BF8">
        <w:rPr>
          <w:bCs/>
        </w:rPr>
        <w:t xml:space="preserve"> než v předchozím roce. </w:t>
      </w:r>
      <w:r w:rsidRPr="00251BF8">
        <w:rPr>
          <w:bCs/>
        </w:rPr>
        <w:t>Do počtu případů pro nemoc jsou kromě nemocí jako takových započteny i karantény a izolace. Kromě navýšení počtu případů nemocí, karantén a izolací byl ovšem nárůst částečně způsoben i metodologicky.</w:t>
      </w:r>
    </w:p>
    <w:p w14:paraId="493936DE" w14:textId="6F24AF2D" w:rsidR="00EA74DB" w:rsidRPr="00EA74DB" w:rsidRDefault="009E4E0A" w:rsidP="00EA74DB">
      <w:pPr>
        <w:pStyle w:val="Box1"/>
        <w:ind w:left="0"/>
        <w:jc w:val="both"/>
        <w:rPr>
          <w:b/>
          <w:i/>
        </w:rPr>
      </w:pPr>
      <w:r w:rsidRPr="00EA74DB">
        <w:rPr>
          <w:b/>
          <w:bCs/>
          <w:i/>
        </w:rPr>
        <w:t>Od 17. ledna do 28. února</w:t>
      </w:r>
      <w:r w:rsidRPr="00EA74DB">
        <w:rPr>
          <w:b/>
          <w:i/>
        </w:rPr>
        <w:t xml:space="preserve"> 2022</w:t>
      </w:r>
      <w:r w:rsidRPr="00EA74DB">
        <w:rPr>
          <w:i/>
        </w:rPr>
        <w:t xml:space="preserve"> při testování na covid-19 byly </w:t>
      </w:r>
      <w:r w:rsidRPr="00EA74DB">
        <w:rPr>
          <w:b/>
          <w:i/>
        </w:rPr>
        <w:t>některým pracujícím</w:t>
      </w:r>
      <w:r w:rsidRPr="00EA74DB">
        <w:rPr>
          <w:i/>
        </w:rPr>
        <w:t xml:space="preserve"> vydány neschopenky pro karanténu či izolaci </w:t>
      </w:r>
      <w:r w:rsidRPr="00EA74DB">
        <w:rPr>
          <w:b/>
          <w:i/>
        </w:rPr>
        <w:t>duplicitně</w:t>
      </w:r>
      <w:r w:rsidRPr="00EA74DB">
        <w:rPr>
          <w:i/>
        </w:rPr>
        <w:t>. V zájmu operativního jednání při jejich vyřizování vydávali neschopenky jak praktičtí lékaři, tak krajské hygienické stanice. Z dostupných zdrojových databází však není možné duplicitní případy identifikovat a ani vyčíslit jejich míru.</w:t>
      </w:r>
      <w:r w:rsidR="000D52D6" w:rsidRPr="00EA74DB">
        <w:rPr>
          <w:i/>
        </w:rPr>
        <w:t xml:space="preserve"> </w:t>
      </w:r>
      <w:r w:rsidR="000D52D6" w:rsidRPr="00EA74DB">
        <w:rPr>
          <w:b/>
          <w:i/>
        </w:rPr>
        <w:t>Údaje za rok 2022 tudíž nejsou srovnatelné s údaji za ostatní roky.</w:t>
      </w:r>
    </w:p>
    <w:p w14:paraId="181B8AA8" w14:textId="77B7BB29" w:rsidR="000D52D6" w:rsidRPr="000D52D6" w:rsidRDefault="00C12C70" w:rsidP="000D52D6">
      <w:pPr>
        <w:pStyle w:val="Box1"/>
        <w:spacing w:before="120" w:after="120"/>
        <w:ind w:left="0"/>
        <w:contextualSpacing w:val="0"/>
        <w:jc w:val="both"/>
        <w:rPr>
          <w:b/>
          <w:i/>
        </w:rPr>
      </w:pPr>
      <w:r>
        <w:rPr>
          <w:i/>
        </w:rPr>
        <w:lastRenderedPageBreak/>
        <w:t xml:space="preserve">Do jisté míry </w:t>
      </w:r>
      <w:r w:rsidR="006E7C74" w:rsidRPr="003A69CB">
        <w:rPr>
          <w:i/>
        </w:rPr>
        <w:t xml:space="preserve">má </w:t>
      </w:r>
      <w:r>
        <w:rPr>
          <w:i/>
        </w:rPr>
        <w:t>duplicitní vydávání neschopenek</w:t>
      </w:r>
      <w:r w:rsidRPr="003A69CB">
        <w:rPr>
          <w:i/>
        </w:rPr>
        <w:t xml:space="preserve"> </w:t>
      </w:r>
      <w:r w:rsidRPr="003A69CB">
        <w:rPr>
          <w:b/>
          <w:i/>
        </w:rPr>
        <w:t>kromě počtu nahlášených případů vliv i na další prezentované a z nich odvozené ukazatele</w:t>
      </w:r>
      <w:r w:rsidRPr="003A69CB">
        <w:rPr>
          <w:i/>
        </w:rPr>
        <w:t xml:space="preserve"> (počet kalendářních dnů v pracovní neschopnosti, průměrné procento dočasné pracovní neschopnosti, průměrný denní stav dočasně práce neschopných). </w:t>
      </w:r>
      <w:r w:rsidR="000D52D6">
        <w:rPr>
          <w:i/>
        </w:rPr>
        <w:br/>
      </w:r>
      <w:r w:rsidR="000D52D6">
        <w:rPr>
          <w:i/>
        </w:rPr>
        <w:br/>
        <w:t xml:space="preserve">Dále bude v </w:t>
      </w:r>
      <w:r w:rsidR="000D52D6" w:rsidRPr="000D52D6">
        <w:rPr>
          <w:i/>
        </w:rPr>
        <w:t xml:space="preserve">této analytické části </w:t>
      </w:r>
      <w:r w:rsidR="000D52D6" w:rsidRPr="000D52D6">
        <w:rPr>
          <w:b/>
          <w:i/>
        </w:rPr>
        <w:t>rok 2023 srovnáván především s rokem 2021</w:t>
      </w:r>
      <w:r w:rsidR="000D52D6" w:rsidRPr="000D52D6">
        <w:rPr>
          <w:i/>
        </w:rPr>
        <w:t xml:space="preserve">, </w:t>
      </w:r>
      <w:r w:rsidR="000D52D6" w:rsidRPr="000D52D6">
        <w:rPr>
          <w:b/>
          <w:i/>
        </w:rPr>
        <w:t>s obdobím před pandemií</w:t>
      </w:r>
      <w:r w:rsidR="000D52D6" w:rsidRPr="000D52D6">
        <w:rPr>
          <w:i/>
        </w:rPr>
        <w:t xml:space="preserve"> (rokem 2019) </w:t>
      </w:r>
      <w:r w:rsidR="000D52D6" w:rsidRPr="000D52D6">
        <w:rPr>
          <w:b/>
          <w:i/>
        </w:rPr>
        <w:t>nebo vývojem za posledních 10 let</w:t>
      </w:r>
      <w:r w:rsidR="000D52D6" w:rsidRPr="000D52D6" w:rsidDel="006E7C74">
        <w:rPr>
          <w:b/>
          <w:i/>
        </w:rPr>
        <w:t xml:space="preserve"> </w:t>
      </w:r>
      <w:r w:rsidR="000D52D6" w:rsidRPr="000D52D6">
        <w:rPr>
          <w:b/>
          <w:i/>
        </w:rPr>
        <w:t> </w:t>
      </w:r>
      <w:r w:rsidR="000D52D6" w:rsidRPr="000D52D6">
        <w:rPr>
          <w:i/>
        </w:rPr>
        <w:t xml:space="preserve">(rokem 2013). V případě údajů za 2. pololetí, výše uvedené omezení neplatí a tak je možno srovnávat i </w:t>
      </w:r>
      <w:r w:rsidR="000D52D6" w:rsidRPr="000D52D6">
        <w:rPr>
          <w:b/>
          <w:i/>
        </w:rPr>
        <w:t>meziroční změny mezi druhou polovinou roku 2023 a 2022.</w:t>
      </w:r>
    </w:p>
    <w:p w14:paraId="49BDFB7D" w14:textId="0C507A0A" w:rsidR="00587FF1" w:rsidRPr="004B2783" w:rsidRDefault="00587FF1" w:rsidP="00587FF1">
      <w:pPr>
        <w:spacing w:after="60"/>
        <w:jc w:val="both"/>
        <w:rPr>
          <w:b/>
          <w:bCs/>
          <w:spacing w:val="-4"/>
        </w:rPr>
      </w:pPr>
      <w:r w:rsidRPr="004B2783">
        <w:rPr>
          <w:b/>
          <w:bCs/>
          <w:spacing w:val="-4"/>
        </w:rPr>
        <w:t>Tab. 2.1: Nově hlášené případy dočasné pracovní neschopnosti podle příčiny a pohlaví, 201</w:t>
      </w:r>
      <w:r>
        <w:rPr>
          <w:b/>
          <w:bCs/>
          <w:spacing w:val="-4"/>
        </w:rPr>
        <w:t>3</w:t>
      </w:r>
      <w:r w:rsidRPr="004B2783">
        <w:rPr>
          <w:b/>
          <w:bCs/>
          <w:spacing w:val="-4"/>
        </w:rPr>
        <w:t>–202</w:t>
      </w:r>
      <w:r>
        <w:rPr>
          <w:b/>
          <w:bCs/>
          <w:spacing w:val="-4"/>
        </w:rPr>
        <w:t>3</w:t>
      </w:r>
      <w:r w:rsidRPr="004B2783">
        <w:rPr>
          <w:b/>
          <w:bCs/>
          <w:spacing w:val="-4"/>
        </w:rPr>
        <w:t xml:space="preserve"> (v tis.)</w:t>
      </w:r>
    </w:p>
    <w:tbl>
      <w:tblPr>
        <w:tblW w:w="9588" w:type="dxa"/>
        <w:tblCellMar>
          <w:left w:w="70" w:type="dxa"/>
          <w:right w:w="70" w:type="dxa"/>
        </w:tblCellMar>
        <w:tblLook w:val="04A0" w:firstRow="1" w:lastRow="0" w:firstColumn="1" w:lastColumn="0" w:noHBand="0" w:noVBand="1"/>
      </w:tblPr>
      <w:tblGrid>
        <w:gridCol w:w="736"/>
        <w:gridCol w:w="737"/>
        <w:gridCol w:w="735"/>
        <w:gridCol w:w="735"/>
        <w:gridCol w:w="736"/>
        <w:gridCol w:w="735"/>
        <w:gridCol w:w="735"/>
        <w:gridCol w:w="754"/>
        <w:gridCol w:w="737"/>
        <w:gridCol w:w="737"/>
        <w:gridCol w:w="737"/>
        <w:gridCol w:w="737"/>
        <w:gridCol w:w="737"/>
      </w:tblGrid>
      <w:tr w:rsidR="00587FF1" w:rsidRPr="004B2783" w14:paraId="79B6A3C2" w14:textId="77777777" w:rsidTr="007A5557">
        <w:trPr>
          <w:trHeight w:val="300"/>
        </w:trPr>
        <w:tc>
          <w:tcPr>
            <w:tcW w:w="736" w:type="dxa"/>
            <w:vMerge w:val="restart"/>
            <w:tcBorders>
              <w:top w:val="single" w:sz="4" w:space="0" w:color="auto"/>
              <w:left w:val="nil"/>
              <w:bottom w:val="single" w:sz="4" w:space="0" w:color="auto"/>
              <w:right w:val="nil"/>
            </w:tcBorders>
            <w:shd w:val="clear" w:color="000000" w:fill="F5DADD"/>
            <w:vAlign w:val="center"/>
            <w:hideMark/>
          </w:tcPr>
          <w:p w14:paraId="6C4DA284"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Rok</w:t>
            </w:r>
          </w:p>
        </w:tc>
        <w:tc>
          <w:tcPr>
            <w:tcW w:w="737" w:type="dxa"/>
            <w:vMerge w:val="restart"/>
            <w:tcBorders>
              <w:top w:val="single" w:sz="4" w:space="0" w:color="auto"/>
              <w:left w:val="single" w:sz="4" w:space="0" w:color="auto"/>
              <w:bottom w:val="single" w:sz="4" w:space="0" w:color="auto"/>
              <w:right w:val="nil"/>
            </w:tcBorders>
            <w:shd w:val="clear" w:color="000000" w:fill="F2DBDB"/>
            <w:vAlign w:val="center"/>
            <w:hideMark/>
          </w:tcPr>
          <w:p w14:paraId="79608827" w14:textId="77777777" w:rsidR="00587FF1" w:rsidRPr="004B2783" w:rsidRDefault="00587FF1" w:rsidP="007A5557">
            <w:pPr>
              <w:spacing w:after="0" w:line="240" w:lineRule="auto"/>
              <w:jc w:val="center"/>
              <w:rPr>
                <w:rFonts w:cs="Arial"/>
                <w:b/>
                <w:bCs/>
                <w:color w:val="000000"/>
                <w:sz w:val="16"/>
                <w:szCs w:val="16"/>
              </w:rPr>
            </w:pPr>
            <w:r w:rsidRPr="004B2783">
              <w:rPr>
                <w:rFonts w:cs="Arial"/>
                <w:b/>
                <w:bCs/>
                <w:color w:val="000000"/>
                <w:sz w:val="16"/>
                <w:szCs w:val="16"/>
              </w:rPr>
              <w:t>Celkem</w:t>
            </w:r>
          </w:p>
        </w:tc>
        <w:tc>
          <w:tcPr>
            <w:tcW w:w="1470" w:type="dxa"/>
            <w:gridSpan w:val="2"/>
            <w:tcBorders>
              <w:top w:val="single" w:sz="4" w:space="0" w:color="auto"/>
              <w:left w:val="single" w:sz="4" w:space="0" w:color="auto"/>
              <w:bottom w:val="single" w:sz="4" w:space="0" w:color="auto"/>
              <w:right w:val="single" w:sz="4" w:space="0" w:color="auto"/>
            </w:tcBorders>
            <w:shd w:val="clear" w:color="000000" w:fill="F2DBDB"/>
            <w:vAlign w:val="center"/>
            <w:hideMark/>
          </w:tcPr>
          <w:p w14:paraId="07543715"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podle pohlaví</w:t>
            </w:r>
          </w:p>
        </w:tc>
        <w:tc>
          <w:tcPr>
            <w:tcW w:w="736" w:type="dxa"/>
            <w:vMerge w:val="restart"/>
            <w:tcBorders>
              <w:top w:val="single" w:sz="4" w:space="0" w:color="auto"/>
              <w:left w:val="nil"/>
              <w:bottom w:val="single" w:sz="4" w:space="0" w:color="auto"/>
              <w:right w:val="nil"/>
            </w:tcBorders>
            <w:shd w:val="clear" w:color="000000" w:fill="F2DBDB"/>
            <w:vAlign w:val="center"/>
            <w:hideMark/>
          </w:tcPr>
          <w:p w14:paraId="44D1DE4C"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Pro nemoc</w:t>
            </w:r>
          </w:p>
        </w:tc>
        <w:tc>
          <w:tcPr>
            <w:tcW w:w="1470" w:type="dxa"/>
            <w:gridSpan w:val="2"/>
            <w:tcBorders>
              <w:top w:val="single" w:sz="4" w:space="0" w:color="auto"/>
              <w:left w:val="single" w:sz="4" w:space="0" w:color="auto"/>
              <w:bottom w:val="single" w:sz="4" w:space="0" w:color="auto"/>
              <w:right w:val="single" w:sz="4" w:space="0" w:color="auto"/>
            </w:tcBorders>
            <w:shd w:val="clear" w:color="000000" w:fill="F2DBDB"/>
            <w:vAlign w:val="center"/>
            <w:hideMark/>
          </w:tcPr>
          <w:p w14:paraId="4249CFE4"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podle pohlaví</w:t>
            </w:r>
          </w:p>
        </w:tc>
        <w:tc>
          <w:tcPr>
            <w:tcW w:w="754" w:type="dxa"/>
            <w:vMerge w:val="restart"/>
            <w:tcBorders>
              <w:top w:val="single" w:sz="4" w:space="0" w:color="auto"/>
              <w:left w:val="single" w:sz="4" w:space="0" w:color="auto"/>
              <w:bottom w:val="single" w:sz="4" w:space="0" w:color="auto"/>
              <w:right w:val="nil"/>
            </w:tcBorders>
            <w:shd w:val="clear" w:color="000000" w:fill="F2DBDB"/>
            <w:vAlign w:val="center"/>
            <w:hideMark/>
          </w:tcPr>
          <w:p w14:paraId="24B94635"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Pro pracovní úrazy</w:t>
            </w:r>
          </w:p>
        </w:tc>
        <w:tc>
          <w:tcPr>
            <w:tcW w:w="1474" w:type="dxa"/>
            <w:gridSpan w:val="2"/>
            <w:tcBorders>
              <w:top w:val="single" w:sz="4" w:space="0" w:color="auto"/>
              <w:left w:val="single" w:sz="4" w:space="0" w:color="auto"/>
              <w:bottom w:val="single" w:sz="4" w:space="0" w:color="auto"/>
              <w:right w:val="single" w:sz="4" w:space="0" w:color="auto"/>
            </w:tcBorders>
            <w:shd w:val="clear" w:color="000000" w:fill="F2DBDB"/>
            <w:vAlign w:val="center"/>
            <w:hideMark/>
          </w:tcPr>
          <w:p w14:paraId="72C713B3"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podle pohlaví</w:t>
            </w:r>
          </w:p>
        </w:tc>
        <w:tc>
          <w:tcPr>
            <w:tcW w:w="737" w:type="dxa"/>
            <w:vMerge w:val="restart"/>
            <w:tcBorders>
              <w:top w:val="single" w:sz="4" w:space="0" w:color="auto"/>
              <w:left w:val="nil"/>
              <w:bottom w:val="single" w:sz="4" w:space="0" w:color="auto"/>
              <w:right w:val="nil"/>
            </w:tcBorders>
            <w:shd w:val="clear" w:color="000000" w:fill="F2DBDB"/>
            <w:vAlign w:val="center"/>
            <w:hideMark/>
          </w:tcPr>
          <w:p w14:paraId="5A4BBFEC"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Pro ostatní úrazy</w:t>
            </w:r>
          </w:p>
        </w:tc>
        <w:tc>
          <w:tcPr>
            <w:tcW w:w="1474" w:type="dxa"/>
            <w:gridSpan w:val="2"/>
            <w:tcBorders>
              <w:top w:val="single" w:sz="4" w:space="0" w:color="auto"/>
              <w:left w:val="single" w:sz="4" w:space="0" w:color="auto"/>
              <w:bottom w:val="single" w:sz="4" w:space="0" w:color="auto"/>
              <w:right w:val="nil"/>
            </w:tcBorders>
            <w:shd w:val="clear" w:color="000000" w:fill="F2DBDB"/>
            <w:vAlign w:val="center"/>
            <w:hideMark/>
          </w:tcPr>
          <w:p w14:paraId="270EB15A"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podle pohlaví</w:t>
            </w:r>
          </w:p>
        </w:tc>
      </w:tr>
      <w:tr w:rsidR="00587FF1" w:rsidRPr="004B2783" w14:paraId="1AABC36D" w14:textId="77777777" w:rsidTr="007A5557">
        <w:trPr>
          <w:trHeight w:val="405"/>
        </w:trPr>
        <w:tc>
          <w:tcPr>
            <w:tcW w:w="736" w:type="dxa"/>
            <w:vMerge/>
            <w:tcBorders>
              <w:top w:val="single" w:sz="4" w:space="0" w:color="auto"/>
              <w:left w:val="nil"/>
              <w:bottom w:val="single" w:sz="4" w:space="0" w:color="auto"/>
              <w:right w:val="nil"/>
            </w:tcBorders>
            <w:vAlign w:val="center"/>
            <w:hideMark/>
          </w:tcPr>
          <w:p w14:paraId="6EB5300D" w14:textId="77777777" w:rsidR="00587FF1" w:rsidRPr="004B2783" w:rsidRDefault="00587FF1" w:rsidP="007A5557">
            <w:pPr>
              <w:spacing w:after="0" w:line="240" w:lineRule="auto"/>
              <w:rPr>
                <w:rFonts w:cs="Arial"/>
                <w:color w:val="000000"/>
                <w:sz w:val="16"/>
                <w:szCs w:val="16"/>
              </w:rPr>
            </w:pPr>
          </w:p>
        </w:tc>
        <w:tc>
          <w:tcPr>
            <w:tcW w:w="737" w:type="dxa"/>
            <w:vMerge/>
            <w:tcBorders>
              <w:top w:val="single" w:sz="4" w:space="0" w:color="auto"/>
              <w:left w:val="single" w:sz="4" w:space="0" w:color="auto"/>
              <w:bottom w:val="single" w:sz="4" w:space="0" w:color="auto"/>
              <w:right w:val="nil"/>
            </w:tcBorders>
            <w:vAlign w:val="center"/>
            <w:hideMark/>
          </w:tcPr>
          <w:p w14:paraId="38015630" w14:textId="77777777" w:rsidR="00587FF1" w:rsidRPr="004B2783" w:rsidRDefault="00587FF1" w:rsidP="007A5557">
            <w:pPr>
              <w:spacing w:after="0" w:line="240" w:lineRule="auto"/>
              <w:rPr>
                <w:rFonts w:cs="Arial"/>
                <w:b/>
                <w:bCs/>
                <w:color w:val="000000"/>
                <w:sz w:val="16"/>
                <w:szCs w:val="16"/>
              </w:rPr>
            </w:pPr>
          </w:p>
        </w:tc>
        <w:tc>
          <w:tcPr>
            <w:tcW w:w="735" w:type="dxa"/>
            <w:tcBorders>
              <w:top w:val="nil"/>
              <w:left w:val="single" w:sz="4" w:space="0" w:color="auto"/>
              <w:bottom w:val="single" w:sz="4" w:space="0" w:color="auto"/>
              <w:right w:val="single" w:sz="4" w:space="0" w:color="auto"/>
            </w:tcBorders>
            <w:shd w:val="clear" w:color="000000" w:fill="F2DBDB"/>
            <w:vAlign w:val="center"/>
            <w:hideMark/>
          </w:tcPr>
          <w:p w14:paraId="265445D5"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muži</w:t>
            </w:r>
          </w:p>
        </w:tc>
        <w:tc>
          <w:tcPr>
            <w:tcW w:w="735" w:type="dxa"/>
            <w:tcBorders>
              <w:top w:val="nil"/>
              <w:left w:val="nil"/>
              <w:bottom w:val="single" w:sz="4" w:space="0" w:color="auto"/>
              <w:right w:val="single" w:sz="4" w:space="0" w:color="auto"/>
            </w:tcBorders>
            <w:shd w:val="clear" w:color="000000" w:fill="F2DBDB"/>
            <w:vAlign w:val="center"/>
            <w:hideMark/>
          </w:tcPr>
          <w:p w14:paraId="0A07C06B"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ženy</w:t>
            </w:r>
          </w:p>
        </w:tc>
        <w:tc>
          <w:tcPr>
            <w:tcW w:w="736" w:type="dxa"/>
            <w:vMerge/>
            <w:tcBorders>
              <w:left w:val="nil"/>
              <w:bottom w:val="single" w:sz="4" w:space="0" w:color="auto"/>
              <w:right w:val="nil"/>
            </w:tcBorders>
            <w:vAlign w:val="center"/>
            <w:hideMark/>
          </w:tcPr>
          <w:p w14:paraId="666D79A6" w14:textId="77777777" w:rsidR="00587FF1" w:rsidRPr="004B2783" w:rsidRDefault="00587FF1" w:rsidP="007A5557">
            <w:pPr>
              <w:spacing w:after="0" w:line="240" w:lineRule="auto"/>
              <w:rPr>
                <w:rFonts w:cs="Arial"/>
                <w:color w:val="000000"/>
                <w:sz w:val="16"/>
                <w:szCs w:val="16"/>
              </w:rPr>
            </w:pPr>
          </w:p>
        </w:tc>
        <w:tc>
          <w:tcPr>
            <w:tcW w:w="735" w:type="dxa"/>
            <w:tcBorders>
              <w:top w:val="nil"/>
              <w:left w:val="single" w:sz="4" w:space="0" w:color="auto"/>
              <w:bottom w:val="single" w:sz="4" w:space="0" w:color="auto"/>
              <w:right w:val="single" w:sz="4" w:space="0" w:color="auto"/>
            </w:tcBorders>
            <w:shd w:val="clear" w:color="000000" w:fill="F2DBDB"/>
            <w:vAlign w:val="center"/>
            <w:hideMark/>
          </w:tcPr>
          <w:p w14:paraId="10E0B8AA"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muži</w:t>
            </w:r>
          </w:p>
        </w:tc>
        <w:tc>
          <w:tcPr>
            <w:tcW w:w="735" w:type="dxa"/>
            <w:tcBorders>
              <w:top w:val="nil"/>
              <w:left w:val="nil"/>
              <w:bottom w:val="single" w:sz="4" w:space="0" w:color="auto"/>
              <w:right w:val="single" w:sz="4" w:space="0" w:color="auto"/>
            </w:tcBorders>
            <w:shd w:val="clear" w:color="000000" w:fill="F2DBDB"/>
            <w:vAlign w:val="center"/>
            <w:hideMark/>
          </w:tcPr>
          <w:p w14:paraId="1818FFB1"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ženy</w:t>
            </w:r>
          </w:p>
        </w:tc>
        <w:tc>
          <w:tcPr>
            <w:tcW w:w="754" w:type="dxa"/>
            <w:vMerge/>
            <w:tcBorders>
              <w:left w:val="single" w:sz="4" w:space="0" w:color="auto"/>
              <w:bottom w:val="single" w:sz="4" w:space="0" w:color="auto"/>
              <w:right w:val="nil"/>
            </w:tcBorders>
            <w:vAlign w:val="center"/>
            <w:hideMark/>
          </w:tcPr>
          <w:p w14:paraId="1215EA0B" w14:textId="77777777" w:rsidR="00587FF1" w:rsidRPr="004B2783" w:rsidRDefault="00587FF1" w:rsidP="007A5557">
            <w:pPr>
              <w:spacing w:after="0" w:line="240" w:lineRule="auto"/>
              <w:rPr>
                <w:rFonts w:cs="Arial"/>
                <w:color w:val="000000"/>
                <w:sz w:val="16"/>
                <w:szCs w:val="16"/>
              </w:rPr>
            </w:pPr>
          </w:p>
        </w:tc>
        <w:tc>
          <w:tcPr>
            <w:tcW w:w="737" w:type="dxa"/>
            <w:tcBorders>
              <w:top w:val="nil"/>
              <w:left w:val="single" w:sz="4" w:space="0" w:color="auto"/>
              <w:bottom w:val="single" w:sz="4" w:space="0" w:color="auto"/>
              <w:right w:val="single" w:sz="4" w:space="0" w:color="auto"/>
            </w:tcBorders>
            <w:shd w:val="clear" w:color="000000" w:fill="F2DBDB"/>
            <w:vAlign w:val="center"/>
            <w:hideMark/>
          </w:tcPr>
          <w:p w14:paraId="6DC05912"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muži</w:t>
            </w:r>
          </w:p>
        </w:tc>
        <w:tc>
          <w:tcPr>
            <w:tcW w:w="737" w:type="dxa"/>
            <w:tcBorders>
              <w:top w:val="nil"/>
              <w:left w:val="nil"/>
              <w:bottom w:val="single" w:sz="4" w:space="0" w:color="auto"/>
              <w:right w:val="single" w:sz="4" w:space="0" w:color="auto"/>
            </w:tcBorders>
            <w:shd w:val="clear" w:color="000000" w:fill="F2DBDB"/>
            <w:vAlign w:val="center"/>
            <w:hideMark/>
          </w:tcPr>
          <w:p w14:paraId="072606C5"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ženy</w:t>
            </w:r>
          </w:p>
        </w:tc>
        <w:tc>
          <w:tcPr>
            <w:tcW w:w="737" w:type="dxa"/>
            <w:vMerge/>
            <w:tcBorders>
              <w:left w:val="nil"/>
              <w:bottom w:val="single" w:sz="4" w:space="0" w:color="auto"/>
              <w:right w:val="nil"/>
            </w:tcBorders>
            <w:vAlign w:val="center"/>
            <w:hideMark/>
          </w:tcPr>
          <w:p w14:paraId="58DE7786" w14:textId="77777777" w:rsidR="00587FF1" w:rsidRPr="004B2783" w:rsidRDefault="00587FF1" w:rsidP="007A5557">
            <w:pPr>
              <w:spacing w:after="0" w:line="240" w:lineRule="auto"/>
              <w:rPr>
                <w:rFonts w:cs="Arial"/>
                <w:color w:val="000000"/>
                <w:sz w:val="16"/>
                <w:szCs w:val="16"/>
              </w:rPr>
            </w:pPr>
          </w:p>
        </w:tc>
        <w:tc>
          <w:tcPr>
            <w:tcW w:w="737" w:type="dxa"/>
            <w:tcBorders>
              <w:top w:val="nil"/>
              <w:left w:val="single" w:sz="4" w:space="0" w:color="auto"/>
              <w:bottom w:val="single" w:sz="4" w:space="0" w:color="auto"/>
              <w:right w:val="single" w:sz="4" w:space="0" w:color="auto"/>
            </w:tcBorders>
            <w:shd w:val="clear" w:color="000000" w:fill="F2DBDB"/>
            <w:vAlign w:val="center"/>
            <w:hideMark/>
          </w:tcPr>
          <w:p w14:paraId="699C4637"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muži</w:t>
            </w:r>
          </w:p>
        </w:tc>
        <w:tc>
          <w:tcPr>
            <w:tcW w:w="737" w:type="dxa"/>
            <w:tcBorders>
              <w:top w:val="nil"/>
              <w:left w:val="nil"/>
              <w:bottom w:val="single" w:sz="4" w:space="0" w:color="auto"/>
              <w:right w:val="nil"/>
            </w:tcBorders>
            <w:shd w:val="clear" w:color="000000" w:fill="F2DBDB"/>
            <w:vAlign w:val="center"/>
            <w:hideMark/>
          </w:tcPr>
          <w:p w14:paraId="2B3E9375"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ženy</w:t>
            </w:r>
          </w:p>
        </w:tc>
      </w:tr>
      <w:tr w:rsidR="00587FF1" w:rsidRPr="004B2783" w14:paraId="02E4C498" w14:textId="77777777" w:rsidTr="007A5557">
        <w:trPr>
          <w:trHeight w:val="300"/>
        </w:trPr>
        <w:tc>
          <w:tcPr>
            <w:tcW w:w="736" w:type="dxa"/>
            <w:tcBorders>
              <w:top w:val="nil"/>
              <w:left w:val="nil"/>
              <w:bottom w:val="nil"/>
              <w:right w:val="nil"/>
            </w:tcBorders>
            <w:shd w:val="clear" w:color="auto" w:fill="auto"/>
            <w:vAlign w:val="center"/>
            <w:hideMark/>
          </w:tcPr>
          <w:p w14:paraId="6EC67994"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2013</w:t>
            </w:r>
          </w:p>
        </w:tc>
        <w:tc>
          <w:tcPr>
            <w:tcW w:w="737" w:type="dxa"/>
            <w:tcBorders>
              <w:top w:val="nil"/>
              <w:left w:val="single" w:sz="4" w:space="0" w:color="auto"/>
              <w:bottom w:val="nil"/>
              <w:right w:val="nil"/>
            </w:tcBorders>
            <w:shd w:val="clear" w:color="auto" w:fill="auto"/>
            <w:vAlign w:val="center"/>
            <w:hideMark/>
          </w:tcPr>
          <w:p w14:paraId="4F330D63"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1 331,5</w:t>
            </w:r>
          </w:p>
        </w:tc>
        <w:tc>
          <w:tcPr>
            <w:tcW w:w="735" w:type="dxa"/>
            <w:tcBorders>
              <w:top w:val="nil"/>
              <w:left w:val="nil"/>
              <w:bottom w:val="nil"/>
              <w:right w:val="nil"/>
            </w:tcBorders>
            <w:shd w:val="clear" w:color="auto" w:fill="auto"/>
            <w:vAlign w:val="center"/>
            <w:hideMark/>
          </w:tcPr>
          <w:p w14:paraId="74957B15"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638,2</w:t>
            </w:r>
          </w:p>
        </w:tc>
        <w:tc>
          <w:tcPr>
            <w:tcW w:w="735" w:type="dxa"/>
            <w:tcBorders>
              <w:top w:val="nil"/>
              <w:left w:val="nil"/>
              <w:bottom w:val="nil"/>
              <w:right w:val="single" w:sz="4" w:space="0" w:color="auto"/>
            </w:tcBorders>
            <w:shd w:val="clear" w:color="auto" w:fill="auto"/>
            <w:vAlign w:val="center"/>
            <w:hideMark/>
          </w:tcPr>
          <w:p w14:paraId="259FD8F4"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693,3</w:t>
            </w:r>
          </w:p>
        </w:tc>
        <w:tc>
          <w:tcPr>
            <w:tcW w:w="736" w:type="dxa"/>
            <w:tcBorders>
              <w:top w:val="nil"/>
              <w:left w:val="nil"/>
              <w:bottom w:val="nil"/>
              <w:right w:val="nil"/>
            </w:tcBorders>
            <w:shd w:val="clear" w:color="auto" w:fill="auto"/>
            <w:vAlign w:val="center"/>
            <w:hideMark/>
          </w:tcPr>
          <w:p w14:paraId="0052DA18"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1 168,1</w:t>
            </w:r>
          </w:p>
        </w:tc>
        <w:tc>
          <w:tcPr>
            <w:tcW w:w="735" w:type="dxa"/>
            <w:tcBorders>
              <w:top w:val="nil"/>
              <w:left w:val="nil"/>
              <w:bottom w:val="nil"/>
              <w:right w:val="nil"/>
            </w:tcBorders>
            <w:shd w:val="clear" w:color="auto" w:fill="auto"/>
            <w:vAlign w:val="center"/>
            <w:hideMark/>
          </w:tcPr>
          <w:p w14:paraId="058568D8"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528,7</w:t>
            </w:r>
          </w:p>
        </w:tc>
        <w:tc>
          <w:tcPr>
            <w:tcW w:w="735" w:type="dxa"/>
            <w:tcBorders>
              <w:top w:val="nil"/>
              <w:left w:val="nil"/>
              <w:bottom w:val="nil"/>
              <w:right w:val="nil"/>
            </w:tcBorders>
            <w:shd w:val="clear" w:color="auto" w:fill="auto"/>
            <w:vAlign w:val="center"/>
            <w:hideMark/>
          </w:tcPr>
          <w:p w14:paraId="6A13DAB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639,4</w:t>
            </w:r>
          </w:p>
        </w:tc>
        <w:tc>
          <w:tcPr>
            <w:tcW w:w="754" w:type="dxa"/>
            <w:tcBorders>
              <w:top w:val="nil"/>
              <w:left w:val="single" w:sz="4" w:space="0" w:color="auto"/>
              <w:bottom w:val="nil"/>
              <w:right w:val="nil"/>
            </w:tcBorders>
            <w:shd w:val="clear" w:color="auto" w:fill="auto"/>
            <w:vAlign w:val="center"/>
            <w:hideMark/>
          </w:tcPr>
          <w:p w14:paraId="16B9B7AB"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42,9</w:t>
            </w:r>
          </w:p>
        </w:tc>
        <w:tc>
          <w:tcPr>
            <w:tcW w:w="737" w:type="dxa"/>
            <w:tcBorders>
              <w:top w:val="nil"/>
              <w:left w:val="nil"/>
              <w:bottom w:val="nil"/>
              <w:right w:val="nil"/>
            </w:tcBorders>
            <w:shd w:val="clear" w:color="auto" w:fill="auto"/>
            <w:vAlign w:val="center"/>
            <w:hideMark/>
          </w:tcPr>
          <w:p w14:paraId="6DC7D603"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30,4</w:t>
            </w:r>
          </w:p>
        </w:tc>
        <w:tc>
          <w:tcPr>
            <w:tcW w:w="737" w:type="dxa"/>
            <w:tcBorders>
              <w:top w:val="nil"/>
              <w:left w:val="nil"/>
              <w:bottom w:val="nil"/>
              <w:right w:val="single" w:sz="4" w:space="0" w:color="auto"/>
            </w:tcBorders>
            <w:shd w:val="clear" w:color="auto" w:fill="auto"/>
            <w:vAlign w:val="center"/>
            <w:hideMark/>
          </w:tcPr>
          <w:p w14:paraId="266A2874"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12,5</w:t>
            </w:r>
          </w:p>
        </w:tc>
        <w:tc>
          <w:tcPr>
            <w:tcW w:w="737" w:type="dxa"/>
            <w:tcBorders>
              <w:top w:val="nil"/>
              <w:left w:val="nil"/>
              <w:bottom w:val="nil"/>
              <w:right w:val="nil"/>
            </w:tcBorders>
            <w:shd w:val="clear" w:color="auto" w:fill="auto"/>
            <w:vAlign w:val="center"/>
            <w:hideMark/>
          </w:tcPr>
          <w:p w14:paraId="519EAB4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120,5</w:t>
            </w:r>
          </w:p>
        </w:tc>
        <w:tc>
          <w:tcPr>
            <w:tcW w:w="737" w:type="dxa"/>
            <w:tcBorders>
              <w:top w:val="nil"/>
              <w:left w:val="nil"/>
              <w:bottom w:val="nil"/>
              <w:right w:val="nil"/>
            </w:tcBorders>
            <w:shd w:val="clear" w:color="auto" w:fill="auto"/>
            <w:vAlign w:val="center"/>
            <w:hideMark/>
          </w:tcPr>
          <w:p w14:paraId="4F1CB088"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79,1</w:t>
            </w:r>
          </w:p>
        </w:tc>
        <w:tc>
          <w:tcPr>
            <w:tcW w:w="737" w:type="dxa"/>
            <w:tcBorders>
              <w:top w:val="nil"/>
              <w:left w:val="nil"/>
              <w:bottom w:val="nil"/>
              <w:right w:val="nil"/>
            </w:tcBorders>
            <w:shd w:val="clear" w:color="auto" w:fill="auto"/>
            <w:vAlign w:val="center"/>
            <w:hideMark/>
          </w:tcPr>
          <w:p w14:paraId="1AAD3C08"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41,4</w:t>
            </w:r>
          </w:p>
        </w:tc>
      </w:tr>
      <w:tr w:rsidR="00587FF1" w:rsidRPr="004B2783" w14:paraId="508A8D7F" w14:textId="77777777" w:rsidTr="007A5557">
        <w:trPr>
          <w:trHeight w:val="300"/>
        </w:trPr>
        <w:tc>
          <w:tcPr>
            <w:tcW w:w="736" w:type="dxa"/>
            <w:tcBorders>
              <w:top w:val="nil"/>
              <w:left w:val="nil"/>
              <w:bottom w:val="nil"/>
              <w:right w:val="nil"/>
            </w:tcBorders>
            <w:shd w:val="clear" w:color="auto" w:fill="auto"/>
            <w:vAlign w:val="center"/>
            <w:hideMark/>
          </w:tcPr>
          <w:p w14:paraId="1D56ABDA"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2014</w:t>
            </w:r>
          </w:p>
        </w:tc>
        <w:tc>
          <w:tcPr>
            <w:tcW w:w="737" w:type="dxa"/>
            <w:tcBorders>
              <w:top w:val="nil"/>
              <w:left w:val="single" w:sz="4" w:space="0" w:color="auto"/>
              <w:bottom w:val="nil"/>
              <w:right w:val="nil"/>
            </w:tcBorders>
            <w:shd w:val="clear" w:color="auto" w:fill="auto"/>
            <w:vAlign w:val="center"/>
            <w:hideMark/>
          </w:tcPr>
          <w:p w14:paraId="210B794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1 314,8</w:t>
            </w:r>
          </w:p>
        </w:tc>
        <w:tc>
          <w:tcPr>
            <w:tcW w:w="735" w:type="dxa"/>
            <w:tcBorders>
              <w:top w:val="nil"/>
              <w:left w:val="nil"/>
              <w:bottom w:val="nil"/>
              <w:right w:val="nil"/>
            </w:tcBorders>
            <w:shd w:val="clear" w:color="auto" w:fill="auto"/>
            <w:vAlign w:val="center"/>
            <w:hideMark/>
          </w:tcPr>
          <w:p w14:paraId="50377FCA"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631,7</w:t>
            </w:r>
          </w:p>
        </w:tc>
        <w:tc>
          <w:tcPr>
            <w:tcW w:w="735" w:type="dxa"/>
            <w:tcBorders>
              <w:top w:val="nil"/>
              <w:left w:val="nil"/>
              <w:bottom w:val="nil"/>
              <w:right w:val="single" w:sz="4" w:space="0" w:color="auto"/>
            </w:tcBorders>
            <w:shd w:val="clear" w:color="auto" w:fill="auto"/>
            <w:vAlign w:val="center"/>
            <w:hideMark/>
          </w:tcPr>
          <w:p w14:paraId="7C2E45AA"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683,1</w:t>
            </w:r>
          </w:p>
        </w:tc>
        <w:tc>
          <w:tcPr>
            <w:tcW w:w="736" w:type="dxa"/>
            <w:tcBorders>
              <w:top w:val="nil"/>
              <w:left w:val="nil"/>
              <w:bottom w:val="nil"/>
              <w:right w:val="nil"/>
            </w:tcBorders>
            <w:shd w:val="clear" w:color="auto" w:fill="auto"/>
            <w:vAlign w:val="center"/>
            <w:hideMark/>
          </w:tcPr>
          <w:p w14:paraId="1633906F"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1 146,3</w:t>
            </w:r>
          </w:p>
        </w:tc>
        <w:tc>
          <w:tcPr>
            <w:tcW w:w="735" w:type="dxa"/>
            <w:tcBorders>
              <w:top w:val="nil"/>
              <w:left w:val="nil"/>
              <w:bottom w:val="nil"/>
              <w:right w:val="nil"/>
            </w:tcBorders>
            <w:shd w:val="clear" w:color="auto" w:fill="auto"/>
            <w:vAlign w:val="center"/>
            <w:hideMark/>
          </w:tcPr>
          <w:p w14:paraId="5338A799"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518,5</w:t>
            </w:r>
          </w:p>
        </w:tc>
        <w:tc>
          <w:tcPr>
            <w:tcW w:w="735" w:type="dxa"/>
            <w:tcBorders>
              <w:top w:val="nil"/>
              <w:left w:val="nil"/>
              <w:bottom w:val="nil"/>
              <w:right w:val="nil"/>
            </w:tcBorders>
            <w:shd w:val="clear" w:color="auto" w:fill="auto"/>
            <w:vAlign w:val="center"/>
            <w:hideMark/>
          </w:tcPr>
          <w:p w14:paraId="3F82780B"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627,8</w:t>
            </w:r>
          </w:p>
        </w:tc>
        <w:tc>
          <w:tcPr>
            <w:tcW w:w="754" w:type="dxa"/>
            <w:tcBorders>
              <w:top w:val="nil"/>
              <w:left w:val="single" w:sz="4" w:space="0" w:color="auto"/>
              <w:bottom w:val="nil"/>
              <w:right w:val="nil"/>
            </w:tcBorders>
            <w:shd w:val="clear" w:color="auto" w:fill="auto"/>
            <w:vAlign w:val="center"/>
            <w:hideMark/>
          </w:tcPr>
          <w:p w14:paraId="0B440136"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45,1</w:t>
            </w:r>
          </w:p>
        </w:tc>
        <w:tc>
          <w:tcPr>
            <w:tcW w:w="737" w:type="dxa"/>
            <w:tcBorders>
              <w:top w:val="nil"/>
              <w:left w:val="nil"/>
              <w:bottom w:val="nil"/>
              <w:right w:val="nil"/>
            </w:tcBorders>
            <w:shd w:val="clear" w:color="auto" w:fill="auto"/>
            <w:vAlign w:val="center"/>
            <w:hideMark/>
          </w:tcPr>
          <w:p w14:paraId="4AEF2578"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31,7</w:t>
            </w:r>
          </w:p>
        </w:tc>
        <w:tc>
          <w:tcPr>
            <w:tcW w:w="737" w:type="dxa"/>
            <w:tcBorders>
              <w:top w:val="nil"/>
              <w:left w:val="nil"/>
              <w:bottom w:val="nil"/>
              <w:right w:val="single" w:sz="4" w:space="0" w:color="auto"/>
            </w:tcBorders>
            <w:shd w:val="clear" w:color="auto" w:fill="auto"/>
            <w:vAlign w:val="center"/>
            <w:hideMark/>
          </w:tcPr>
          <w:p w14:paraId="537D56EB"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13,3</w:t>
            </w:r>
          </w:p>
        </w:tc>
        <w:tc>
          <w:tcPr>
            <w:tcW w:w="737" w:type="dxa"/>
            <w:tcBorders>
              <w:top w:val="nil"/>
              <w:left w:val="nil"/>
              <w:bottom w:val="nil"/>
              <w:right w:val="nil"/>
            </w:tcBorders>
            <w:shd w:val="clear" w:color="auto" w:fill="auto"/>
            <w:vAlign w:val="center"/>
            <w:hideMark/>
          </w:tcPr>
          <w:p w14:paraId="0A7C458C"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123,4</w:t>
            </w:r>
          </w:p>
        </w:tc>
        <w:tc>
          <w:tcPr>
            <w:tcW w:w="737" w:type="dxa"/>
            <w:tcBorders>
              <w:top w:val="nil"/>
              <w:left w:val="nil"/>
              <w:bottom w:val="nil"/>
              <w:right w:val="nil"/>
            </w:tcBorders>
            <w:shd w:val="clear" w:color="auto" w:fill="auto"/>
            <w:vAlign w:val="center"/>
            <w:hideMark/>
          </w:tcPr>
          <w:p w14:paraId="5C84CCF8"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81,5</w:t>
            </w:r>
          </w:p>
        </w:tc>
        <w:tc>
          <w:tcPr>
            <w:tcW w:w="737" w:type="dxa"/>
            <w:tcBorders>
              <w:top w:val="nil"/>
              <w:left w:val="nil"/>
              <w:bottom w:val="nil"/>
              <w:right w:val="nil"/>
            </w:tcBorders>
            <w:shd w:val="clear" w:color="auto" w:fill="auto"/>
            <w:vAlign w:val="center"/>
            <w:hideMark/>
          </w:tcPr>
          <w:p w14:paraId="6DB84060"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42,0</w:t>
            </w:r>
          </w:p>
        </w:tc>
      </w:tr>
      <w:tr w:rsidR="00587FF1" w:rsidRPr="004B2783" w14:paraId="3AA95DD6" w14:textId="77777777" w:rsidTr="007A5557">
        <w:trPr>
          <w:trHeight w:val="300"/>
        </w:trPr>
        <w:tc>
          <w:tcPr>
            <w:tcW w:w="736" w:type="dxa"/>
            <w:tcBorders>
              <w:top w:val="nil"/>
              <w:left w:val="nil"/>
              <w:bottom w:val="nil"/>
              <w:right w:val="nil"/>
            </w:tcBorders>
            <w:shd w:val="clear" w:color="auto" w:fill="auto"/>
            <w:vAlign w:val="center"/>
            <w:hideMark/>
          </w:tcPr>
          <w:p w14:paraId="6E632D41"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2015</w:t>
            </w:r>
          </w:p>
        </w:tc>
        <w:tc>
          <w:tcPr>
            <w:tcW w:w="737" w:type="dxa"/>
            <w:tcBorders>
              <w:top w:val="nil"/>
              <w:left w:val="single" w:sz="4" w:space="0" w:color="auto"/>
              <w:bottom w:val="nil"/>
              <w:right w:val="nil"/>
            </w:tcBorders>
            <w:shd w:val="clear" w:color="auto" w:fill="auto"/>
            <w:vAlign w:val="center"/>
            <w:hideMark/>
          </w:tcPr>
          <w:p w14:paraId="6DCC1AEF"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1 563,5</w:t>
            </w:r>
          </w:p>
        </w:tc>
        <w:tc>
          <w:tcPr>
            <w:tcW w:w="735" w:type="dxa"/>
            <w:tcBorders>
              <w:top w:val="nil"/>
              <w:left w:val="nil"/>
              <w:bottom w:val="nil"/>
              <w:right w:val="nil"/>
            </w:tcBorders>
            <w:shd w:val="clear" w:color="auto" w:fill="auto"/>
            <w:vAlign w:val="center"/>
            <w:hideMark/>
          </w:tcPr>
          <w:p w14:paraId="4A323AA2"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751,8</w:t>
            </w:r>
          </w:p>
        </w:tc>
        <w:tc>
          <w:tcPr>
            <w:tcW w:w="735" w:type="dxa"/>
            <w:tcBorders>
              <w:top w:val="nil"/>
              <w:left w:val="nil"/>
              <w:bottom w:val="nil"/>
              <w:right w:val="single" w:sz="4" w:space="0" w:color="auto"/>
            </w:tcBorders>
            <w:shd w:val="clear" w:color="auto" w:fill="auto"/>
            <w:vAlign w:val="center"/>
            <w:hideMark/>
          </w:tcPr>
          <w:p w14:paraId="040043C7"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811,7</w:t>
            </w:r>
          </w:p>
        </w:tc>
        <w:tc>
          <w:tcPr>
            <w:tcW w:w="736" w:type="dxa"/>
            <w:tcBorders>
              <w:top w:val="nil"/>
              <w:left w:val="nil"/>
              <w:bottom w:val="nil"/>
              <w:right w:val="nil"/>
            </w:tcBorders>
            <w:shd w:val="clear" w:color="auto" w:fill="auto"/>
            <w:vAlign w:val="center"/>
            <w:hideMark/>
          </w:tcPr>
          <w:p w14:paraId="1934E47D"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1 383,9</w:t>
            </w:r>
          </w:p>
        </w:tc>
        <w:tc>
          <w:tcPr>
            <w:tcW w:w="735" w:type="dxa"/>
            <w:tcBorders>
              <w:top w:val="nil"/>
              <w:left w:val="nil"/>
              <w:bottom w:val="nil"/>
              <w:right w:val="nil"/>
            </w:tcBorders>
            <w:shd w:val="clear" w:color="auto" w:fill="auto"/>
            <w:vAlign w:val="center"/>
            <w:hideMark/>
          </w:tcPr>
          <w:p w14:paraId="1D2E55EC"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632,6</w:t>
            </w:r>
          </w:p>
        </w:tc>
        <w:tc>
          <w:tcPr>
            <w:tcW w:w="735" w:type="dxa"/>
            <w:tcBorders>
              <w:top w:val="nil"/>
              <w:left w:val="nil"/>
              <w:bottom w:val="nil"/>
              <w:right w:val="nil"/>
            </w:tcBorders>
            <w:shd w:val="clear" w:color="auto" w:fill="auto"/>
            <w:vAlign w:val="center"/>
            <w:hideMark/>
          </w:tcPr>
          <w:p w14:paraId="15A2EF4A"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751,3</w:t>
            </w:r>
          </w:p>
        </w:tc>
        <w:tc>
          <w:tcPr>
            <w:tcW w:w="754" w:type="dxa"/>
            <w:tcBorders>
              <w:top w:val="nil"/>
              <w:left w:val="single" w:sz="4" w:space="0" w:color="auto"/>
              <w:bottom w:val="nil"/>
              <w:right w:val="nil"/>
            </w:tcBorders>
            <w:shd w:val="clear" w:color="auto" w:fill="auto"/>
            <w:vAlign w:val="center"/>
            <w:hideMark/>
          </w:tcPr>
          <w:p w14:paraId="26C2B856"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46,3</w:t>
            </w:r>
          </w:p>
        </w:tc>
        <w:tc>
          <w:tcPr>
            <w:tcW w:w="737" w:type="dxa"/>
            <w:tcBorders>
              <w:top w:val="nil"/>
              <w:left w:val="nil"/>
              <w:bottom w:val="nil"/>
              <w:right w:val="nil"/>
            </w:tcBorders>
            <w:shd w:val="clear" w:color="auto" w:fill="auto"/>
            <w:vAlign w:val="center"/>
            <w:hideMark/>
          </w:tcPr>
          <w:p w14:paraId="1726758A"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32,1</w:t>
            </w:r>
          </w:p>
        </w:tc>
        <w:tc>
          <w:tcPr>
            <w:tcW w:w="737" w:type="dxa"/>
            <w:tcBorders>
              <w:top w:val="nil"/>
              <w:left w:val="nil"/>
              <w:bottom w:val="nil"/>
              <w:right w:val="single" w:sz="4" w:space="0" w:color="auto"/>
            </w:tcBorders>
            <w:shd w:val="clear" w:color="auto" w:fill="auto"/>
            <w:vAlign w:val="center"/>
            <w:hideMark/>
          </w:tcPr>
          <w:p w14:paraId="3977EEBF"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14,2</w:t>
            </w:r>
          </w:p>
        </w:tc>
        <w:tc>
          <w:tcPr>
            <w:tcW w:w="737" w:type="dxa"/>
            <w:tcBorders>
              <w:top w:val="nil"/>
              <w:left w:val="nil"/>
              <w:bottom w:val="nil"/>
              <w:right w:val="nil"/>
            </w:tcBorders>
            <w:shd w:val="clear" w:color="auto" w:fill="auto"/>
            <w:vAlign w:val="center"/>
            <w:hideMark/>
          </w:tcPr>
          <w:p w14:paraId="490EF765"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133,3</w:t>
            </w:r>
          </w:p>
        </w:tc>
        <w:tc>
          <w:tcPr>
            <w:tcW w:w="737" w:type="dxa"/>
            <w:tcBorders>
              <w:top w:val="nil"/>
              <w:left w:val="nil"/>
              <w:bottom w:val="nil"/>
              <w:right w:val="nil"/>
            </w:tcBorders>
            <w:shd w:val="clear" w:color="auto" w:fill="auto"/>
            <w:vAlign w:val="center"/>
            <w:hideMark/>
          </w:tcPr>
          <w:p w14:paraId="5E35A7A5"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87,0</w:t>
            </w:r>
          </w:p>
        </w:tc>
        <w:tc>
          <w:tcPr>
            <w:tcW w:w="737" w:type="dxa"/>
            <w:tcBorders>
              <w:top w:val="nil"/>
              <w:left w:val="nil"/>
              <w:bottom w:val="nil"/>
              <w:right w:val="nil"/>
            </w:tcBorders>
            <w:shd w:val="clear" w:color="auto" w:fill="auto"/>
            <w:vAlign w:val="center"/>
            <w:hideMark/>
          </w:tcPr>
          <w:p w14:paraId="4B6D497F"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46,2</w:t>
            </w:r>
          </w:p>
        </w:tc>
      </w:tr>
      <w:tr w:rsidR="00587FF1" w:rsidRPr="004B2783" w14:paraId="0FEE741A" w14:textId="77777777" w:rsidTr="007A5557">
        <w:trPr>
          <w:trHeight w:val="300"/>
        </w:trPr>
        <w:tc>
          <w:tcPr>
            <w:tcW w:w="736" w:type="dxa"/>
            <w:tcBorders>
              <w:top w:val="nil"/>
              <w:left w:val="nil"/>
              <w:bottom w:val="nil"/>
              <w:right w:val="nil"/>
            </w:tcBorders>
            <w:shd w:val="clear" w:color="auto" w:fill="auto"/>
            <w:vAlign w:val="center"/>
            <w:hideMark/>
          </w:tcPr>
          <w:p w14:paraId="0E81A646"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2016</w:t>
            </w:r>
          </w:p>
        </w:tc>
        <w:tc>
          <w:tcPr>
            <w:tcW w:w="737" w:type="dxa"/>
            <w:tcBorders>
              <w:top w:val="nil"/>
              <w:left w:val="single" w:sz="4" w:space="0" w:color="auto"/>
              <w:bottom w:val="nil"/>
              <w:right w:val="nil"/>
            </w:tcBorders>
            <w:shd w:val="clear" w:color="auto" w:fill="auto"/>
            <w:vAlign w:val="center"/>
            <w:hideMark/>
          </w:tcPr>
          <w:p w14:paraId="1ED4828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1 633,3</w:t>
            </w:r>
          </w:p>
        </w:tc>
        <w:tc>
          <w:tcPr>
            <w:tcW w:w="735" w:type="dxa"/>
            <w:tcBorders>
              <w:top w:val="nil"/>
              <w:left w:val="nil"/>
              <w:bottom w:val="nil"/>
              <w:right w:val="nil"/>
            </w:tcBorders>
            <w:shd w:val="clear" w:color="auto" w:fill="auto"/>
            <w:vAlign w:val="center"/>
            <w:hideMark/>
          </w:tcPr>
          <w:p w14:paraId="599F55BF"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784,1</w:t>
            </w:r>
          </w:p>
        </w:tc>
        <w:tc>
          <w:tcPr>
            <w:tcW w:w="735" w:type="dxa"/>
            <w:tcBorders>
              <w:top w:val="nil"/>
              <w:left w:val="nil"/>
              <w:bottom w:val="nil"/>
              <w:right w:val="single" w:sz="4" w:space="0" w:color="auto"/>
            </w:tcBorders>
            <w:shd w:val="clear" w:color="auto" w:fill="auto"/>
            <w:vAlign w:val="center"/>
            <w:hideMark/>
          </w:tcPr>
          <w:p w14:paraId="50A953C8"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849,3</w:t>
            </w:r>
          </w:p>
        </w:tc>
        <w:tc>
          <w:tcPr>
            <w:tcW w:w="736" w:type="dxa"/>
            <w:tcBorders>
              <w:top w:val="nil"/>
              <w:left w:val="nil"/>
              <w:bottom w:val="nil"/>
              <w:right w:val="nil"/>
            </w:tcBorders>
            <w:shd w:val="clear" w:color="auto" w:fill="auto"/>
            <w:vAlign w:val="center"/>
            <w:hideMark/>
          </w:tcPr>
          <w:p w14:paraId="0AFFFFDE"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1 440,9</w:t>
            </w:r>
          </w:p>
        </w:tc>
        <w:tc>
          <w:tcPr>
            <w:tcW w:w="735" w:type="dxa"/>
            <w:tcBorders>
              <w:top w:val="nil"/>
              <w:left w:val="nil"/>
              <w:bottom w:val="nil"/>
              <w:right w:val="nil"/>
            </w:tcBorders>
            <w:shd w:val="clear" w:color="auto" w:fill="auto"/>
            <w:vAlign w:val="center"/>
            <w:hideMark/>
          </w:tcPr>
          <w:p w14:paraId="1A07A3D2"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658,2</w:t>
            </w:r>
          </w:p>
        </w:tc>
        <w:tc>
          <w:tcPr>
            <w:tcW w:w="735" w:type="dxa"/>
            <w:tcBorders>
              <w:top w:val="nil"/>
              <w:left w:val="nil"/>
              <w:bottom w:val="nil"/>
              <w:right w:val="nil"/>
            </w:tcBorders>
            <w:shd w:val="clear" w:color="auto" w:fill="auto"/>
            <w:vAlign w:val="center"/>
            <w:hideMark/>
          </w:tcPr>
          <w:p w14:paraId="32245D4C"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782,7</w:t>
            </w:r>
          </w:p>
        </w:tc>
        <w:tc>
          <w:tcPr>
            <w:tcW w:w="754" w:type="dxa"/>
            <w:tcBorders>
              <w:top w:val="nil"/>
              <w:left w:val="single" w:sz="4" w:space="0" w:color="auto"/>
              <w:bottom w:val="nil"/>
              <w:right w:val="nil"/>
            </w:tcBorders>
            <w:shd w:val="clear" w:color="auto" w:fill="auto"/>
            <w:vAlign w:val="center"/>
            <w:hideMark/>
          </w:tcPr>
          <w:p w14:paraId="381BF45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47,4</w:t>
            </w:r>
          </w:p>
        </w:tc>
        <w:tc>
          <w:tcPr>
            <w:tcW w:w="737" w:type="dxa"/>
            <w:tcBorders>
              <w:top w:val="nil"/>
              <w:left w:val="nil"/>
              <w:bottom w:val="nil"/>
              <w:right w:val="nil"/>
            </w:tcBorders>
            <w:shd w:val="clear" w:color="auto" w:fill="auto"/>
            <w:vAlign w:val="center"/>
            <w:hideMark/>
          </w:tcPr>
          <w:p w14:paraId="23789AC0"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32,6</w:t>
            </w:r>
          </w:p>
        </w:tc>
        <w:tc>
          <w:tcPr>
            <w:tcW w:w="737" w:type="dxa"/>
            <w:tcBorders>
              <w:top w:val="nil"/>
              <w:left w:val="nil"/>
              <w:bottom w:val="nil"/>
              <w:right w:val="single" w:sz="4" w:space="0" w:color="auto"/>
            </w:tcBorders>
            <w:shd w:val="clear" w:color="auto" w:fill="auto"/>
            <w:vAlign w:val="center"/>
            <w:hideMark/>
          </w:tcPr>
          <w:p w14:paraId="64D56AA0"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14,8</w:t>
            </w:r>
          </w:p>
        </w:tc>
        <w:tc>
          <w:tcPr>
            <w:tcW w:w="737" w:type="dxa"/>
            <w:tcBorders>
              <w:top w:val="nil"/>
              <w:left w:val="nil"/>
              <w:bottom w:val="nil"/>
              <w:right w:val="nil"/>
            </w:tcBorders>
            <w:shd w:val="clear" w:color="auto" w:fill="auto"/>
            <w:vAlign w:val="center"/>
            <w:hideMark/>
          </w:tcPr>
          <w:p w14:paraId="6A6862C6"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145,0</w:t>
            </w:r>
          </w:p>
        </w:tc>
        <w:tc>
          <w:tcPr>
            <w:tcW w:w="737" w:type="dxa"/>
            <w:tcBorders>
              <w:top w:val="nil"/>
              <w:left w:val="nil"/>
              <w:bottom w:val="nil"/>
              <w:right w:val="nil"/>
            </w:tcBorders>
            <w:shd w:val="clear" w:color="auto" w:fill="auto"/>
            <w:vAlign w:val="center"/>
            <w:hideMark/>
          </w:tcPr>
          <w:p w14:paraId="41A2404A"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93,2</w:t>
            </w:r>
          </w:p>
        </w:tc>
        <w:tc>
          <w:tcPr>
            <w:tcW w:w="737" w:type="dxa"/>
            <w:tcBorders>
              <w:top w:val="nil"/>
              <w:left w:val="nil"/>
              <w:bottom w:val="nil"/>
              <w:right w:val="nil"/>
            </w:tcBorders>
            <w:shd w:val="clear" w:color="auto" w:fill="auto"/>
            <w:vAlign w:val="center"/>
            <w:hideMark/>
          </w:tcPr>
          <w:p w14:paraId="0889221D"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51,8</w:t>
            </w:r>
          </w:p>
        </w:tc>
      </w:tr>
      <w:tr w:rsidR="00587FF1" w:rsidRPr="004B2783" w14:paraId="118A256D" w14:textId="77777777" w:rsidTr="007A5557">
        <w:trPr>
          <w:trHeight w:val="300"/>
        </w:trPr>
        <w:tc>
          <w:tcPr>
            <w:tcW w:w="736" w:type="dxa"/>
            <w:tcBorders>
              <w:top w:val="nil"/>
              <w:left w:val="nil"/>
              <w:bottom w:val="nil"/>
              <w:right w:val="nil"/>
            </w:tcBorders>
            <w:shd w:val="clear" w:color="auto" w:fill="auto"/>
            <w:vAlign w:val="center"/>
            <w:hideMark/>
          </w:tcPr>
          <w:p w14:paraId="49E8BA73"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2017</w:t>
            </w:r>
          </w:p>
        </w:tc>
        <w:tc>
          <w:tcPr>
            <w:tcW w:w="737" w:type="dxa"/>
            <w:tcBorders>
              <w:top w:val="nil"/>
              <w:left w:val="single" w:sz="4" w:space="0" w:color="auto"/>
              <w:bottom w:val="nil"/>
              <w:right w:val="nil"/>
            </w:tcBorders>
            <w:shd w:val="clear" w:color="auto" w:fill="auto"/>
            <w:vAlign w:val="center"/>
            <w:hideMark/>
          </w:tcPr>
          <w:p w14:paraId="00459FAE"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1 707,5</w:t>
            </w:r>
          </w:p>
        </w:tc>
        <w:tc>
          <w:tcPr>
            <w:tcW w:w="735" w:type="dxa"/>
            <w:tcBorders>
              <w:top w:val="nil"/>
              <w:left w:val="nil"/>
              <w:bottom w:val="nil"/>
              <w:right w:val="nil"/>
            </w:tcBorders>
            <w:shd w:val="clear" w:color="auto" w:fill="auto"/>
            <w:vAlign w:val="center"/>
            <w:hideMark/>
          </w:tcPr>
          <w:p w14:paraId="0A0B77C8"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814,5</w:t>
            </w:r>
          </w:p>
        </w:tc>
        <w:tc>
          <w:tcPr>
            <w:tcW w:w="735" w:type="dxa"/>
            <w:tcBorders>
              <w:top w:val="nil"/>
              <w:left w:val="nil"/>
              <w:bottom w:val="nil"/>
              <w:right w:val="single" w:sz="4" w:space="0" w:color="auto"/>
            </w:tcBorders>
            <w:shd w:val="clear" w:color="auto" w:fill="auto"/>
            <w:vAlign w:val="center"/>
            <w:hideMark/>
          </w:tcPr>
          <w:p w14:paraId="74FEF584"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893,0</w:t>
            </w:r>
          </w:p>
        </w:tc>
        <w:tc>
          <w:tcPr>
            <w:tcW w:w="736" w:type="dxa"/>
            <w:tcBorders>
              <w:top w:val="nil"/>
              <w:left w:val="nil"/>
              <w:bottom w:val="nil"/>
              <w:right w:val="nil"/>
            </w:tcBorders>
            <w:shd w:val="clear" w:color="auto" w:fill="auto"/>
            <w:vAlign w:val="center"/>
            <w:hideMark/>
          </w:tcPr>
          <w:p w14:paraId="741DCA9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1 510,9</w:t>
            </w:r>
          </w:p>
        </w:tc>
        <w:tc>
          <w:tcPr>
            <w:tcW w:w="735" w:type="dxa"/>
            <w:tcBorders>
              <w:top w:val="nil"/>
              <w:left w:val="nil"/>
              <w:bottom w:val="nil"/>
              <w:right w:val="nil"/>
            </w:tcBorders>
            <w:shd w:val="clear" w:color="auto" w:fill="auto"/>
            <w:vAlign w:val="center"/>
            <w:hideMark/>
          </w:tcPr>
          <w:p w14:paraId="35F116E3"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687,8</w:t>
            </w:r>
          </w:p>
        </w:tc>
        <w:tc>
          <w:tcPr>
            <w:tcW w:w="735" w:type="dxa"/>
            <w:tcBorders>
              <w:top w:val="nil"/>
              <w:left w:val="nil"/>
              <w:bottom w:val="nil"/>
              <w:right w:val="nil"/>
            </w:tcBorders>
            <w:shd w:val="clear" w:color="auto" w:fill="auto"/>
            <w:vAlign w:val="center"/>
            <w:hideMark/>
          </w:tcPr>
          <w:p w14:paraId="7D07BFD4"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823,1</w:t>
            </w:r>
          </w:p>
        </w:tc>
        <w:tc>
          <w:tcPr>
            <w:tcW w:w="754" w:type="dxa"/>
            <w:tcBorders>
              <w:top w:val="nil"/>
              <w:left w:val="single" w:sz="4" w:space="0" w:color="auto"/>
              <w:bottom w:val="nil"/>
              <w:right w:val="nil"/>
            </w:tcBorders>
            <w:shd w:val="clear" w:color="auto" w:fill="auto"/>
            <w:vAlign w:val="center"/>
            <w:hideMark/>
          </w:tcPr>
          <w:p w14:paraId="2D571F27"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47,5</w:t>
            </w:r>
          </w:p>
        </w:tc>
        <w:tc>
          <w:tcPr>
            <w:tcW w:w="737" w:type="dxa"/>
            <w:tcBorders>
              <w:top w:val="nil"/>
              <w:left w:val="nil"/>
              <w:bottom w:val="nil"/>
              <w:right w:val="nil"/>
            </w:tcBorders>
            <w:shd w:val="clear" w:color="auto" w:fill="auto"/>
            <w:vAlign w:val="center"/>
            <w:hideMark/>
          </w:tcPr>
          <w:p w14:paraId="0252EDD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32,6</w:t>
            </w:r>
          </w:p>
        </w:tc>
        <w:tc>
          <w:tcPr>
            <w:tcW w:w="737" w:type="dxa"/>
            <w:tcBorders>
              <w:top w:val="nil"/>
              <w:left w:val="nil"/>
              <w:bottom w:val="nil"/>
              <w:right w:val="single" w:sz="4" w:space="0" w:color="auto"/>
            </w:tcBorders>
            <w:shd w:val="clear" w:color="auto" w:fill="auto"/>
            <w:vAlign w:val="center"/>
            <w:hideMark/>
          </w:tcPr>
          <w:p w14:paraId="427A2BD0"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14,9</w:t>
            </w:r>
          </w:p>
        </w:tc>
        <w:tc>
          <w:tcPr>
            <w:tcW w:w="737" w:type="dxa"/>
            <w:tcBorders>
              <w:top w:val="nil"/>
              <w:left w:val="nil"/>
              <w:bottom w:val="nil"/>
              <w:right w:val="nil"/>
            </w:tcBorders>
            <w:shd w:val="clear" w:color="auto" w:fill="auto"/>
            <w:vAlign w:val="center"/>
            <w:hideMark/>
          </w:tcPr>
          <w:p w14:paraId="63EFAFF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149,1</w:t>
            </w:r>
          </w:p>
        </w:tc>
        <w:tc>
          <w:tcPr>
            <w:tcW w:w="737" w:type="dxa"/>
            <w:tcBorders>
              <w:top w:val="nil"/>
              <w:left w:val="nil"/>
              <w:bottom w:val="nil"/>
              <w:right w:val="nil"/>
            </w:tcBorders>
            <w:shd w:val="clear" w:color="auto" w:fill="auto"/>
            <w:vAlign w:val="center"/>
            <w:hideMark/>
          </w:tcPr>
          <w:p w14:paraId="7D3D982C"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94,1</w:t>
            </w:r>
          </w:p>
        </w:tc>
        <w:tc>
          <w:tcPr>
            <w:tcW w:w="737" w:type="dxa"/>
            <w:tcBorders>
              <w:top w:val="nil"/>
              <w:left w:val="nil"/>
              <w:bottom w:val="nil"/>
              <w:right w:val="nil"/>
            </w:tcBorders>
            <w:shd w:val="clear" w:color="auto" w:fill="auto"/>
            <w:vAlign w:val="center"/>
            <w:hideMark/>
          </w:tcPr>
          <w:p w14:paraId="3F03D834"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55,1</w:t>
            </w:r>
          </w:p>
        </w:tc>
      </w:tr>
      <w:tr w:rsidR="00587FF1" w:rsidRPr="004B2783" w14:paraId="4160AC24" w14:textId="77777777" w:rsidTr="007A5557">
        <w:trPr>
          <w:trHeight w:val="300"/>
        </w:trPr>
        <w:tc>
          <w:tcPr>
            <w:tcW w:w="736" w:type="dxa"/>
            <w:tcBorders>
              <w:top w:val="nil"/>
              <w:left w:val="nil"/>
              <w:bottom w:val="nil"/>
              <w:right w:val="nil"/>
            </w:tcBorders>
            <w:shd w:val="clear" w:color="auto" w:fill="auto"/>
            <w:vAlign w:val="center"/>
            <w:hideMark/>
          </w:tcPr>
          <w:p w14:paraId="7BCA749A"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2018</w:t>
            </w:r>
          </w:p>
        </w:tc>
        <w:tc>
          <w:tcPr>
            <w:tcW w:w="737" w:type="dxa"/>
            <w:tcBorders>
              <w:top w:val="nil"/>
              <w:left w:val="single" w:sz="4" w:space="0" w:color="auto"/>
              <w:bottom w:val="nil"/>
              <w:right w:val="nil"/>
            </w:tcBorders>
            <w:shd w:val="clear" w:color="auto" w:fill="auto"/>
            <w:vAlign w:val="center"/>
            <w:hideMark/>
          </w:tcPr>
          <w:p w14:paraId="20E82604"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1 849,5</w:t>
            </w:r>
          </w:p>
        </w:tc>
        <w:tc>
          <w:tcPr>
            <w:tcW w:w="735" w:type="dxa"/>
            <w:tcBorders>
              <w:top w:val="nil"/>
              <w:left w:val="nil"/>
              <w:bottom w:val="nil"/>
              <w:right w:val="nil"/>
            </w:tcBorders>
            <w:shd w:val="clear" w:color="auto" w:fill="auto"/>
            <w:vAlign w:val="center"/>
            <w:hideMark/>
          </w:tcPr>
          <w:p w14:paraId="05073ADA"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874,3</w:t>
            </w:r>
          </w:p>
        </w:tc>
        <w:tc>
          <w:tcPr>
            <w:tcW w:w="735" w:type="dxa"/>
            <w:tcBorders>
              <w:top w:val="nil"/>
              <w:left w:val="nil"/>
              <w:bottom w:val="nil"/>
              <w:right w:val="single" w:sz="4" w:space="0" w:color="auto"/>
            </w:tcBorders>
            <w:shd w:val="clear" w:color="auto" w:fill="auto"/>
            <w:vAlign w:val="center"/>
            <w:hideMark/>
          </w:tcPr>
          <w:p w14:paraId="0169770B"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975,2</w:t>
            </w:r>
          </w:p>
        </w:tc>
        <w:tc>
          <w:tcPr>
            <w:tcW w:w="736" w:type="dxa"/>
            <w:tcBorders>
              <w:top w:val="nil"/>
              <w:left w:val="nil"/>
              <w:bottom w:val="nil"/>
              <w:right w:val="nil"/>
            </w:tcBorders>
            <w:shd w:val="clear" w:color="auto" w:fill="auto"/>
            <w:vAlign w:val="center"/>
            <w:hideMark/>
          </w:tcPr>
          <w:p w14:paraId="46089D2A"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1 650,3</w:t>
            </w:r>
          </w:p>
        </w:tc>
        <w:tc>
          <w:tcPr>
            <w:tcW w:w="735" w:type="dxa"/>
            <w:tcBorders>
              <w:top w:val="nil"/>
              <w:left w:val="nil"/>
              <w:bottom w:val="nil"/>
              <w:right w:val="nil"/>
            </w:tcBorders>
            <w:shd w:val="clear" w:color="auto" w:fill="auto"/>
            <w:vAlign w:val="center"/>
            <w:hideMark/>
          </w:tcPr>
          <w:p w14:paraId="538228A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746,8</w:t>
            </w:r>
          </w:p>
        </w:tc>
        <w:tc>
          <w:tcPr>
            <w:tcW w:w="735" w:type="dxa"/>
            <w:tcBorders>
              <w:top w:val="nil"/>
              <w:left w:val="nil"/>
              <w:bottom w:val="nil"/>
              <w:right w:val="nil"/>
            </w:tcBorders>
            <w:shd w:val="clear" w:color="auto" w:fill="auto"/>
            <w:vAlign w:val="center"/>
            <w:hideMark/>
          </w:tcPr>
          <w:p w14:paraId="435D7BA9"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903,5</w:t>
            </w:r>
          </w:p>
        </w:tc>
        <w:tc>
          <w:tcPr>
            <w:tcW w:w="754" w:type="dxa"/>
            <w:tcBorders>
              <w:top w:val="nil"/>
              <w:left w:val="single" w:sz="4" w:space="0" w:color="auto"/>
              <w:bottom w:val="nil"/>
              <w:right w:val="nil"/>
            </w:tcBorders>
            <w:shd w:val="clear" w:color="auto" w:fill="auto"/>
            <w:vAlign w:val="center"/>
            <w:hideMark/>
          </w:tcPr>
          <w:p w14:paraId="745DCDB2"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46,2</w:t>
            </w:r>
          </w:p>
        </w:tc>
        <w:tc>
          <w:tcPr>
            <w:tcW w:w="737" w:type="dxa"/>
            <w:tcBorders>
              <w:top w:val="nil"/>
              <w:left w:val="nil"/>
              <w:bottom w:val="nil"/>
              <w:right w:val="nil"/>
            </w:tcBorders>
            <w:shd w:val="clear" w:color="auto" w:fill="auto"/>
            <w:vAlign w:val="center"/>
            <w:hideMark/>
          </w:tcPr>
          <w:p w14:paraId="4DA9148F"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31,3</w:t>
            </w:r>
          </w:p>
        </w:tc>
        <w:tc>
          <w:tcPr>
            <w:tcW w:w="737" w:type="dxa"/>
            <w:tcBorders>
              <w:top w:val="nil"/>
              <w:left w:val="nil"/>
              <w:bottom w:val="nil"/>
              <w:right w:val="single" w:sz="4" w:space="0" w:color="auto"/>
            </w:tcBorders>
            <w:shd w:val="clear" w:color="auto" w:fill="auto"/>
            <w:vAlign w:val="center"/>
            <w:hideMark/>
          </w:tcPr>
          <w:p w14:paraId="6A86853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14,9</w:t>
            </w:r>
          </w:p>
        </w:tc>
        <w:tc>
          <w:tcPr>
            <w:tcW w:w="737" w:type="dxa"/>
            <w:tcBorders>
              <w:top w:val="nil"/>
              <w:left w:val="nil"/>
              <w:bottom w:val="nil"/>
              <w:right w:val="nil"/>
            </w:tcBorders>
            <w:shd w:val="clear" w:color="auto" w:fill="auto"/>
            <w:vAlign w:val="center"/>
            <w:hideMark/>
          </w:tcPr>
          <w:p w14:paraId="45B0A16F"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153,0</w:t>
            </w:r>
          </w:p>
        </w:tc>
        <w:tc>
          <w:tcPr>
            <w:tcW w:w="737" w:type="dxa"/>
            <w:tcBorders>
              <w:top w:val="nil"/>
              <w:left w:val="nil"/>
              <w:bottom w:val="nil"/>
              <w:right w:val="nil"/>
            </w:tcBorders>
            <w:shd w:val="clear" w:color="auto" w:fill="auto"/>
            <w:vAlign w:val="center"/>
            <w:hideMark/>
          </w:tcPr>
          <w:p w14:paraId="242E0A19"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96,1</w:t>
            </w:r>
          </w:p>
        </w:tc>
        <w:tc>
          <w:tcPr>
            <w:tcW w:w="737" w:type="dxa"/>
            <w:tcBorders>
              <w:top w:val="nil"/>
              <w:left w:val="nil"/>
              <w:bottom w:val="nil"/>
              <w:right w:val="nil"/>
            </w:tcBorders>
            <w:shd w:val="clear" w:color="auto" w:fill="auto"/>
            <w:vAlign w:val="center"/>
            <w:hideMark/>
          </w:tcPr>
          <w:p w14:paraId="154634B4"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56,8</w:t>
            </w:r>
          </w:p>
        </w:tc>
      </w:tr>
      <w:tr w:rsidR="00587FF1" w:rsidRPr="004B2783" w14:paraId="7958CC2A" w14:textId="77777777" w:rsidTr="007A5557">
        <w:trPr>
          <w:trHeight w:val="300"/>
        </w:trPr>
        <w:tc>
          <w:tcPr>
            <w:tcW w:w="736" w:type="dxa"/>
            <w:tcBorders>
              <w:top w:val="nil"/>
              <w:left w:val="nil"/>
              <w:bottom w:val="nil"/>
              <w:right w:val="nil"/>
            </w:tcBorders>
            <w:shd w:val="clear" w:color="auto" w:fill="auto"/>
            <w:vAlign w:val="center"/>
            <w:hideMark/>
          </w:tcPr>
          <w:p w14:paraId="34B8B73F"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2019</w:t>
            </w:r>
          </w:p>
        </w:tc>
        <w:tc>
          <w:tcPr>
            <w:tcW w:w="737" w:type="dxa"/>
            <w:tcBorders>
              <w:top w:val="nil"/>
              <w:left w:val="single" w:sz="4" w:space="0" w:color="auto"/>
              <w:bottom w:val="nil"/>
              <w:right w:val="nil"/>
            </w:tcBorders>
            <w:shd w:val="clear" w:color="auto" w:fill="auto"/>
            <w:vAlign w:val="center"/>
            <w:hideMark/>
          </w:tcPr>
          <w:p w14:paraId="2D5AC162"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1 914,8</w:t>
            </w:r>
          </w:p>
        </w:tc>
        <w:tc>
          <w:tcPr>
            <w:tcW w:w="735" w:type="dxa"/>
            <w:tcBorders>
              <w:top w:val="nil"/>
              <w:left w:val="nil"/>
              <w:bottom w:val="nil"/>
              <w:right w:val="nil"/>
            </w:tcBorders>
            <w:shd w:val="clear" w:color="auto" w:fill="auto"/>
            <w:vAlign w:val="center"/>
            <w:hideMark/>
          </w:tcPr>
          <w:p w14:paraId="0DB989BF"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902,3</w:t>
            </w:r>
          </w:p>
        </w:tc>
        <w:tc>
          <w:tcPr>
            <w:tcW w:w="735" w:type="dxa"/>
            <w:tcBorders>
              <w:top w:val="nil"/>
              <w:left w:val="nil"/>
              <w:bottom w:val="nil"/>
              <w:right w:val="single" w:sz="4" w:space="0" w:color="auto"/>
            </w:tcBorders>
            <w:shd w:val="clear" w:color="auto" w:fill="auto"/>
            <w:vAlign w:val="center"/>
            <w:hideMark/>
          </w:tcPr>
          <w:p w14:paraId="21E62042"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1 012,5</w:t>
            </w:r>
          </w:p>
        </w:tc>
        <w:tc>
          <w:tcPr>
            <w:tcW w:w="736" w:type="dxa"/>
            <w:tcBorders>
              <w:top w:val="nil"/>
              <w:left w:val="nil"/>
              <w:bottom w:val="nil"/>
              <w:right w:val="nil"/>
            </w:tcBorders>
            <w:shd w:val="clear" w:color="auto" w:fill="auto"/>
            <w:vAlign w:val="center"/>
            <w:hideMark/>
          </w:tcPr>
          <w:p w14:paraId="14703C7A"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1 711,2</w:t>
            </w:r>
          </w:p>
        </w:tc>
        <w:tc>
          <w:tcPr>
            <w:tcW w:w="735" w:type="dxa"/>
            <w:tcBorders>
              <w:top w:val="nil"/>
              <w:left w:val="nil"/>
              <w:bottom w:val="nil"/>
              <w:right w:val="nil"/>
            </w:tcBorders>
            <w:shd w:val="clear" w:color="auto" w:fill="auto"/>
            <w:vAlign w:val="center"/>
            <w:hideMark/>
          </w:tcPr>
          <w:p w14:paraId="30CCC626"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772,9</w:t>
            </w:r>
          </w:p>
        </w:tc>
        <w:tc>
          <w:tcPr>
            <w:tcW w:w="735" w:type="dxa"/>
            <w:tcBorders>
              <w:top w:val="nil"/>
              <w:left w:val="nil"/>
              <w:bottom w:val="nil"/>
              <w:right w:val="nil"/>
            </w:tcBorders>
            <w:shd w:val="clear" w:color="auto" w:fill="auto"/>
            <w:vAlign w:val="center"/>
            <w:hideMark/>
          </w:tcPr>
          <w:p w14:paraId="3ADA71A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938,3</w:t>
            </w:r>
          </w:p>
        </w:tc>
        <w:tc>
          <w:tcPr>
            <w:tcW w:w="754" w:type="dxa"/>
            <w:tcBorders>
              <w:top w:val="nil"/>
              <w:left w:val="single" w:sz="4" w:space="0" w:color="auto"/>
              <w:bottom w:val="nil"/>
              <w:right w:val="nil"/>
            </w:tcBorders>
            <w:shd w:val="clear" w:color="auto" w:fill="auto"/>
            <w:vAlign w:val="center"/>
            <w:hideMark/>
          </w:tcPr>
          <w:p w14:paraId="6945EE73"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44,6</w:t>
            </w:r>
          </w:p>
        </w:tc>
        <w:tc>
          <w:tcPr>
            <w:tcW w:w="737" w:type="dxa"/>
            <w:tcBorders>
              <w:top w:val="nil"/>
              <w:left w:val="nil"/>
              <w:bottom w:val="nil"/>
              <w:right w:val="nil"/>
            </w:tcBorders>
            <w:shd w:val="clear" w:color="auto" w:fill="auto"/>
            <w:vAlign w:val="center"/>
            <w:hideMark/>
          </w:tcPr>
          <w:p w14:paraId="3AD99E20"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30,1</w:t>
            </w:r>
          </w:p>
        </w:tc>
        <w:tc>
          <w:tcPr>
            <w:tcW w:w="737" w:type="dxa"/>
            <w:tcBorders>
              <w:top w:val="nil"/>
              <w:left w:val="nil"/>
              <w:bottom w:val="nil"/>
              <w:right w:val="single" w:sz="4" w:space="0" w:color="auto"/>
            </w:tcBorders>
            <w:shd w:val="clear" w:color="auto" w:fill="auto"/>
            <w:vAlign w:val="center"/>
            <w:hideMark/>
          </w:tcPr>
          <w:p w14:paraId="4993FE20"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14,5</w:t>
            </w:r>
          </w:p>
        </w:tc>
        <w:tc>
          <w:tcPr>
            <w:tcW w:w="737" w:type="dxa"/>
            <w:tcBorders>
              <w:top w:val="nil"/>
              <w:left w:val="nil"/>
              <w:bottom w:val="nil"/>
              <w:right w:val="nil"/>
            </w:tcBorders>
            <w:shd w:val="clear" w:color="auto" w:fill="auto"/>
            <w:vAlign w:val="center"/>
            <w:hideMark/>
          </w:tcPr>
          <w:p w14:paraId="4D88FCEC"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159,0</w:t>
            </w:r>
          </w:p>
        </w:tc>
        <w:tc>
          <w:tcPr>
            <w:tcW w:w="737" w:type="dxa"/>
            <w:tcBorders>
              <w:top w:val="nil"/>
              <w:left w:val="nil"/>
              <w:bottom w:val="nil"/>
              <w:right w:val="nil"/>
            </w:tcBorders>
            <w:shd w:val="clear" w:color="auto" w:fill="auto"/>
            <w:vAlign w:val="center"/>
            <w:hideMark/>
          </w:tcPr>
          <w:p w14:paraId="1B5BC7C6"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99,3</w:t>
            </w:r>
          </w:p>
        </w:tc>
        <w:tc>
          <w:tcPr>
            <w:tcW w:w="737" w:type="dxa"/>
            <w:tcBorders>
              <w:top w:val="nil"/>
              <w:left w:val="nil"/>
              <w:bottom w:val="nil"/>
              <w:right w:val="nil"/>
            </w:tcBorders>
            <w:shd w:val="clear" w:color="auto" w:fill="auto"/>
            <w:vAlign w:val="center"/>
            <w:hideMark/>
          </w:tcPr>
          <w:p w14:paraId="2B0BA8D5"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59,7</w:t>
            </w:r>
          </w:p>
        </w:tc>
      </w:tr>
      <w:tr w:rsidR="00587FF1" w:rsidRPr="004B2783" w14:paraId="3E301CE1" w14:textId="77777777" w:rsidTr="007A5557">
        <w:trPr>
          <w:trHeight w:val="300"/>
        </w:trPr>
        <w:tc>
          <w:tcPr>
            <w:tcW w:w="736" w:type="dxa"/>
            <w:tcBorders>
              <w:top w:val="nil"/>
              <w:left w:val="nil"/>
              <w:bottom w:val="nil"/>
              <w:right w:val="single" w:sz="4" w:space="0" w:color="auto"/>
            </w:tcBorders>
            <w:shd w:val="clear" w:color="auto" w:fill="auto"/>
            <w:vAlign w:val="center"/>
            <w:hideMark/>
          </w:tcPr>
          <w:p w14:paraId="5E9D70D3" w14:textId="77777777" w:rsidR="00587FF1" w:rsidRPr="004B2783" w:rsidRDefault="00587FF1" w:rsidP="007A5557">
            <w:pPr>
              <w:spacing w:after="0" w:line="240" w:lineRule="auto"/>
              <w:jc w:val="center"/>
              <w:rPr>
                <w:rFonts w:cs="Arial"/>
                <w:color w:val="000000"/>
                <w:sz w:val="16"/>
                <w:szCs w:val="16"/>
              </w:rPr>
            </w:pPr>
            <w:r w:rsidRPr="004B2783">
              <w:rPr>
                <w:rFonts w:cs="Arial"/>
                <w:color w:val="000000"/>
                <w:sz w:val="16"/>
                <w:szCs w:val="16"/>
              </w:rPr>
              <w:t>2020</w:t>
            </w:r>
          </w:p>
        </w:tc>
        <w:tc>
          <w:tcPr>
            <w:tcW w:w="737" w:type="dxa"/>
            <w:tcBorders>
              <w:top w:val="nil"/>
              <w:left w:val="nil"/>
              <w:bottom w:val="nil"/>
              <w:right w:val="nil"/>
            </w:tcBorders>
            <w:shd w:val="clear" w:color="auto" w:fill="auto"/>
            <w:vAlign w:val="center"/>
            <w:hideMark/>
          </w:tcPr>
          <w:p w14:paraId="58FE3B5F"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2 391,0</w:t>
            </w:r>
          </w:p>
        </w:tc>
        <w:tc>
          <w:tcPr>
            <w:tcW w:w="735" w:type="dxa"/>
            <w:tcBorders>
              <w:top w:val="nil"/>
              <w:left w:val="nil"/>
              <w:bottom w:val="nil"/>
              <w:right w:val="nil"/>
            </w:tcBorders>
            <w:shd w:val="clear" w:color="auto" w:fill="auto"/>
            <w:vAlign w:val="center"/>
            <w:hideMark/>
          </w:tcPr>
          <w:p w14:paraId="2C389ADB"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1 141,8</w:t>
            </w:r>
          </w:p>
        </w:tc>
        <w:tc>
          <w:tcPr>
            <w:tcW w:w="735" w:type="dxa"/>
            <w:tcBorders>
              <w:top w:val="nil"/>
              <w:left w:val="nil"/>
              <w:bottom w:val="nil"/>
              <w:right w:val="single" w:sz="4" w:space="0" w:color="auto"/>
            </w:tcBorders>
            <w:shd w:val="clear" w:color="auto" w:fill="auto"/>
            <w:vAlign w:val="center"/>
            <w:hideMark/>
          </w:tcPr>
          <w:p w14:paraId="12999A41"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1 249,2</w:t>
            </w:r>
          </w:p>
        </w:tc>
        <w:tc>
          <w:tcPr>
            <w:tcW w:w="736" w:type="dxa"/>
            <w:tcBorders>
              <w:top w:val="nil"/>
              <w:left w:val="nil"/>
              <w:bottom w:val="nil"/>
              <w:right w:val="nil"/>
            </w:tcBorders>
            <w:shd w:val="clear" w:color="auto" w:fill="auto"/>
            <w:vAlign w:val="center"/>
            <w:hideMark/>
          </w:tcPr>
          <w:p w14:paraId="29BF6929"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2 202,7</w:t>
            </w:r>
          </w:p>
        </w:tc>
        <w:tc>
          <w:tcPr>
            <w:tcW w:w="735" w:type="dxa"/>
            <w:tcBorders>
              <w:top w:val="nil"/>
              <w:left w:val="nil"/>
              <w:bottom w:val="nil"/>
              <w:right w:val="nil"/>
            </w:tcBorders>
            <w:shd w:val="clear" w:color="auto" w:fill="auto"/>
            <w:vAlign w:val="center"/>
            <w:hideMark/>
          </w:tcPr>
          <w:p w14:paraId="2F32108E"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1 022,3</w:t>
            </w:r>
          </w:p>
        </w:tc>
        <w:tc>
          <w:tcPr>
            <w:tcW w:w="735" w:type="dxa"/>
            <w:tcBorders>
              <w:top w:val="nil"/>
              <w:left w:val="nil"/>
              <w:bottom w:val="nil"/>
              <w:right w:val="nil"/>
            </w:tcBorders>
            <w:shd w:val="clear" w:color="auto" w:fill="auto"/>
            <w:vAlign w:val="center"/>
            <w:hideMark/>
          </w:tcPr>
          <w:p w14:paraId="2EB1D614"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1 180,4</w:t>
            </w:r>
          </w:p>
        </w:tc>
        <w:tc>
          <w:tcPr>
            <w:tcW w:w="754" w:type="dxa"/>
            <w:tcBorders>
              <w:top w:val="nil"/>
              <w:left w:val="single" w:sz="4" w:space="0" w:color="auto"/>
              <w:bottom w:val="nil"/>
              <w:right w:val="nil"/>
            </w:tcBorders>
            <w:shd w:val="clear" w:color="auto" w:fill="auto"/>
            <w:vAlign w:val="center"/>
            <w:hideMark/>
          </w:tcPr>
          <w:p w14:paraId="776E8378"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41,4</w:t>
            </w:r>
          </w:p>
        </w:tc>
        <w:tc>
          <w:tcPr>
            <w:tcW w:w="737" w:type="dxa"/>
            <w:tcBorders>
              <w:top w:val="nil"/>
              <w:left w:val="nil"/>
              <w:bottom w:val="nil"/>
              <w:right w:val="nil"/>
            </w:tcBorders>
            <w:shd w:val="clear" w:color="auto" w:fill="auto"/>
            <w:vAlign w:val="center"/>
            <w:hideMark/>
          </w:tcPr>
          <w:p w14:paraId="65B69A5D"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28,7</w:t>
            </w:r>
          </w:p>
        </w:tc>
        <w:tc>
          <w:tcPr>
            <w:tcW w:w="737" w:type="dxa"/>
            <w:tcBorders>
              <w:top w:val="nil"/>
              <w:left w:val="nil"/>
              <w:bottom w:val="nil"/>
              <w:right w:val="single" w:sz="4" w:space="0" w:color="auto"/>
            </w:tcBorders>
            <w:shd w:val="clear" w:color="auto" w:fill="auto"/>
            <w:vAlign w:val="center"/>
            <w:hideMark/>
          </w:tcPr>
          <w:p w14:paraId="294CC0B9"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12,7</w:t>
            </w:r>
          </w:p>
        </w:tc>
        <w:tc>
          <w:tcPr>
            <w:tcW w:w="737" w:type="dxa"/>
            <w:tcBorders>
              <w:top w:val="nil"/>
              <w:left w:val="nil"/>
              <w:bottom w:val="nil"/>
              <w:right w:val="nil"/>
            </w:tcBorders>
            <w:shd w:val="clear" w:color="auto" w:fill="auto"/>
            <w:vAlign w:val="center"/>
            <w:hideMark/>
          </w:tcPr>
          <w:p w14:paraId="008A3202"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147,0</w:t>
            </w:r>
          </w:p>
        </w:tc>
        <w:tc>
          <w:tcPr>
            <w:tcW w:w="737" w:type="dxa"/>
            <w:tcBorders>
              <w:top w:val="nil"/>
              <w:left w:val="nil"/>
              <w:bottom w:val="nil"/>
              <w:right w:val="nil"/>
            </w:tcBorders>
            <w:shd w:val="clear" w:color="auto" w:fill="auto"/>
            <w:vAlign w:val="center"/>
            <w:hideMark/>
          </w:tcPr>
          <w:p w14:paraId="50AD1E10"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90,9</w:t>
            </w:r>
          </w:p>
        </w:tc>
        <w:tc>
          <w:tcPr>
            <w:tcW w:w="737" w:type="dxa"/>
            <w:tcBorders>
              <w:top w:val="nil"/>
              <w:left w:val="nil"/>
              <w:bottom w:val="nil"/>
              <w:right w:val="nil"/>
            </w:tcBorders>
            <w:shd w:val="clear" w:color="auto" w:fill="auto"/>
            <w:vAlign w:val="center"/>
            <w:hideMark/>
          </w:tcPr>
          <w:p w14:paraId="1C673384" w14:textId="77777777" w:rsidR="00587FF1" w:rsidRPr="004B2783" w:rsidRDefault="00587FF1" w:rsidP="007A5557">
            <w:pPr>
              <w:spacing w:after="0" w:line="240" w:lineRule="auto"/>
              <w:jc w:val="right"/>
              <w:rPr>
                <w:rFonts w:cs="Arial"/>
                <w:color w:val="000000"/>
                <w:sz w:val="16"/>
                <w:szCs w:val="16"/>
              </w:rPr>
            </w:pPr>
            <w:r w:rsidRPr="004B2783">
              <w:rPr>
                <w:rFonts w:cs="Arial"/>
                <w:color w:val="000000"/>
                <w:sz w:val="16"/>
                <w:szCs w:val="16"/>
              </w:rPr>
              <w:t>56,1</w:t>
            </w:r>
          </w:p>
        </w:tc>
      </w:tr>
      <w:tr w:rsidR="00587FF1" w:rsidRPr="004B2783" w14:paraId="5C7456BC" w14:textId="77777777" w:rsidTr="007A5557">
        <w:trPr>
          <w:trHeight w:val="300"/>
        </w:trPr>
        <w:tc>
          <w:tcPr>
            <w:tcW w:w="736" w:type="dxa"/>
            <w:tcBorders>
              <w:top w:val="nil"/>
              <w:left w:val="nil"/>
              <w:bottom w:val="nil"/>
              <w:right w:val="single" w:sz="4" w:space="0" w:color="auto"/>
            </w:tcBorders>
            <w:shd w:val="clear" w:color="auto" w:fill="auto"/>
            <w:vAlign w:val="center"/>
            <w:hideMark/>
          </w:tcPr>
          <w:p w14:paraId="56D0B9FB" w14:textId="78FFB616" w:rsidR="00587FF1" w:rsidRPr="004B2783" w:rsidRDefault="00587FF1" w:rsidP="007A5557">
            <w:pPr>
              <w:spacing w:after="0" w:line="240" w:lineRule="auto"/>
              <w:jc w:val="center"/>
              <w:rPr>
                <w:rFonts w:cs="Arial"/>
                <w:color w:val="000000"/>
                <w:sz w:val="16"/>
                <w:szCs w:val="16"/>
              </w:rPr>
            </w:pPr>
            <w:r w:rsidRPr="004B2783">
              <w:rPr>
                <w:sz w:val="16"/>
              </w:rPr>
              <w:t>2021</w:t>
            </w:r>
          </w:p>
        </w:tc>
        <w:tc>
          <w:tcPr>
            <w:tcW w:w="737" w:type="dxa"/>
            <w:tcBorders>
              <w:top w:val="nil"/>
              <w:left w:val="nil"/>
              <w:bottom w:val="nil"/>
              <w:right w:val="nil"/>
            </w:tcBorders>
            <w:shd w:val="clear" w:color="auto" w:fill="auto"/>
            <w:vAlign w:val="center"/>
            <w:hideMark/>
          </w:tcPr>
          <w:p w14:paraId="207BAEA6" w14:textId="7F124741" w:rsidR="00587FF1" w:rsidRPr="004B2783" w:rsidRDefault="00587FF1" w:rsidP="007A5557">
            <w:pPr>
              <w:spacing w:after="0" w:line="240" w:lineRule="auto"/>
              <w:jc w:val="right"/>
              <w:rPr>
                <w:rFonts w:cs="Arial"/>
                <w:color w:val="000000"/>
                <w:sz w:val="16"/>
                <w:szCs w:val="16"/>
              </w:rPr>
            </w:pPr>
            <w:r w:rsidRPr="004B2783">
              <w:rPr>
                <w:sz w:val="16"/>
              </w:rPr>
              <w:t>2 754,8</w:t>
            </w:r>
          </w:p>
        </w:tc>
        <w:tc>
          <w:tcPr>
            <w:tcW w:w="735" w:type="dxa"/>
            <w:tcBorders>
              <w:top w:val="nil"/>
              <w:left w:val="nil"/>
              <w:bottom w:val="nil"/>
              <w:right w:val="nil"/>
            </w:tcBorders>
            <w:shd w:val="clear" w:color="auto" w:fill="auto"/>
            <w:vAlign w:val="center"/>
            <w:hideMark/>
          </w:tcPr>
          <w:p w14:paraId="43E7CF53" w14:textId="77777777" w:rsidR="00587FF1" w:rsidRPr="004B2783" w:rsidRDefault="00587FF1" w:rsidP="007A5557">
            <w:pPr>
              <w:spacing w:after="0" w:line="240" w:lineRule="auto"/>
              <w:jc w:val="right"/>
              <w:rPr>
                <w:rFonts w:cs="Arial"/>
                <w:color w:val="000000"/>
                <w:sz w:val="16"/>
                <w:szCs w:val="16"/>
              </w:rPr>
            </w:pPr>
            <w:r w:rsidRPr="004B2783">
              <w:rPr>
                <w:sz w:val="16"/>
              </w:rPr>
              <w:t>1 342,9</w:t>
            </w:r>
          </w:p>
        </w:tc>
        <w:tc>
          <w:tcPr>
            <w:tcW w:w="735" w:type="dxa"/>
            <w:tcBorders>
              <w:top w:val="nil"/>
              <w:left w:val="nil"/>
              <w:bottom w:val="nil"/>
              <w:right w:val="single" w:sz="4" w:space="0" w:color="auto"/>
            </w:tcBorders>
            <w:shd w:val="clear" w:color="auto" w:fill="auto"/>
            <w:vAlign w:val="center"/>
            <w:hideMark/>
          </w:tcPr>
          <w:p w14:paraId="2F0985C2" w14:textId="77777777" w:rsidR="00587FF1" w:rsidRPr="004B2783" w:rsidRDefault="00587FF1" w:rsidP="007A5557">
            <w:pPr>
              <w:spacing w:after="0" w:line="240" w:lineRule="auto"/>
              <w:jc w:val="right"/>
              <w:rPr>
                <w:rFonts w:cs="Arial"/>
                <w:color w:val="000000"/>
                <w:sz w:val="16"/>
                <w:szCs w:val="16"/>
              </w:rPr>
            </w:pPr>
            <w:r w:rsidRPr="004B2783">
              <w:rPr>
                <w:sz w:val="16"/>
              </w:rPr>
              <w:t>1 411,9</w:t>
            </w:r>
          </w:p>
        </w:tc>
        <w:tc>
          <w:tcPr>
            <w:tcW w:w="736" w:type="dxa"/>
            <w:tcBorders>
              <w:top w:val="nil"/>
              <w:left w:val="nil"/>
              <w:bottom w:val="nil"/>
              <w:right w:val="nil"/>
            </w:tcBorders>
            <w:shd w:val="clear" w:color="auto" w:fill="auto"/>
            <w:vAlign w:val="center"/>
            <w:hideMark/>
          </w:tcPr>
          <w:p w14:paraId="1B5D3ED1" w14:textId="77777777" w:rsidR="00587FF1" w:rsidRPr="004B2783" w:rsidRDefault="00587FF1" w:rsidP="007A5557">
            <w:pPr>
              <w:spacing w:after="0" w:line="240" w:lineRule="auto"/>
              <w:jc w:val="right"/>
              <w:rPr>
                <w:rFonts w:cs="Arial"/>
                <w:color w:val="000000"/>
                <w:sz w:val="16"/>
                <w:szCs w:val="16"/>
              </w:rPr>
            </w:pPr>
            <w:r w:rsidRPr="004B2783">
              <w:rPr>
                <w:sz w:val="16"/>
              </w:rPr>
              <w:t>2 549,7</w:t>
            </w:r>
          </w:p>
        </w:tc>
        <w:tc>
          <w:tcPr>
            <w:tcW w:w="735" w:type="dxa"/>
            <w:tcBorders>
              <w:top w:val="nil"/>
              <w:left w:val="nil"/>
              <w:bottom w:val="nil"/>
              <w:right w:val="nil"/>
            </w:tcBorders>
            <w:shd w:val="clear" w:color="auto" w:fill="auto"/>
            <w:vAlign w:val="center"/>
            <w:hideMark/>
          </w:tcPr>
          <w:p w14:paraId="633F9B82" w14:textId="77777777" w:rsidR="00587FF1" w:rsidRPr="004B2783" w:rsidRDefault="00587FF1" w:rsidP="007A5557">
            <w:pPr>
              <w:spacing w:after="0" w:line="240" w:lineRule="auto"/>
              <w:jc w:val="right"/>
              <w:rPr>
                <w:rFonts w:cs="Arial"/>
                <w:color w:val="000000"/>
                <w:sz w:val="16"/>
                <w:szCs w:val="16"/>
              </w:rPr>
            </w:pPr>
            <w:r w:rsidRPr="004B2783">
              <w:rPr>
                <w:sz w:val="16"/>
              </w:rPr>
              <w:t>1 213,5</w:t>
            </w:r>
          </w:p>
        </w:tc>
        <w:tc>
          <w:tcPr>
            <w:tcW w:w="735" w:type="dxa"/>
            <w:tcBorders>
              <w:top w:val="nil"/>
              <w:left w:val="nil"/>
              <w:bottom w:val="nil"/>
              <w:right w:val="nil"/>
            </w:tcBorders>
            <w:shd w:val="clear" w:color="auto" w:fill="auto"/>
            <w:vAlign w:val="center"/>
            <w:hideMark/>
          </w:tcPr>
          <w:p w14:paraId="1A3DC44A" w14:textId="77777777" w:rsidR="00587FF1" w:rsidRPr="004B2783" w:rsidRDefault="00587FF1" w:rsidP="007A5557">
            <w:pPr>
              <w:spacing w:after="0" w:line="240" w:lineRule="auto"/>
              <w:jc w:val="right"/>
              <w:rPr>
                <w:rFonts w:cs="Arial"/>
                <w:color w:val="000000"/>
                <w:sz w:val="16"/>
                <w:szCs w:val="16"/>
              </w:rPr>
            </w:pPr>
            <w:r w:rsidRPr="004B2783">
              <w:rPr>
                <w:sz w:val="16"/>
              </w:rPr>
              <w:t>1 336,3</w:t>
            </w:r>
          </w:p>
        </w:tc>
        <w:tc>
          <w:tcPr>
            <w:tcW w:w="754" w:type="dxa"/>
            <w:tcBorders>
              <w:top w:val="nil"/>
              <w:left w:val="single" w:sz="4" w:space="0" w:color="auto"/>
              <w:bottom w:val="nil"/>
              <w:right w:val="nil"/>
            </w:tcBorders>
            <w:shd w:val="clear" w:color="auto" w:fill="auto"/>
            <w:vAlign w:val="center"/>
            <w:hideMark/>
          </w:tcPr>
          <w:p w14:paraId="4E9FFA3D" w14:textId="77777777" w:rsidR="00587FF1" w:rsidRPr="004B2783" w:rsidRDefault="00587FF1" w:rsidP="007A5557">
            <w:pPr>
              <w:spacing w:after="0" w:line="240" w:lineRule="auto"/>
              <w:jc w:val="right"/>
              <w:rPr>
                <w:rFonts w:cs="Arial"/>
                <w:color w:val="000000"/>
                <w:sz w:val="16"/>
                <w:szCs w:val="16"/>
              </w:rPr>
            </w:pPr>
            <w:r w:rsidRPr="004B2783">
              <w:rPr>
                <w:sz w:val="16"/>
              </w:rPr>
              <w:t>44,9</w:t>
            </w:r>
          </w:p>
        </w:tc>
        <w:tc>
          <w:tcPr>
            <w:tcW w:w="737" w:type="dxa"/>
            <w:tcBorders>
              <w:top w:val="nil"/>
              <w:left w:val="nil"/>
              <w:bottom w:val="nil"/>
              <w:right w:val="nil"/>
            </w:tcBorders>
            <w:shd w:val="clear" w:color="auto" w:fill="auto"/>
            <w:vAlign w:val="center"/>
            <w:hideMark/>
          </w:tcPr>
          <w:p w14:paraId="6A4FC834" w14:textId="77777777" w:rsidR="00587FF1" w:rsidRPr="004B2783" w:rsidRDefault="00587FF1" w:rsidP="007A5557">
            <w:pPr>
              <w:spacing w:after="0" w:line="240" w:lineRule="auto"/>
              <w:jc w:val="right"/>
              <w:rPr>
                <w:rFonts w:cs="Arial"/>
                <w:color w:val="000000"/>
                <w:sz w:val="16"/>
                <w:szCs w:val="16"/>
              </w:rPr>
            </w:pPr>
            <w:r w:rsidRPr="004B2783">
              <w:rPr>
                <w:sz w:val="16"/>
              </w:rPr>
              <w:t>31,1</w:t>
            </w:r>
          </w:p>
        </w:tc>
        <w:tc>
          <w:tcPr>
            <w:tcW w:w="737" w:type="dxa"/>
            <w:tcBorders>
              <w:top w:val="nil"/>
              <w:left w:val="nil"/>
              <w:bottom w:val="nil"/>
              <w:right w:val="single" w:sz="4" w:space="0" w:color="auto"/>
            </w:tcBorders>
            <w:shd w:val="clear" w:color="auto" w:fill="auto"/>
            <w:vAlign w:val="center"/>
            <w:hideMark/>
          </w:tcPr>
          <w:p w14:paraId="11C06F20" w14:textId="77777777" w:rsidR="00587FF1" w:rsidRPr="004B2783" w:rsidRDefault="00587FF1" w:rsidP="007A5557">
            <w:pPr>
              <w:spacing w:after="0" w:line="240" w:lineRule="auto"/>
              <w:jc w:val="right"/>
              <w:rPr>
                <w:rFonts w:cs="Arial"/>
                <w:color w:val="000000"/>
                <w:sz w:val="16"/>
                <w:szCs w:val="16"/>
              </w:rPr>
            </w:pPr>
            <w:r w:rsidRPr="004B2783">
              <w:rPr>
                <w:sz w:val="16"/>
              </w:rPr>
              <w:t>13,8</w:t>
            </w:r>
          </w:p>
        </w:tc>
        <w:tc>
          <w:tcPr>
            <w:tcW w:w="737" w:type="dxa"/>
            <w:tcBorders>
              <w:top w:val="nil"/>
              <w:left w:val="nil"/>
              <w:bottom w:val="nil"/>
              <w:right w:val="nil"/>
            </w:tcBorders>
            <w:shd w:val="clear" w:color="auto" w:fill="auto"/>
            <w:vAlign w:val="center"/>
            <w:hideMark/>
          </w:tcPr>
          <w:p w14:paraId="1E73D83F" w14:textId="77777777" w:rsidR="00587FF1" w:rsidRPr="004B2783" w:rsidRDefault="00587FF1" w:rsidP="007A5557">
            <w:pPr>
              <w:spacing w:after="0" w:line="240" w:lineRule="auto"/>
              <w:jc w:val="right"/>
              <w:rPr>
                <w:rFonts w:cs="Arial"/>
                <w:color w:val="000000"/>
                <w:sz w:val="16"/>
                <w:szCs w:val="16"/>
              </w:rPr>
            </w:pPr>
            <w:r w:rsidRPr="004B2783">
              <w:rPr>
                <w:sz w:val="16"/>
              </w:rPr>
              <w:t>160,1</w:t>
            </w:r>
          </w:p>
        </w:tc>
        <w:tc>
          <w:tcPr>
            <w:tcW w:w="737" w:type="dxa"/>
            <w:tcBorders>
              <w:top w:val="nil"/>
              <w:left w:val="nil"/>
              <w:bottom w:val="nil"/>
              <w:right w:val="nil"/>
            </w:tcBorders>
            <w:shd w:val="clear" w:color="auto" w:fill="auto"/>
            <w:vAlign w:val="center"/>
            <w:hideMark/>
          </w:tcPr>
          <w:p w14:paraId="5D3BB683" w14:textId="77777777" w:rsidR="00587FF1" w:rsidRPr="004B2783" w:rsidRDefault="00587FF1" w:rsidP="007A5557">
            <w:pPr>
              <w:spacing w:after="0" w:line="240" w:lineRule="auto"/>
              <w:jc w:val="right"/>
              <w:rPr>
                <w:rFonts w:cs="Arial"/>
                <w:color w:val="000000"/>
                <w:sz w:val="16"/>
                <w:szCs w:val="16"/>
              </w:rPr>
            </w:pPr>
            <w:r w:rsidRPr="004B2783">
              <w:rPr>
                <w:sz w:val="16"/>
              </w:rPr>
              <w:t>98,3</w:t>
            </w:r>
          </w:p>
        </w:tc>
        <w:tc>
          <w:tcPr>
            <w:tcW w:w="737" w:type="dxa"/>
            <w:tcBorders>
              <w:top w:val="nil"/>
              <w:left w:val="nil"/>
              <w:bottom w:val="nil"/>
              <w:right w:val="nil"/>
            </w:tcBorders>
            <w:shd w:val="clear" w:color="auto" w:fill="auto"/>
            <w:vAlign w:val="center"/>
            <w:hideMark/>
          </w:tcPr>
          <w:p w14:paraId="56D5A052" w14:textId="77777777" w:rsidR="00587FF1" w:rsidRPr="004B2783" w:rsidRDefault="00587FF1" w:rsidP="007A5557">
            <w:pPr>
              <w:spacing w:after="0" w:line="240" w:lineRule="auto"/>
              <w:jc w:val="right"/>
              <w:rPr>
                <w:rFonts w:cs="Arial"/>
                <w:color w:val="000000"/>
                <w:sz w:val="16"/>
                <w:szCs w:val="16"/>
              </w:rPr>
            </w:pPr>
            <w:r w:rsidRPr="004B2783">
              <w:rPr>
                <w:sz w:val="16"/>
              </w:rPr>
              <w:t>61,8</w:t>
            </w:r>
          </w:p>
        </w:tc>
      </w:tr>
      <w:tr w:rsidR="00587FF1" w:rsidRPr="004B2783" w14:paraId="508F32DE" w14:textId="77777777" w:rsidTr="00587FF1">
        <w:trPr>
          <w:trHeight w:val="300"/>
        </w:trPr>
        <w:tc>
          <w:tcPr>
            <w:tcW w:w="736" w:type="dxa"/>
            <w:tcBorders>
              <w:top w:val="nil"/>
              <w:left w:val="nil"/>
              <w:bottom w:val="nil"/>
              <w:right w:val="single" w:sz="4" w:space="0" w:color="auto"/>
            </w:tcBorders>
            <w:shd w:val="clear" w:color="auto" w:fill="auto"/>
            <w:vAlign w:val="center"/>
          </w:tcPr>
          <w:p w14:paraId="7630482E" w14:textId="3688D79D" w:rsidR="00587FF1" w:rsidRPr="004B2783" w:rsidRDefault="00587FF1" w:rsidP="00587FF1">
            <w:pPr>
              <w:spacing w:after="0" w:line="240" w:lineRule="auto"/>
              <w:jc w:val="center"/>
              <w:rPr>
                <w:sz w:val="16"/>
              </w:rPr>
            </w:pPr>
            <w:r w:rsidRPr="004B2783">
              <w:rPr>
                <w:sz w:val="16"/>
              </w:rPr>
              <w:t>2022</w:t>
            </w:r>
            <w:r w:rsidR="00AF51E3">
              <w:rPr>
                <w:sz w:val="16"/>
              </w:rPr>
              <w:t>*</w:t>
            </w:r>
          </w:p>
        </w:tc>
        <w:tc>
          <w:tcPr>
            <w:tcW w:w="737" w:type="dxa"/>
            <w:tcBorders>
              <w:top w:val="nil"/>
              <w:left w:val="nil"/>
              <w:bottom w:val="nil"/>
              <w:right w:val="nil"/>
            </w:tcBorders>
            <w:shd w:val="clear" w:color="auto" w:fill="auto"/>
            <w:vAlign w:val="center"/>
          </w:tcPr>
          <w:p w14:paraId="354DFD67" w14:textId="0640FA12" w:rsidR="00587FF1" w:rsidRPr="004B2783" w:rsidRDefault="00587FF1" w:rsidP="00587FF1">
            <w:pPr>
              <w:spacing w:after="0" w:line="240" w:lineRule="auto"/>
              <w:jc w:val="right"/>
              <w:rPr>
                <w:sz w:val="16"/>
              </w:rPr>
            </w:pPr>
            <w:r w:rsidRPr="004B2783">
              <w:rPr>
                <w:sz w:val="16"/>
              </w:rPr>
              <w:t>3 457,6</w:t>
            </w:r>
          </w:p>
        </w:tc>
        <w:tc>
          <w:tcPr>
            <w:tcW w:w="735" w:type="dxa"/>
            <w:tcBorders>
              <w:top w:val="nil"/>
              <w:left w:val="nil"/>
              <w:bottom w:val="nil"/>
              <w:right w:val="nil"/>
            </w:tcBorders>
            <w:shd w:val="clear" w:color="auto" w:fill="auto"/>
            <w:vAlign w:val="center"/>
          </w:tcPr>
          <w:p w14:paraId="0BFF3974" w14:textId="77777777" w:rsidR="00587FF1" w:rsidRPr="004B2783" w:rsidRDefault="00587FF1" w:rsidP="00587FF1">
            <w:pPr>
              <w:spacing w:after="0" w:line="240" w:lineRule="auto"/>
              <w:jc w:val="right"/>
              <w:rPr>
                <w:sz w:val="16"/>
              </w:rPr>
            </w:pPr>
            <w:r w:rsidRPr="004B2783">
              <w:rPr>
                <w:sz w:val="16"/>
              </w:rPr>
              <w:t>1 588,5</w:t>
            </w:r>
          </w:p>
        </w:tc>
        <w:tc>
          <w:tcPr>
            <w:tcW w:w="735" w:type="dxa"/>
            <w:tcBorders>
              <w:top w:val="nil"/>
              <w:left w:val="nil"/>
              <w:bottom w:val="nil"/>
              <w:right w:val="single" w:sz="4" w:space="0" w:color="auto"/>
            </w:tcBorders>
            <w:shd w:val="clear" w:color="auto" w:fill="auto"/>
            <w:vAlign w:val="center"/>
          </w:tcPr>
          <w:p w14:paraId="594BD33B" w14:textId="77777777" w:rsidR="00587FF1" w:rsidRPr="004B2783" w:rsidRDefault="00587FF1" w:rsidP="00587FF1">
            <w:pPr>
              <w:spacing w:after="0" w:line="240" w:lineRule="auto"/>
              <w:jc w:val="right"/>
              <w:rPr>
                <w:sz w:val="16"/>
              </w:rPr>
            </w:pPr>
            <w:r w:rsidRPr="004B2783">
              <w:rPr>
                <w:sz w:val="16"/>
              </w:rPr>
              <w:t>1 869,1</w:t>
            </w:r>
          </w:p>
        </w:tc>
        <w:tc>
          <w:tcPr>
            <w:tcW w:w="736" w:type="dxa"/>
            <w:tcBorders>
              <w:top w:val="nil"/>
              <w:left w:val="nil"/>
              <w:bottom w:val="nil"/>
              <w:right w:val="nil"/>
            </w:tcBorders>
            <w:shd w:val="clear" w:color="auto" w:fill="auto"/>
            <w:vAlign w:val="center"/>
          </w:tcPr>
          <w:p w14:paraId="4CF37233" w14:textId="77777777" w:rsidR="00587FF1" w:rsidRPr="004B2783" w:rsidRDefault="00587FF1" w:rsidP="00587FF1">
            <w:pPr>
              <w:spacing w:after="0" w:line="240" w:lineRule="auto"/>
              <w:jc w:val="right"/>
              <w:rPr>
                <w:sz w:val="16"/>
              </w:rPr>
            </w:pPr>
            <w:r w:rsidRPr="004B2783">
              <w:rPr>
                <w:sz w:val="16"/>
              </w:rPr>
              <w:t>3 240,3</w:t>
            </w:r>
          </w:p>
        </w:tc>
        <w:tc>
          <w:tcPr>
            <w:tcW w:w="735" w:type="dxa"/>
            <w:tcBorders>
              <w:top w:val="nil"/>
              <w:left w:val="nil"/>
              <w:bottom w:val="nil"/>
              <w:right w:val="nil"/>
            </w:tcBorders>
            <w:shd w:val="clear" w:color="auto" w:fill="auto"/>
            <w:vAlign w:val="center"/>
          </w:tcPr>
          <w:p w14:paraId="3270DA5B" w14:textId="77777777" w:rsidR="00587FF1" w:rsidRPr="004B2783" w:rsidRDefault="00587FF1" w:rsidP="00587FF1">
            <w:pPr>
              <w:spacing w:after="0" w:line="240" w:lineRule="auto"/>
              <w:jc w:val="right"/>
              <w:rPr>
                <w:sz w:val="16"/>
              </w:rPr>
            </w:pPr>
            <w:r w:rsidRPr="004B2783">
              <w:rPr>
                <w:sz w:val="16"/>
              </w:rPr>
              <w:t>1 453,3</w:t>
            </w:r>
          </w:p>
        </w:tc>
        <w:tc>
          <w:tcPr>
            <w:tcW w:w="735" w:type="dxa"/>
            <w:tcBorders>
              <w:top w:val="nil"/>
              <w:left w:val="nil"/>
              <w:bottom w:val="nil"/>
              <w:right w:val="nil"/>
            </w:tcBorders>
            <w:shd w:val="clear" w:color="auto" w:fill="auto"/>
            <w:vAlign w:val="center"/>
          </w:tcPr>
          <w:p w14:paraId="2E75A801" w14:textId="77777777" w:rsidR="00587FF1" w:rsidRPr="004B2783" w:rsidRDefault="00587FF1" w:rsidP="00587FF1">
            <w:pPr>
              <w:spacing w:after="0" w:line="240" w:lineRule="auto"/>
              <w:jc w:val="right"/>
              <w:rPr>
                <w:sz w:val="16"/>
              </w:rPr>
            </w:pPr>
            <w:r w:rsidRPr="004B2783">
              <w:rPr>
                <w:sz w:val="16"/>
              </w:rPr>
              <w:t>1 787,1</w:t>
            </w:r>
          </w:p>
        </w:tc>
        <w:tc>
          <w:tcPr>
            <w:tcW w:w="754" w:type="dxa"/>
            <w:tcBorders>
              <w:top w:val="nil"/>
              <w:left w:val="single" w:sz="4" w:space="0" w:color="auto"/>
              <w:bottom w:val="nil"/>
              <w:right w:val="nil"/>
            </w:tcBorders>
            <w:shd w:val="clear" w:color="auto" w:fill="auto"/>
            <w:vAlign w:val="center"/>
          </w:tcPr>
          <w:p w14:paraId="72BB0B1F" w14:textId="77777777" w:rsidR="00587FF1" w:rsidRPr="004B2783" w:rsidRDefault="00587FF1" w:rsidP="00587FF1">
            <w:pPr>
              <w:spacing w:after="0" w:line="240" w:lineRule="auto"/>
              <w:jc w:val="right"/>
              <w:rPr>
                <w:sz w:val="16"/>
              </w:rPr>
            </w:pPr>
            <w:r w:rsidRPr="004B2783">
              <w:rPr>
                <w:sz w:val="16"/>
              </w:rPr>
              <w:t>44,6</w:t>
            </w:r>
          </w:p>
        </w:tc>
        <w:tc>
          <w:tcPr>
            <w:tcW w:w="737" w:type="dxa"/>
            <w:tcBorders>
              <w:top w:val="nil"/>
              <w:left w:val="nil"/>
              <w:bottom w:val="nil"/>
              <w:right w:val="nil"/>
            </w:tcBorders>
            <w:shd w:val="clear" w:color="auto" w:fill="auto"/>
            <w:vAlign w:val="center"/>
          </w:tcPr>
          <w:p w14:paraId="0CA69F86" w14:textId="77777777" w:rsidR="00587FF1" w:rsidRPr="004B2783" w:rsidRDefault="00587FF1" w:rsidP="00587FF1">
            <w:pPr>
              <w:spacing w:after="0" w:line="240" w:lineRule="auto"/>
              <w:jc w:val="right"/>
              <w:rPr>
                <w:sz w:val="16"/>
              </w:rPr>
            </w:pPr>
            <w:r w:rsidRPr="004B2783">
              <w:rPr>
                <w:sz w:val="16"/>
              </w:rPr>
              <w:t>29,9</w:t>
            </w:r>
          </w:p>
        </w:tc>
        <w:tc>
          <w:tcPr>
            <w:tcW w:w="737" w:type="dxa"/>
            <w:tcBorders>
              <w:top w:val="nil"/>
              <w:left w:val="nil"/>
              <w:bottom w:val="nil"/>
              <w:right w:val="single" w:sz="4" w:space="0" w:color="auto"/>
            </w:tcBorders>
            <w:shd w:val="clear" w:color="auto" w:fill="auto"/>
            <w:vAlign w:val="center"/>
          </w:tcPr>
          <w:p w14:paraId="6F428383" w14:textId="77777777" w:rsidR="00587FF1" w:rsidRPr="004B2783" w:rsidRDefault="00587FF1" w:rsidP="00587FF1">
            <w:pPr>
              <w:spacing w:after="0" w:line="240" w:lineRule="auto"/>
              <w:jc w:val="right"/>
              <w:rPr>
                <w:sz w:val="16"/>
              </w:rPr>
            </w:pPr>
            <w:r w:rsidRPr="004B2783">
              <w:rPr>
                <w:sz w:val="16"/>
              </w:rPr>
              <w:t>14,7</w:t>
            </w:r>
          </w:p>
        </w:tc>
        <w:tc>
          <w:tcPr>
            <w:tcW w:w="737" w:type="dxa"/>
            <w:tcBorders>
              <w:top w:val="nil"/>
              <w:left w:val="nil"/>
              <w:bottom w:val="nil"/>
              <w:right w:val="nil"/>
            </w:tcBorders>
            <w:shd w:val="clear" w:color="auto" w:fill="auto"/>
            <w:vAlign w:val="center"/>
          </w:tcPr>
          <w:p w14:paraId="65BC1C64" w14:textId="77777777" w:rsidR="00587FF1" w:rsidRPr="004B2783" w:rsidRDefault="00587FF1" w:rsidP="00587FF1">
            <w:pPr>
              <w:spacing w:after="0" w:line="240" w:lineRule="auto"/>
              <w:jc w:val="right"/>
              <w:rPr>
                <w:sz w:val="16"/>
              </w:rPr>
            </w:pPr>
            <w:r w:rsidRPr="004B2783">
              <w:rPr>
                <w:sz w:val="16"/>
              </w:rPr>
              <w:t>172,7</w:t>
            </w:r>
          </w:p>
        </w:tc>
        <w:tc>
          <w:tcPr>
            <w:tcW w:w="737" w:type="dxa"/>
            <w:tcBorders>
              <w:top w:val="nil"/>
              <w:left w:val="nil"/>
              <w:bottom w:val="nil"/>
              <w:right w:val="nil"/>
            </w:tcBorders>
            <w:shd w:val="clear" w:color="auto" w:fill="auto"/>
            <w:vAlign w:val="center"/>
          </w:tcPr>
          <w:p w14:paraId="7C9A266E" w14:textId="77777777" w:rsidR="00587FF1" w:rsidRPr="004B2783" w:rsidRDefault="00587FF1" w:rsidP="00587FF1">
            <w:pPr>
              <w:spacing w:after="0" w:line="240" w:lineRule="auto"/>
              <w:jc w:val="right"/>
              <w:rPr>
                <w:sz w:val="16"/>
              </w:rPr>
            </w:pPr>
            <w:r w:rsidRPr="004B2783">
              <w:rPr>
                <w:sz w:val="16"/>
              </w:rPr>
              <w:t>105,4</w:t>
            </w:r>
          </w:p>
        </w:tc>
        <w:tc>
          <w:tcPr>
            <w:tcW w:w="737" w:type="dxa"/>
            <w:tcBorders>
              <w:top w:val="nil"/>
              <w:left w:val="nil"/>
              <w:bottom w:val="nil"/>
              <w:right w:val="nil"/>
            </w:tcBorders>
            <w:shd w:val="clear" w:color="auto" w:fill="auto"/>
            <w:vAlign w:val="center"/>
          </w:tcPr>
          <w:p w14:paraId="40C13EB3" w14:textId="77777777" w:rsidR="00587FF1" w:rsidRPr="004B2783" w:rsidRDefault="00587FF1" w:rsidP="00587FF1">
            <w:pPr>
              <w:spacing w:after="0" w:line="240" w:lineRule="auto"/>
              <w:jc w:val="right"/>
              <w:rPr>
                <w:sz w:val="16"/>
              </w:rPr>
            </w:pPr>
            <w:r w:rsidRPr="004B2783">
              <w:rPr>
                <w:sz w:val="16"/>
              </w:rPr>
              <w:t>67,3</w:t>
            </w:r>
          </w:p>
        </w:tc>
      </w:tr>
      <w:tr w:rsidR="00587FF1" w:rsidRPr="00587FF1" w14:paraId="6CE4C347" w14:textId="77777777" w:rsidTr="00587FF1">
        <w:trPr>
          <w:trHeight w:val="300"/>
        </w:trPr>
        <w:tc>
          <w:tcPr>
            <w:tcW w:w="736" w:type="dxa"/>
            <w:tcBorders>
              <w:top w:val="nil"/>
              <w:left w:val="nil"/>
              <w:bottom w:val="nil"/>
              <w:right w:val="single" w:sz="4" w:space="0" w:color="auto"/>
            </w:tcBorders>
            <w:shd w:val="clear" w:color="auto" w:fill="auto"/>
            <w:vAlign w:val="center"/>
          </w:tcPr>
          <w:p w14:paraId="77E80A6F" w14:textId="6209C5F7" w:rsidR="00587FF1" w:rsidRPr="00587FF1" w:rsidRDefault="00587FF1" w:rsidP="00587FF1">
            <w:pPr>
              <w:spacing w:after="0" w:line="240" w:lineRule="auto"/>
              <w:jc w:val="center"/>
              <w:rPr>
                <w:sz w:val="16"/>
              </w:rPr>
            </w:pPr>
            <w:r w:rsidRPr="00587FF1">
              <w:rPr>
                <w:sz w:val="16"/>
              </w:rPr>
              <w:t>2023</w:t>
            </w:r>
          </w:p>
        </w:tc>
        <w:tc>
          <w:tcPr>
            <w:tcW w:w="737" w:type="dxa"/>
            <w:tcBorders>
              <w:top w:val="nil"/>
              <w:left w:val="nil"/>
              <w:bottom w:val="nil"/>
              <w:right w:val="nil"/>
            </w:tcBorders>
            <w:shd w:val="clear" w:color="auto" w:fill="auto"/>
            <w:vAlign w:val="center"/>
          </w:tcPr>
          <w:p w14:paraId="1BE53B2A" w14:textId="01A63C1E" w:rsidR="00587FF1" w:rsidRPr="00587FF1" w:rsidRDefault="00587FF1" w:rsidP="00587FF1">
            <w:pPr>
              <w:spacing w:after="0" w:line="240" w:lineRule="auto"/>
              <w:jc w:val="right"/>
              <w:rPr>
                <w:sz w:val="16"/>
              </w:rPr>
            </w:pPr>
            <w:r w:rsidRPr="00587FF1">
              <w:rPr>
                <w:sz w:val="16"/>
              </w:rPr>
              <w:t>2 535,2</w:t>
            </w:r>
          </w:p>
        </w:tc>
        <w:tc>
          <w:tcPr>
            <w:tcW w:w="735" w:type="dxa"/>
            <w:tcBorders>
              <w:top w:val="nil"/>
              <w:left w:val="nil"/>
              <w:bottom w:val="nil"/>
              <w:right w:val="nil"/>
            </w:tcBorders>
            <w:shd w:val="clear" w:color="auto" w:fill="auto"/>
            <w:vAlign w:val="center"/>
          </w:tcPr>
          <w:p w14:paraId="441B7108" w14:textId="128036CB" w:rsidR="00587FF1" w:rsidRPr="00587FF1" w:rsidRDefault="00587FF1" w:rsidP="00587FF1">
            <w:pPr>
              <w:spacing w:after="0" w:line="240" w:lineRule="auto"/>
              <w:jc w:val="right"/>
              <w:rPr>
                <w:sz w:val="16"/>
              </w:rPr>
            </w:pPr>
            <w:r w:rsidRPr="00587FF1">
              <w:rPr>
                <w:sz w:val="16"/>
              </w:rPr>
              <w:t>1 134,2</w:t>
            </w:r>
          </w:p>
        </w:tc>
        <w:tc>
          <w:tcPr>
            <w:tcW w:w="735" w:type="dxa"/>
            <w:tcBorders>
              <w:top w:val="nil"/>
              <w:left w:val="nil"/>
              <w:bottom w:val="nil"/>
              <w:right w:val="single" w:sz="4" w:space="0" w:color="auto"/>
            </w:tcBorders>
            <w:shd w:val="clear" w:color="auto" w:fill="auto"/>
            <w:vAlign w:val="center"/>
          </w:tcPr>
          <w:p w14:paraId="6BCC1147" w14:textId="5BC2D14D" w:rsidR="00587FF1" w:rsidRPr="00587FF1" w:rsidRDefault="00587FF1" w:rsidP="00587FF1">
            <w:pPr>
              <w:spacing w:after="0" w:line="240" w:lineRule="auto"/>
              <w:jc w:val="right"/>
              <w:rPr>
                <w:sz w:val="16"/>
              </w:rPr>
            </w:pPr>
            <w:r w:rsidRPr="00587FF1">
              <w:rPr>
                <w:sz w:val="16"/>
              </w:rPr>
              <w:t>1 401,0</w:t>
            </w:r>
          </w:p>
        </w:tc>
        <w:tc>
          <w:tcPr>
            <w:tcW w:w="736" w:type="dxa"/>
            <w:tcBorders>
              <w:top w:val="nil"/>
              <w:left w:val="nil"/>
              <w:bottom w:val="nil"/>
              <w:right w:val="nil"/>
            </w:tcBorders>
            <w:shd w:val="clear" w:color="auto" w:fill="auto"/>
            <w:vAlign w:val="center"/>
          </w:tcPr>
          <w:p w14:paraId="0EBFB4AD" w14:textId="5BE462B8" w:rsidR="00587FF1" w:rsidRPr="00587FF1" w:rsidRDefault="00587FF1" w:rsidP="00587FF1">
            <w:pPr>
              <w:spacing w:after="0" w:line="240" w:lineRule="auto"/>
              <w:jc w:val="right"/>
              <w:rPr>
                <w:sz w:val="16"/>
              </w:rPr>
            </w:pPr>
            <w:r w:rsidRPr="00587FF1">
              <w:rPr>
                <w:sz w:val="16"/>
              </w:rPr>
              <w:t>2 323,2</w:t>
            </w:r>
          </w:p>
        </w:tc>
        <w:tc>
          <w:tcPr>
            <w:tcW w:w="735" w:type="dxa"/>
            <w:tcBorders>
              <w:top w:val="nil"/>
              <w:left w:val="nil"/>
              <w:bottom w:val="nil"/>
              <w:right w:val="nil"/>
            </w:tcBorders>
            <w:shd w:val="clear" w:color="auto" w:fill="auto"/>
            <w:vAlign w:val="center"/>
          </w:tcPr>
          <w:p w14:paraId="6B830944" w14:textId="63AC0E53" w:rsidR="00587FF1" w:rsidRPr="00587FF1" w:rsidRDefault="00587FF1" w:rsidP="00587FF1">
            <w:pPr>
              <w:spacing w:after="0" w:line="240" w:lineRule="auto"/>
              <w:jc w:val="right"/>
              <w:rPr>
                <w:sz w:val="16"/>
              </w:rPr>
            </w:pPr>
            <w:r w:rsidRPr="00587FF1">
              <w:rPr>
                <w:sz w:val="16"/>
              </w:rPr>
              <w:t>1 004,5</w:t>
            </w:r>
          </w:p>
        </w:tc>
        <w:tc>
          <w:tcPr>
            <w:tcW w:w="735" w:type="dxa"/>
            <w:tcBorders>
              <w:top w:val="nil"/>
              <w:left w:val="nil"/>
              <w:bottom w:val="nil"/>
              <w:right w:val="nil"/>
            </w:tcBorders>
            <w:shd w:val="clear" w:color="auto" w:fill="auto"/>
            <w:vAlign w:val="center"/>
          </w:tcPr>
          <w:p w14:paraId="1D076D4B" w14:textId="5AAE6C0E" w:rsidR="00587FF1" w:rsidRPr="00587FF1" w:rsidRDefault="00587FF1" w:rsidP="00587FF1">
            <w:pPr>
              <w:spacing w:after="0" w:line="240" w:lineRule="auto"/>
              <w:jc w:val="right"/>
              <w:rPr>
                <w:sz w:val="16"/>
              </w:rPr>
            </w:pPr>
            <w:r w:rsidRPr="00587FF1">
              <w:rPr>
                <w:sz w:val="16"/>
              </w:rPr>
              <w:t>1 318,7</w:t>
            </w:r>
          </w:p>
        </w:tc>
        <w:tc>
          <w:tcPr>
            <w:tcW w:w="754" w:type="dxa"/>
            <w:tcBorders>
              <w:top w:val="nil"/>
              <w:left w:val="single" w:sz="4" w:space="0" w:color="auto"/>
              <w:bottom w:val="nil"/>
              <w:right w:val="nil"/>
            </w:tcBorders>
            <w:shd w:val="clear" w:color="auto" w:fill="auto"/>
            <w:vAlign w:val="center"/>
          </w:tcPr>
          <w:p w14:paraId="40F885D3" w14:textId="7074301F" w:rsidR="00587FF1" w:rsidRPr="00587FF1" w:rsidRDefault="00587FF1" w:rsidP="00587FF1">
            <w:pPr>
              <w:spacing w:after="0" w:line="240" w:lineRule="auto"/>
              <w:jc w:val="right"/>
              <w:rPr>
                <w:sz w:val="16"/>
              </w:rPr>
            </w:pPr>
            <w:r w:rsidRPr="00587FF1">
              <w:rPr>
                <w:sz w:val="16"/>
              </w:rPr>
              <w:t>43,5</w:t>
            </w:r>
          </w:p>
        </w:tc>
        <w:tc>
          <w:tcPr>
            <w:tcW w:w="737" w:type="dxa"/>
            <w:tcBorders>
              <w:top w:val="nil"/>
              <w:left w:val="nil"/>
              <w:bottom w:val="nil"/>
              <w:right w:val="nil"/>
            </w:tcBorders>
            <w:shd w:val="clear" w:color="auto" w:fill="auto"/>
            <w:vAlign w:val="center"/>
          </w:tcPr>
          <w:p w14:paraId="1932D69B" w14:textId="346709B4" w:rsidR="00587FF1" w:rsidRPr="00587FF1" w:rsidRDefault="00587FF1" w:rsidP="00587FF1">
            <w:pPr>
              <w:spacing w:after="0" w:line="240" w:lineRule="auto"/>
              <w:jc w:val="right"/>
              <w:rPr>
                <w:sz w:val="16"/>
              </w:rPr>
            </w:pPr>
            <w:r w:rsidRPr="00587FF1">
              <w:rPr>
                <w:sz w:val="16"/>
              </w:rPr>
              <w:t>28,5</w:t>
            </w:r>
          </w:p>
        </w:tc>
        <w:tc>
          <w:tcPr>
            <w:tcW w:w="737" w:type="dxa"/>
            <w:tcBorders>
              <w:top w:val="nil"/>
              <w:left w:val="nil"/>
              <w:bottom w:val="nil"/>
              <w:right w:val="single" w:sz="4" w:space="0" w:color="auto"/>
            </w:tcBorders>
            <w:shd w:val="clear" w:color="auto" w:fill="auto"/>
            <w:vAlign w:val="center"/>
          </w:tcPr>
          <w:p w14:paraId="4E5FC1D0" w14:textId="6FEBFC5B" w:rsidR="00587FF1" w:rsidRPr="00587FF1" w:rsidRDefault="00587FF1" w:rsidP="00587FF1">
            <w:pPr>
              <w:spacing w:after="0" w:line="240" w:lineRule="auto"/>
              <w:jc w:val="right"/>
              <w:rPr>
                <w:sz w:val="16"/>
              </w:rPr>
            </w:pPr>
            <w:r w:rsidRPr="00587FF1">
              <w:rPr>
                <w:sz w:val="16"/>
              </w:rPr>
              <w:t>14,9</w:t>
            </w:r>
          </w:p>
        </w:tc>
        <w:tc>
          <w:tcPr>
            <w:tcW w:w="737" w:type="dxa"/>
            <w:tcBorders>
              <w:top w:val="nil"/>
              <w:left w:val="nil"/>
              <w:bottom w:val="nil"/>
              <w:right w:val="nil"/>
            </w:tcBorders>
            <w:shd w:val="clear" w:color="auto" w:fill="auto"/>
            <w:vAlign w:val="center"/>
          </w:tcPr>
          <w:p w14:paraId="4A9B29AB" w14:textId="4B3D1137" w:rsidR="00587FF1" w:rsidRPr="00587FF1" w:rsidRDefault="00587FF1" w:rsidP="00587FF1">
            <w:pPr>
              <w:spacing w:after="0" w:line="240" w:lineRule="auto"/>
              <w:jc w:val="right"/>
              <w:rPr>
                <w:sz w:val="16"/>
              </w:rPr>
            </w:pPr>
            <w:r w:rsidRPr="00587FF1">
              <w:rPr>
                <w:sz w:val="16"/>
              </w:rPr>
              <w:t>168,4</w:t>
            </w:r>
          </w:p>
        </w:tc>
        <w:tc>
          <w:tcPr>
            <w:tcW w:w="737" w:type="dxa"/>
            <w:tcBorders>
              <w:top w:val="nil"/>
              <w:left w:val="nil"/>
              <w:bottom w:val="nil"/>
              <w:right w:val="nil"/>
            </w:tcBorders>
            <w:shd w:val="clear" w:color="auto" w:fill="auto"/>
            <w:vAlign w:val="center"/>
          </w:tcPr>
          <w:p w14:paraId="3D9A6E8C" w14:textId="00CA4307" w:rsidR="00587FF1" w:rsidRPr="00587FF1" w:rsidRDefault="00587FF1" w:rsidP="00587FF1">
            <w:pPr>
              <w:spacing w:after="0" w:line="240" w:lineRule="auto"/>
              <w:jc w:val="right"/>
              <w:rPr>
                <w:sz w:val="16"/>
              </w:rPr>
            </w:pPr>
            <w:r w:rsidRPr="00587FF1">
              <w:rPr>
                <w:sz w:val="16"/>
              </w:rPr>
              <w:t>101,1</w:t>
            </w:r>
          </w:p>
        </w:tc>
        <w:tc>
          <w:tcPr>
            <w:tcW w:w="737" w:type="dxa"/>
            <w:tcBorders>
              <w:top w:val="nil"/>
              <w:left w:val="nil"/>
              <w:bottom w:val="nil"/>
              <w:right w:val="nil"/>
            </w:tcBorders>
            <w:shd w:val="clear" w:color="auto" w:fill="auto"/>
            <w:vAlign w:val="center"/>
          </w:tcPr>
          <w:p w14:paraId="688FBA23" w14:textId="6A7A0110" w:rsidR="00587FF1" w:rsidRPr="00587FF1" w:rsidRDefault="00587FF1" w:rsidP="00587FF1">
            <w:pPr>
              <w:spacing w:after="0" w:line="240" w:lineRule="auto"/>
              <w:jc w:val="right"/>
              <w:rPr>
                <w:sz w:val="16"/>
              </w:rPr>
            </w:pPr>
            <w:r w:rsidRPr="00587FF1">
              <w:rPr>
                <w:sz w:val="16"/>
              </w:rPr>
              <w:t>67,4</w:t>
            </w:r>
          </w:p>
        </w:tc>
      </w:tr>
    </w:tbl>
    <w:p w14:paraId="5591E7FE" w14:textId="6615E57F" w:rsidR="007A3D14" w:rsidRDefault="007A3D14" w:rsidP="007A3D14">
      <w:pPr>
        <w:spacing w:before="120" w:after="120" w:line="240" w:lineRule="auto"/>
        <w:jc w:val="both"/>
        <w:rPr>
          <w:rFonts w:cs="Arial"/>
          <w:color w:val="000000"/>
          <w:sz w:val="16"/>
          <w:szCs w:val="16"/>
        </w:rPr>
      </w:pPr>
      <w:r>
        <w:rPr>
          <w:rFonts w:cs="Arial"/>
          <w:color w:val="000000"/>
          <w:sz w:val="16"/>
          <w:szCs w:val="16"/>
        </w:rPr>
        <w:t>* Údaje za rok 2022 (celkem a pro nemoc) nejsou</w:t>
      </w:r>
      <w:r w:rsidR="00735747">
        <w:rPr>
          <w:rFonts w:cs="Arial"/>
          <w:color w:val="000000"/>
          <w:sz w:val="16"/>
          <w:szCs w:val="16"/>
        </w:rPr>
        <w:t xml:space="preserve"> srovnatelné</w:t>
      </w:r>
      <w:r>
        <w:rPr>
          <w:rFonts w:cs="Arial"/>
          <w:color w:val="000000"/>
          <w:sz w:val="16"/>
          <w:szCs w:val="16"/>
        </w:rPr>
        <w:t xml:space="preserve"> s údaji za ostatní roky.</w:t>
      </w:r>
    </w:p>
    <w:p w14:paraId="284986FD" w14:textId="42E836D5" w:rsidR="00587FF1" w:rsidRPr="004B2783" w:rsidRDefault="00587FF1" w:rsidP="00587FF1">
      <w:pPr>
        <w:spacing w:before="120" w:after="120" w:line="240" w:lineRule="auto"/>
        <w:jc w:val="both"/>
        <w:rPr>
          <w:rFonts w:cs="Arial"/>
          <w:color w:val="000000"/>
          <w:sz w:val="16"/>
          <w:szCs w:val="16"/>
        </w:rPr>
      </w:pPr>
      <w:r w:rsidRPr="004B2783">
        <w:rPr>
          <w:rFonts w:cs="Arial"/>
          <w:color w:val="000000"/>
          <w:sz w:val="16"/>
          <w:szCs w:val="16"/>
        </w:rPr>
        <w:t>Zdroj: ČSÚ</w:t>
      </w:r>
    </w:p>
    <w:p w14:paraId="49CE8033" w14:textId="7B7D1B9E" w:rsidR="00587FF1" w:rsidRPr="00251BF8" w:rsidRDefault="00CD7870" w:rsidP="00CD7870">
      <w:pPr>
        <w:spacing w:before="120" w:after="120"/>
        <w:jc w:val="both"/>
        <w:rPr>
          <w:rFonts w:cs="Arial"/>
          <w:szCs w:val="20"/>
        </w:rPr>
      </w:pPr>
      <w:r w:rsidRPr="00CD7870">
        <w:t>Za druhé pololetí roku 202</w:t>
      </w:r>
      <w:r>
        <w:t>3 bylo nahlášeno celkem 1</w:t>
      </w:r>
      <w:r w:rsidR="00545FDA">
        <w:t> </w:t>
      </w:r>
      <w:r>
        <w:t>207</w:t>
      </w:r>
      <w:r w:rsidR="00545FDA">
        <w:t xml:space="preserve"> </w:t>
      </w:r>
      <w:r>
        <w:t xml:space="preserve">tis. případů dočasné pracovní neschopnosti, z toho 91 % (1 102 tis.) případů bylo pro nemoc. Meziročně je to </w:t>
      </w:r>
      <w:r w:rsidR="000D52D6">
        <w:t xml:space="preserve">u neschopností pro nemoc </w:t>
      </w:r>
      <w:r>
        <w:t>o 15 % (195 tis.) případů méně.</w:t>
      </w:r>
      <w:r w:rsidR="00E75117" w:rsidRPr="00251BF8">
        <w:t xml:space="preserve"> </w:t>
      </w:r>
      <w:r w:rsidR="00BF7D81" w:rsidRPr="00251BF8">
        <w:t>Na rozdíl od let 2020 a 2021 už je v pololetních datech roku 2023 vidět větší rozdíl v počtu případů v prvním a druhém pololetí, ve prospěch toho prvního</w:t>
      </w:r>
      <w:r w:rsidR="00545FDA">
        <w:t>, jak dokládá graf 2.1 (resp. 2.3)</w:t>
      </w:r>
      <w:r w:rsidR="00BF7D81" w:rsidRPr="00251BF8">
        <w:t xml:space="preserve">. </w:t>
      </w:r>
    </w:p>
    <w:p w14:paraId="7B83DC77" w14:textId="77777777" w:rsidR="000D52D6" w:rsidRDefault="00587FF1" w:rsidP="00587FF1">
      <w:pPr>
        <w:spacing w:before="120" w:after="120"/>
        <w:jc w:val="both"/>
        <w:rPr>
          <w:bCs/>
        </w:rPr>
      </w:pPr>
      <w:r w:rsidRPr="00251BF8">
        <w:rPr>
          <w:bCs/>
        </w:rPr>
        <w:t xml:space="preserve">Vedle pandemie mělo na nárůst počtu případů pracovní neschopnosti v posledních </w:t>
      </w:r>
      <w:r w:rsidR="00F97C4B" w:rsidRPr="00251BF8">
        <w:rPr>
          <w:bCs/>
        </w:rPr>
        <w:t>4</w:t>
      </w:r>
      <w:r w:rsidRPr="00251BF8">
        <w:rPr>
          <w:bCs/>
        </w:rPr>
        <w:t xml:space="preserve"> letech vliv (ačkoliv ve srovnání s pandemií podružný) i </w:t>
      </w:r>
      <w:r w:rsidRPr="00251BF8">
        <w:rPr>
          <w:b/>
          <w:bCs/>
        </w:rPr>
        <w:t>zrušení karenční doby od 1. července 2019</w:t>
      </w:r>
      <w:r w:rsidRPr="00251BF8">
        <w:rPr>
          <w:bCs/>
        </w:rPr>
        <w:t>, kdy zaměstnanec dostává náhradu mzdy již od prvního dne, a nikoliv až od čtvrtého, jako tomu bylo od roku 2009 až do června 2019.</w:t>
      </w:r>
      <w:r w:rsidR="00545FDA">
        <w:rPr>
          <w:bCs/>
        </w:rPr>
        <w:t xml:space="preserve"> </w:t>
      </w:r>
      <w:r w:rsidR="00545FDA" w:rsidRPr="00545FDA">
        <w:rPr>
          <w:bCs/>
        </w:rPr>
        <w:t xml:space="preserve">Ve srovnání s </w:t>
      </w:r>
      <w:r w:rsidR="00545FDA">
        <w:rPr>
          <w:bCs/>
        </w:rPr>
        <w:t>2</w:t>
      </w:r>
      <w:r w:rsidR="00545FDA" w:rsidRPr="00545FDA">
        <w:rPr>
          <w:bCs/>
        </w:rPr>
        <w:t>. pol</w:t>
      </w:r>
      <w:r w:rsidR="00545FDA">
        <w:rPr>
          <w:bCs/>
        </w:rPr>
        <w:t xml:space="preserve">oletím </w:t>
      </w:r>
      <w:r w:rsidR="00545FDA" w:rsidRPr="00545FDA">
        <w:rPr>
          <w:bCs/>
        </w:rPr>
        <w:t xml:space="preserve">2019 (tedy obdobím před pandemií), se počet neschopenek pro nemoc </w:t>
      </w:r>
      <w:r w:rsidR="00545FDA">
        <w:rPr>
          <w:bCs/>
        </w:rPr>
        <w:t xml:space="preserve">v druhé polovině roku 2023 </w:t>
      </w:r>
      <w:r w:rsidR="00545FDA" w:rsidRPr="00545FDA">
        <w:rPr>
          <w:bCs/>
        </w:rPr>
        <w:t xml:space="preserve">zvýšil o </w:t>
      </w:r>
      <w:r w:rsidR="0034529B">
        <w:rPr>
          <w:bCs/>
        </w:rPr>
        <w:t xml:space="preserve">necelou třetinu </w:t>
      </w:r>
      <w:r w:rsidR="00545FDA">
        <w:rPr>
          <w:bCs/>
        </w:rPr>
        <w:t>(</w:t>
      </w:r>
      <w:r w:rsidR="0034529B">
        <w:rPr>
          <w:bCs/>
        </w:rPr>
        <w:t>31</w:t>
      </w:r>
      <w:r w:rsidR="00545FDA">
        <w:rPr>
          <w:bCs/>
        </w:rPr>
        <w:t xml:space="preserve"> </w:t>
      </w:r>
      <w:r w:rsidR="00545FDA" w:rsidRPr="00545FDA">
        <w:rPr>
          <w:bCs/>
        </w:rPr>
        <w:t>%</w:t>
      </w:r>
      <w:r w:rsidR="00545FDA">
        <w:rPr>
          <w:bCs/>
        </w:rPr>
        <w:t>), což v absolutním vyjádření představuje nárůst</w:t>
      </w:r>
      <w:r w:rsidR="0034529B">
        <w:rPr>
          <w:bCs/>
        </w:rPr>
        <w:t xml:space="preserve"> o 264 tis. případů. Pokud bychom srovnali prvních šest měsíců těchto dvou let, počet neschopenek pro nemoc se zvýšil dokonce o 40 % (348 tis. případů)</w:t>
      </w:r>
      <w:r w:rsidR="00545FDA" w:rsidRPr="00545FDA">
        <w:rPr>
          <w:bCs/>
        </w:rPr>
        <w:t>.</w:t>
      </w:r>
    </w:p>
    <w:p w14:paraId="151C49CE" w14:textId="2FCD2F04" w:rsidR="000D52D6" w:rsidRPr="00251BF8" w:rsidRDefault="000D52D6" w:rsidP="000D52D6">
      <w:pPr>
        <w:spacing w:before="120" w:after="120"/>
        <w:jc w:val="both"/>
      </w:pPr>
      <w:r w:rsidRPr="00251BF8">
        <w:t xml:space="preserve">Počet nově hlášených případů </w:t>
      </w:r>
      <w:r>
        <w:t xml:space="preserve">za celý rok </w:t>
      </w:r>
      <w:r w:rsidRPr="00251BF8">
        <w:t xml:space="preserve">2023 se dostal mezi hodnoty z let 2020 a 2021. Ve srovnání </w:t>
      </w:r>
      <w:r w:rsidRPr="000D52D6">
        <w:rPr>
          <w:b/>
        </w:rPr>
        <w:t>s předpandemickým rokem 2019</w:t>
      </w:r>
      <w:r w:rsidRPr="00251BF8">
        <w:t xml:space="preserve"> přibylo 620 tis. (32 %) případů. Největší nárůst je patrný u případů pro nemoc. Činil 612 tis., tj. 36 %. Mezi ženami vzrostl počet případů pro nemoc</w:t>
      </w:r>
      <w:r>
        <w:t xml:space="preserve"> v tomto období </w:t>
      </w:r>
      <w:r w:rsidRPr="00251BF8">
        <w:t>o 380 tis. (41 %). U mužů se zvýšil o 232</w:t>
      </w:r>
      <w:r>
        <w:t> </w:t>
      </w:r>
      <w:r w:rsidRPr="00251BF8">
        <w:t>tis. (30 %).</w:t>
      </w:r>
      <w:r>
        <w:t xml:space="preserve"> </w:t>
      </w:r>
    </w:p>
    <w:p w14:paraId="79482971" w14:textId="77777777" w:rsidR="000D52D6" w:rsidRPr="00251BF8" w:rsidRDefault="000D52D6" w:rsidP="000D52D6">
      <w:pPr>
        <w:spacing w:before="120" w:after="120"/>
        <w:jc w:val="both"/>
      </w:pPr>
      <w:r w:rsidRPr="00251BF8">
        <w:t xml:space="preserve">V roce 2023 bylo vystaveno 44 tis. neschopenek pro </w:t>
      </w:r>
      <w:r w:rsidRPr="00251BF8">
        <w:rPr>
          <w:b/>
        </w:rPr>
        <w:t>pracovní úraz</w:t>
      </w:r>
      <w:r w:rsidRPr="00251BF8">
        <w:t>. Po jednoletém poklesu v roce 2020, kdy došlo ke 41 tis. pracovních úrazů vyžadujících pracovní neschopnost, se čísla vrátila na hodnotu z roku 2019. Meziročně se počet neschopností z důvodu pracovních úrazů o 1,1 tis. snížil. Stejně tak ubylo i </w:t>
      </w:r>
      <w:r w:rsidRPr="00251BF8">
        <w:rPr>
          <w:b/>
        </w:rPr>
        <w:t>mimopracovních úrazů</w:t>
      </w:r>
      <w:r w:rsidRPr="00251BF8">
        <w:t>,</w:t>
      </w:r>
      <w:r w:rsidRPr="00251BF8">
        <w:rPr>
          <w:b/>
        </w:rPr>
        <w:t xml:space="preserve"> </w:t>
      </w:r>
      <w:r w:rsidRPr="00251BF8">
        <w:t>kvůli nimž byla vydána neschopenka. Ze 173 tis. na 168 tis.</w:t>
      </w:r>
    </w:p>
    <w:p w14:paraId="0144C04E" w14:textId="1CF84536" w:rsidR="00587FF1" w:rsidRPr="00A57309" w:rsidRDefault="00545FDA" w:rsidP="00587FF1">
      <w:pPr>
        <w:spacing w:before="120" w:after="120"/>
        <w:jc w:val="both"/>
        <w:rPr>
          <w:bCs/>
        </w:rPr>
      </w:pPr>
      <w:r w:rsidRPr="00545FDA">
        <w:rPr>
          <w:bCs/>
        </w:rPr>
        <w:t xml:space="preserve"> </w:t>
      </w:r>
    </w:p>
    <w:p w14:paraId="0573525E" w14:textId="77777777" w:rsidR="000D52D6" w:rsidRDefault="000D52D6">
      <w:pPr>
        <w:spacing w:after="0" w:line="240" w:lineRule="auto"/>
        <w:rPr>
          <w:b/>
        </w:rPr>
      </w:pPr>
      <w:r>
        <w:rPr>
          <w:b/>
        </w:rPr>
        <w:br w:type="page"/>
      </w:r>
    </w:p>
    <w:p w14:paraId="0FB35C3F" w14:textId="79E29B78" w:rsidR="00587FF1" w:rsidRDefault="00587FF1" w:rsidP="009E4E0A">
      <w:pPr>
        <w:spacing w:before="120" w:after="120"/>
        <w:jc w:val="both"/>
        <w:rPr>
          <w:b/>
        </w:rPr>
      </w:pPr>
      <w:r w:rsidRPr="00587FF1">
        <w:rPr>
          <w:b/>
        </w:rPr>
        <w:lastRenderedPageBreak/>
        <w:t>Graf 2.1: Nově hlášené případy dočasné pracovní neschopnosti, 2015–2023</w:t>
      </w:r>
    </w:p>
    <w:p w14:paraId="79A5D732" w14:textId="38400D08" w:rsidR="00E75117" w:rsidRDefault="00E75117" w:rsidP="009E4E0A">
      <w:pPr>
        <w:spacing w:before="120" w:after="120"/>
        <w:jc w:val="both"/>
        <w:rPr>
          <w:b/>
        </w:rPr>
      </w:pPr>
      <w:r>
        <w:rPr>
          <w:noProof/>
        </w:rPr>
        <w:drawing>
          <wp:inline distT="0" distB="0" distL="0" distR="0" wp14:anchorId="588D5A87" wp14:editId="0C40B710">
            <wp:extent cx="6134100" cy="2840400"/>
            <wp:effectExtent l="0" t="0" r="0" b="1714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7DEBF1" w14:textId="77777777" w:rsidR="007A3D14" w:rsidRDefault="007A3D14" w:rsidP="007A3D14">
      <w:pPr>
        <w:spacing w:before="120" w:after="120" w:line="240" w:lineRule="auto"/>
        <w:jc w:val="both"/>
        <w:rPr>
          <w:rFonts w:cs="Arial"/>
          <w:color w:val="000000"/>
          <w:sz w:val="16"/>
          <w:szCs w:val="16"/>
        </w:rPr>
      </w:pPr>
      <w:r>
        <w:rPr>
          <w:rFonts w:cs="Arial"/>
          <w:color w:val="000000"/>
          <w:sz w:val="16"/>
          <w:szCs w:val="16"/>
        </w:rPr>
        <w:t>* 1. pol. 2022 není srovnatelné s ostatními 1. pololetími.</w:t>
      </w:r>
    </w:p>
    <w:p w14:paraId="66B53634" w14:textId="0A3E4ED6" w:rsidR="00587FF1" w:rsidRDefault="00587FF1" w:rsidP="00587FF1">
      <w:pPr>
        <w:spacing w:before="120" w:after="120" w:line="240" w:lineRule="auto"/>
        <w:jc w:val="both"/>
        <w:rPr>
          <w:rFonts w:cs="Arial"/>
          <w:color w:val="000000"/>
          <w:sz w:val="16"/>
          <w:szCs w:val="16"/>
        </w:rPr>
      </w:pPr>
      <w:r w:rsidRPr="004B2783">
        <w:rPr>
          <w:rFonts w:cs="Arial"/>
          <w:color w:val="000000"/>
          <w:sz w:val="16"/>
          <w:szCs w:val="16"/>
        </w:rPr>
        <w:t>Zdroj: ČSÚ</w:t>
      </w:r>
    </w:p>
    <w:p w14:paraId="2D620CE3" w14:textId="556878A0" w:rsidR="00275CB4" w:rsidRPr="00251BF8" w:rsidRDefault="00275CB4" w:rsidP="00275CB4">
      <w:pPr>
        <w:spacing w:before="120" w:after="120"/>
        <w:jc w:val="both"/>
      </w:pPr>
      <w:r w:rsidRPr="00251BF8">
        <w:rPr>
          <w:b/>
        </w:rPr>
        <w:t>Ženy</w:t>
      </w:r>
      <w:r w:rsidRPr="00251BF8">
        <w:t xml:space="preserve"> nastupují do pracovní neschopnosti častěji, v roce 2023 v 55 % případů, což je nebývale vysoký podíl, který opět může mít souvislost s migrací z Ukrajiny. Celkem bylo evidováno 1 401 tis. případů pracovní neschopnosti žen. Počet neschopenek mužů byl o 267 tis. nižší.  Pokud se zaměříme na dočasné pracovní neschopnosti </w:t>
      </w:r>
      <w:r w:rsidRPr="00251BF8">
        <w:rPr>
          <w:b/>
        </w:rPr>
        <w:t>pro nemoc</w:t>
      </w:r>
      <w:r w:rsidRPr="00251BF8">
        <w:t xml:space="preserve">, je rozdíl ještě větší. Ženy vykázaly o 314 tis. případů dočasné pracovní neschopnosti </w:t>
      </w:r>
      <w:r w:rsidRPr="00251BF8">
        <w:rPr>
          <w:b/>
        </w:rPr>
        <w:t>pro nemoc</w:t>
      </w:r>
      <w:r w:rsidRPr="00251BF8">
        <w:t xml:space="preserve"> více než muži. </w:t>
      </w:r>
    </w:p>
    <w:p w14:paraId="0DFA0F42" w14:textId="49D39A74" w:rsidR="00275CB4" w:rsidRPr="00251BF8" w:rsidRDefault="00275CB4" w:rsidP="00275CB4">
      <w:pPr>
        <w:spacing w:before="120" w:after="120"/>
        <w:jc w:val="both"/>
        <w:rPr>
          <w:bCs/>
        </w:rPr>
      </w:pPr>
      <w:r w:rsidRPr="00251BF8">
        <w:rPr>
          <w:bCs/>
        </w:rPr>
        <w:t xml:space="preserve">Z celkového počtu nově hlášených případů PN (pracovní neschopnosti) pro </w:t>
      </w:r>
      <w:r w:rsidRPr="00251BF8">
        <w:rPr>
          <w:b/>
          <w:bCs/>
        </w:rPr>
        <w:t>pracovní úrazy</w:t>
      </w:r>
      <w:r w:rsidRPr="00251BF8">
        <w:rPr>
          <w:bCs/>
        </w:rPr>
        <w:t xml:space="preserve"> připadala v roce 202</w:t>
      </w:r>
      <w:r w:rsidR="00E022D3" w:rsidRPr="00251BF8">
        <w:rPr>
          <w:bCs/>
        </w:rPr>
        <w:t>3</w:t>
      </w:r>
      <w:r w:rsidRPr="00251BF8">
        <w:rPr>
          <w:bCs/>
        </w:rPr>
        <w:t xml:space="preserve"> na ženy třetina </w:t>
      </w:r>
      <w:r w:rsidR="00E022D3" w:rsidRPr="00251BF8">
        <w:rPr>
          <w:bCs/>
        </w:rPr>
        <w:t xml:space="preserve">(34 %) </w:t>
      </w:r>
      <w:r w:rsidRPr="00251BF8">
        <w:rPr>
          <w:bCs/>
        </w:rPr>
        <w:t>z nich. Tato skutečnost je dána i odlišnou odvětvovou strukturou zaměstnanosti žen a mužů. Odvětví, kde převládají muži a vyskytují se zvýšená rizika pracovního úrazu, jsou např. Těžba a dobývání, Zpracovatelský průmysl, Stavebnictví, Doprava a skladování či Zemědělství, lesnictví, rybářství. Naopak odvětvové sekce, kde převažují v zaměstnání ženy a rizika pracovních úrazů bývají méně častá, jsou Peněžnictví a pojišťovnictví, Veřejná správa, Vzdělávání nebo Zdravotní a sociální péče.</w:t>
      </w:r>
      <w:r w:rsidRPr="00251BF8">
        <w:rPr>
          <w:noProof/>
        </w:rPr>
        <w:t xml:space="preserve"> </w:t>
      </w:r>
    </w:p>
    <w:p w14:paraId="4D282128" w14:textId="4DF31E86" w:rsidR="00275CB4" w:rsidRPr="00251BF8" w:rsidRDefault="00275CB4" w:rsidP="00275CB4">
      <w:pPr>
        <w:spacing w:before="120" w:after="120"/>
        <w:jc w:val="both"/>
        <w:rPr>
          <w:bCs/>
        </w:rPr>
      </w:pPr>
      <w:r w:rsidRPr="00251BF8">
        <w:rPr>
          <w:bCs/>
        </w:rPr>
        <w:t xml:space="preserve">Až do roku 2020 byl u pracovních neschopností </w:t>
      </w:r>
      <w:r w:rsidRPr="00251BF8">
        <w:rPr>
          <w:b/>
          <w:bCs/>
        </w:rPr>
        <w:t>z důvodu nemoci</w:t>
      </w:r>
      <w:r w:rsidRPr="00251BF8">
        <w:rPr>
          <w:bCs/>
        </w:rPr>
        <w:t xml:space="preserve"> podíl </w:t>
      </w:r>
      <w:r w:rsidRPr="00251BF8">
        <w:rPr>
          <w:b/>
          <w:bCs/>
        </w:rPr>
        <w:t xml:space="preserve">podle pohlaví </w:t>
      </w:r>
      <w:r w:rsidRPr="00251BF8">
        <w:rPr>
          <w:bCs/>
        </w:rPr>
        <w:t xml:space="preserve">dlouhodobě relativně konstantní. Neschopenky mužů činily maximálně 46 %. V roce 2021 se podíl zvýšil na 48 % a o rok později opět poklesl na 45 %. </w:t>
      </w:r>
      <w:r w:rsidR="0004277C" w:rsidRPr="00251BF8">
        <w:rPr>
          <w:bCs/>
        </w:rPr>
        <w:t xml:space="preserve">V roce 2023 se muži na pracovních neschopnostech z důvodu nemoci podíleli ze 43 %. </w:t>
      </w:r>
      <w:r w:rsidRPr="00251BF8">
        <w:rPr>
          <w:bCs/>
        </w:rPr>
        <w:t>U pracovních neschopností zapříčiněných úrazem podíl žen v čase roste. Toto je zřejmé zejména u jiných než pracovních úrazů, kdy v roce 201</w:t>
      </w:r>
      <w:r w:rsidR="0004277C" w:rsidRPr="00251BF8">
        <w:rPr>
          <w:bCs/>
        </w:rPr>
        <w:t>3</w:t>
      </w:r>
      <w:r w:rsidRPr="00251BF8">
        <w:rPr>
          <w:bCs/>
        </w:rPr>
        <w:t xml:space="preserve"> ženy nahlásily </w:t>
      </w:r>
      <w:r w:rsidR="0004277C" w:rsidRPr="00251BF8">
        <w:rPr>
          <w:bCs/>
        </w:rPr>
        <w:t>41</w:t>
      </w:r>
      <w:r w:rsidRPr="00251BF8">
        <w:rPr>
          <w:bCs/>
        </w:rPr>
        <w:t xml:space="preserve"> tis. případů, kdežto v roce 202</w:t>
      </w:r>
      <w:r w:rsidR="0004277C" w:rsidRPr="00251BF8">
        <w:rPr>
          <w:bCs/>
        </w:rPr>
        <w:t>3</w:t>
      </w:r>
      <w:r w:rsidRPr="00251BF8">
        <w:rPr>
          <w:bCs/>
        </w:rPr>
        <w:t xml:space="preserve"> to bylo 67 tis. úrazů. Absolutní nárůst je však patrný i u mužů, počet nově hlášených případů pracovní neschopnosti z důvodu </w:t>
      </w:r>
      <w:r w:rsidRPr="00251BF8">
        <w:rPr>
          <w:b/>
          <w:bCs/>
        </w:rPr>
        <w:t>nepracovních (ostatních) úrazů</w:t>
      </w:r>
      <w:r w:rsidRPr="00251BF8">
        <w:rPr>
          <w:bCs/>
        </w:rPr>
        <w:t xml:space="preserve"> v roce 201</w:t>
      </w:r>
      <w:r w:rsidR="0004277C" w:rsidRPr="00251BF8">
        <w:rPr>
          <w:bCs/>
        </w:rPr>
        <w:t>3</w:t>
      </w:r>
      <w:r w:rsidRPr="00251BF8">
        <w:rPr>
          <w:bCs/>
        </w:rPr>
        <w:t xml:space="preserve"> činil </w:t>
      </w:r>
      <w:r w:rsidR="0004277C" w:rsidRPr="00251BF8">
        <w:rPr>
          <w:bCs/>
        </w:rPr>
        <w:t>79</w:t>
      </w:r>
      <w:r w:rsidRPr="00251BF8">
        <w:rPr>
          <w:bCs/>
        </w:rPr>
        <w:t xml:space="preserve"> tis. a o 10 let </w:t>
      </w:r>
      <w:r w:rsidR="0004277C" w:rsidRPr="00251BF8">
        <w:rPr>
          <w:bCs/>
        </w:rPr>
        <w:t xml:space="preserve">to bylo více než </w:t>
      </w:r>
      <w:r w:rsidRPr="00251BF8">
        <w:rPr>
          <w:bCs/>
        </w:rPr>
        <w:t>100 tis.</w:t>
      </w:r>
    </w:p>
    <w:p w14:paraId="0FDFBAD3" w14:textId="7C3E97AF" w:rsidR="00275CB4" w:rsidRPr="00251BF8" w:rsidRDefault="00275CB4" w:rsidP="00275CB4">
      <w:pPr>
        <w:spacing w:before="120" w:after="120"/>
        <w:jc w:val="both"/>
        <w:rPr>
          <w:rFonts w:cs="Arial"/>
          <w:lang w:val="en-US"/>
        </w:rPr>
      </w:pPr>
      <w:r w:rsidRPr="00251BF8">
        <w:rPr>
          <w:rFonts w:cs="Arial"/>
        </w:rPr>
        <w:t xml:space="preserve">Z hlediska </w:t>
      </w:r>
      <w:r w:rsidRPr="00251BF8">
        <w:rPr>
          <w:rFonts w:cs="Arial"/>
          <w:b/>
          <w:bCs/>
        </w:rPr>
        <w:t>příčin</w:t>
      </w:r>
      <w:r w:rsidRPr="00251BF8">
        <w:rPr>
          <w:rFonts w:cs="Arial"/>
        </w:rPr>
        <w:t xml:space="preserve"> se</w:t>
      </w:r>
      <w:r w:rsidR="00530F00">
        <w:rPr>
          <w:rFonts w:cs="Arial"/>
        </w:rPr>
        <w:t xml:space="preserve"> u</w:t>
      </w:r>
      <w:r w:rsidRPr="00251BF8">
        <w:rPr>
          <w:rFonts w:cs="Arial"/>
        </w:rPr>
        <w:t xml:space="preserve"> </w:t>
      </w:r>
      <w:r w:rsidR="00530F00" w:rsidRPr="00297429">
        <w:rPr>
          <w:rFonts w:cs="Arial"/>
          <w:b/>
        </w:rPr>
        <w:t>žen</w:t>
      </w:r>
      <w:r w:rsidR="00530F00" w:rsidRPr="00251BF8">
        <w:rPr>
          <w:rFonts w:cs="Arial"/>
        </w:rPr>
        <w:t xml:space="preserve"> </w:t>
      </w:r>
      <w:r w:rsidR="0034529B">
        <w:rPr>
          <w:rFonts w:cs="Arial"/>
        </w:rPr>
        <w:t xml:space="preserve">v minulém roce </w:t>
      </w:r>
      <w:r w:rsidRPr="00251BF8">
        <w:rPr>
          <w:rFonts w:cs="Arial"/>
        </w:rPr>
        <w:t>1</w:t>
      </w:r>
      <w:r w:rsidR="0004277C" w:rsidRPr="00251BF8">
        <w:rPr>
          <w:rFonts w:cs="Arial"/>
        </w:rPr>
        <w:t xml:space="preserve"> 319 </w:t>
      </w:r>
      <w:r w:rsidRPr="00251BF8">
        <w:rPr>
          <w:rFonts w:cs="Arial"/>
        </w:rPr>
        <w:t>tis. (9</w:t>
      </w:r>
      <w:r w:rsidR="0004277C" w:rsidRPr="00251BF8">
        <w:rPr>
          <w:rFonts w:cs="Arial"/>
        </w:rPr>
        <w:t>4</w:t>
      </w:r>
      <w:r w:rsidRPr="00251BF8">
        <w:rPr>
          <w:rFonts w:cs="Arial"/>
        </w:rPr>
        <w:t xml:space="preserve"> %) nově hlášených případů dočasné pracovní neschopnosti týkalo nemoci, 15 tis. (</w:t>
      </w:r>
      <w:r w:rsidR="0004277C" w:rsidRPr="00251BF8">
        <w:rPr>
          <w:rFonts w:cs="Arial"/>
        </w:rPr>
        <w:t>1</w:t>
      </w:r>
      <w:r w:rsidRPr="00251BF8">
        <w:rPr>
          <w:rFonts w:cs="Arial"/>
        </w:rPr>
        <w:t xml:space="preserve"> %) pracovních úrazů a 67 tis. (</w:t>
      </w:r>
      <w:r w:rsidR="0004277C" w:rsidRPr="00251BF8">
        <w:rPr>
          <w:rFonts w:cs="Arial"/>
        </w:rPr>
        <w:t>5</w:t>
      </w:r>
      <w:r w:rsidRPr="00251BF8">
        <w:rPr>
          <w:rFonts w:cs="Arial"/>
        </w:rPr>
        <w:t xml:space="preserve"> %) ostatních úrazů. </w:t>
      </w:r>
      <w:r w:rsidRPr="00251BF8">
        <w:rPr>
          <w:rFonts w:cs="Arial"/>
          <w:b/>
        </w:rPr>
        <w:t>Muži</w:t>
      </w:r>
      <w:r w:rsidRPr="00251BF8">
        <w:rPr>
          <w:rFonts w:cs="Arial"/>
        </w:rPr>
        <w:t xml:space="preserve"> byli v</w:t>
      </w:r>
      <w:r w:rsidR="0034529B">
        <w:rPr>
          <w:rFonts w:cs="Arial"/>
        </w:rPr>
        <w:t xml:space="preserve"> roce 2023 v </w:t>
      </w:r>
      <w:r w:rsidRPr="00251BF8">
        <w:rPr>
          <w:rFonts w:cs="Arial"/>
        </w:rPr>
        <w:t xml:space="preserve">pracovní neschopnosti z důvodu nemoci v 1 </w:t>
      </w:r>
      <w:r w:rsidR="0004277C" w:rsidRPr="00251BF8">
        <w:rPr>
          <w:rFonts w:cs="Arial"/>
        </w:rPr>
        <w:t>005</w:t>
      </w:r>
      <w:r w:rsidR="00C369BF" w:rsidRPr="00251BF8">
        <w:rPr>
          <w:rFonts w:cs="Arial"/>
        </w:rPr>
        <w:t xml:space="preserve"> tis. případů</w:t>
      </w:r>
      <w:r w:rsidRPr="00251BF8">
        <w:rPr>
          <w:rFonts w:cs="Arial"/>
        </w:rPr>
        <w:t xml:space="preserve"> (</w:t>
      </w:r>
      <w:r w:rsidR="0004277C" w:rsidRPr="00251BF8">
        <w:rPr>
          <w:rFonts w:cs="Arial"/>
        </w:rPr>
        <w:t>89</w:t>
      </w:r>
      <w:r w:rsidRPr="00251BF8">
        <w:rPr>
          <w:rFonts w:cs="Arial"/>
        </w:rPr>
        <w:t xml:space="preserve"> %), kvůli pracovnímu úrazu ve </w:t>
      </w:r>
      <w:r w:rsidR="0004277C" w:rsidRPr="00251BF8">
        <w:rPr>
          <w:rFonts w:cs="Arial"/>
        </w:rPr>
        <w:t>29</w:t>
      </w:r>
      <w:r w:rsidRPr="00251BF8">
        <w:rPr>
          <w:rFonts w:cs="Arial"/>
        </w:rPr>
        <w:t xml:space="preserve"> tis. případech (2 %) a z důvodu ostatních úrazů ve 10</w:t>
      </w:r>
      <w:r w:rsidR="0004277C" w:rsidRPr="00251BF8">
        <w:rPr>
          <w:rFonts w:cs="Arial"/>
        </w:rPr>
        <w:t>1</w:t>
      </w:r>
      <w:r w:rsidR="00336A9E" w:rsidRPr="00251BF8">
        <w:rPr>
          <w:rFonts w:cs="Arial"/>
        </w:rPr>
        <w:t xml:space="preserve"> tis. případů</w:t>
      </w:r>
      <w:r w:rsidRPr="00251BF8">
        <w:rPr>
          <w:rFonts w:cs="Arial"/>
        </w:rPr>
        <w:t xml:space="preserve"> (</w:t>
      </w:r>
      <w:r w:rsidR="0004277C" w:rsidRPr="00251BF8">
        <w:rPr>
          <w:rFonts w:cs="Arial"/>
        </w:rPr>
        <w:t>9</w:t>
      </w:r>
      <w:r w:rsidRPr="00251BF8">
        <w:rPr>
          <w:rFonts w:cs="Arial"/>
        </w:rPr>
        <w:t xml:space="preserve"> %)</w:t>
      </w:r>
      <w:r w:rsidRPr="00251BF8">
        <w:rPr>
          <w:rFonts w:cs="Arial"/>
          <w:lang w:val="en-US"/>
        </w:rPr>
        <w:t>.</w:t>
      </w:r>
    </w:p>
    <w:p w14:paraId="31DFE0DE" w14:textId="69D1B76F" w:rsidR="0004277C" w:rsidRPr="000A1C7A" w:rsidRDefault="00E6417F" w:rsidP="00275CB4">
      <w:pPr>
        <w:spacing w:before="120" w:after="120"/>
        <w:jc w:val="both"/>
        <w:rPr>
          <w:rFonts w:cs="Arial"/>
          <w:lang w:val="en-US"/>
        </w:rPr>
      </w:pPr>
      <w:r w:rsidRPr="00E6417F">
        <w:rPr>
          <w:noProof/>
        </w:rPr>
        <w:lastRenderedPageBreak/>
        <mc:AlternateContent>
          <mc:Choice Requires="wps">
            <w:drawing>
              <wp:anchor distT="0" distB="0" distL="114300" distR="114300" simplePos="0" relativeHeight="251672064" behindDoc="0" locked="0" layoutInCell="1" allowOverlap="1" wp14:anchorId="36194D38" wp14:editId="0C40DF07">
                <wp:simplePos x="0" y="0"/>
                <wp:positionH relativeFrom="column">
                  <wp:posOffset>813435</wp:posOffset>
                </wp:positionH>
                <wp:positionV relativeFrom="paragraph">
                  <wp:posOffset>1288415</wp:posOffset>
                </wp:positionV>
                <wp:extent cx="857250" cy="342900"/>
                <wp:effectExtent l="0" t="0" r="0" b="0"/>
                <wp:wrapNone/>
                <wp:docPr id="24" name="TextovéPole 3"/>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91FB6C0" w14:textId="77777777" w:rsidR="00EA74DB" w:rsidRDefault="00EA74DB" w:rsidP="00E6417F">
                            <w:pPr>
                              <w:pStyle w:val="Normlnweb"/>
                              <w:spacing w:before="0" w:beforeAutospacing="0" w:after="0" w:afterAutospacing="0"/>
                            </w:pPr>
                            <w:r>
                              <w:rPr>
                                <w:rFonts w:ascii="Arial" w:hAnsi="Arial" w:cs="Arial"/>
                                <w:b/>
                                <w:bCs/>
                                <w:color w:val="000000" w:themeColor="dark1"/>
                                <w:sz w:val="20"/>
                                <w:szCs w:val="20"/>
                              </w:rPr>
                              <w:t>1 134,2 tis.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6194D38" id="TextovéPole 3" o:spid="_x0000_s1033" type="#_x0000_t202" style="position:absolute;left:0;text-align:left;margin-left:64.05pt;margin-top:101.45pt;width:67.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" filled="f" stroked="f">
                <v:textbox>
                  <w:txbxContent>
                    <w:p w14:paraId="691FB6C0" w14:textId="77777777" w:rsidR="00EA74DB" w:rsidRDefault="00EA74DB" w:rsidP="00E6417F">
                      <w:pPr>
                        <w:pStyle w:val="Normlnweb"/>
                        <w:spacing w:before="0" w:beforeAutospacing="0" w:after="0" w:afterAutospacing="0"/>
                      </w:pPr>
                      <w:r>
                        <w:rPr>
                          <w:rFonts w:ascii="Arial" w:hAnsi="Arial" w:cs="Arial"/>
                          <w:b/>
                          <w:bCs/>
                          <w:color w:val="000000" w:themeColor="dark1"/>
                          <w:sz w:val="20"/>
                          <w:szCs w:val="20"/>
                        </w:rPr>
                        <w:t>1 134,2 tis.</w:t>
                      </w:r>
                    </w:p>
                  </w:txbxContent>
                </v:textbox>
              </v:shape>
            </w:pict>
          </mc:Fallback>
        </mc:AlternateContent>
      </w:r>
      <w:r>
        <w:rPr>
          <w:noProof/>
        </w:rPr>
        <w:drawing>
          <wp:anchor distT="0" distB="0" distL="114300" distR="114300" simplePos="0" relativeHeight="251670016" behindDoc="1" locked="0" layoutInCell="1" allowOverlap="1" wp14:anchorId="65858B04" wp14:editId="66FB98A5">
            <wp:simplePos x="0" y="0"/>
            <wp:positionH relativeFrom="margin">
              <wp:align>right</wp:align>
            </wp:positionH>
            <wp:positionV relativeFrom="paragraph">
              <wp:posOffset>250190</wp:posOffset>
            </wp:positionV>
            <wp:extent cx="3268345" cy="2077085"/>
            <wp:effectExtent l="0" t="0" r="8255" b="18415"/>
            <wp:wrapTight wrapText="bothSides">
              <wp:wrapPolygon edited="0">
                <wp:start x="0" y="0"/>
                <wp:lineTo x="0" y="21593"/>
                <wp:lineTo x="21529" y="21593"/>
                <wp:lineTo x="21529" y="0"/>
                <wp:lineTo x="0" y="0"/>
              </wp:wrapPolygon>
            </wp:wrapTight>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4277C" w:rsidRPr="000A1C7A">
        <w:rPr>
          <w:rFonts w:cs="Arial"/>
          <w:b/>
          <w:lang w:val="en-US"/>
        </w:rPr>
        <w:t>Graf 2.</w:t>
      </w:r>
      <w:r w:rsidR="0004277C">
        <w:rPr>
          <w:rFonts w:cs="Arial"/>
          <w:b/>
          <w:lang w:val="en-US"/>
        </w:rPr>
        <w:t>2</w:t>
      </w:r>
      <w:r w:rsidR="0004277C" w:rsidRPr="000A1C7A">
        <w:rPr>
          <w:rFonts w:cs="Arial"/>
          <w:b/>
          <w:lang w:val="en-US"/>
        </w:rPr>
        <w:t xml:space="preserve">: </w:t>
      </w:r>
      <w:r w:rsidR="0004277C" w:rsidRPr="000A1C7A">
        <w:rPr>
          <w:rFonts w:cs="Arial"/>
          <w:b/>
        </w:rPr>
        <w:t xml:space="preserve">Nově hlášené případy dočasné pracovní neschopnosti podle příčiny a pohlaví, </w:t>
      </w:r>
      <w:r w:rsidR="0004277C">
        <w:rPr>
          <w:rFonts w:cs="Arial"/>
          <w:b/>
          <w:lang w:val="en-US"/>
        </w:rPr>
        <w:t>2023</w:t>
      </w:r>
    </w:p>
    <w:p w14:paraId="329168B7" w14:textId="77777777" w:rsidR="00E6417F" w:rsidRDefault="00E6417F" w:rsidP="00E6417F">
      <w:pPr>
        <w:spacing w:before="120" w:after="120" w:line="240" w:lineRule="auto"/>
        <w:jc w:val="both"/>
        <w:rPr>
          <w:rFonts w:cs="Arial"/>
          <w:color w:val="000000"/>
          <w:sz w:val="16"/>
          <w:szCs w:val="16"/>
        </w:rPr>
      </w:pPr>
      <w:r>
        <w:rPr>
          <w:noProof/>
        </w:rPr>
        <w:drawing>
          <wp:anchor distT="0" distB="0" distL="114300" distR="114300" simplePos="0" relativeHeight="251668992" behindDoc="1" locked="0" layoutInCell="1" allowOverlap="1" wp14:anchorId="6B50D9F3" wp14:editId="209CA6A5">
            <wp:simplePos x="0" y="0"/>
            <wp:positionH relativeFrom="column">
              <wp:posOffset>3810</wp:posOffset>
            </wp:positionH>
            <wp:positionV relativeFrom="paragraph">
              <wp:posOffset>3810</wp:posOffset>
            </wp:positionV>
            <wp:extent cx="3322800" cy="2077200"/>
            <wp:effectExtent l="0" t="0" r="11430" b="18415"/>
            <wp:wrapTight wrapText="bothSides">
              <wp:wrapPolygon edited="0">
                <wp:start x="0" y="0"/>
                <wp:lineTo x="0" y="21593"/>
                <wp:lineTo x="21550" y="21593"/>
                <wp:lineTo x="21550" y="0"/>
                <wp:lineTo x="0" y="0"/>
              </wp:wrapPolygon>
            </wp:wrapTight>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E6417F">
        <w:rPr>
          <w:noProof/>
        </w:rPr>
        <w:t xml:space="preserve"> </w:t>
      </w:r>
      <w:r w:rsidRPr="004B2783">
        <w:rPr>
          <w:rFonts w:cs="Arial"/>
          <w:color w:val="000000"/>
          <w:sz w:val="16"/>
          <w:szCs w:val="16"/>
        </w:rPr>
        <w:t>Zdroj: ČSÚ</w:t>
      </w:r>
    </w:p>
    <w:p w14:paraId="4E6E6351" w14:textId="77777777" w:rsidR="00E6417F" w:rsidRPr="0002281B" w:rsidRDefault="00E6417F" w:rsidP="00E6417F">
      <w:pPr>
        <w:pStyle w:val="Seznam"/>
        <w:spacing w:before="120" w:after="120"/>
        <w:contextualSpacing w:val="0"/>
        <w:jc w:val="both"/>
      </w:pPr>
      <w:r w:rsidRPr="0002281B">
        <w:t xml:space="preserve">Dopad legislativních změn na výskyt pracovní neschopnosti je zřejmý zejména na vývoji případů pracovní neschopnosti </w:t>
      </w:r>
      <w:r w:rsidRPr="0002281B">
        <w:rPr>
          <w:b/>
        </w:rPr>
        <w:t>pro nemoc</w:t>
      </w:r>
      <w:r w:rsidRPr="0002281B">
        <w:t>. Na počet případů pracovní neschopnosti pro úrazy takový vliv nemají. Legislativní úpravy ve vyplácení dávek nemocenského se nejvíce projevují v četnosti případů méně závažných a</w:t>
      </w:r>
      <w:r>
        <w:t> </w:t>
      </w:r>
      <w:r w:rsidRPr="0002281B">
        <w:t>krátkodobých pracovních neschopností, např. u nemocí dýchacích cest (běžná nachlazení, záněty horních cest dýchacích apod.).</w:t>
      </w:r>
    </w:p>
    <w:p w14:paraId="630DF37E" w14:textId="53D39DEA" w:rsidR="007A3D14" w:rsidRPr="00251BF8" w:rsidRDefault="00E6417F" w:rsidP="00E6417F">
      <w:pPr>
        <w:pStyle w:val="Seznam"/>
        <w:spacing w:before="120" w:after="120"/>
        <w:contextualSpacing w:val="0"/>
        <w:jc w:val="both"/>
      </w:pPr>
      <w:r w:rsidRPr="00251BF8">
        <w:t xml:space="preserve">Do roku 2018 platil trend, že </w:t>
      </w:r>
      <w:r w:rsidRPr="00251BF8">
        <w:rPr>
          <w:b/>
        </w:rPr>
        <w:t>v prvním půlroce</w:t>
      </w:r>
      <w:r w:rsidRPr="00251BF8">
        <w:t xml:space="preserve"> je hlášeno značně více případů pracovní neschopnosti než v pololetí druhém. Možným vysvětlením mohou být jarní chřipkové epidemie. Naopak poklesu v druhém pololetí nahrávají prázdniny, zejména letní, ale také podzimní a vánoční. Pokud se nejedná o onemocnění závažnějšího charakteru, může se pojištěnec během dovolené sám zotavit bez nutnosti návštěvy lékaře a vystavení pracovní neschopnosti. Jak již bylo zmíněno výše, jedním z faktorů, které zapříčinily meziroční nárůst počtu nových případů pracovní neschopnosti </w:t>
      </w:r>
      <w:r w:rsidRPr="00251BF8">
        <w:rPr>
          <w:b/>
        </w:rPr>
        <w:t>způsobených nemocí</w:t>
      </w:r>
      <w:r w:rsidRPr="00251BF8">
        <w:t xml:space="preserve"> oproti </w:t>
      </w:r>
      <w:r w:rsidR="008073B7">
        <w:t>2</w:t>
      </w:r>
      <w:r w:rsidRPr="00251BF8">
        <w:t xml:space="preserve">. pol. 2018, je patrně </w:t>
      </w:r>
      <w:r w:rsidRPr="00251BF8">
        <w:rPr>
          <w:b/>
        </w:rPr>
        <w:t>zrušení karenční doby od 1. července 2019</w:t>
      </w:r>
      <w:r w:rsidRPr="00251BF8">
        <w:t>, kdy je náhrada mzdy od zaměstnavatele zaměstnanci vyplácena již od prvního dne, a nikoliv až od čtvrtého. Rozdíl mezi prvním a druhým pololetím v roce 2019 již tedy ne</w:t>
      </w:r>
      <w:r w:rsidR="007A3D14" w:rsidRPr="00251BF8">
        <w:t>byl</w:t>
      </w:r>
      <w:r w:rsidRPr="00251BF8">
        <w:t xml:space="preserve"> tak </w:t>
      </w:r>
      <w:r w:rsidR="0094493F">
        <w:t xml:space="preserve">výrazný </w:t>
      </w:r>
      <w:r w:rsidR="00530F00">
        <w:t>jako v předchozích letech</w:t>
      </w:r>
      <w:r w:rsidRPr="00251BF8">
        <w:t>.</w:t>
      </w:r>
    </w:p>
    <w:p w14:paraId="09938CC9" w14:textId="04A62424" w:rsidR="007A3D14" w:rsidRPr="00251BF8" w:rsidRDefault="007A3D14" w:rsidP="007A3D14">
      <w:pPr>
        <w:pStyle w:val="Seznam"/>
        <w:spacing w:before="120" w:after="120"/>
        <w:contextualSpacing w:val="0"/>
        <w:jc w:val="both"/>
      </w:pPr>
      <w:r w:rsidRPr="00251BF8">
        <w:t>V roce 2020 statistiky pracovní neschopnosti ovládla</w:t>
      </w:r>
      <w:r w:rsidRPr="00251BF8">
        <w:rPr>
          <w:b/>
        </w:rPr>
        <w:t xml:space="preserve"> koronavirová pandemie</w:t>
      </w:r>
      <w:r w:rsidRPr="00251BF8">
        <w:t>, kdy v druhém pololetí Česko zasáhla podzimní vlna onemocnění. Zatímco mezi prvními pololetími roku 2019 a 2020 došlo k nárůstu o 104 tis. (o 12 %) případů pracovní neschopnosti pro nemoc, mezi druhými pololetími se počet navýšil o 387 tis. (o 46 %). Přestože se v 1. pol. 2021 začalo s očkováním proti onemocnění covid-19, počet neschopenek</w:t>
      </w:r>
      <w:r w:rsidR="006A65FC" w:rsidRPr="00251BF8">
        <w:t xml:space="preserve"> zejména</w:t>
      </w:r>
      <w:r w:rsidRPr="00251BF8">
        <w:t xml:space="preserve"> z důvodu karantén byl i nadále mimořádný. Za 1. pol. 2021 bylo nahlášeno celkem 1 300 tis. případů dočasné pracovní neschopnosti pro nemoc, tedy o polovinu více než v době před pandemií.</w:t>
      </w:r>
    </w:p>
    <w:p w14:paraId="7C8CBC94" w14:textId="77777777" w:rsidR="007A3D14" w:rsidRPr="00251BF8" w:rsidRDefault="007A3D14" w:rsidP="007A3D14">
      <w:pPr>
        <w:pStyle w:val="Seznam"/>
        <w:spacing w:before="120" w:after="120"/>
        <w:contextualSpacing w:val="0"/>
        <w:jc w:val="both"/>
      </w:pPr>
      <w:r w:rsidRPr="00251BF8">
        <w:t>Během 1. pol. 2020 se počet nově hlášených případů pracovní neschopnosti pro nemoc blížil milionu. Dva roky nato už se (pravděpodobně vlivem vysoce infekční a na očkování nereagující varianty covidu-19 omikron, ale rovněž z výše zmíněných metodologických důvodů) blížil dvěma milionům. Za prvních 6 měsíců roku 2022 bylo nahlášeno více případů než za celý rok 2019.</w:t>
      </w:r>
    </w:p>
    <w:p w14:paraId="18E0D4F5" w14:textId="77777777" w:rsidR="000D52D6" w:rsidRDefault="007A3D14" w:rsidP="007A3D14">
      <w:pPr>
        <w:pStyle w:val="Seznam"/>
        <w:spacing w:before="120" w:after="120"/>
        <w:contextualSpacing w:val="0"/>
        <w:jc w:val="both"/>
      </w:pPr>
      <w:r w:rsidRPr="00251BF8">
        <w:t>Počet nově hlášených případů se zatím neblíží (neklesá k) hodnotám z roku 2019. Důvodem může být oslabená imunita po nucené izolaci a nošení respirátorů. V souvislosti se zkušenostmi během pandemie se patrně snížila i společenská přijatelnost týkající se přecházeného akutního onemocnění. Naopak s utlumením covidového náporu se dá předpokládat, že pacienti podstupují plánované zákroky, jež byly během pandemie odkládány, které následně vyžadují dočasnou pracovní neschopnost.</w:t>
      </w:r>
    </w:p>
    <w:p w14:paraId="03B96C46" w14:textId="77777777" w:rsidR="000D52D6" w:rsidRDefault="000D52D6">
      <w:pPr>
        <w:spacing w:after="0" w:line="240" w:lineRule="auto"/>
      </w:pPr>
      <w:r>
        <w:br w:type="page"/>
      </w:r>
    </w:p>
    <w:p w14:paraId="1B26EC22" w14:textId="4313643E" w:rsidR="007A3D14" w:rsidRPr="0002281B" w:rsidRDefault="007A3D14" w:rsidP="007A3D14">
      <w:pPr>
        <w:spacing w:before="120" w:after="0"/>
        <w:jc w:val="both"/>
        <w:rPr>
          <w:b/>
          <w:bCs/>
        </w:rPr>
      </w:pPr>
      <w:r w:rsidRPr="0002281B">
        <w:rPr>
          <w:b/>
          <w:bCs/>
        </w:rPr>
        <w:lastRenderedPageBreak/>
        <w:t>Graf 2.</w:t>
      </w:r>
      <w:r>
        <w:rPr>
          <w:b/>
          <w:bCs/>
        </w:rPr>
        <w:t>3</w:t>
      </w:r>
      <w:r w:rsidRPr="0002281B">
        <w:rPr>
          <w:b/>
          <w:bCs/>
        </w:rPr>
        <w:t xml:space="preserve">: Nově hlášené případy dočasné pracovní neschopnosti </w:t>
      </w:r>
      <w:r w:rsidRPr="008E48CF">
        <w:rPr>
          <w:b/>
          <w:bCs/>
          <w:u w:val="single"/>
        </w:rPr>
        <w:t>pro nemoc</w:t>
      </w:r>
      <w:r w:rsidRPr="0002281B">
        <w:rPr>
          <w:b/>
          <w:bCs/>
        </w:rPr>
        <w:t>, 2015–202</w:t>
      </w:r>
      <w:r>
        <w:rPr>
          <w:b/>
          <w:bCs/>
        </w:rPr>
        <w:t>3</w:t>
      </w:r>
    </w:p>
    <w:p w14:paraId="6077DC10" w14:textId="00438632" w:rsidR="007A3D14" w:rsidRDefault="00797463" w:rsidP="007A3D14">
      <w:pPr>
        <w:pStyle w:val="Seznam"/>
        <w:spacing w:before="120" w:after="120"/>
        <w:contextualSpacing w:val="0"/>
        <w:jc w:val="both"/>
      </w:pPr>
      <w:r>
        <w:rPr>
          <w:noProof/>
        </w:rPr>
        <w:drawing>
          <wp:inline distT="0" distB="0" distL="0" distR="0" wp14:anchorId="397FEA81" wp14:editId="68A58DC3">
            <wp:extent cx="6010275" cy="2933700"/>
            <wp:effectExtent l="0" t="0" r="9525"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DE1B0B" w14:textId="77777777" w:rsidR="007A3D14" w:rsidRDefault="007A3D14" w:rsidP="007A3D14">
      <w:pPr>
        <w:spacing w:before="120" w:after="120" w:line="240" w:lineRule="auto"/>
        <w:jc w:val="both"/>
        <w:rPr>
          <w:rFonts w:cs="Arial"/>
          <w:color w:val="000000"/>
          <w:sz w:val="16"/>
          <w:szCs w:val="16"/>
        </w:rPr>
      </w:pPr>
      <w:r>
        <w:rPr>
          <w:rFonts w:cs="Arial"/>
          <w:color w:val="000000"/>
          <w:sz w:val="16"/>
          <w:szCs w:val="16"/>
        </w:rPr>
        <w:t>* 1. pol. 2022 není srovnatelné s ostatními 1. pololetími.</w:t>
      </w:r>
    </w:p>
    <w:p w14:paraId="76AA86F6" w14:textId="306BD643" w:rsidR="007A3D14" w:rsidRPr="00EB50A1" w:rsidRDefault="007A3D14" w:rsidP="007A3D14">
      <w:pPr>
        <w:pStyle w:val="Seznam"/>
        <w:spacing w:before="120" w:after="120"/>
        <w:contextualSpacing w:val="0"/>
        <w:jc w:val="both"/>
      </w:pPr>
      <w:r w:rsidRPr="004B2783">
        <w:rPr>
          <w:rFonts w:cs="Arial"/>
          <w:color w:val="000000"/>
          <w:sz w:val="16"/>
          <w:szCs w:val="16"/>
        </w:rPr>
        <w:t>Zdroj: ČSÚ</w:t>
      </w:r>
    </w:p>
    <w:p w14:paraId="3C305094" w14:textId="77777777" w:rsidR="007A3D14" w:rsidRPr="00251BF8" w:rsidRDefault="007A3D14" w:rsidP="007A3D14">
      <w:pPr>
        <w:spacing w:before="120" w:after="120"/>
        <w:jc w:val="both"/>
      </w:pPr>
      <w:r w:rsidRPr="00251BF8">
        <w:t xml:space="preserve">V porovnání počtu nově hlášených případů pracovní neschopnosti z důvodu nemoci v druhém pololetí roku 2018 a stejného období v roce 2020 došlo k nárůstu o 72 %. Graf 2.3 dále ilustruje vysoké hodnoty v druhých pololetích let 2020 a 2021, kam spadají podzimní vlny onemocnění covid-19. Toto období už ovšem nevykazuje takový meziroční nárůst. Na podobné úrovni se nachází údaj za 2. polovinu roku 2022. Dramatické zvýšení počtu případů pracovní neschopnosti pro nemoc (+642 tis., 49 %) lze vidět v 1. pololetí roku 2022. To je ovšem do určité míry zkresleno. Jak již bylo zmíněno výše, ve statistikách ze začátku roku 2022 se mohou nacházet duplicity vzniklé v zájmu zajištění co nejrychlejšího zabránění šíření onemocnění. Tyto případy však není možné identifikovat a z celkových dat vyloučit. </w:t>
      </w:r>
    </w:p>
    <w:p w14:paraId="047F3FAE" w14:textId="6F20823E" w:rsidR="007A3D14" w:rsidRPr="00251BF8" w:rsidRDefault="007A3D14" w:rsidP="007A3D14">
      <w:pPr>
        <w:pStyle w:val="Seznam"/>
        <w:spacing w:before="120" w:after="120"/>
        <w:contextualSpacing w:val="0"/>
        <w:jc w:val="both"/>
      </w:pPr>
      <w:r w:rsidRPr="000D52D6">
        <w:rPr>
          <w:b/>
        </w:rPr>
        <w:t>V relativním přepočtu na 100 pojištěnců</w:t>
      </w:r>
      <w:r w:rsidRPr="00251BF8">
        <w:t xml:space="preserve"> v </w:t>
      </w:r>
      <w:r w:rsidR="00735747" w:rsidRPr="00251BF8">
        <w:t>roce</w:t>
      </w:r>
      <w:r w:rsidRPr="00251BF8">
        <w:t xml:space="preserve"> 2023 oproti </w:t>
      </w:r>
      <w:r w:rsidR="00735747" w:rsidRPr="00251BF8">
        <w:t>době před pandemií</w:t>
      </w:r>
      <w:r w:rsidR="0034529B">
        <w:t xml:space="preserve">, tj. rokem 2019 </w:t>
      </w:r>
      <w:r w:rsidRPr="00251BF8">
        <w:t xml:space="preserve">přibylo </w:t>
      </w:r>
      <w:r w:rsidR="00735747" w:rsidRPr="00251BF8">
        <w:t>13</w:t>
      </w:r>
      <w:r w:rsidR="00957C5B">
        <w:t> </w:t>
      </w:r>
      <w:r w:rsidRPr="00251BF8">
        <w:t xml:space="preserve">případů pracovní neschopnosti bez ohledu na příčinu a hodnota tak činila </w:t>
      </w:r>
      <w:r w:rsidR="00735747" w:rsidRPr="00251BF8">
        <w:t>53</w:t>
      </w:r>
      <w:r w:rsidRPr="00251BF8">
        <w:t xml:space="preserve"> případů. Na 100 pojištěnců připadalo </w:t>
      </w:r>
      <w:r w:rsidR="00735747" w:rsidRPr="00251BF8">
        <w:t>49</w:t>
      </w:r>
      <w:r w:rsidRPr="00251BF8">
        <w:t xml:space="preserve"> nově hlášených případů dočasné pracovní neschopnosti </w:t>
      </w:r>
      <w:r w:rsidRPr="00251BF8">
        <w:rPr>
          <w:b/>
        </w:rPr>
        <w:t>pro nemoc</w:t>
      </w:r>
      <w:r w:rsidRPr="00251BF8">
        <w:t>, což byl dvojnásobek oproti</w:t>
      </w:r>
      <w:r w:rsidR="00797463" w:rsidRPr="00251BF8">
        <w:t> roku 201</w:t>
      </w:r>
      <w:r w:rsidR="00735747" w:rsidRPr="00251BF8">
        <w:t>2</w:t>
      </w:r>
      <w:r w:rsidRPr="00251BF8">
        <w:t xml:space="preserve">. Zatímco u mužů počet případů </w:t>
      </w:r>
      <w:r w:rsidR="008073B7">
        <w:t xml:space="preserve">pracovní neschopnosti celkem (ať už pro nemoc nebo úraz) </w:t>
      </w:r>
      <w:r w:rsidRPr="00251BF8">
        <w:t xml:space="preserve">dosáhl </w:t>
      </w:r>
      <w:r w:rsidR="00735747" w:rsidRPr="00251BF8">
        <w:t>48,</w:t>
      </w:r>
      <w:r w:rsidRPr="00251BF8">
        <w:t xml:space="preserve"> mezi ženami se jednalo o </w:t>
      </w:r>
      <w:r w:rsidR="00735747" w:rsidRPr="00251BF8">
        <w:t>58</w:t>
      </w:r>
      <w:r w:rsidRPr="00251BF8">
        <w:t xml:space="preserve"> neschopností.</w:t>
      </w:r>
    </w:p>
    <w:p w14:paraId="00FC7DCC" w14:textId="0C64F625" w:rsidR="000D52D6" w:rsidRDefault="007A3D14" w:rsidP="00735747">
      <w:pPr>
        <w:pStyle w:val="Seznam"/>
        <w:spacing w:before="120" w:after="120"/>
        <w:contextualSpacing w:val="0"/>
        <w:jc w:val="both"/>
      </w:pPr>
      <w:r w:rsidRPr="00251BF8">
        <w:t xml:space="preserve">Co se týče počtu neschopenek z důvodu </w:t>
      </w:r>
      <w:r w:rsidRPr="00251BF8">
        <w:rPr>
          <w:b/>
        </w:rPr>
        <w:t>úrazů</w:t>
      </w:r>
      <w:r w:rsidRPr="00251BF8">
        <w:t xml:space="preserve">, tak pokud pomineme </w:t>
      </w:r>
      <w:r w:rsidR="00735747" w:rsidRPr="00251BF8">
        <w:t>rok</w:t>
      </w:r>
      <w:r w:rsidRPr="00251BF8">
        <w:t xml:space="preserve"> 2020, kdy počet úrazů na 100 pojištěnců poklesl, panuje zde víceméně stagnace. Dá se předpokládat, že výkyv </w:t>
      </w:r>
      <w:r w:rsidR="00797463" w:rsidRPr="00251BF8">
        <w:t>v</w:t>
      </w:r>
      <w:r w:rsidR="001664E8" w:rsidRPr="00251BF8">
        <w:t xml:space="preserve">e zmíněném </w:t>
      </w:r>
      <w:r w:rsidR="00797463" w:rsidRPr="00251BF8">
        <w:t xml:space="preserve">roce </w:t>
      </w:r>
      <w:r w:rsidRPr="00251BF8">
        <w:t xml:space="preserve">souvisel s vyhlášením nouzového stavu, celkovým omezením pohybu, uzavřením některých podniků a větší mírou práce z domova. </w:t>
      </w:r>
      <w:r w:rsidR="00735747" w:rsidRPr="00251BF8">
        <w:t xml:space="preserve">Počet neschopenek z důvodu </w:t>
      </w:r>
      <w:r w:rsidR="00735747" w:rsidRPr="00251BF8">
        <w:rPr>
          <w:b/>
        </w:rPr>
        <w:t>pracovního úrazu</w:t>
      </w:r>
      <w:r w:rsidR="00735747" w:rsidRPr="00251BF8">
        <w:t xml:space="preserve"> se pohybuje okolo 1 případu na 100 pojištěnců. </w:t>
      </w:r>
      <w:r w:rsidR="00735747" w:rsidRPr="00251BF8">
        <w:rPr>
          <w:b/>
        </w:rPr>
        <w:t>U mimopracovních úrazů</w:t>
      </w:r>
      <w:r w:rsidR="00735747" w:rsidRPr="00251BF8">
        <w:t xml:space="preserve"> hodnota v roce 2023 činila 3,5.</w:t>
      </w:r>
    </w:p>
    <w:p w14:paraId="18439354" w14:textId="77777777" w:rsidR="000D52D6" w:rsidRDefault="000D52D6">
      <w:pPr>
        <w:spacing w:after="0" w:line="240" w:lineRule="auto"/>
      </w:pPr>
      <w:r>
        <w:br w:type="page"/>
      </w:r>
    </w:p>
    <w:p w14:paraId="28641CE9" w14:textId="436E7E9F" w:rsidR="007A3D14" w:rsidRPr="00653F8C" w:rsidRDefault="007A3D14" w:rsidP="007A3D14">
      <w:pPr>
        <w:pStyle w:val="Seznam"/>
        <w:spacing w:before="120" w:after="120"/>
        <w:contextualSpacing w:val="0"/>
        <w:jc w:val="both"/>
      </w:pPr>
      <w:r w:rsidRPr="00653F8C">
        <w:rPr>
          <w:b/>
          <w:spacing w:val="-4"/>
        </w:rPr>
        <w:lastRenderedPageBreak/>
        <w:t>Graf 2.</w:t>
      </w:r>
      <w:r>
        <w:rPr>
          <w:b/>
          <w:spacing w:val="-4"/>
        </w:rPr>
        <w:t>4</w:t>
      </w:r>
      <w:r w:rsidRPr="00653F8C">
        <w:rPr>
          <w:b/>
          <w:spacing w:val="-4"/>
        </w:rPr>
        <w:t>: Nově hlášené případy dočasné pracovní neschopnosti na 10</w:t>
      </w:r>
      <w:r>
        <w:rPr>
          <w:b/>
          <w:spacing w:val="-4"/>
        </w:rPr>
        <w:t>0 pojištěnců podle příčiny, 2013–2023</w:t>
      </w:r>
      <w:r w:rsidRPr="00653F8C">
        <w:rPr>
          <w:b/>
        </w:rPr>
        <w:t xml:space="preserve"> </w:t>
      </w:r>
      <w:r w:rsidRPr="00653F8C">
        <w:t xml:space="preserve"> </w:t>
      </w:r>
    </w:p>
    <w:p w14:paraId="40BA32E7" w14:textId="3306CF5C" w:rsidR="008073B7" w:rsidRPr="00CF382E" w:rsidRDefault="008073B7" w:rsidP="007A3D14">
      <w:pPr>
        <w:spacing w:after="120"/>
        <w:jc w:val="both"/>
      </w:pPr>
      <w:r>
        <w:rPr>
          <w:noProof/>
        </w:rPr>
        <w:drawing>
          <wp:inline distT="0" distB="0" distL="0" distR="0" wp14:anchorId="274DD729" wp14:editId="7ECFEED2">
            <wp:extent cx="6120130" cy="2585085"/>
            <wp:effectExtent l="0" t="0" r="13970" b="571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93B35C" w14:textId="5D61022C" w:rsidR="00735747" w:rsidRDefault="00735747" w:rsidP="00735747">
      <w:pPr>
        <w:spacing w:before="120" w:after="120" w:line="240" w:lineRule="auto"/>
        <w:jc w:val="both"/>
        <w:rPr>
          <w:rFonts w:cs="Arial"/>
          <w:color w:val="000000"/>
          <w:sz w:val="16"/>
          <w:szCs w:val="16"/>
        </w:rPr>
      </w:pPr>
      <w:r>
        <w:rPr>
          <w:rFonts w:cs="Arial"/>
          <w:color w:val="000000"/>
          <w:sz w:val="16"/>
          <w:szCs w:val="16"/>
        </w:rPr>
        <w:t>* Údaje za rok 2022 (celkem a pro nemoc) nejsou srovnatelné s údaji za ostatní roky.</w:t>
      </w:r>
    </w:p>
    <w:p w14:paraId="6BB5191A" w14:textId="77777777" w:rsidR="007A3D14" w:rsidRPr="00EB50A1" w:rsidRDefault="007A3D14" w:rsidP="007A3D14">
      <w:pPr>
        <w:pStyle w:val="Seznam"/>
        <w:spacing w:before="120" w:after="120"/>
        <w:contextualSpacing w:val="0"/>
        <w:jc w:val="both"/>
      </w:pPr>
      <w:r w:rsidRPr="004B2783">
        <w:rPr>
          <w:rFonts w:cs="Arial"/>
          <w:color w:val="000000"/>
          <w:sz w:val="16"/>
          <w:szCs w:val="16"/>
        </w:rPr>
        <w:t>Zdroj: ČSÚ</w:t>
      </w:r>
    </w:p>
    <w:p w14:paraId="39075D5D" w14:textId="5AAFAF30" w:rsidR="00735747" w:rsidRPr="00251BF8" w:rsidRDefault="00735747" w:rsidP="00735747">
      <w:pPr>
        <w:autoSpaceDE w:val="0"/>
        <w:autoSpaceDN w:val="0"/>
        <w:adjustRightInd w:val="0"/>
        <w:spacing w:before="120" w:after="120"/>
        <w:jc w:val="both"/>
        <w:rPr>
          <w:rFonts w:cs="Arial"/>
        </w:rPr>
      </w:pPr>
      <w:r w:rsidRPr="00251BF8">
        <w:rPr>
          <w:rFonts w:cs="Arial"/>
        </w:rPr>
        <w:t xml:space="preserve">Nejvíce nových případů dočasné pracovní neschopnosti bylo v roce 2023 nahlášeno v subjektech, které dle převažující ekonomické činnosti spadají do </w:t>
      </w:r>
      <w:r w:rsidRPr="00251BF8">
        <w:rPr>
          <w:rFonts w:cs="Arial"/>
          <w:b/>
        </w:rPr>
        <w:t>odvětvové sekce</w:t>
      </w:r>
      <w:r w:rsidRPr="00251BF8">
        <w:rPr>
          <w:rFonts w:cs="Arial"/>
        </w:rPr>
        <w:t xml:space="preserve"> Zpracovatelský průmysl (</w:t>
      </w:r>
      <w:r w:rsidR="005F4628" w:rsidRPr="00251BF8">
        <w:rPr>
          <w:rFonts w:cs="Arial"/>
        </w:rPr>
        <w:t>814</w:t>
      </w:r>
      <w:r w:rsidRPr="00251BF8">
        <w:rPr>
          <w:rFonts w:cs="Arial"/>
        </w:rPr>
        <w:t xml:space="preserve"> tis. případů) a Velkoobchod a maloobchod; opravy a údržba motorových vozidel (</w:t>
      </w:r>
      <w:r w:rsidR="005F4628" w:rsidRPr="00251BF8">
        <w:rPr>
          <w:rFonts w:cs="Arial"/>
        </w:rPr>
        <w:t>322</w:t>
      </w:r>
      <w:r w:rsidRPr="00251BF8">
        <w:rPr>
          <w:rFonts w:cs="Arial"/>
        </w:rPr>
        <w:t xml:space="preserve"> tis.). Není divu, protože jde o odvětví, kde pracuje nejvíce osob, jak bylo uvedeno výše v kap. 4.1. Naopak nejméně případů bylo v absolutních číslech hlášeno v odvětvích Těžba a dobývání (</w:t>
      </w:r>
      <w:r w:rsidR="005F4628" w:rsidRPr="00251BF8">
        <w:rPr>
          <w:rFonts w:cs="Arial"/>
        </w:rPr>
        <w:t>10</w:t>
      </w:r>
      <w:r w:rsidRPr="00251BF8">
        <w:rPr>
          <w:rFonts w:cs="Arial"/>
        </w:rPr>
        <w:t xml:space="preserve"> tis.) a Výroba a rozvod elektřiny, plynu, tepla a klimatizovaného vzduchu (</w:t>
      </w:r>
      <w:r w:rsidR="005F4628" w:rsidRPr="00251BF8">
        <w:rPr>
          <w:rFonts w:cs="Arial"/>
        </w:rPr>
        <w:t>14</w:t>
      </w:r>
      <w:r w:rsidRPr="00251BF8">
        <w:rPr>
          <w:rFonts w:cs="Arial"/>
        </w:rPr>
        <w:t xml:space="preserve"> tis.).</w:t>
      </w:r>
    </w:p>
    <w:p w14:paraId="603DC93F" w14:textId="16E44D8D" w:rsidR="005F4628" w:rsidRPr="00251BF8" w:rsidRDefault="005F4628" w:rsidP="005F4628">
      <w:pPr>
        <w:autoSpaceDE w:val="0"/>
        <w:autoSpaceDN w:val="0"/>
        <w:adjustRightInd w:val="0"/>
        <w:spacing w:before="120" w:after="120"/>
        <w:jc w:val="both"/>
        <w:rPr>
          <w:rFonts w:cs="Arial"/>
        </w:rPr>
      </w:pPr>
      <w:r w:rsidRPr="00251BF8">
        <w:rPr>
          <w:rFonts w:cs="Arial"/>
        </w:rPr>
        <w:t xml:space="preserve">V porovnání </w:t>
      </w:r>
      <w:r w:rsidRPr="00F20D12">
        <w:rPr>
          <w:rFonts w:cs="Arial"/>
          <w:b/>
        </w:rPr>
        <w:t>s rokem 2019</w:t>
      </w:r>
      <w:r w:rsidRPr="00251BF8">
        <w:rPr>
          <w:rFonts w:cs="Arial"/>
        </w:rPr>
        <w:t xml:space="preserve"> vzrostl počet případů dočasné pracovní neschopnosti ve všech sekcích ekonomické činnosti</w:t>
      </w:r>
      <w:r w:rsidR="004E2061" w:rsidRPr="00251BF8">
        <w:rPr>
          <w:rFonts w:cs="Arial"/>
        </w:rPr>
        <w:t xml:space="preserve"> kromě sekcí Těžba a dobývání a Ostatní činnosti</w:t>
      </w:r>
      <w:r w:rsidR="001664E8" w:rsidRPr="00251BF8">
        <w:rPr>
          <w:rFonts w:cs="Arial"/>
        </w:rPr>
        <w:t xml:space="preserve"> (sekce S)</w:t>
      </w:r>
      <w:r w:rsidR="002D6845">
        <w:rPr>
          <w:rFonts w:cs="Arial"/>
        </w:rPr>
        <w:t>, kam spadají například č</w:t>
      </w:r>
      <w:r w:rsidR="002D6845" w:rsidRPr="002D6845">
        <w:rPr>
          <w:rFonts w:cs="Arial"/>
        </w:rPr>
        <w:t>innosti podnikatelských, zaměstnavatelských</w:t>
      </w:r>
      <w:r w:rsidR="002D6845">
        <w:rPr>
          <w:rFonts w:cs="Arial"/>
        </w:rPr>
        <w:t xml:space="preserve">, </w:t>
      </w:r>
      <w:r w:rsidR="002D6845" w:rsidRPr="002D6845">
        <w:rPr>
          <w:rFonts w:cs="Arial"/>
        </w:rPr>
        <w:t xml:space="preserve">profesních </w:t>
      </w:r>
      <w:r w:rsidR="002D6845">
        <w:rPr>
          <w:rFonts w:cs="Arial"/>
        </w:rPr>
        <w:t xml:space="preserve">a odborových </w:t>
      </w:r>
      <w:r w:rsidR="002D6845" w:rsidRPr="002D6845">
        <w:rPr>
          <w:rFonts w:cs="Arial"/>
        </w:rPr>
        <w:t>organizac</w:t>
      </w:r>
      <w:r w:rsidR="002D6845">
        <w:rPr>
          <w:rFonts w:cs="Arial"/>
        </w:rPr>
        <w:t>í nebo i kadeřnické, kosmetické a obdobn</w:t>
      </w:r>
      <w:r w:rsidR="008073B7">
        <w:rPr>
          <w:rFonts w:cs="Arial"/>
        </w:rPr>
        <w:t>é</w:t>
      </w:r>
      <w:r w:rsidR="002D6845">
        <w:rPr>
          <w:rFonts w:cs="Arial"/>
        </w:rPr>
        <w:t xml:space="preserve"> činnosti.</w:t>
      </w:r>
      <w:r w:rsidRPr="00251BF8">
        <w:rPr>
          <w:rFonts w:cs="Arial"/>
        </w:rPr>
        <w:t xml:space="preserve"> Procentuálně nejvíce v odvětvové sekci Vzdělávání, a to </w:t>
      </w:r>
      <w:r w:rsidR="004E2061" w:rsidRPr="00251BF8">
        <w:rPr>
          <w:rFonts w:cs="Arial"/>
        </w:rPr>
        <w:t>téměř jednou tolik, o</w:t>
      </w:r>
      <w:r w:rsidR="00FC18CE">
        <w:rPr>
          <w:rFonts w:cs="Arial"/>
        </w:rPr>
        <w:t> </w:t>
      </w:r>
      <w:r w:rsidR="004E2061" w:rsidRPr="00251BF8">
        <w:rPr>
          <w:rFonts w:cs="Arial"/>
        </w:rPr>
        <w:t>96 % (130 tis.).</w:t>
      </w:r>
      <w:r w:rsidRPr="00251BF8">
        <w:rPr>
          <w:rFonts w:cs="Arial"/>
        </w:rPr>
        <w:t xml:space="preserve"> Absolutně nejvíce (o </w:t>
      </w:r>
      <w:r w:rsidR="004E2061" w:rsidRPr="00251BF8">
        <w:rPr>
          <w:rFonts w:cs="Arial"/>
        </w:rPr>
        <w:t>14</w:t>
      </w:r>
      <w:r w:rsidRPr="00251BF8">
        <w:rPr>
          <w:rFonts w:cs="Arial"/>
        </w:rPr>
        <w:t xml:space="preserve">9 tis.) se počet případů zvýšil ve Zpracovatelském průmyslu. </w:t>
      </w:r>
    </w:p>
    <w:p w14:paraId="6A958D14" w14:textId="0A0BC09B" w:rsidR="00735747" w:rsidRPr="00251BF8" w:rsidRDefault="002E40F8" w:rsidP="00735747">
      <w:pPr>
        <w:autoSpaceDE w:val="0"/>
        <w:autoSpaceDN w:val="0"/>
        <w:adjustRightInd w:val="0"/>
        <w:spacing w:before="120" w:after="120"/>
        <w:jc w:val="both"/>
        <w:rPr>
          <w:rFonts w:cs="Arial"/>
        </w:rPr>
      </w:pPr>
      <w:r>
        <w:rPr>
          <w:rFonts w:cs="Arial"/>
        </w:rPr>
        <w:t>I v</w:t>
      </w:r>
      <w:r w:rsidR="00BE60AD">
        <w:rPr>
          <w:rFonts w:cs="Arial"/>
        </w:rPr>
        <w:t xml:space="preserve"> </w:t>
      </w:r>
      <w:r w:rsidR="002D6845">
        <w:rPr>
          <w:rFonts w:cs="Arial"/>
        </w:rPr>
        <w:t>porovnání s rokem 20</w:t>
      </w:r>
      <w:r w:rsidR="00F20D12">
        <w:rPr>
          <w:rFonts w:cs="Arial"/>
        </w:rPr>
        <w:t>1</w:t>
      </w:r>
      <w:r w:rsidR="002D6845">
        <w:rPr>
          <w:rFonts w:cs="Arial"/>
        </w:rPr>
        <w:t xml:space="preserve">3, tj. </w:t>
      </w:r>
      <w:r w:rsidR="002D6845" w:rsidRPr="00FC18CE">
        <w:rPr>
          <w:rFonts w:cs="Arial"/>
          <w:b/>
        </w:rPr>
        <w:t>za deset let</w:t>
      </w:r>
      <w:r w:rsidR="002D6845">
        <w:rPr>
          <w:rFonts w:cs="Arial"/>
        </w:rPr>
        <w:t xml:space="preserve">, vzrostl </w:t>
      </w:r>
      <w:r w:rsidR="00735747" w:rsidRPr="00251BF8">
        <w:rPr>
          <w:rFonts w:cs="Arial"/>
        </w:rPr>
        <w:t>počet případů dočasné pracovní neschopnosti</w:t>
      </w:r>
      <w:r>
        <w:rPr>
          <w:rFonts w:cs="Arial"/>
        </w:rPr>
        <w:t xml:space="preserve"> nejvíce v odvětvové sekci Vzdělávání, a to více než </w:t>
      </w:r>
      <w:r w:rsidR="00F20D12">
        <w:rPr>
          <w:rFonts w:cs="Arial"/>
        </w:rPr>
        <w:t>čtyřnásobně</w:t>
      </w:r>
      <w:r>
        <w:rPr>
          <w:rFonts w:cs="Arial"/>
        </w:rPr>
        <w:t xml:space="preserve"> (+ </w:t>
      </w:r>
      <w:r w:rsidR="00946B1F">
        <w:rPr>
          <w:rFonts w:cs="Arial"/>
        </w:rPr>
        <w:t>2</w:t>
      </w:r>
      <w:r>
        <w:rPr>
          <w:rFonts w:cs="Arial"/>
        </w:rPr>
        <w:t xml:space="preserve">12 %). </w:t>
      </w:r>
      <w:r w:rsidR="00F20D12">
        <w:rPr>
          <w:rFonts w:cs="Arial"/>
        </w:rPr>
        <w:t>Více než tři</w:t>
      </w:r>
      <w:r>
        <w:rPr>
          <w:rFonts w:cs="Arial"/>
        </w:rPr>
        <w:t>krát (+</w:t>
      </w:r>
      <w:r w:rsidR="00946B1F">
        <w:rPr>
          <w:rFonts w:cs="Arial"/>
        </w:rPr>
        <w:t>1</w:t>
      </w:r>
      <w:r>
        <w:rPr>
          <w:rFonts w:cs="Arial"/>
        </w:rPr>
        <w:t>73 %) vzrostl tento ukazatel i v subjektech s převažující ekonomickou činností Zdravotní a sociální péče. Dvojnásobně pak</w:t>
      </w:r>
      <w:r w:rsidRPr="002E40F8">
        <w:t xml:space="preserve"> </w:t>
      </w:r>
      <w:r w:rsidRPr="002E40F8">
        <w:rPr>
          <w:rFonts w:cs="Arial"/>
        </w:rPr>
        <w:t>počet případů dočasné pracovní neschopnosti</w:t>
      </w:r>
      <w:r>
        <w:rPr>
          <w:rFonts w:cs="Arial"/>
        </w:rPr>
        <w:t xml:space="preserve"> za deset let vzrostl například i v</w:t>
      </w:r>
      <w:r w:rsidR="008073B7">
        <w:rPr>
          <w:rFonts w:cs="Arial"/>
        </w:rPr>
        <w:t> sekcích Veřejná správa</w:t>
      </w:r>
      <w:r w:rsidR="008073B7">
        <w:rPr>
          <w:rStyle w:val="Znakapoznpodarou"/>
          <w:rFonts w:cs="Arial"/>
        </w:rPr>
        <w:footnoteReference w:id="3"/>
      </w:r>
      <w:r w:rsidR="008073B7">
        <w:rPr>
          <w:rFonts w:cs="Arial"/>
        </w:rPr>
        <w:t>, V</w:t>
      </w:r>
      <w:r w:rsidR="008073B7" w:rsidRPr="008073B7">
        <w:rPr>
          <w:rFonts w:cs="Arial"/>
        </w:rPr>
        <w:t>elkoobchod a maloobchod; opravy a údržba motorových vozidel</w:t>
      </w:r>
      <w:r w:rsidR="008073B7">
        <w:rPr>
          <w:rFonts w:cs="Arial"/>
        </w:rPr>
        <w:t xml:space="preserve"> či Doprava.</w:t>
      </w:r>
      <w:r>
        <w:rPr>
          <w:rFonts w:cs="Arial"/>
        </w:rPr>
        <w:t xml:space="preserve"> </w:t>
      </w:r>
      <w:r w:rsidR="00935896" w:rsidRPr="00251BF8">
        <w:rPr>
          <w:rFonts w:cs="Arial"/>
        </w:rPr>
        <w:t xml:space="preserve"> </w:t>
      </w:r>
    </w:p>
    <w:p w14:paraId="06521F5F" w14:textId="2435857C" w:rsidR="00FC18CE" w:rsidRDefault="00735747" w:rsidP="00735747">
      <w:pPr>
        <w:autoSpaceDE w:val="0"/>
        <w:autoSpaceDN w:val="0"/>
        <w:adjustRightInd w:val="0"/>
        <w:spacing w:before="120" w:after="120"/>
        <w:jc w:val="both"/>
        <w:rPr>
          <w:rFonts w:cs="Arial"/>
        </w:rPr>
      </w:pPr>
      <w:r w:rsidRPr="00251BF8">
        <w:rPr>
          <w:rFonts w:cs="Arial"/>
        </w:rPr>
        <w:t>Absolutní počty nově hlášených případů jsou ovlivněny odvětvovou strukturou národního hospodářství a zaměstnaností v jednotlivých odvětvích. Z toho důvodu má vyšší vypovídací schopnost již zmíněný relativní ukazatel – počet nově hlášených případů na 100 pojištěnců v daném odvětví.</w:t>
      </w:r>
    </w:p>
    <w:p w14:paraId="344E9E18" w14:textId="77777777" w:rsidR="00FC18CE" w:rsidRDefault="00FC18CE">
      <w:pPr>
        <w:spacing w:after="0" w:line="240" w:lineRule="auto"/>
        <w:rPr>
          <w:rFonts w:cs="Arial"/>
        </w:rPr>
      </w:pPr>
      <w:r>
        <w:rPr>
          <w:rFonts w:cs="Arial"/>
        </w:rPr>
        <w:br w:type="page"/>
      </w:r>
    </w:p>
    <w:p w14:paraId="6E57D926" w14:textId="3788CF2F" w:rsidR="00735747" w:rsidRDefault="00735747" w:rsidP="00735747">
      <w:pPr>
        <w:spacing w:after="0"/>
        <w:jc w:val="both"/>
        <w:rPr>
          <w:b/>
        </w:rPr>
      </w:pPr>
      <w:r w:rsidRPr="003B41D2">
        <w:rPr>
          <w:b/>
        </w:rPr>
        <w:lastRenderedPageBreak/>
        <w:t>Graf 2.</w:t>
      </w:r>
      <w:r>
        <w:rPr>
          <w:b/>
        </w:rPr>
        <w:t>5</w:t>
      </w:r>
      <w:r w:rsidRPr="003B41D2">
        <w:rPr>
          <w:b/>
        </w:rPr>
        <w:t>: Nově hlášené případy dočasné pracovní neschopnosti na 100 pojištěnců podle odvětví (sekce CZ-NACE), 2019 a 202</w:t>
      </w:r>
      <w:r>
        <w:rPr>
          <w:b/>
        </w:rPr>
        <w:t>3</w:t>
      </w:r>
    </w:p>
    <w:p w14:paraId="1680FC7E" w14:textId="031E4B38" w:rsidR="00735747" w:rsidRPr="003B41D2" w:rsidRDefault="00735747" w:rsidP="00735747">
      <w:pPr>
        <w:spacing w:after="0"/>
        <w:jc w:val="both"/>
        <w:rPr>
          <w:b/>
        </w:rPr>
      </w:pPr>
      <w:r>
        <w:rPr>
          <w:noProof/>
        </w:rPr>
        <w:drawing>
          <wp:inline distT="0" distB="0" distL="0" distR="0" wp14:anchorId="3C384AAF" wp14:editId="209E9803">
            <wp:extent cx="6120130" cy="5111115"/>
            <wp:effectExtent l="0" t="0" r="13970" b="1333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C27B2F" w14:textId="77777777" w:rsidR="00E4304F" w:rsidRPr="00EB50A1" w:rsidRDefault="00E4304F" w:rsidP="00E4304F">
      <w:pPr>
        <w:pStyle w:val="Seznam"/>
        <w:spacing w:before="120" w:after="120"/>
        <w:contextualSpacing w:val="0"/>
        <w:jc w:val="both"/>
      </w:pPr>
      <w:r w:rsidRPr="004B2783">
        <w:rPr>
          <w:rFonts w:cs="Arial"/>
          <w:color w:val="000000"/>
          <w:sz w:val="16"/>
          <w:szCs w:val="16"/>
        </w:rPr>
        <w:t>Zdroj: ČSÚ</w:t>
      </w:r>
    </w:p>
    <w:p w14:paraId="392AB593" w14:textId="128C82CA" w:rsidR="00935896" w:rsidRPr="00251BF8" w:rsidRDefault="00935896" w:rsidP="00935896">
      <w:pPr>
        <w:pStyle w:val="Seznam"/>
        <w:spacing w:after="120"/>
        <w:contextualSpacing w:val="0"/>
        <w:jc w:val="both"/>
      </w:pPr>
      <w:r w:rsidRPr="00251BF8">
        <w:rPr>
          <w:rFonts w:cs="Arial"/>
        </w:rPr>
        <w:t xml:space="preserve">Nejvíce případů dočasné pracovní neschopnosti </w:t>
      </w:r>
      <w:r w:rsidRPr="00251BF8">
        <w:rPr>
          <w:rFonts w:cs="Arial"/>
          <w:b/>
        </w:rPr>
        <w:t>na 100 pojištěnců</w:t>
      </w:r>
      <w:r w:rsidRPr="00251BF8">
        <w:rPr>
          <w:rFonts w:cs="Arial"/>
        </w:rPr>
        <w:t xml:space="preserve"> bylo v roce 2023 zaznamenáno rovněž v odvětví Zpracovatelský průmysl (69). Následovalo Vzdělávání (63) a Zásobování vodou; činnosti související s odpady a sanacemi (57). </w:t>
      </w:r>
    </w:p>
    <w:p w14:paraId="36849A4D" w14:textId="7DCD39F5" w:rsidR="00935896" w:rsidRPr="00251BF8" w:rsidRDefault="00935896" w:rsidP="00935896">
      <w:pPr>
        <w:autoSpaceDE w:val="0"/>
        <w:autoSpaceDN w:val="0"/>
        <w:adjustRightInd w:val="0"/>
        <w:spacing w:before="120" w:after="120"/>
        <w:jc w:val="both"/>
        <w:rPr>
          <w:rFonts w:cs="Arial"/>
        </w:rPr>
      </w:pPr>
      <w:r w:rsidRPr="00251BF8">
        <w:rPr>
          <w:rFonts w:cs="Arial"/>
        </w:rPr>
        <w:t>Nejnižší počet případů dočasné pracovní neschopnosti v přepočtu na 100 nemocensky pojištěných byl evidován v odvětví Činnosti v oblasti nemovitostí (25) a Profesní, vědecké a technické činnosti (29). Celorepublikový průměr bez ohledu na odvětví činil již zmíněných 53 případů na 100 pojištěnců.</w:t>
      </w:r>
    </w:p>
    <w:p w14:paraId="182043E8" w14:textId="7FF40595" w:rsidR="00935896" w:rsidRPr="00251BF8" w:rsidRDefault="00935896" w:rsidP="00935896">
      <w:pPr>
        <w:spacing w:before="120" w:after="120"/>
        <w:jc w:val="both"/>
        <w:rPr>
          <w:rFonts w:cs="Arial"/>
          <w:color w:val="000000"/>
          <w:szCs w:val="16"/>
        </w:rPr>
      </w:pPr>
      <w:r w:rsidRPr="00251BF8">
        <w:rPr>
          <w:rFonts w:cs="Arial"/>
          <w:color w:val="000000"/>
          <w:szCs w:val="16"/>
        </w:rPr>
        <w:t xml:space="preserve">Vývoj počtu případů pracovní neschopnosti na 100 pojištěnců v jednotlivých odvětvích je zřejmý z grafu 2.5, resp. z tabulky 2.2. V roce 2023 bylo nahlášeno o </w:t>
      </w:r>
      <w:r w:rsidR="00B02AC4" w:rsidRPr="00251BF8">
        <w:rPr>
          <w:rFonts w:cs="Arial"/>
          <w:color w:val="000000"/>
          <w:szCs w:val="16"/>
        </w:rPr>
        <w:t xml:space="preserve">23 případů na 100 pojištěnců </w:t>
      </w:r>
      <w:r w:rsidR="00797463" w:rsidRPr="00251BF8">
        <w:rPr>
          <w:rFonts w:cs="Arial"/>
          <w:color w:val="000000"/>
          <w:szCs w:val="16"/>
        </w:rPr>
        <w:t>více</w:t>
      </w:r>
      <w:r w:rsidR="00B02AC4" w:rsidRPr="00251BF8">
        <w:rPr>
          <w:rFonts w:cs="Arial"/>
          <w:color w:val="000000"/>
          <w:szCs w:val="16"/>
        </w:rPr>
        <w:t xml:space="preserve"> než před 10 lety.</w:t>
      </w:r>
      <w:r w:rsidRPr="00251BF8">
        <w:rPr>
          <w:rFonts w:cs="Arial"/>
          <w:color w:val="000000"/>
          <w:szCs w:val="16"/>
        </w:rPr>
        <w:t xml:space="preserve"> Nejdynamičtější nárůst za tu dobu je patrný ve Vzdělávání (+</w:t>
      </w:r>
      <w:r w:rsidR="00B02AC4" w:rsidRPr="00251BF8">
        <w:rPr>
          <w:rFonts w:cs="Arial"/>
          <w:color w:val="000000"/>
          <w:szCs w:val="16"/>
        </w:rPr>
        <w:t>38</w:t>
      </w:r>
      <w:r w:rsidRPr="00251BF8">
        <w:rPr>
          <w:rFonts w:cs="Arial"/>
          <w:color w:val="000000"/>
          <w:szCs w:val="16"/>
        </w:rPr>
        <w:t xml:space="preserve"> případů, tj. </w:t>
      </w:r>
      <w:r w:rsidR="00B02AC4" w:rsidRPr="00251BF8">
        <w:rPr>
          <w:rFonts w:cs="Arial"/>
          <w:color w:val="000000"/>
          <w:szCs w:val="16"/>
        </w:rPr>
        <w:t>150</w:t>
      </w:r>
      <w:r w:rsidRPr="00251BF8">
        <w:rPr>
          <w:rFonts w:cs="Arial"/>
          <w:color w:val="000000"/>
          <w:szCs w:val="16"/>
        </w:rPr>
        <w:t xml:space="preserve"> %)</w:t>
      </w:r>
      <w:r w:rsidR="00797463" w:rsidRPr="00251BF8">
        <w:rPr>
          <w:rFonts w:cs="Arial"/>
          <w:color w:val="000000"/>
          <w:szCs w:val="16"/>
        </w:rPr>
        <w:t>,</w:t>
      </w:r>
      <w:r w:rsidRPr="00251BF8">
        <w:rPr>
          <w:rFonts w:cs="Arial"/>
          <w:color w:val="000000"/>
          <w:szCs w:val="16"/>
        </w:rPr>
        <w:t xml:space="preserve"> resp. </w:t>
      </w:r>
      <w:r w:rsidR="00797463" w:rsidRPr="00251BF8">
        <w:rPr>
          <w:rFonts w:cs="Arial"/>
          <w:color w:val="000000"/>
          <w:szCs w:val="16"/>
        </w:rPr>
        <w:t xml:space="preserve">ve </w:t>
      </w:r>
      <w:r w:rsidRPr="00251BF8">
        <w:rPr>
          <w:rFonts w:cs="Arial"/>
          <w:color w:val="000000"/>
          <w:szCs w:val="16"/>
        </w:rPr>
        <w:t xml:space="preserve">Zpracovatelském průmyslu, kde hodnota ukazatele vzrostla o </w:t>
      </w:r>
      <w:r w:rsidR="00B02AC4" w:rsidRPr="00251BF8">
        <w:rPr>
          <w:rFonts w:cs="Arial"/>
          <w:color w:val="000000"/>
          <w:szCs w:val="16"/>
        </w:rPr>
        <w:t>32</w:t>
      </w:r>
      <w:r w:rsidRPr="00251BF8">
        <w:rPr>
          <w:rFonts w:cs="Arial"/>
          <w:color w:val="000000"/>
          <w:szCs w:val="16"/>
        </w:rPr>
        <w:t xml:space="preserve"> případů</w:t>
      </w:r>
      <w:r w:rsidR="00B02AC4" w:rsidRPr="00251BF8">
        <w:rPr>
          <w:rFonts w:cs="Arial"/>
          <w:color w:val="000000"/>
          <w:szCs w:val="16"/>
        </w:rPr>
        <w:t xml:space="preserve"> </w:t>
      </w:r>
      <w:r w:rsidR="00E4304F" w:rsidRPr="00251BF8">
        <w:rPr>
          <w:rFonts w:cs="Arial"/>
          <w:color w:val="000000"/>
          <w:szCs w:val="16"/>
        </w:rPr>
        <w:t xml:space="preserve">v přepočtu </w:t>
      </w:r>
      <w:r w:rsidR="00B02AC4" w:rsidRPr="00251BF8">
        <w:rPr>
          <w:rFonts w:cs="Arial"/>
          <w:color w:val="000000"/>
          <w:szCs w:val="16"/>
        </w:rPr>
        <w:t>na 100 pojištěných</w:t>
      </w:r>
      <w:r w:rsidRPr="00251BF8">
        <w:rPr>
          <w:rFonts w:cs="Arial"/>
          <w:color w:val="000000"/>
          <w:szCs w:val="16"/>
        </w:rPr>
        <w:t xml:space="preserve">, tj. </w:t>
      </w:r>
      <w:r w:rsidR="00B02AC4" w:rsidRPr="00251BF8">
        <w:rPr>
          <w:rFonts w:cs="Arial"/>
          <w:color w:val="000000"/>
          <w:szCs w:val="16"/>
        </w:rPr>
        <w:t>84</w:t>
      </w:r>
      <w:r w:rsidRPr="00251BF8">
        <w:rPr>
          <w:rFonts w:cs="Arial"/>
          <w:color w:val="000000"/>
          <w:szCs w:val="16"/>
        </w:rPr>
        <w:t xml:space="preserve"> %). Ve všech sekcích došlo za zmiňované období ke zvýšení počtu případů na 100 pojištěných osob.</w:t>
      </w:r>
    </w:p>
    <w:p w14:paraId="0A0659DC" w14:textId="2025B105" w:rsidR="00E4304F" w:rsidRPr="00CD649D" w:rsidRDefault="00056319" w:rsidP="00E4304F">
      <w:pPr>
        <w:spacing w:before="120" w:after="120"/>
        <w:jc w:val="both"/>
      </w:pPr>
      <w:r w:rsidRPr="00251BF8">
        <w:t xml:space="preserve">Nejvyšší počet (63) případů pracovní neschopnosti </w:t>
      </w:r>
      <w:r w:rsidRPr="00251BF8">
        <w:rPr>
          <w:b/>
        </w:rPr>
        <w:t>pro nemoc</w:t>
      </w:r>
      <w:r w:rsidRPr="00251BF8">
        <w:t xml:space="preserve"> v přepočtu </w:t>
      </w:r>
      <w:r w:rsidRPr="00251BF8">
        <w:rPr>
          <w:b/>
        </w:rPr>
        <w:t>na 100 pojištěnců</w:t>
      </w:r>
      <w:r w:rsidRPr="00251BF8">
        <w:t xml:space="preserve"> zaznamenal Zpracovatelský průmysl a v závěsu s 6</w:t>
      </w:r>
      <w:r w:rsidR="001664E8" w:rsidRPr="00251BF8">
        <w:t>0</w:t>
      </w:r>
      <w:r w:rsidRPr="00251BF8">
        <w:t xml:space="preserve"> případy se umístila sekce Vzdělávání. U druhé zmiňované sekce se počet neschopností oproti období před pandemií zvýšil o 27 případů.</w:t>
      </w:r>
      <w:r w:rsidR="00E4304F" w:rsidRPr="00251BF8">
        <w:t xml:space="preserve"> Enormní nárůst by mohl souviset s nelehkými výzvami, kterými si prac</w:t>
      </w:r>
      <w:r w:rsidR="001664E8" w:rsidRPr="00251BF8">
        <w:t>ovníci ve školství za uplynulé 4</w:t>
      </w:r>
      <w:r w:rsidR="00E4304F" w:rsidRPr="00251BF8">
        <w:t xml:space="preserve"> roky prošli. Od distanční výuky, přes opětovnou adaptaci na prezenční výuku, až po integraci ukrajinských dětí. Nárůsty přes </w:t>
      </w:r>
      <w:r w:rsidRPr="00251BF8">
        <w:t>15</w:t>
      </w:r>
      <w:r w:rsidR="00E4304F" w:rsidRPr="00251BF8">
        <w:t xml:space="preserve"> případů pracovní neschopnosti pro nemoc na 100 pojištěnců zaznamenaly i sekce Zpracovatelský průmysl či Veřejná správa </w:t>
      </w:r>
      <w:r w:rsidR="00E4304F" w:rsidRPr="00251BF8">
        <w:lastRenderedPageBreak/>
        <w:t>a</w:t>
      </w:r>
      <w:r w:rsidRPr="00251BF8">
        <w:t> </w:t>
      </w:r>
      <w:r w:rsidR="00E4304F" w:rsidRPr="00251BF8">
        <w:t xml:space="preserve">obrana; povinné sociální zabezpečení. </w:t>
      </w:r>
      <w:r w:rsidR="00E4304F" w:rsidRPr="00251BF8">
        <w:rPr>
          <w:rFonts w:cs="Arial"/>
        </w:rPr>
        <w:t>Naopak v</w:t>
      </w:r>
      <w:r w:rsidR="00E4304F" w:rsidRPr="00251BF8">
        <w:t> sek</w:t>
      </w:r>
      <w:r w:rsidRPr="00251BF8">
        <w:t xml:space="preserve">ci Peněžnictví a pojišťovnictví; </w:t>
      </w:r>
      <w:r w:rsidR="00E4304F" w:rsidRPr="00251BF8">
        <w:t>Informační a</w:t>
      </w:r>
      <w:r w:rsidRPr="00251BF8">
        <w:t> </w:t>
      </w:r>
      <w:r w:rsidR="00E4304F" w:rsidRPr="00251BF8">
        <w:t xml:space="preserve">komunikační činnosti </w:t>
      </w:r>
      <w:r w:rsidRPr="00251BF8">
        <w:t xml:space="preserve">či Ostatní činnosti (sekce S) </w:t>
      </w:r>
      <w:r w:rsidR="00E4304F" w:rsidRPr="00251BF8">
        <w:t xml:space="preserve">došlo k nejmenším nárůstům, a sice o </w:t>
      </w:r>
      <w:r w:rsidRPr="00251BF8">
        <w:t>3 případy</w:t>
      </w:r>
      <w:r w:rsidR="00E4304F" w:rsidRPr="00251BF8">
        <w:t xml:space="preserve"> na 100</w:t>
      </w:r>
      <w:r w:rsidR="00957C5B">
        <w:t> </w:t>
      </w:r>
      <w:r w:rsidR="00E4304F" w:rsidRPr="00251BF8">
        <w:t>pojištěnců.</w:t>
      </w:r>
    </w:p>
    <w:p w14:paraId="5D3C416B" w14:textId="7103EE35" w:rsidR="00056319" w:rsidRPr="00554433" w:rsidRDefault="00056319" w:rsidP="00056319">
      <w:pPr>
        <w:pStyle w:val="Seznam"/>
        <w:spacing w:after="0"/>
        <w:contextualSpacing w:val="0"/>
        <w:jc w:val="both"/>
      </w:pPr>
      <w:r w:rsidRPr="00554433">
        <w:rPr>
          <w:b/>
        </w:rPr>
        <w:t>Tab. 2.2: Nově hlášené případy dočasné pracovní neschopnosti na 100 pojištěnců podle odvětví (sekce CZ-NACE), 201</w:t>
      </w:r>
      <w:r>
        <w:rPr>
          <w:b/>
        </w:rPr>
        <w:t>3–2023</w:t>
      </w:r>
    </w:p>
    <w:tbl>
      <w:tblPr>
        <w:tblW w:w="9638" w:type="dxa"/>
        <w:tblCellMar>
          <w:left w:w="70" w:type="dxa"/>
          <w:right w:w="70" w:type="dxa"/>
        </w:tblCellMar>
        <w:tblLook w:val="04A0" w:firstRow="1" w:lastRow="0" w:firstColumn="1" w:lastColumn="0" w:noHBand="0" w:noVBand="1"/>
      </w:tblPr>
      <w:tblGrid>
        <w:gridCol w:w="3476"/>
        <w:gridCol w:w="567"/>
        <w:gridCol w:w="567"/>
        <w:gridCol w:w="567"/>
        <w:gridCol w:w="567"/>
        <w:gridCol w:w="567"/>
        <w:gridCol w:w="567"/>
        <w:gridCol w:w="567"/>
        <w:gridCol w:w="567"/>
        <w:gridCol w:w="567"/>
        <w:gridCol w:w="559"/>
        <w:gridCol w:w="500"/>
      </w:tblGrid>
      <w:tr w:rsidR="00AF51E3" w:rsidRPr="00554433" w14:paraId="524D9427" w14:textId="14893924" w:rsidTr="00AF51E3">
        <w:trPr>
          <w:trHeight w:val="300"/>
        </w:trPr>
        <w:tc>
          <w:tcPr>
            <w:tcW w:w="3476" w:type="dxa"/>
            <w:tcBorders>
              <w:top w:val="single" w:sz="4" w:space="0" w:color="auto"/>
              <w:left w:val="nil"/>
              <w:bottom w:val="single" w:sz="4" w:space="0" w:color="auto"/>
              <w:right w:val="single" w:sz="4" w:space="0" w:color="auto"/>
            </w:tcBorders>
            <w:shd w:val="clear" w:color="000000" w:fill="F5DADD"/>
            <w:noWrap/>
            <w:vAlign w:val="center"/>
            <w:hideMark/>
          </w:tcPr>
          <w:p w14:paraId="6BA6845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Sekce CZ-NACE</w:t>
            </w:r>
          </w:p>
        </w:tc>
        <w:tc>
          <w:tcPr>
            <w:tcW w:w="567" w:type="dxa"/>
            <w:tcBorders>
              <w:top w:val="single" w:sz="4" w:space="0" w:color="auto"/>
              <w:left w:val="nil"/>
              <w:bottom w:val="single" w:sz="4" w:space="0" w:color="auto"/>
              <w:right w:val="nil"/>
            </w:tcBorders>
            <w:shd w:val="clear" w:color="000000" w:fill="F5DADD"/>
            <w:noWrap/>
            <w:vAlign w:val="center"/>
            <w:hideMark/>
          </w:tcPr>
          <w:p w14:paraId="53AFD5F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2013</w:t>
            </w:r>
          </w:p>
        </w:tc>
        <w:tc>
          <w:tcPr>
            <w:tcW w:w="567" w:type="dxa"/>
            <w:tcBorders>
              <w:top w:val="single" w:sz="4" w:space="0" w:color="auto"/>
              <w:left w:val="nil"/>
              <w:bottom w:val="single" w:sz="4" w:space="0" w:color="auto"/>
              <w:right w:val="nil"/>
            </w:tcBorders>
            <w:shd w:val="clear" w:color="000000" w:fill="F5DADD"/>
            <w:noWrap/>
            <w:vAlign w:val="center"/>
            <w:hideMark/>
          </w:tcPr>
          <w:p w14:paraId="1BB156C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2014</w:t>
            </w:r>
          </w:p>
        </w:tc>
        <w:tc>
          <w:tcPr>
            <w:tcW w:w="567" w:type="dxa"/>
            <w:tcBorders>
              <w:top w:val="single" w:sz="4" w:space="0" w:color="auto"/>
              <w:left w:val="nil"/>
              <w:bottom w:val="single" w:sz="4" w:space="0" w:color="auto"/>
              <w:right w:val="nil"/>
            </w:tcBorders>
            <w:shd w:val="clear" w:color="000000" w:fill="F5DADD"/>
            <w:noWrap/>
            <w:vAlign w:val="center"/>
            <w:hideMark/>
          </w:tcPr>
          <w:p w14:paraId="7D5BD50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2015</w:t>
            </w:r>
          </w:p>
        </w:tc>
        <w:tc>
          <w:tcPr>
            <w:tcW w:w="567" w:type="dxa"/>
            <w:tcBorders>
              <w:top w:val="single" w:sz="4" w:space="0" w:color="auto"/>
              <w:left w:val="nil"/>
              <w:bottom w:val="single" w:sz="4" w:space="0" w:color="auto"/>
              <w:right w:val="nil"/>
            </w:tcBorders>
            <w:shd w:val="clear" w:color="000000" w:fill="F5DADD"/>
            <w:noWrap/>
            <w:vAlign w:val="center"/>
            <w:hideMark/>
          </w:tcPr>
          <w:p w14:paraId="4708769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2016</w:t>
            </w:r>
          </w:p>
        </w:tc>
        <w:tc>
          <w:tcPr>
            <w:tcW w:w="567" w:type="dxa"/>
            <w:tcBorders>
              <w:top w:val="single" w:sz="4" w:space="0" w:color="auto"/>
              <w:left w:val="nil"/>
              <w:bottom w:val="single" w:sz="4" w:space="0" w:color="auto"/>
              <w:right w:val="nil"/>
            </w:tcBorders>
            <w:shd w:val="clear" w:color="000000" w:fill="F5DADD"/>
            <w:noWrap/>
            <w:vAlign w:val="center"/>
            <w:hideMark/>
          </w:tcPr>
          <w:p w14:paraId="2ABA3AE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2017</w:t>
            </w:r>
          </w:p>
        </w:tc>
        <w:tc>
          <w:tcPr>
            <w:tcW w:w="567" w:type="dxa"/>
            <w:tcBorders>
              <w:top w:val="single" w:sz="4" w:space="0" w:color="auto"/>
              <w:left w:val="nil"/>
              <w:bottom w:val="single" w:sz="4" w:space="0" w:color="auto"/>
              <w:right w:val="nil"/>
            </w:tcBorders>
            <w:shd w:val="clear" w:color="000000" w:fill="F5DADD"/>
            <w:noWrap/>
            <w:vAlign w:val="center"/>
            <w:hideMark/>
          </w:tcPr>
          <w:p w14:paraId="457169C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2018</w:t>
            </w:r>
          </w:p>
        </w:tc>
        <w:tc>
          <w:tcPr>
            <w:tcW w:w="567" w:type="dxa"/>
            <w:tcBorders>
              <w:top w:val="single" w:sz="4" w:space="0" w:color="auto"/>
              <w:left w:val="nil"/>
              <w:bottom w:val="single" w:sz="4" w:space="0" w:color="auto"/>
              <w:right w:val="nil"/>
            </w:tcBorders>
            <w:shd w:val="clear" w:color="000000" w:fill="F5DADD"/>
            <w:noWrap/>
            <w:vAlign w:val="center"/>
            <w:hideMark/>
          </w:tcPr>
          <w:p w14:paraId="2AF4FA2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2019</w:t>
            </w:r>
          </w:p>
        </w:tc>
        <w:tc>
          <w:tcPr>
            <w:tcW w:w="567" w:type="dxa"/>
            <w:tcBorders>
              <w:top w:val="single" w:sz="4" w:space="0" w:color="auto"/>
              <w:left w:val="nil"/>
              <w:bottom w:val="single" w:sz="4" w:space="0" w:color="auto"/>
              <w:right w:val="nil"/>
            </w:tcBorders>
            <w:shd w:val="clear" w:color="000000" w:fill="F5DADD"/>
            <w:noWrap/>
            <w:vAlign w:val="center"/>
            <w:hideMark/>
          </w:tcPr>
          <w:p w14:paraId="132D566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2020</w:t>
            </w:r>
          </w:p>
        </w:tc>
        <w:tc>
          <w:tcPr>
            <w:tcW w:w="567" w:type="dxa"/>
            <w:tcBorders>
              <w:top w:val="single" w:sz="4" w:space="0" w:color="auto"/>
              <w:left w:val="nil"/>
              <w:bottom w:val="single" w:sz="4" w:space="0" w:color="auto"/>
              <w:right w:val="nil"/>
            </w:tcBorders>
            <w:shd w:val="clear" w:color="000000" w:fill="F5DADD"/>
            <w:noWrap/>
            <w:vAlign w:val="center"/>
            <w:hideMark/>
          </w:tcPr>
          <w:p w14:paraId="4D57812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2021</w:t>
            </w:r>
          </w:p>
        </w:tc>
        <w:tc>
          <w:tcPr>
            <w:tcW w:w="559" w:type="dxa"/>
            <w:tcBorders>
              <w:top w:val="single" w:sz="4" w:space="0" w:color="auto"/>
              <w:bottom w:val="single" w:sz="4" w:space="0" w:color="auto"/>
            </w:tcBorders>
            <w:shd w:val="clear" w:color="auto" w:fill="F5DADD"/>
            <w:vAlign w:val="center"/>
          </w:tcPr>
          <w:p w14:paraId="3102C508" w14:textId="7DF239AC"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2022</w:t>
            </w:r>
            <w:r>
              <w:rPr>
                <w:rFonts w:cs="Arial"/>
                <w:color w:val="000000"/>
                <w:sz w:val="16"/>
                <w:szCs w:val="16"/>
              </w:rPr>
              <w:t>*</w:t>
            </w:r>
          </w:p>
        </w:tc>
        <w:tc>
          <w:tcPr>
            <w:tcW w:w="500" w:type="dxa"/>
            <w:tcBorders>
              <w:top w:val="single" w:sz="4" w:space="0" w:color="auto"/>
              <w:bottom w:val="single" w:sz="4" w:space="0" w:color="auto"/>
            </w:tcBorders>
            <w:shd w:val="clear" w:color="auto" w:fill="F5DADD"/>
            <w:vAlign w:val="center"/>
          </w:tcPr>
          <w:p w14:paraId="6F61D6B1" w14:textId="6C705A14" w:rsidR="00AF51E3" w:rsidRPr="00554433" w:rsidRDefault="00AF51E3" w:rsidP="00AF51E3">
            <w:pPr>
              <w:spacing w:after="0" w:line="240" w:lineRule="auto"/>
              <w:jc w:val="center"/>
              <w:rPr>
                <w:rFonts w:cs="Arial"/>
                <w:color w:val="000000"/>
                <w:sz w:val="16"/>
                <w:szCs w:val="16"/>
              </w:rPr>
            </w:pPr>
            <w:r>
              <w:rPr>
                <w:rFonts w:cs="Arial"/>
                <w:color w:val="000000"/>
                <w:sz w:val="16"/>
                <w:szCs w:val="16"/>
              </w:rPr>
              <w:t>2023</w:t>
            </w:r>
          </w:p>
        </w:tc>
      </w:tr>
      <w:tr w:rsidR="00AF51E3" w:rsidRPr="00554433" w14:paraId="6E4C74C8" w14:textId="1776427C" w:rsidTr="00AF51E3">
        <w:trPr>
          <w:trHeight w:val="300"/>
        </w:trPr>
        <w:tc>
          <w:tcPr>
            <w:tcW w:w="3476" w:type="dxa"/>
            <w:tcBorders>
              <w:top w:val="nil"/>
              <w:left w:val="nil"/>
              <w:bottom w:val="nil"/>
              <w:right w:val="single" w:sz="4" w:space="0" w:color="auto"/>
            </w:tcBorders>
            <w:shd w:val="clear" w:color="auto" w:fill="auto"/>
            <w:vAlign w:val="center"/>
            <w:hideMark/>
          </w:tcPr>
          <w:p w14:paraId="05398A9E" w14:textId="77777777" w:rsidR="00AF51E3" w:rsidRPr="00554433" w:rsidRDefault="00AF51E3" w:rsidP="00AF51E3">
            <w:pPr>
              <w:spacing w:after="0" w:line="240" w:lineRule="auto"/>
              <w:rPr>
                <w:rFonts w:cs="Arial"/>
                <w:b/>
                <w:bCs/>
                <w:color w:val="000000"/>
                <w:sz w:val="16"/>
                <w:szCs w:val="16"/>
              </w:rPr>
            </w:pPr>
            <w:r w:rsidRPr="00554433">
              <w:rPr>
                <w:rFonts w:cs="Arial"/>
                <w:b/>
                <w:bCs/>
                <w:color w:val="000000"/>
                <w:sz w:val="16"/>
                <w:szCs w:val="16"/>
              </w:rPr>
              <w:t xml:space="preserve">Celkem </w:t>
            </w:r>
          </w:p>
        </w:tc>
        <w:tc>
          <w:tcPr>
            <w:tcW w:w="567" w:type="dxa"/>
            <w:tcBorders>
              <w:top w:val="nil"/>
              <w:left w:val="nil"/>
              <w:bottom w:val="nil"/>
              <w:right w:val="nil"/>
            </w:tcBorders>
            <w:shd w:val="clear" w:color="auto" w:fill="auto"/>
            <w:noWrap/>
            <w:vAlign w:val="center"/>
            <w:hideMark/>
          </w:tcPr>
          <w:p w14:paraId="67336E60" w14:textId="77777777" w:rsidR="00AF51E3" w:rsidRPr="00554433" w:rsidRDefault="00AF51E3" w:rsidP="00AF51E3">
            <w:pPr>
              <w:spacing w:after="0" w:line="240" w:lineRule="auto"/>
              <w:jc w:val="center"/>
              <w:rPr>
                <w:rFonts w:cs="Arial"/>
                <w:b/>
                <w:bCs/>
                <w:color w:val="000000"/>
                <w:sz w:val="16"/>
                <w:szCs w:val="16"/>
              </w:rPr>
            </w:pPr>
            <w:r w:rsidRPr="00554433">
              <w:rPr>
                <w:rFonts w:cs="Arial"/>
                <w:b/>
                <w:bCs/>
                <w:color w:val="000000"/>
                <w:sz w:val="16"/>
                <w:szCs w:val="16"/>
              </w:rPr>
              <w:t>30,0</w:t>
            </w:r>
          </w:p>
        </w:tc>
        <w:tc>
          <w:tcPr>
            <w:tcW w:w="567" w:type="dxa"/>
            <w:tcBorders>
              <w:top w:val="nil"/>
              <w:left w:val="nil"/>
              <w:bottom w:val="nil"/>
              <w:right w:val="nil"/>
            </w:tcBorders>
            <w:shd w:val="clear" w:color="auto" w:fill="auto"/>
            <w:noWrap/>
            <w:vAlign w:val="center"/>
            <w:hideMark/>
          </w:tcPr>
          <w:p w14:paraId="3B1E4167" w14:textId="77777777" w:rsidR="00AF51E3" w:rsidRPr="00554433" w:rsidRDefault="00AF51E3" w:rsidP="00AF51E3">
            <w:pPr>
              <w:spacing w:after="0" w:line="240" w:lineRule="auto"/>
              <w:jc w:val="center"/>
              <w:rPr>
                <w:rFonts w:cs="Arial"/>
                <w:b/>
                <w:bCs/>
                <w:color w:val="000000"/>
                <w:sz w:val="16"/>
                <w:szCs w:val="16"/>
              </w:rPr>
            </w:pPr>
            <w:r w:rsidRPr="00554433">
              <w:rPr>
                <w:rFonts w:cs="Arial"/>
                <w:b/>
                <w:bCs/>
                <w:color w:val="000000"/>
                <w:sz w:val="16"/>
                <w:szCs w:val="16"/>
              </w:rPr>
              <w:t>29,5</w:t>
            </w:r>
          </w:p>
        </w:tc>
        <w:tc>
          <w:tcPr>
            <w:tcW w:w="567" w:type="dxa"/>
            <w:tcBorders>
              <w:top w:val="nil"/>
              <w:left w:val="nil"/>
              <w:bottom w:val="nil"/>
              <w:right w:val="nil"/>
            </w:tcBorders>
            <w:shd w:val="clear" w:color="auto" w:fill="auto"/>
            <w:noWrap/>
            <w:vAlign w:val="center"/>
            <w:hideMark/>
          </w:tcPr>
          <w:p w14:paraId="12BFCECF" w14:textId="77777777" w:rsidR="00AF51E3" w:rsidRPr="00554433" w:rsidRDefault="00AF51E3" w:rsidP="00AF51E3">
            <w:pPr>
              <w:spacing w:after="0" w:line="240" w:lineRule="auto"/>
              <w:jc w:val="center"/>
              <w:rPr>
                <w:rFonts w:cs="Arial"/>
                <w:b/>
                <w:bCs/>
                <w:color w:val="000000"/>
                <w:sz w:val="16"/>
                <w:szCs w:val="16"/>
              </w:rPr>
            </w:pPr>
            <w:r w:rsidRPr="00554433">
              <w:rPr>
                <w:rFonts w:cs="Arial"/>
                <w:b/>
                <w:bCs/>
                <w:color w:val="000000"/>
                <w:sz w:val="16"/>
                <w:szCs w:val="16"/>
              </w:rPr>
              <w:t>34,7</w:t>
            </w:r>
          </w:p>
        </w:tc>
        <w:tc>
          <w:tcPr>
            <w:tcW w:w="567" w:type="dxa"/>
            <w:tcBorders>
              <w:top w:val="nil"/>
              <w:left w:val="nil"/>
              <w:bottom w:val="nil"/>
              <w:right w:val="nil"/>
            </w:tcBorders>
            <w:shd w:val="clear" w:color="auto" w:fill="auto"/>
            <w:noWrap/>
            <w:vAlign w:val="center"/>
            <w:hideMark/>
          </w:tcPr>
          <w:p w14:paraId="636D8C20" w14:textId="77777777" w:rsidR="00AF51E3" w:rsidRPr="00554433" w:rsidRDefault="00AF51E3" w:rsidP="00AF51E3">
            <w:pPr>
              <w:spacing w:after="0" w:line="240" w:lineRule="auto"/>
              <w:jc w:val="center"/>
              <w:rPr>
                <w:rFonts w:cs="Arial"/>
                <w:b/>
                <w:bCs/>
                <w:color w:val="000000"/>
                <w:sz w:val="16"/>
                <w:szCs w:val="16"/>
              </w:rPr>
            </w:pPr>
            <w:r w:rsidRPr="00554433">
              <w:rPr>
                <w:rFonts w:cs="Arial"/>
                <w:b/>
                <w:bCs/>
                <w:color w:val="000000"/>
                <w:sz w:val="16"/>
                <w:szCs w:val="16"/>
              </w:rPr>
              <w:t>35,7</w:t>
            </w:r>
          </w:p>
        </w:tc>
        <w:tc>
          <w:tcPr>
            <w:tcW w:w="567" w:type="dxa"/>
            <w:tcBorders>
              <w:top w:val="nil"/>
              <w:left w:val="nil"/>
              <w:bottom w:val="nil"/>
              <w:right w:val="nil"/>
            </w:tcBorders>
            <w:shd w:val="clear" w:color="auto" w:fill="auto"/>
            <w:noWrap/>
            <w:vAlign w:val="center"/>
            <w:hideMark/>
          </w:tcPr>
          <w:p w14:paraId="7CA598EA" w14:textId="77777777" w:rsidR="00AF51E3" w:rsidRPr="00554433" w:rsidRDefault="00AF51E3" w:rsidP="00AF51E3">
            <w:pPr>
              <w:spacing w:after="0" w:line="240" w:lineRule="auto"/>
              <w:jc w:val="center"/>
              <w:rPr>
                <w:rFonts w:cs="Arial"/>
                <w:b/>
                <w:bCs/>
                <w:color w:val="000000"/>
                <w:sz w:val="16"/>
                <w:szCs w:val="16"/>
              </w:rPr>
            </w:pPr>
            <w:r w:rsidRPr="00554433">
              <w:rPr>
                <w:rFonts w:cs="Arial"/>
                <w:b/>
                <w:bCs/>
                <w:color w:val="000000"/>
                <w:sz w:val="16"/>
                <w:szCs w:val="16"/>
              </w:rPr>
              <w:t>36,6</w:t>
            </w:r>
          </w:p>
        </w:tc>
        <w:tc>
          <w:tcPr>
            <w:tcW w:w="567" w:type="dxa"/>
            <w:tcBorders>
              <w:top w:val="nil"/>
              <w:left w:val="nil"/>
              <w:bottom w:val="nil"/>
              <w:right w:val="nil"/>
            </w:tcBorders>
            <w:shd w:val="clear" w:color="auto" w:fill="auto"/>
            <w:noWrap/>
            <w:vAlign w:val="center"/>
            <w:hideMark/>
          </w:tcPr>
          <w:p w14:paraId="77E83B6C" w14:textId="77777777" w:rsidR="00AF51E3" w:rsidRPr="00554433" w:rsidRDefault="00AF51E3" w:rsidP="00AF51E3">
            <w:pPr>
              <w:spacing w:after="0" w:line="240" w:lineRule="auto"/>
              <w:jc w:val="center"/>
              <w:rPr>
                <w:rFonts w:cs="Arial"/>
                <w:b/>
                <w:bCs/>
                <w:color w:val="000000"/>
                <w:sz w:val="16"/>
                <w:szCs w:val="16"/>
              </w:rPr>
            </w:pPr>
            <w:r w:rsidRPr="00554433">
              <w:rPr>
                <w:rFonts w:cs="Arial"/>
                <w:b/>
                <w:bCs/>
                <w:color w:val="000000"/>
                <w:sz w:val="16"/>
                <w:szCs w:val="16"/>
              </w:rPr>
              <w:t>39,1</w:t>
            </w:r>
          </w:p>
        </w:tc>
        <w:tc>
          <w:tcPr>
            <w:tcW w:w="567" w:type="dxa"/>
            <w:tcBorders>
              <w:top w:val="nil"/>
              <w:left w:val="nil"/>
              <w:bottom w:val="nil"/>
              <w:right w:val="nil"/>
            </w:tcBorders>
            <w:shd w:val="clear" w:color="auto" w:fill="auto"/>
            <w:noWrap/>
            <w:vAlign w:val="center"/>
            <w:hideMark/>
          </w:tcPr>
          <w:p w14:paraId="233C8629" w14:textId="77777777" w:rsidR="00AF51E3" w:rsidRPr="00554433" w:rsidRDefault="00AF51E3" w:rsidP="00AF51E3">
            <w:pPr>
              <w:spacing w:after="0" w:line="240" w:lineRule="auto"/>
              <w:jc w:val="center"/>
              <w:rPr>
                <w:rFonts w:cs="Arial"/>
                <w:b/>
                <w:bCs/>
                <w:color w:val="000000"/>
                <w:sz w:val="16"/>
                <w:szCs w:val="16"/>
              </w:rPr>
            </w:pPr>
            <w:r w:rsidRPr="00554433">
              <w:rPr>
                <w:rFonts w:cs="Arial"/>
                <w:b/>
                <w:bCs/>
                <w:color w:val="000000"/>
                <w:sz w:val="16"/>
                <w:szCs w:val="16"/>
              </w:rPr>
              <w:t>40,5</w:t>
            </w:r>
          </w:p>
        </w:tc>
        <w:tc>
          <w:tcPr>
            <w:tcW w:w="567" w:type="dxa"/>
            <w:tcBorders>
              <w:top w:val="nil"/>
              <w:left w:val="nil"/>
              <w:bottom w:val="nil"/>
              <w:right w:val="nil"/>
            </w:tcBorders>
            <w:shd w:val="clear" w:color="auto" w:fill="auto"/>
            <w:noWrap/>
            <w:vAlign w:val="center"/>
            <w:hideMark/>
          </w:tcPr>
          <w:p w14:paraId="63F3AA55" w14:textId="77777777" w:rsidR="00AF51E3" w:rsidRPr="00554433" w:rsidRDefault="00AF51E3" w:rsidP="00AF51E3">
            <w:pPr>
              <w:spacing w:after="0" w:line="240" w:lineRule="auto"/>
              <w:jc w:val="center"/>
              <w:rPr>
                <w:rFonts w:cs="Arial"/>
                <w:b/>
                <w:bCs/>
                <w:color w:val="000000"/>
                <w:sz w:val="16"/>
                <w:szCs w:val="16"/>
              </w:rPr>
            </w:pPr>
            <w:r w:rsidRPr="00554433">
              <w:rPr>
                <w:rFonts w:cs="Arial"/>
                <w:b/>
                <w:bCs/>
                <w:color w:val="000000"/>
                <w:sz w:val="16"/>
                <w:szCs w:val="16"/>
              </w:rPr>
              <w:t>51,0</w:t>
            </w:r>
          </w:p>
        </w:tc>
        <w:tc>
          <w:tcPr>
            <w:tcW w:w="567" w:type="dxa"/>
            <w:tcBorders>
              <w:top w:val="nil"/>
              <w:left w:val="nil"/>
              <w:bottom w:val="nil"/>
              <w:right w:val="nil"/>
            </w:tcBorders>
            <w:shd w:val="clear" w:color="auto" w:fill="auto"/>
            <w:noWrap/>
            <w:vAlign w:val="center"/>
            <w:hideMark/>
          </w:tcPr>
          <w:p w14:paraId="15DA7E1C" w14:textId="77777777" w:rsidR="00AF51E3" w:rsidRPr="00554433" w:rsidRDefault="00AF51E3" w:rsidP="00AF51E3">
            <w:pPr>
              <w:spacing w:after="0" w:line="240" w:lineRule="auto"/>
              <w:jc w:val="center"/>
              <w:rPr>
                <w:rFonts w:cs="Arial"/>
                <w:b/>
                <w:bCs/>
                <w:color w:val="000000"/>
                <w:sz w:val="16"/>
                <w:szCs w:val="16"/>
              </w:rPr>
            </w:pPr>
            <w:r w:rsidRPr="00554433">
              <w:rPr>
                <w:rFonts w:cs="Arial"/>
                <w:b/>
                <w:bCs/>
                <w:color w:val="000000"/>
                <w:sz w:val="16"/>
                <w:szCs w:val="16"/>
              </w:rPr>
              <w:t>58,5</w:t>
            </w:r>
          </w:p>
        </w:tc>
        <w:tc>
          <w:tcPr>
            <w:tcW w:w="559" w:type="dxa"/>
            <w:tcBorders>
              <w:top w:val="single" w:sz="4" w:space="0" w:color="auto"/>
            </w:tcBorders>
            <w:vAlign w:val="center"/>
          </w:tcPr>
          <w:p w14:paraId="7A24BBFB" w14:textId="77777777" w:rsidR="00AF51E3" w:rsidRPr="000C02B0" w:rsidRDefault="00AF51E3" w:rsidP="00AF51E3">
            <w:pPr>
              <w:spacing w:after="0" w:line="240" w:lineRule="auto"/>
              <w:jc w:val="center"/>
              <w:rPr>
                <w:rFonts w:cs="Arial"/>
                <w:b/>
                <w:color w:val="000000"/>
                <w:sz w:val="16"/>
                <w:szCs w:val="16"/>
              </w:rPr>
            </w:pPr>
            <w:r w:rsidRPr="000C02B0">
              <w:rPr>
                <w:rFonts w:cs="Arial"/>
                <w:b/>
                <w:color w:val="000000"/>
                <w:sz w:val="16"/>
                <w:szCs w:val="16"/>
              </w:rPr>
              <w:t>72,8</w:t>
            </w:r>
          </w:p>
        </w:tc>
        <w:tc>
          <w:tcPr>
            <w:tcW w:w="500" w:type="dxa"/>
            <w:tcBorders>
              <w:top w:val="single" w:sz="4" w:space="0" w:color="auto"/>
            </w:tcBorders>
            <w:vAlign w:val="center"/>
          </w:tcPr>
          <w:p w14:paraId="2EE13E07" w14:textId="2D3C95BF" w:rsidR="00AF51E3" w:rsidRPr="000C02B0" w:rsidRDefault="00AF51E3" w:rsidP="00AF51E3">
            <w:pPr>
              <w:spacing w:after="0" w:line="240" w:lineRule="auto"/>
              <w:jc w:val="right"/>
              <w:rPr>
                <w:rFonts w:cs="Arial"/>
                <w:b/>
                <w:color w:val="000000"/>
                <w:sz w:val="16"/>
                <w:szCs w:val="16"/>
              </w:rPr>
            </w:pPr>
            <w:r>
              <w:rPr>
                <w:rFonts w:cs="Arial"/>
                <w:b/>
                <w:bCs/>
                <w:color w:val="000000"/>
                <w:sz w:val="16"/>
                <w:szCs w:val="16"/>
              </w:rPr>
              <w:t>53,2</w:t>
            </w:r>
          </w:p>
        </w:tc>
      </w:tr>
      <w:tr w:rsidR="00AF51E3" w:rsidRPr="00554433" w14:paraId="02A2AFD6" w14:textId="1215681D" w:rsidTr="00AF51E3">
        <w:trPr>
          <w:trHeight w:val="300"/>
        </w:trPr>
        <w:tc>
          <w:tcPr>
            <w:tcW w:w="3476" w:type="dxa"/>
            <w:tcBorders>
              <w:top w:val="nil"/>
              <w:left w:val="nil"/>
              <w:bottom w:val="nil"/>
              <w:right w:val="single" w:sz="4" w:space="0" w:color="auto"/>
            </w:tcBorders>
            <w:shd w:val="clear" w:color="auto" w:fill="auto"/>
            <w:vAlign w:val="center"/>
            <w:hideMark/>
          </w:tcPr>
          <w:p w14:paraId="06290C61"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A – Zemědělství, lesnictví a rybářství</w:t>
            </w:r>
          </w:p>
        </w:tc>
        <w:tc>
          <w:tcPr>
            <w:tcW w:w="567" w:type="dxa"/>
            <w:tcBorders>
              <w:top w:val="nil"/>
              <w:left w:val="nil"/>
              <w:bottom w:val="nil"/>
              <w:right w:val="nil"/>
            </w:tcBorders>
            <w:shd w:val="clear" w:color="auto" w:fill="auto"/>
            <w:noWrap/>
            <w:vAlign w:val="center"/>
            <w:hideMark/>
          </w:tcPr>
          <w:p w14:paraId="160E818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27,4</w:t>
            </w:r>
          </w:p>
        </w:tc>
        <w:tc>
          <w:tcPr>
            <w:tcW w:w="567" w:type="dxa"/>
            <w:tcBorders>
              <w:top w:val="nil"/>
              <w:left w:val="nil"/>
              <w:bottom w:val="nil"/>
              <w:right w:val="nil"/>
            </w:tcBorders>
            <w:shd w:val="clear" w:color="auto" w:fill="auto"/>
            <w:noWrap/>
            <w:vAlign w:val="center"/>
            <w:hideMark/>
          </w:tcPr>
          <w:p w14:paraId="458C295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26,5</w:t>
            </w:r>
          </w:p>
        </w:tc>
        <w:tc>
          <w:tcPr>
            <w:tcW w:w="567" w:type="dxa"/>
            <w:tcBorders>
              <w:top w:val="nil"/>
              <w:left w:val="nil"/>
              <w:bottom w:val="nil"/>
              <w:right w:val="nil"/>
            </w:tcBorders>
            <w:shd w:val="clear" w:color="auto" w:fill="auto"/>
            <w:noWrap/>
            <w:vAlign w:val="center"/>
            <w:hideMark/>
          </w:tcPr>
          <w:p w14:paraId="2D1A5D1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30,6</w:t>
            </w:r>
          </w:p>
        </w:tc>
        <w:tc>
          <w:tcPr>
            <w:tcW w:w="567" w:type="dxa"/>
            <w:tcBorders>
              <w:top w:val="nil"/>
              <w:left w:val="nil"/>
              <w:bottom w:val="nil"/>
              <w:right w:val="nil"/>
            </w:tcBorders>
            <w:shd w:val="clear" w:color="auto" w:fill="auto"/>
            <w:noWrap/>
            <w:vAlign w:val="center"/>
            <w:hideMark/>
          </w:tcPr>
          <w:p w14:paraId="6771686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30,9</w:t>
            </w:r>
          </w:p>
        </w:tc>
        <w:tc>
          <w:tcPr>
            <w:tcW w:w="567" w:type="dxa"/>
            <w:tcBorders>
              <w:top w:val="nil"/>
              <w:left w:val="nil"/>
              <w:bottom w:val="nil"/>
              <w:right w:val="nil"/>
            </w:tcBorders>
            <w:shd w:val="clear" w:color="auto" w:fill="auto"/>
            <w:noWrap/>
            <w:vAlign w:val="center"/>
            <w:hideMark/>
          </w:tcPr>
          <w:p w14:paraId="04BF5B1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32,4</w:t>
            </w:r>
          </w:p>
        </w:tc>
        <w:tc>
          <w:tcPr>
            <w:tcW w:w="567" w:type="dxa"/>
            <w:tcBorders>
              <w:top w:val="nil"/>
              <w:left w:val="nil"/>
              <w:bottom w:val="nil"/>
              <w:right w:val="nil"/>
            </w:tcBorders>
            <w:shd w:val="clear" w:color="auto" w:fill="auto"/>
            <w:noWrap/>
            <w:vAlign w:val="center"/>
            <w:hideMark/>
          </w:tcPr>
          <w:p w14:paraId="3C15434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34,4</w:t>
            </w:r>
          </w:p>
        </w:tc>
        <w:tc>
          <w:tcPr>
            <w:tcW w:w="567" w:type="dxa"/>
            <w:tcBorders>
              <w:top w:val="nil"/>
              <w:left w:val="nil"/>
              <w:bottom w:val="nil"/>
              <w:right w:val="nil"/>
            </w:tcBorders>
            <w:shd w:val="clear" w:color="auto" w:fill="auto"/>
            <w:noWrap/>
            <w:vAlign w:val="center"/>
            <w:hideMark/>
          </w:tcPr>
          <w:p w14:paraId="16C2420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34,6</w:t>
            </w:r>
          </w:p>
        </w:tc>
        <w:tc>
          <w:tcPr>
            <w:tcW w:w="567" w:type="dxa"/>
            <w:tcBorders>
              <w:top w:val="nil"/>
              <w:left w:val="nil"/>
              <w:bottom w:val="nil"/>
              <w:right w:val="nil"/>
            </w:tcBorders>
            <w:shd w:val="clear" w:color="auto" w:fill="auto"/>
            <w:noWrap/>
            <w:vAlign w:val="center"/>
            <w:hideMark/>
          </w:tcPr>
          <w:p w14:paraId="356AB99D"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43,0</w:t>
            </w:r>
          </w:p>
        </w:tc>
        <w:tc>
          <w:tcPr>
            <w:tcW w:w="567" w:type="dxa"/>
            <w:tcBorders>
              <w:top w:val="nil"/>
              <w:left w:val="nil"/>
              <w:bottom w:val="nil"/>
              <w:right w:val="nil"/>
            </w:tcBorders>
            <w:shd w:val="clear" w:color="auto" w:fill="auto"/>
            <w:noWrap/>
            <w:vAlign w:val="center"/>
            <w:hideMark/>
          </w:tcPr>
          <w:p w14:paraId="5A5F9E0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52,8</w:t>
            </w:r>
          </w:p>
        </w:tc>
        <w:tc>
          <w:tcPr>
            <w:tcW w:w="559" w:type="dxa"/>
            <w:vAlign w:val="center"/>
          </w:tcPr>
          <w:p w14:paraId="213ED5F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58,1</w:t>
            </w:r>
          </w:p>
        </w:tc>
        <w:tc>
          <w:tcPr>
            <w:tcW w:w="500" w:type="dxa"/>
            <w:vAlign w:val="center"/>
          </w:tcPr>
          <w:p w14:paraId="5A47E4A5" w14:textId="08498A32" w:rsidR="00AF51E3" w:rsidRPr="00554433" w:rsidRDefault="00AF51E3" w:rsidP="00AF51E3">
            <w:pPr>
              <w:spacing w:after="0" w:line="240" w:lineRule="auto"/>
              <w:jc w:val="right"/>
              <w:rPr>
                <w:rFonts w:cs="Arial"/>
                <w:color w:val="000000"/>
                <w:sz w:val="16"/>
                <w:szCs w:val="16"/>
              </w:rPr>
            </w:pPr>
            <w:r>
              <w:rPr>
                <w:rFonts w:cs="Arial"/>
                <w:color w:val="000000"/>
                <w:sz w:val="16"/>
                <w:szCs w:val="16"/>
              </w:rPr>
              <w:t>41,7</w:t>
            </w:r>
          </w:p>
        </w:tc>
      </w:tr>
      <w:tr w:rsidR="00AF51E3" w:rsidRPr="00554433" w14:paraId="422912B9" w14:textId="131B6C0E" w:rsidTr="00AF51E3">
        <w:trPr>
          <w:trHeight w:val="300"/>
        </w:trPr>
        <w:tc>
          <w:tcPr>
            <w:tcW w:w="3476" w:type="dxa"/>
            <w:tcBorders>
              <w:top w:val="nil"/>
              <w:left w:val="nil"/>
              <w:bottom w:val="nil"/>
              <w:right w:val="single" w:sz="4" w:space="0" w:color="auto"/>
            </w:tcBorders>
            <w:shd w:val="clear" w:color="auto" w:fill="auto"/>
            <w:vAlign w:val="center"/>
            <w:hideMark/>
          </w:tcPr>
          <w:p w14:paraId="36404F14"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B – Těžba a dobývání</w:t>
            </w:r>
          </w:p>
        </w:tc>
        <w:tc>
          <w:tcPr>
            <w:tcW w:w="567" w:type="dxa"/>
            <w:tcBorders>
              <w:top w:val="nil"/>
              <w:left w:val="nil"/>
              <w:bottom w:val="nil"/>
              <w:right w:val="nil"/>
            </w:tcBorders>
            <w:shd w:val="clear" w:color="auto" w:fill="auto"/>
            <w:noWrap/>
            <w:vAlign w:val="center"/>
            <w:hideMark/>
          </w:tcPr>
          <w:p w14:paraId="4BB4C92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38,9</w:t>
            </w:r>
          </w:p>
        </w:tc>
        <w:tc>
          <w:tcPr>
            <w:tcW w:w="567" w:type="dxa"/>
            <w:tcBorders>
              <w:top w:val="nil"/>
              <w:left w:val="nil"/>
              <w:bottom w:val="nil"/>
              <w:right w:val="nil"/>
            </w:tcBorders>
            <w:shd w:val="clear" w:color="auto" w:fill="auto"/>
            <w:noWrap/>
            <w:vAlign w:val="center"/>
            <w:hideMark/>
          </w:tcPr>
          <w:p w14:paraId="7196F44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36,0</w:t>
            </w:r>
          </w:p>
        </w:tc>
        <w:tc>
          <w:tcPr>
            <w:tcW w:w="567" w:type="dxa"/>
            <w:tcBorders>
              <w:top w:val="nil"/>
              <w:left w:val="nil"/>
              <w:bottom w:val="nil"/>
              <w:right w:val="nil"/>
            </w:tcBorders>
            <w:shd w:val="clear" w:color="auto" w:fill="auto"/>
            <w:noWrap/>
            <w:vAlign w:val="center"/>
            <w:hideMark/>
          </w:tcPr>
          <w:p w14:paraId="472535D5"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39,7</w:t>
            </w:r>
          </w:p>
        </w:tc>
        <w:tc>
          <w:tcPr>
            <w:tcW w:w="567" w:type="dxa"/>
            <w:tcBorders>
              <w:top w:val="nil"/>
              <w:left w:val="nil"/>
              <w:bottom w:val="nil"/>
              <w:right w:val="nil"/>
            </w:tcBorders>
            <w:shd w:val="clear" w:color="auto" w:fill="auto"/>
            <w:noWrap/>
            <w:vAlign w:val="center"/>
            <w:hideMark/>
          </w:tcPr>
          <w:p w14:paraId="798F0C82"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39,7</w:t>
            </w:r>
          </w:p>
        </w:tc>
        <w:tc>
          <w:tcPr>
            <w:tcW w:w="567" w:type="dxa"/>
            <w:tcBorders>
              <w:top w:val="nil"/>
              <w:left w:val="nil"/>
              <w:bottom w:val="nil"/>
              <w:right w:val="nil"/>
            </w:tcBorders>
            <w:shd w:val="clear" w:color="auto" w:fill="auto"/>
            <w:noWrap/>
            <w:vAlign w:val="center"/>
            <w:hideMark/>
          </w:tcPr>
          <w:p w14:paraId="7FDFD92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39,5</w:t>
            </w:r>
          </w:p>
        </w:tc>
        <w:tc>
          <w:tcPr>
            <w:tcW w:w="567" w:type="dxa"/>
            <w:tcBorders>
              <w:top w:val="nil"/>
              <w:left w:val="nil"/>
              <w:bottom w:val="nil"/>
              <w:right w:val="nil"/>
            </w:tcBorders>
            <w:shd w:val="clear" w:color="auto" w:fill="auto"/>
            <w:noWrap/>
            <w:vAlign w:val="center"/>
            <w:hideMark/>
          </w:tcPr>
          <w:p w14:paraId="499A85C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42,7</w:t>
            </w:r>
          </w:p>
        </w:tc>
        <w:tc>
          <w:tcPr>
            <w:tcW w:w="567" w:type="dxa"/>
            <w:tcBorders>
              <w:top w:val="nil"/>
              <w:left w:val="nil"/>
              <w:bottom w:val="nil"/>
              <w:right w:val="nil"/>
            </w:tcBorders>
            <w:shd w:val="clear" w:color="auto" w:fill="auto"/>
            <w:noWrap/>
            <w:vAlign w:val="center"/>
            <w:hideMark/>
          </w:tcPr>
          <w:p w14:paraId="480C2B8B"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44,5</w:t>
            </w:r>
          </w:p>
        </w:tc>
        <w:tc>
          <w:tcPr>
            <w:tcW w:w="567" w:type="dxa"/>
            <w:tcBorders>
              <w:top w:val="nil"/>
              <w:left w:val="nil"/>
              <w:bottom w:val="nil"/>
              <w:right w:val="nil"/>
            </w:tcBorders>
            <w:shd w:val="clear" w:color="auto" w:fill="auto"/>
            <w:noWrap/>
            <w:vAlign w:val="center"/>
            <w:hideMark/>
          </w:tcPr>
          <w:p w14:paraId="15EF491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71,1</w:t>
            </w:r>
          </w:p>
        </w:tc>
        <w:tc>
          <w:tcPr>
            <w:tcW w:w="567" w:type="dxa"/>
            <w:tcBorders>
              <w:top w:val="nil"/>
              <w:left w:val="nil"/>
              <w:bottom w:val="nil"/>
              <w:right w:val="nil"/>
            </w:tcBorders>
            <w:shd w:val="clear" w:color="auto" w:fill="auto"/>
            <w:noWrap/>
            <w:vAlign w:val="center"/>
            <w:hideMark/>
          </w:tcPr>
          <w:p w14:paraId="17D2D54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70,1</w:t>
            </w:r>
          </w:p>
        </w:tc>
        <w:tc>
          <w:tcPr>
            <w:tcW w:w="559" w:type="dxa"/>
            <w:vAlign w:val="center"/>
          </w:tcPr>
          <w:p w14:paraId="0E4D2FA2"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75,3</w:t>
            </w:r>
          </w:p>
        </w:tc>
        <w:tc>
          <w:tcPr>
            <w:tcW w:w="500" w:type="dxa"/>
            <w:vAlign w:val="center"/>
          </w:tcPr>
          <w:p w14:paraId="1E0D0DF5" w14:textId="0847506C" w:rsidR="00AF51E3" w:rsidRPr="00554433" w:rsidRDefault="00AF51E3" w:rsidP="00AF51E3">
            <w:pPr>
              <w:spacing w:after="0" w:line="240" w:lineRule="auto"/>
              <w:jc w:val="right"/>
              <w:rPr>
                <w:rFonts w:cs="Arial"/>
                <w:color w:val="000000"/>
                <w:sz w:val="16"/>
                <w:szCs w:val="16"/>
              </w:rPr>
            </w:pPr>
            <w:r>
              <w:rPr>
                <w:rFonts w:cs="Arial"/>
                <w:color w:val="000000"/>
                <w:sz w:val="16"/>
                <w:szCs w:val="16"/>
              </w:rPr>
              <w:t>51,9</w:t>
            </w:r>
          </w:p>
        </w:tc>
      </w:tr>
      <w:tr w:rsidR="00AF51E3" w:rsidRPr="00554433" w14:paraId="1F9468BB" w14:textId="75DD44AB" w:rsidTr="00AF51E3">
        <w:trPr>
          <w:trHeight w:val="300"/>
        </w:trPr>
        <w:tc>
          <w:tcPr>
            <w:tcW w:w="3476" w:type="dxa"/>
            <w:tcBorders>
              <w:top w:val="nil"/>
              <w:left w:val="nil"/>
              <w:bottom w:val="nil"/>
              <w:right w:val="single" w:sz="4" w:space="0" w:color="auto"/>
            </w:tcBorders>
            <w:shd w:val="clear" w:color="auto" w:fill="auto"/>
            <w:vAlign w:val="center"/>
            <w:hideMark/>
          </w:tcPr>
          <w:p w14:paraId="3CC017E0"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C – Zpracovatelský průmysl</w:t>
            </w:r>
          </w:p>
        </w:tc>
        <w:tc>
          <w:tcPr>
            <w:tcW w:w="567" w:type="dxa"/>
            <w:tcBorders>
              <w:top w:val="nil"/>
              <w:left w:val="nil"/>
              <w:bottom w:val="nil"/>
              <w:right w:val="nil"/>
            </w:tcBorders>
            <w:shd w:val="clear" w:color="auto" w:fill="auto"/>
            <w:noWrap/>
            <w:vAlign w:val="center"/>
            <w:hideMark/>
          </w:tcPr>
          <w:p w14:paraId="0D16ACD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37,6</w:t>
            </w:r>
          </w:p>
        </w:tc>
        <w:tc>
          <w:tcPr>
            <w:tcW w:w="567" w:type="dxa"/>
            <w:tcBorders>
              <w:top w:val="nil"/>
              <w:left w:val="nil"/>
              <w:bottom w:val="nil"/>
              <w:right w:val="nil"/>
            </w:tcBorders>
            <w:shd w:val="clear" w:color="auto" w:fill="auto"/>
            <w:noWrap/>
            <w:vAlign w:val="center"/>
            <w:hideMark/>
          </w:tcPr>
          <w:p w14:paraId="39F18ED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37,7</w:t>
            </w:r>
          </w:p>
        </w:tc>
        <w:tc>
          <w:tcPr>
            <w:tcW w:w="567" w:type="dxa"/>
            <w:tcBorders>
              <w:top w:val="nil"/>
              <w:left w:val="nil"/>
              <w:bottom w:val="nil"/>
              <w:right w:val="nil"/>
            </w:tcBorders>
            <w:shd w:val="clear" w:color="auto" w:fill="auto"/>
            <w:noWrap/>
            <w:vAlign w:val="center"/>
            <w:hideMark/>
          </w:tcPr>
          <w:p w14:paraId="0301CD0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45,1</w:t>
            </w:r>
          </w:p>
        </w:tc>
        <w:tc>
          <w:tcPr>
            <w:tcW w:w="567" w:type="dxa"/>
            <w:tcBorders>
              <w:top w:val="nil"/>
              <w:left w:val="nil"/>
              <w:bottom w:val="nil"/>
              <w:right w:val="nil"/>
            </w:tcBorders>
            <w:shd w:val="clear" w:color="auto" w:fill="auto"/>
            <w:noWrap/>
            <w:vAlign w:val="center"/>
            <w:hideMark/>
          </w:tcPr>
          <w:p w14:paraId="7723A09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47,2</w:t>
            </w:r>
          </w:p>
        </w:tc>
        <w:tc>
          <w:tcPr>
            <w:tcW w:w="567" w:type="dxa"/>
            <w:tcBorders>
              <w:top w:val="nil"/>
              <w:left w:val="nil"/>
              <w:bottom w:val="nil"/>
              <w:right w:val="nil"/>
            </w:tcBorders>
            <w:shd w:val="clear" w:color="auto" w:fill="auto"/>
            <w:noWrap/>
            <w:vAlign w:val="center"/>
            <w:hideMark/>
          </w:tcPr>
          <w:p w14:paraId="2CD3D3C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48,2</w:t>
            </w:r>
          </w:p>
        </w:tc>
        <w:tc>
          <w:tcPr>
            <w:tcW w:w="567" w:type="dxa"/>
            <w:tcBorders>
              <w:top w:val="nil"/>
              <w:left w:val="nil"/>
              <w:bottom w:val="nil"/>
              <w:right w:val="nil"/>
            </w:tcBorders>
            <w:shd w:val="clear" w:color="auto" w:fill="auto"/>
            <w:noWrap/>
            <w:vAlign w:val="center"/>
            <w:hideMark/>
          </w:tcPr>
          <w:p w14:paraId="556FBEC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51,8</w:t>
            </w:r>
          </w:p>
        </w:tc>
        <w:tc>
          <w:tcPr>
            <w:tcW w:w="567" w:type="dxa"/>
            <w:tcBorders>
              <w:top w:val="nil"/>
              <w:left w:val="nil"/>
              <w:bottom w:val="nil"/>
              <w:right w:val="nil"/>
            </w:tcBorders>
            <w:shd w:val="clear" w:color="auto" w:fill="auto"/>
            <w:noWrap/>
            <w:vAlign w:val="center"/>
            <w:hideMark/>
          </w:tcPr>
          <w:p w14:paraId="3AF6911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53,9</w:t>
            </w:r>
          </w:p>
        </w:tc>
        <w:tc>
          <w:tcPr>
            <w:tcW w:w="567" w:type="dxa"/>
            <w:tcBorders>
              <w:top w:val="nil"/>
              <w:left w:val="nil"/>
              <w:bottom w:val="nil"/>
              <w:right w:val="nil"/>
            </w:tcBorders>
            <w:shd w:val="clear" w:color="auto" w:fill="auto"/>
            <w:noWrap/>
            <w:vAlign w:val="center"/>
            <w:hideMark/>
          </w:tcPr>
          <w:p w14:paraId="2028ED0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67,1</w:t>
            </w:r>
          </w:p>
        </w:tc>
        <w:tc>
          <w:tcPr>
            <w:tcW w:w="567" w:type="dxa"/>
            <w:tcBorders>
              <w:top w:val="nil"/>
              <w:left w:val="nil"/>
              <w:bottom w:val="nil"/>
              <w:right w:val="nil"/>
            </w:tcBorders>
            <w:shd w:val="clear" w:color="auto" w:fill="auto"/>
            <w:noWrap/>
            <w:vAlign w:val="center"/>
            <w:hideMark/>
          </w:tcPr>
          <w:p w14:paraId="5D1B19C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80,4</w:t>
            </w:r>
          </w:p>
        </w:tc>
        <w:tc>
          <w:tcPr>
            <w:tcW w:w="559" w:type="dxa"/>
            <w:vAlign w:val="center"/>
          </w:tcPr>
          <w:p w14:paraId="73B91CD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94,6</w:t>
            </w:r>
          </w:p>
        </w:tc>
        <w:tc>
          <w:tcPr>
            <w:tcW w:w="500" w:type="dxa"/>
            <w:vAlign w:val="center"/>
          </w:tcPr>
          <w:p w14:paraId="44A05E10" w14:textId="32E4F1D0" w:rsidR="00AF51E3" w:rsidRPr="00554433" w:rsidRDefault="00AF51E3" w:rsidP="00AF51E3">
            <w:pPr>
              <w:spacing w:after="0" w:line="240" w:lineRule="auto"/>
              <w:jc w:val="right"/>
              <w:rPr>
                <w:rFonts w:cs="Arial"/>
                <w:color w:val="000000"/>
                <w:sz w:val="16"/>
                <w:szCs w:val="16"/>
              </w:rPr>
            </w:pPr>
            <w:r>
              <w:rPr>
                <w:rFonts w:cs="Arial"/>
                <w:color w:val="000000"/>
                <w:sz w:val="16"/>
                <w:szCs w:val="16"/>
              </w:rPr>
              <w:t>69,1</w:t>
            </w:r>
          </w:p>
        </w:tc>
      </w:tr>
      <w:tr w:rsidR="00AF51E3" w:rsidRPr="00554433" w14:paraId="77765A80" w14:textId="57457516" w:rsidTr="00AF51E3">
        <w:trPr>
          <w:trHeight w:val="480"/>
        </w:trPr>
        <w:tc>
          <w:tcPr>
            <w:tcW w:w="3476" w:type="dxa"/>
            <w:tcBorders>
              <w:top w:val="nil"/>
              <w:left w:val="nil"/>
              <w:bottom w:val="nil"/>
              <w:right w:val="single" w:sz="4" w:space="0" w:color="auto"/>
            </w:tcBorders>
            <w:shd w:val="clear" w:color="auto" w:fill="auto"/>
            <w:vAlign w:val="center"/>
            <w:hideMark/>
          </w:tcPr>
          <w:p w14:paraId="1B8294E5"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 xml:space="preserve">D – Výroba a rozvod elektřiny, plynu, </w:t>
            </w:r>
            <w:r w:rsidRPr="00554433">
              <w:rPr>
                <w:rFonts w:cs="Arial"/>
                <w:color w:val="000000"/>
                <w:sz w:val="16"/>
                <w:szCs w:val="16"/>
              </w:rPr>
              <w:br/>
              <w:t xml:space="preserve">          tepla a klimatizovaného vzduchu</w:t>
            </w:r>
          </w:p>
        </w:tc>
        <w:tc>
          <w:tcPr>
            <w:tcW w:w="567" w:type="dxa"/>
            <w:tcBorders>
              <w:top w:val="nil"/>
              <w:left w:val="nil"/>
              <w:bottom w:val="nil"/>
              <w:right w:val="nil"/>
            </w:tcBorders>
            <w:shd w:val="clear" w:color="auto" w:fill="auto"/>
            <w:noWrap/>
            <w:vAlign w:val="center"/>
            <w:hideMark/>
          </w:tcPr>
          <w:p w14:paraId="62B138E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20,2</w:t>
            </w:r>
          </w:p>
        </w:tc>
        <w:tc>
          <w:tcPr>
            <w:tcW w:w="567" w:type="dxa"/>
            <w:tcBorders>
              <w:top w:val="nil"/>
              <w:left w:val="nil"/>
              <w:bottom w:val="nil"/>
              <w:right w:val="nil"/>
            </w:tcBorders>
            <w:shd w:val="clear" w:color="auto" w:fill="auto"/>
            <w:noWrap/>
            <w:vAlign w:val="center"/>
            <w:hideMark/>
          </w:tcPr>
          <w:p w14:paraId="43E03F72"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19,7</w:t>
            </w:r>
          </w:p>
        </w:tc>
        <w:tc>
          <w:tcPr>
            <w:tcW w:w="567" w:type="dxa"/>
            <w:tcBorders>
              <w:top w:val="nil"/>
              <w:left w:val="nil"/>
              <w:bottom w:val="nil"/>
              <w:right w:val="nil"/>
            </w:tcBorders>
            <w:shd w:val="clear" w:color="auto" w:fill="auto"/>
            <w:noWrap/>
            <w:vAlign w:val="center"/>
            <w:hideMark/>
          </w:tcPr>
          <w:p w14:paraId="0CEED03C"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23,0</w:t>
            </w:r>
          </w:p>
        </w:tc>
        <w:tc>
          <w:tcPr>
            <w:tcW w:w="567" w:type="dxa"/>
            <w:tcBorders>
              <w:top w:val="nil"/>
              <w:left w:val="nil"/>
              <w:bottom w:val="nil"/>
              <w:right w:val="nil"/>
            </w:tcBorders>
            <w:shd w:val="clear" w:color="auto" w:fill="auto"/>
            <w:noWrap/>
            <w:vAlign w:val="center"/>
            <w:hideMark/>
          </w:tcPr>
          <w:p w14:paraId="40B73CC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23,5</w:t>
            </w:r>
          </w:p>
        </w:tc>
        <w:tc>
          <w:tcPr>
            <w:tcW w:w="567" w:type="dxa"/>
            <w:tcBorders>
              <w:top w:val="nil"/>
              <w:left w:val="nil"/>
              <w:bottom w:val="nil"/>
              <w:right w:val="nil"/>
            </w:tcBorders>
            <w:shd w:val="clear" w:color="auto" w:fill="auto"/>
            <w:noWrap/>
            <w:vAlign w:val="center"/>
            <w:hideMark/>
          </w:tcPr>
          <w:p w14:paraId="50A373DC"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25,3</w:t>
            </w:r>
          </w:p>
        </w:tc>
        <w:tc>
          <w:tcPr>
            <w:tcW w:w="567" w:type="dxa"/>
            <w:tcBorders>
              <w:top w:val="nil"/>
              <w:left w:val="nil"/>
              <w:bottom w:val="nil"/>
              <w:right w:val="nil"/>
            </w:tcBorders>
            <w:shd w:val="clear" w:color="auto" w:fill="auto"/>
            <w:noWrap/>
            <w:vAlign w:val="center"/>
            <w:hideMark/>
          </w:tcPr>
          <w:p w14:paraId="29A0A96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29,0</w:t>
            </w:r>
          </w:p>
        </w:tc>
        <w:tc>
          <w:tcPr>
            <w:tcW w:w="567" w:type="dxa"/>
            <w:tcBorders>
              <w:top w:val="nil"/>
              <w:left w:val="nil"/>
              <w:bottom w:val="nil"/>
              <w:right w:val="nil"/>
            </w:tcBorders>
            <w:shd w:val="clear" w:color="auto" w:fill="auto"/>
            <w:noWrap/>
            <w:vAlign w:val="center"/>
            <w:hideMark/>
          </w:tcPr>
          <w:p w14:paraId="138F65C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30,0</w:t>
            </w:r>
          </w:p>
        </w:tc>
        <w:tc>
          <w:tcPr>
            <w:tcW w:w="567" w:type="dxa"/>
            <w:tcBorders>
              <w:top w:val="nil"/>
              <w:left w:val="nil"/>
              <w:bottom w:val="nil"/>
              <w:right w:val="nil"/>
            </w:tcBorders>
            <w:shd w:val="clear" w:color="auto" w:fill="auto"/>
            <w:noWrap/>
            <w:vAlign w:val="center"/>
            <w:hideMark/>
          </w:tcPr>
          <w:p w14:paraId="7F4148B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36,1</w:t>
            </w:r>
          </w:p>
        </w:tc>
        <w:tc>
          <w:tcPr>
            <w:tcW w:w="567" w:type="dxa"/>
            <w:tcBorders>
              <w:top w:val="nil"/>
              <w:left w:val="nil"/>
              <w:bottom w:val="nil"/>
              <w:right w:val="nil"/>
            </w:tcBorders>
            <w:shd w:val="clear" w:color="auto" w:fill="auto"/>
            <w:noWrap/>
            <w:vAlign w:val="center"/>
            <w:hideMark/>
          </w:tcPr>
          <w:p w14:paraId="068F1C6D"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41,9</w:t>
            </w:r>
          </w:p>
        </w:tc>
        <w:tc>
          <w:tcPr>
            <w:tcW w:w="559" w:type="dxa"/>
            <w:vAlign w:val="center"/>
          </w:tcPr>
          <w:p w14:paraId="3B423EF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51,5</w:t>
            </w:r>
          </w:p>
        </w:tc>
        <w:tc>
          <w:tcPr>
            <w:tcW w:w="500" w:type="dxa"/>
            <w:vAlign w:val="center"/>
          </w:tcPr>
          <w:p w14:paraId="1EA9AEB3" w14:textId="141D8358" w:rsidR="00AF51E3" w:rsidRPr="00554433" w:rsidRDefault="00AF51E3" w:rsidP="00AF51E3">
            <w:pPr>
              <w:spacing w:after="0" w:line="240" w:lineRule="auto"/>
              <w:jc w:val="right"/>
              <w:rPr>
                <w:rFonts w:cs="Arial"/>
                <w:color w:val="000000"/>
                <w:sz w:val="16"/>
                <w:szCs w:val="16"/>
              </w:rPr>
            </w:pPr>
            <w:r>
              <w:rPr>
                <w:rFonts w:cs="Arial"/>
                <w:color w:val="000000"/>
                <w:sz w:val="16"/>
                <w:szCs w:val="16"/>
              </w:rPr>
              <w:t>37,0</w:t>
            </w:r>
          </w:p>
        </w:tc>
      </w:tr>
      <w:tr w:rsidR="00AF51E3" w:rsidRPr="00554433" w14:paraId="492530FA" w14:textId="6E9FDD78" w:rsidTr="00AF51E3">
        <w:trPr>
          <w:trHeight w:val="480"/>
        </w:trPr>
        <w:tc>
          <w:tcPr>
            <w:tcW w:w="3476" w:type="dxa"/>
            <w:tcBorders>
              <w:top w:val="nil"/>
              <w:left w:val="nil"/>
              <w:bottom w:val="nil"/>
              <w:right w:val="single" w:sz="4" w:space="0" w:color="auto"/>
            </w:tcBorders>
            <w:shd w:val="clear" w:color="auto" w:fill="auto"/>
            <w:vAlign w:val="center"/>
            <w:hideMark/>
          </w:tcPr>
          <w:p w14:paraId="127AD95D"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 xml:space="preserve">E – Zásobování vodou; činnosti </w:t>
            </w:r>
            <w:r w:rsidRPr="00554433">
              <w:rPr>
                <w:rFonts w:cs="Arial"/>
                <w:color w:val="000000"/>
                <w:sz w:val="16"/>
                <w:szCs w:val="16"/>
              </w:rPr>
              <w:br/>
              <w:t xml:space="preserve">          související s odpady a sanacemi</w:t>
            </w:r>
          </w:p>
        </w:tc>
        <w:tc>
          <w:tcPr>
            <w:tcW w:w="567" w:type="dxa"/>
            <w:tcBorders>
              <w:top w:val="nil"/>
              <w:left w:val="nil"/>
              <w:bottom w:val="nil"/>
              <w:right w:val="nil"/>
            </w:tcBorders>
            <w:shd w:val="clear" w:color="auto" w:fill="auto"/>
            <w:noWrap/>
            <w:vAlign w:val="center"/>
            <w:hideMark/>
          </w:tcPr>
          <w:p w14:paraId="038E34CB"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29,8</w:t>
            </w:r>
          </w:p>
        </w:tc>
        <w:tc>
          <w:tcPr>
            <w:tcW w:w="567" w:type="dxa"/>
            <w:tcBorders>
              <w:top w:val="nil"/>
              <w:left w:val="nil"/>
              <w:bottom w:val="nil"/>
              <w:right w:val="nil"/>
            </w:tcBorders>
            <w:shd w:val="clear" w:color="auto" w:fill="auto"/>
            <w:noWrap/>
            <w:vAlign w:val="center"/>
            <w:hideMark/>
          </w:tcPr>
          <w:p w14:paraId="018BF52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29,7</w:t>
            </w:r>
          </w:p>
        </w:tc>
        <w:tc>
          <w:tcPr>
            <w:tcW w:w="567" w:type="dxa"/>
            <w:tcBorders>
              <w:top w:val="nil"/>
              <w:left w:val="nil"/>
              <w:bottom w:val="nil"/>
              <w:right w:val="nil"/>
            </w:tcBorders>
            <w:shd w:val="clear" w:color="auto" w:fill="auto"/>
            <w:noWrap/>
            <w:vAlign w:val="center"/>
            <w:hideMark/>
          </w:tcPr>
          <w:p w14:paraId="71480BB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34,5</w:t>
            </w:r>
          </w:p>
        </w:tc>
        <w:tc>
          <w:tcPr>
            <w:tcW w:w="567" w:type="dxa"/>
            <w:tcBorders>
              <w:top w:val="nil"/>
              <w:left w:val="nil"/>
              <w:bottom w:val="nil"/>
              <w:right w:val="nil"/>
            </w:tcBorders>
            <w:shd w:val="clear" w:color="auto" w:fill="auto"/>
            <w:noWrap/>
            <w:vAlign w:val="center"/>
            <w:hideMark/>
          </w:tcPr>
          <w:p w14:paraId="73F5662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36,1</w:t>
            </w:r>
          </w:p>
        </w:tc>
        <w:tc>
          <w:tcPr>
            <w:tcW w:w="567" w:type="dxa"/>
            <w:tcBorders>
              <w:top w:val="nil"/>
              <w:left w:val="nil"/>
              <w:bottom w:val="nil"/>
              <w:right w:val="nil"/>
            </w:tcBorders>
            <w:shd w:val="clear" w:color="auto" w:fill="auto"/>
            <w:noWrap/>
            <w:vAlign w:val="center"/>
            <w:hideMark/>
          </w:tcPr>
          <w:p w14:paraId="285DF93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37,7</w:t>
            </w:r>
          </w:p>
        </w:tc>
        <w:tc>
          <w:tcPr>
            <w:tcW w:w="567" w:type="dxa"/>
            <w:tcBorders>
              <w:top w:val="nil"/>
              <w:left w:val="nil"/>
              <w:bottom w:val="nil"/>
              <w:right w:val="nil"/>
            </w:tcBorders>
            <w:shd w:val="clear" w:color="auto" w:fill="auto"/>
            <w:noWrap/>
            <w:vAlign w:val="center"/>
            <w:hideMark/>
          </w:tcPr>
          <w:p w14:paraId="382E41E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40,9</w:t>
            </w:r>
          </w:p>
        </w:tc>
        <w:tc>
          <w:tcPr>
            <w:tcW w:w="567" w:type="dxa"/>
            <w:tcBorders>
              <w:top w:val="nil"/>
              <w:left w:val="nil"/>
              <w:bottom w:val="nil"/>
              <w:right w:val="nil"/>
            </w:tcBorders>
            <w:shd w:val="clear" w:color="auto" w:fill="auto"/>
            <w:noWrap/>
            <w:vAlign w:val="center"/>
            <w:hideMark/>
          </w:tcPr>
          <w:p w14:paraId="61A2A74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42,6</w:t>
            </w:r>
          </w:p>
        </w:tc>
        <w:tc>
          <w:tcPr>
            <w:tcW w:w="567" w:type="dxa"/>
            <w:tcBorders>
              <w:top w:val="nil"/>
              <w:left w:val="nil"/>
              <w:bottom w:val="nil"/>
              <w:right w:val="nil"/>
            </w:tcBorders>
            <w:shd w:val="clear" w:color="auto" w:fill="auto"/>
            <w:noWrap/>
            <w:vAlign w:val="center"/>
            <w:hideMark/>
          </w:tcPr>
          <w:p w14:paraId="37F8851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51,8</w:t>
            </w:r>
          </w:p>
        </w:tc>
        <w:tc>
          <w:tcPr>
            <w:tcW w:w="567" w:type="dxa"/>
            <w:tcBorders>
              <w:top w:val="nil"/>
              <w:left w:val="nil"/>
              <w:bottom w:val="nil"/>
              <w:right w:val="nil"/>
            </w:tcBorders>
            <w:shd w:val="clear" w:color="auto" w:fill="auto"/>
            <w:noWrap/>
            <w:vAlign w:val="center"/>
            <w:hideMark/>
          </w:tcPr>
          <w:p w14:paraId="5416C0E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65,6</w:t>
            </w:r>
          </w:p>
        </w:tc>
        <w:tc>
          <w:tcPr>
            <w:tcW w:w="559" w:type="dxa"/>
            <w:vAlign w:val="center"/>
          </w:tcPr>
          <w:p w14:paraId="07F47B2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75,4</w:t>
            </w:r>
          </w:p>
        </w:tc>
        <w:tc>
          <w:tcPr>
            <w:tcW w:w="500" w:type="dxa"/>
            <w:vAlign w:val="center"/>
          </w:tcPr>
          <w:p w14:paraId="060039A3" w14:textId="4B448515" w:rsidR="00AF51E3" w:rsidRPr="00554433" w:rsidRDefault="00AF51E3" w:rsidP="00AF51E3">
            <w:pPr>
              <w:spacing w:after="0" w:line="240" w:lineRule="auto"/>
              <w:jc w:val="right"/>
              <w:rPr>
                <w:rFonts w:cs="Arial"/>
                <w:color w:val="000000"/>
                <w:sz w:val="16"/>
                <w:szCs w:val="16"/>
              </w:rPr>
            </w:pPr>
            <w:r>
              <w:rPr>
                <w:rFonts w:cs="Arial"/>
                <w:color w:val="000000"/>
                <w:sz w:val="16"/>
                <w:szCs w:val="16"/>
              </w:rPr>
              <w:t>56,7</w:t>
            </w:r>
          </w:p>
        </w:tc>
      </w:tr>
      <w:tr w:rsidR="00AF51E3" w:rsidRPr="00554433" w14:paraId="5B940738" w14:textId="51AFCB33" w:rsidTr="00AF51E3">
        <w:trPr>
          <w:trHeight w:val="300"/>
        </w:trPr>
        <w:tc>
          <w:tcPr>
            <w:tcW w:w="3476" w:type="dxa"/>
            <w:tcBorders>
              <w:top w:val="nil"/>
              <w:left w:val="nil"/>
              <w:bottom w:val="nil"/>
              <w:right w:val="single" w:sz="4" w:space="0" w:color="auto"/>
            </w:tcBorders>
            <w:shd w:val="clear" w:color="auto" w:fill="auto"/>
            <w:vAlign w:val="center"/>
            <w:hideMark/>
          </w:tcPr>
          <w:p w14:paraId="32D4CE4C"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F – Stavebnictví</w:t>
            </w:r>
          </w:p>
        </w:tc>
        <w:tc>
          <w:tcPr>
            <w:tcW w:w="567" w:type="dxa"/>
            <w:tcBorders>
              <w:top w:val="nil"/>
              <w:left w:val="nil"/>
              <w:bottom w:val="nil"/>
              <w:right w:val="nil"/>
            </w:tcBorders>
            <w:shd w:val="clear" w:color="auto" w:fill="auto"/>
            <w:noWrap/>
            <w:vAlign w:val="center"/>
            <w:hideMark/>
          </w:tcPr>
          <w:p w14:paraId="4242DEAB"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28,9</w:t>
            </w:r>
          </w:p>
        </w:tc>
        <w:tc>
          <w:tcPr>
            <w:tcW w:w="567" w:type="dxa"/>
            <w:tcBorders>
              <w:top w:val="nil"/>
              <w:left w:val="nil"/>
              <w:bottom w:val="nil"/>
              <w:right w:val="nil"/>
            </w:tcBorders>
            <w:shd w:val="clear" w:color="auto" w:fill="auto"/>
            <w:noWrap/>
            <w:vAlign w:val="center"/>
            <w:hideMark/>
          </w:tcPr>
          <w:p w14:paraId="1A650BC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27,0</w:t>
            </w:r>
          </w:p>
        </w:tc>
        <w:tc>
          <w:tcPr>
            <w:tcW w:w="567" w:type="dxa"/>
            <w:tcBorders>
              <w:top w:val="nil"/>
              <w:left w:val="nil"/>
              <w:bottom w:val="nil"/>
              <w:right w:val="nil"/>
            </w:tcBorders>
            <w:shd w:val="clear" w:color="auto" w:fill="auto"/>
            <w:noWrap/>
            <w:vAlign w:val="center"/>
            <w:hideMark/>
          </w:tcPr>
          <w:p w14:paraId="3182B4D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30,9</w:t>
            </w:r>
          </w:p>
        </w:tc>
        <w:tc>
          <w:tcPr>
            <w:tcW w:w="567" w:type="dxa"/>
            <w:tcBorders>
              <w:top w:val="nil"/>
              <w:left w:val="nil"/>
              <w:bottom w:val="nil"/>
              <w:right w:val="nil"/>
            </w:tcBorders>
            <w:shd w:val="clear" w:color="auto" w:fill="auto"/>
            <w:noWrap/>
            <w:vAlign w:val="center"/>
            <w:hideMark/>
          </w:tcPr>
          <w:p w14:paraId="7E5FFE6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31,2</w:t>
            </w:r>
          </w:p>
        </w:tc>
        <w:tc>
          <w:tcPr>
            <w:tcW w:w="567" w:type="dxa"/>
            <w:tcBorders>
              <w:top w:val="nil"/>
              <w:left w:val="nil"/>
              <w:bottom w:val="nil"/>
              <w:right w:val="nil"/>
            </w:tcBorders>
            <w:shd w:val="clear" w:color="auto" w:fill="auto"/>
            <w:noWrap/>
            <w:vAlign w:val="center"/>
            <w:hideMark/>
          </w:tcPr>
          <w:p w14:paraId="43B0C4DC"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31,6</w:t>
            </w:r>
          </w:p>
        </w:tc>
        <w:tc>
          <w:tcPr>
            <w:tcW w:w="567" w:type="dxa"/>
            <w:tcBorders>
              <w:top w:val="nil"/>
              <w:left w:val="nil"/>
              <w:bottom w:val="nil"/>
              <w:right w:val="nil"/>
            </w:tcBorders>
            <w:shd w:val="clear" w:color="auto" w:fill="auto"/>
            <w:noWrap/>
            <w:vAlign w:val="center"/>
            <w:hideMark/>
          </w:tcPr>
          <w:p w14:paraId="6F7D125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32,7</w:t>
            </w:r>
          </w:p>
        </w:tc>
        <w:tc>
          <w:tcPr>
            <w:tcW w:w="567" w:type="dxa"/>
            <w:tcBorders>
              <w:top w:val="nil"/>
              <w:left w:val="nil"/>
              <w:bottom w:val="nil"/>
              <w:right w:val="nil"/>
            </w:tcBorders>
            <w:shd w:val="clear" w:color="auto" w:fill="auto"/>
            <w:noWrap/>
            <w:vAlign w:val="center"/>
            <w:hideMark/>
          </w:tcPr>
          <w:p w14:paraId="2C35C5C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33,9</w:t>
            </w:r>
          </w:p>
        </w:tc>
        <w:tc>
          <w:tcPr>
            <w:tcW w:w="567" w:type="dxa"/>
            <w:tcBorders>
              <w:top w:val="nil"/>
              <w:left w:val="nil"/>
              <w:bottom w:val="nil"/>
              <w:right w:val="nil"/>
            </w:tcBorders>
            <w:shd w:val="clear" w:color="auto" w:fill="auto"/>
            <w:noWrap/>
            <w:vAlign w:val="center"/>
            <w:hideMark/>
          </w:tcPr>
          <w:p w14:paraId="25F187C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44,2</w:t>
            </w:r>
          </w:p>
        </w:tc>
        <w:tc>
          <w:tcPr>
            <w:tcW w:w="567" w:type="dxa"/>
            <w:tcBorders>
              <w:top w:val="nil"/>
              <w:left w:val="nil"/>
              <w:bottom w:val="nil"/>
              <w:right w:val="nil"/>
            </w:tcBorders>
            <w:shd w:val="clear" w:color="auto" w:fill="auto"/>
            <w:noWrap/>
            <w:vAlign w:val="center"/>
            <w:hideMark/>
          </w:tcPr>
          <w:p w14:paraId="3DF2123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52,4</w:t>
            </w:r>
          </w:p>
        </w:tc>
        <w:tc>
          <w:tcPr>
            <w:tcW w:w="559" w:type="dxa"/>
            <w:vAlign w:val="center"/>
          </w:tcPr>
          <w:p w14:paraId="0AB1A1AC"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56,0</w:t>
            </w:r>
          </w:p>
        </w:tc>
        <w:tc>
          <w:tcPr>
            <w:tcW w:w="500" w:type="dxa"/>
            <w:vAlign w:val="center"/>
          </w:tcPr>
          <w:p w14:paraId="60134B14" w14:textId="1EB266B9" w:rsidR="00AF51E3" w:rsidRPr="00554433" w:rsidRDefault="00AF51E3" w:rsidP="00AF51E3">
            <w:pPr>
              <w:spacing w:after="0" w:line="240" w:lineRule="auto"/>
              <w:jc w:val="right"/>
              <w:rPr>
                <w:rFonts w:cs="Arial"/>
                <w:color w:val="000000"/>
                <w:sz w:val="16"/>
                <w:szCs w:val="16"/>
              </w:rPr>
            </w:pPr>
            <w:r>
              <w:rPr>
                <w:rFonts w:cs="Arial"/>
                <w:color w:val="000000"/>
                <w:sz w:val="16"/>
                <w:szCs w:val="16"/>
              </w:rPr>
              <w:t>41,0</w:t>
            </w:r>
          </w:p>
        </w:tc>
      </w:tr>
      <w:tr w:rsidR="00AF51E3" w:rsidRPr="00554433" w14:paraId="0ED2007F" w14:textId="5F341927" w:rsidTr="00AF51E3">
        <w:trPr>
          <w:trHeight w:val="480"/>
        </w:trPr>
        <w:tc>
          <w:tcPr>
            <w:tcW w:w="3476" w:type="dxa"/>
            <w:tcBorders>
              <w:top w:val="nil"/>
              <w:left w:val="nil"/>
              <w:bottom w:val="nil"/>
              <w:right w:val="single" w:sz="4" w:space="0" w:color="auto"/>
            </w:tcBorders>
            <w:shd w:val="clear" w:color="auto" w:fill="auto"/>
            <w:vAlign w:val="center"/>
            <w:hideMark/>
          </w:tcPr>
          <w:p w14:paraId="58E5D0F9"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 xml:space="preserve">G – Velkoobchod a maloobchod; </w:t>
            </w:r>
            <w:r w:rsidRPr="00554433">
              <w:rPr>
                <w:rFonts w:cs="Arial"/>
                <w:color w:val="000000"/>
                <w:sz w:val="16"/>
                <w:szCs w:val="16"/>
              </w:rPr>
              <w:br/>
              <w:t xml:space="preserve">          opravy a údržba motorových vozidel</w:t>
            </w:r>
          </w:p>
        </w:tc>
        <w:tc>
          <w:tcPr>
            <w:tcW w:w="567" w:type="dxa"/>
            <w:tcBorders>
              <w:top w:val="nil"/>
              <w:left w:val="nil"/>
              <w:bottom w:val="nil"/>
              <w:right w:val="nil"/>
            </w:tcBorders>
            <w:shd w:val="clear" w:color="auto" w:fill="auto"/>
            <w:noWrap/>
            <w:vAlign w:val="center"/>
            <w:hideMark/>
          </w:tcPr>
          <w:p w14:paraId="19733A6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26,6</w:t>
            </w:r>
          </w:p>
        </w:tc>
        <w:tc>
          <w:tcPr>
            <w:tcW w:w="567" w:type="dxa"/>
            <w:tcBorders>
              <w:top w:val="nil"/>
              <w:left w:val="nil"/>
              <w:bottom w:val="nil"/>
              <w:right w:val="nil"/>
            </w:tcBorders>
            <w:shd w:val="clear" w:color="auto" w:fill="auto"/>
            <w:noWrap/>
            <w:vAlign w:val="center"/>
            <w:hideMark/>
          </w:tcPr>
          <w:p w14:paraId="7494769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26,3</w:t>
            </w:r>
          </w:p>
        </w:tc>
        <w:tc>
          <w:tcPr>
            <w:tcW w:w="567" w:type="dxa"/>
            <w:tcBorders>
              <w:top w:val="nil"/>
              <w:left w:val="nil"/>
              <w:bottom w:val="nil"/>
              <w:right w:val="nil"/>
            </w:tcBorders>
            <w:shd w:val="clear" w:color="auto" w:fill="auto"/>
            <w:noWrap/>
            <w:vAlign w:val="center"/>
            <w:hideMark/>
          </w:tcPr>
          <w:p w14:paraId="7E96F57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30,3</w:t>
            </w:r>
          </w:p>
        </w:tc>
        <w:tc>
          <w:tcPr>
            <w:tcW w:w="567" w:type="dxa"/>
            <w:tcBorders>
              <w:top w:val="nil"/>
              <w:left w:val="nil"/>
              <w:bottom w:val="nil"/>
              <w:right w:val="nil"/>
            </w:tcBorders>
            <w:shd w:val="clear" w:color="auto" w:fill="auto"/>
            <w:noWrap/>
            <w:vAlign w:val="center"/>
            <w:hideMark/>
          </w:tcPr>
          <w:p w14:paraId="0052E7D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33,8</w:t>
            </w:r>
          </w:p>
        </w:tc>
        <w:tc>
          <w:tcPr>
            <w:tcW w:w="567" w:type="dxa"/>
            <w:tcBorders>
              <w:top w:val="nil"/>
              <w:left w:val="nil"/>
              <w:bottom w:val="nil"/>
              <w:right w:val="nil"/>
            </w:tcBorders>
            <w:shd w:val="clear" w:color="auto" w:fill="auto"/>
            <w:noWrap/>
            <w:vAlign w:val="center"/>
            <w:hideMark/>
          </w:tcPr>
          <w:p w14:paraId="0795CDD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34,5</w:t>
            </w:r>
          </w:p>
        </w:tc>
        <w:tc>
          <w:tcPr>
            <w:tcW w:w="567" w:type="dxa"/>
            <w:tcBorders>
              <w:top w:val="nil"/>
              <w:left w:val="nil"/>
              <w:bottom w:val="nil"/>
              <w:right w:val="nil"/>
            </w:tcBorders>
            <w:shd w:val="clear" w:color="auto" w:fill="auto"/>
            <w:noWrap/>
            <w:vAlign w:val="center"/>
            <w:hideMark/>
          </w:tcPr>
          <w:p w14:paraId="1906B90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37,6</w:t>
            </w:r>
          </w:p>
        </w:tc>
        <w:tc>
          <w:tcPr>
            <w:tcW w:w="567" w:type="dxa"/>
            <w:tcBorders>
              <w:top w:val="nil"/>
              <w:left w:val="nil"/>
              <w:bottom w:val="nil"/>
              <w:right w:val="nil"/>
            </w:tcBorders>
            <w:shd w:val="clear" w:color="auto" w:fill="auto"/>
            <w:noWrap/>
            <w:vAlign w:val="center"/>
            <w:hideMark/>
          </w:tcPr>
          <w:p w14:paraId="31F5166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40,3</w:t>
            </w:r>
          </w:p>
        </w:tc>
        <w:tc>
          <w:tcPr>
            <w:tcW w:w="567" w:type="dxa"/>
            <w:tcBorders>
              <w:top w:val="nil"/>
              <w:left w:val="nil"/>
              <w:bottom w:val="nil"/>
              <w:right w:val="nil"/>
            </w:tcBorders>
            <w:shd w:val="clear" w:color="auto" w:fill="auto"/>
            <w:noWrap/>
            <w:vAlign w:val="center"/>
            <w:hideMark/>
          </w:tcPr>
          <w:p w14:paraId="226A3CD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49,9</w:t>
            </w:r>
          </w:p>
        </w:tc>
        <w:tc>
          <w:tcPr>
            <w:tcW w:w="567" w:type="dxa"/>
            <w:tcBorders>
              <w:top w:val="nil"/>
              <w:left w:val="nil"/>
              <w:bottom w:val="nil"/>
              <w:right w:val="nil"/>
            </w:tcBorders>
            <w:shd w:val="clear" w:color="auto" w:fill="auto"/>
            <w:noWrap/>
            <w:vAlign w:val="center"/>
            <w:hideMark/>
          </w:tcPr>
          <w:p w14:paraId="60ACA8C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56,9</w:t>
            </w:r>
          </w:p>
        </w:tc>
        <w:tc>
          <w:tcPr>
            <w:tcW w:w="559" w:type="dxa"/>
            <w:vAlign w:val="center"/>
          </w:tcPr>
          <w:p w14:paraId="5AD3EA5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71,7</w:t>
            </w:r>
          </w:p>
        </w:tc>
        <w:tc>
          <w:tcPr>
            <w:tcW w:w="500" w:type="dxa"/>
            <w:vAlign w:val="center"/>
          </w:tcPr>
          <w:p w14:paraId="6CB5D3AB" w14:textId="3D1B96DB" w:rsidR="00AF51E3" w:rsidRPr="00554433" w:rsidRDefault="00AF51E3" w:rsidP="00AF51E3">
            <w:pPr>
              <w:spacing w:after="0" w:line="240" w:lineRule="auto"/>
              <w:jc w:val="right"/>
              <w:rPr>
                <w:rFonts w:cs="Arial"/>
                <w:color w:val="000000"/>
                <w:sz w:val="16"/>
                <w:szCs w:val="16"/>
              </w:rPr>
            </w:pPr>
            <w:r>
              <w:rPr>
                <w:rFonts w:cs="Arial"/>
                <w:color w:val="000000"/>
                <w:sz w:val="16"/>
                <w:szCs w:val="16"/>
              </w:rPr>
              <w:t>51,2</w:t>
            </w:r>
          </w:p>
        </w:tc>
      </w:tr>
      <w:tr w:rsidR="00AF51E3" w:rsidRPr="00554433" w14:paraId="583AD72E" w14:textId="1686338C" w:rsidTr="00AF51E3">
        <w:trPr>
          <w:trHeight w:val="300"/>
        </w:trPr>
        <w:tc>
          <w:tcPr>
            <w:tcW w:w="3476" w:type="dxa"/>
            <w:tcBorders>
              <w:top w:val="nil"/>
              <w:left w:val="nil"/>
              <w:bottom w:val="nil"/>
              <w:right w:val="single" w:sz="4" w:space="0" w:color="auto"/>
            </w:tcBorders>
            <w:shd w:val="clear" w:color="auto" w:fill="auto"/>
            <w:vAlign w:val="center"/>
            <w:hideMark/>
          </w:tcPr>
          <w:p w14:paraId="2969C967"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H – Doprava a skladování</w:t>
            </w:r>
          </w:p>
        </w:tc>
        <w:tc>
          <w:tcPr>
            <w:tcW w:w="567" w:type="dxa"/>
            <w:tcBorders>
              <w:top w:val="nil"/>
              <w:left w:val="nil"/>
              <w:bottom w:val="nil"/>
              <w:right w:val="nil"/>
            </w:tcBorders>
            <w:shd w:val="clear" w:color="auto" w:fill="auto"/>
            <w:noWrap/>
            <w:vAlign w:val="center"/>
            <w:hideMark/>
          </w:tcPr>
          <w:p w14:paraId="371AE00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27,5</w:t>
            </w:r>
          </w:p>
        </w:tc>
        <w:tc>
          <w:tcPr>
            <w:tcW w:w="567" w:type="dxa"/>
            <w:tcBorders>
              <w:top w:val="nil"/>
              <w:left w:val="nil"/>
              <w:bottom w:val="nil"/>
              <w:right w:val="nil"/>
            </w:tcBorders>
            <w:shd w:val="clear" w:color="auto" w:fill="auto"/>
            <w:noWrap/>
            <w:vAlign w:val="center"/>
            <w:hideMark/>
          </w:tcPr>
          <w:p w14:paraId="1D1132F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27,3</w:t>
            </w:r>
          </w:p>
        </w:tc>
        <w:tc>
          <w:tcPr>
            <w:tcW w:w="567" w:type="dxa"/>
            <w:tcBorders>
              <w:top w:val="nil"/>
              <w:left w:val="nil"/>
              <w:bottom w:val="nil"/>
              <w:right w:val="nil"/>
            </w:tcBorders>
            <w:shd w:val="clear" w:color="auto" w:fill="auto"/>
            <w:noWrap/>
            <w:vAlign w:val="center"/>
            <w:hideMark/>
          </w:tcPr>
          <w:p w14:paraId="37DD70C5"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32,5</w:t>
            </w:r>
          </w:p>
        </w:tc>
        <w:tc>
          <w:tcPr>
            <w:tcW w:w="567" w:type="dxa"/>
            <w:tcBorders>
              <w:top w:val="nil"/>
              <w:left w:val="nil"/>
              <w:bottom w:val="nil"/>
              <w:right w:val="nil"/>
            </w:tcBorders>
            <w:shd w:val="clear" w:color="auto" w:fill="auto"/>
            <w:noWrap/>
            <w:vAlign w:val="center"/>
            <w:hideMark/>
          </w:tcPr>
          <w:p w14:paraId="453C082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33,6</w:t>
            </w:r>
          </w:p>
        </w:tc>
        <w:tc>
          <w:tcPr>
            <w:tcW w:w="567" w:type="dxa"/>
            <w:tcBorders>
              <w:top w:val="nil"/>
              <w:left w:val="nil"/>
              <w:bottom w:val="nil"/>
              <w:right w:val="nil"/>
            </w:tcBorders>
            <w:shd w:val="clear" w:color="auto" w:fill="auto"/>
            <w:noWrap/>
            <w:vAlign w:val="center"/>
            <w:hideMark/>
          </w:tcPr>
          <w:p w14:paraId="2B11070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36,4</w:t>
            </w:r>
          </w:p>
        </w:tc>
        <w:tc>
          <w:tcPr>
            <w:tcW w:w="567" w:type="dxa"/>
            <w:tcBorders>
              <w:top w:val="nil"/>
              <w:left w:val="nil"/>
              <w:bottom w:val="nil"/>
              <w:right w:val="nil"/>
            </w:tcBorders>
            <w:shd w:val="clear" w:color="auto" w:fill="auto"/>
            <w:noWrap/>
            <w:vAlign w:val="center"/>
            <w:hideMark/>
          </w:tcPr>
          <w:p w14:paraId="47464E2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39,2</w:t>
            </w:r>
          </w:p>
        </w:tc>
        <w:tc>
          <w:tcPr>
            <w:tcW w:w="567" w:type="dxa"/>
            <w:tcBorders>
              <w:top w:val="nil"/>
              <w:left w:val="nil"/>
              <w:bottom w:val="nil"/>
              <w:right w:val="nil"/>
            </w:tcBorders>
            <w:shd w:val="clear" w:color="auto" w:fill="auto"/>
            <w:noWrap/>
            <w:vAlign w:val="center"/>
            <w:hideMark/>
          </w:tcPr>
          <w:p w14:paraId="6F3064F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39,9</w:t>
            </w:r>
          </w:p>
        </w:tc>
        <w:tc>
          <w:tcPr>
            <w:tcW w:w="567" w:type="dxa"/>
            <w:tcBorders>
              <w:top w:val="nil"/>
              <w:left w:val="nil"/>
              <w:bottom w:val="nil"/>
              <w:right w:val="nil"/>
            </w:tcBorders>
            <w:shd w:val="clear" w:color="auto" w:fill="auto"/>
            <w:noWrap/>
            <w:vAlign w:val="center"/>
            <w:hideMark/>
          </w:tcPr>
          <w:p w14:paraId="2E9E1FD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50,0</w:t>
            </w:r>
          </w:p>
        </w:tc>
        <w:tc>
          <w:tcPr>
            <w:tcW w:w="567" w:type="dxa"/>
            <w:tcBorders>
              <w:top w:val="nil"/>
              <w:left w:val="nil"/>
              <w:bottom w:val="nil"/>
              <w:right w:val="nil"/>
            </w:tcBorders>
            <w:shd w:val="clear" w:color="auto" w:fill="auto"/>
            <w:noWrap/>
            <w:vAlign w:val="center"/>
            <w:hideMark/>
          </w:tcPr>
          <w:p w14:paraId="03373E8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61,2</w:t>
            </w:r>
          </w:p>
        </w:tc>
        <w:tc>
          <w:tcPr>
            <w:tcW w:w="559" w:type="dxa"/>
            <w:vAlign w:val="center"/>
          </w:tcPr>
          <w:p w14:paraId="7965FA2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70,0</w:t>
            </w:r>
          </w:p>
        </w:tc>
        <w:tc>
          <w:tcPr>
            <w:tcW w:w="500" w:type="dxa"/>
            <w:vAlign w:val="center"/>
          </w:tcPr>
          <w:p w14:paraId="35742F0B" w14:textId="66772C9E" w:rsidR="00AF51E3" w:rsidRPr="00554433" w:rsidRDefault="00AF51E3" w:rsidP="00AF51E3">
            <w:pPr>
              <w:spacing w:after="0" w:line="240" w:lineRule="auto"/>
              <w:jc w:val="right"/>
              <w:rPr>
                <w:rFonts w:cs="Arial"/>
                <w:color w:val="000000"/>
                <w:sz w:val="16"/>
                <w:szCs w:val="16"/>
              </w:rPr>
            </w:pPr>
            <w:r>
              <w:rPr>
                <w:rFonts w:cs="Arial"/>
                <w:color w:val="000000"/>
                <w:sz w:val="16"/>
                <w:szCs w:val="16"/>
              </w:rPr>
              <w:t>51,2</w:t>
            </w:r>
          </w:p>
        </w:tc>
      </w:tr>
      <w:tr w:rsidR="00AF51E3" w:rsidRPr="00554433" w14:paraId="6FC4EBF1" w14:textId="453D80C7" w:rsidTr="00AF51E3">
        <w:trPr>
          <w:trHeight w:val="480"/>
        </w:trPr>
        <w:tc>
          <w:tcPr>
            <w:tcW w:w="3476" w:type="dxa"/>
            <w:tcBorders>
              <w:top w:val="nil"/>
              <w:left w:val="nil"/>
              <w:bottom w:val="nil"/>
              <w:right w:val="single" w:sz="4" w:space="0" w:color="auto"/>
            </w:tcBorders>
            <w:shd w:val="clear" w:color="auto" w:fill="auto"/>
            <w:vAlign w:val="center"/>
            <w:hideMark/>
          </w:tcPr>
          <w:p w14:paraId="645DD9D9"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 xml:space="preserve">I – Ubytování, stravování </w:t>
            </w:r>
            <w:r w:rsidRPr="00554433">
              <w:rPr>
                <w:rFonts w:cs="Arial"/>
                <w:color w:val="000000"/>
                <w:sz w:val="16"/>
                <w:szCs w:val="16"/>
              </w:rPr>
              <w:br/>
              <w:t xml:space="preserve">         a pohostinství</w:t>
            </w:r>
          </w:p>
        </w:tc>
        <w:tc>
          <w:tcPr>
            <w:tcW w:w="567" w:type="dxa"/>
            <w:tcBorders>
              <w:top w:val="nil"/>
              <w:left w:val="nil"/>
              <w:bottom w:val="nil"/>
              <w:right w:val="nil"/>
            </w:tcBorders>
            <w:shd w:val="clear" w:color="auto" w:fill="auto"/>
            <w:noWrap/>
            <w:vAlign w:val="center"/>
            <w:hideMark/>
          </w:tcPr>
          <w:p w14:paraId="376E1D25"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23,7</w:t>
            </w:r>
          </w:p>
        </w:tc>
        <w:tc>
          <w:tcPr>
            <w:tcW w:w="567" w:type="dxa"/>
            <w:tcBorders>
              <w:top w:val="nil"/>
              <w:left w:val="nil"/>
              <w:bottom w:val="nil"/>
              <w:right w:val="nil"/>
            </w:tcBorders>
            <w:shd w:val="clear" w:color="auto" w:fill="auto"/>
            <w:noWrap/>
            <w:vAlign w:val="center"/>
            <w:hideMark/>
          </w:tcPr>
          <w:p w14:paraId="1660E43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23,7</w:t>
            </w:r>
          </w:p>
        </w:tc>
        <w:tc>
          <w:tcPr>
            <w:tcW w:w="567" w:type="dxa"/>
            <w:tcBorders>
              <w:top w:val="nil"/>
              <w:left w:val="nil"/>
              <w:bottom w:val="nil"/>
              <w:right w:val="nil"/>
            </w:tcBorders>
            <w:shd w:val="clear" w:color="auto" w:fill="auto"/>
            <w:noWrap/>
            <w:vAlign w:val="center"/>
            <w:hideMark/>
          </w:tcPr>
          <w:p w14:paraId="1E20E32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26,9</w:t>
            </w:r>
          </w:p>
        </w:tc>
        <w:tc>
          <w:tcPr>
            <w:tcW w:w="567" w:type="dxa"/>
            <w:tcBorders>
              <w:top w:val="nil"/>
              <w:left w:val="nil"/>
              <w:bottom w:val="nil"/>
              <w:right w:val="nil"/>
            </w:tcBorders>
            <w:shd w:val="clear" w:color="auto" w:fill="auto"/>
            <w:noWrap/>
            <w:vAlign w:val="center"/>
            <w:hideMark/>
          </w:tcPr>
          <w:p w14:paraId="6EB75E0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28,0</w:t>
            </w:r>
          </w:p>
        </w:tc>
        <w:tc>
          <w:tcPr>
            <w:tcW w:w="567" w:type="dxa"/>
            <w:tcBorders>
              <w:top w:val="nil"/>
              <w:left w:val="nil"/>
              <w:bottom w:val="nil"/>
              <w:right w:val="nil"/>
            </w:tcBorders>
            <w:shd w:val="clear" w:color="auto" w:fill="auto"/>
            <w:noWrap/>
            <w:vAlign w:val="center"/>
            <w:hideMark/>
          </w:tcPr>
          <w:p w14:paraId="0BA027D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27,9</w:t>
            </w:r>
          </w:p>
        </w:tc>
        <w:tc>
          <w:tcPr>
            <w:tcW w:w="567" w:type="dxa"/>
            <w:tcBorders>
              <w:top w:val="nil"/>
              <w:left w:val="nil"/>
              <w:bottom w:val="nil"/>
              <w:right w:val="nil"/>
            </w:tcBorders>
            <w:shd w:val="clear" w:color="auto" w:fill="auto"/>
            <w:noWrap/>
            <w:vAlign w:val="center"/>
            <w:hideMark/>
          </w:tcPr>
          <w:p w14:paraId="1A25143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29,9</w:t>
            </w:r>
          </w:p>
        </w:tc>
        <w:tc>
          <w:tcPr>
            <w:tcW w:w="567" w:type="dxa"/>
            <w:tcBorders>
              <w:top w:val="nil"/>
              <w:left w:val="nil"/>
              <w:bottom w:val="nil"/>
              <w:right w:val="nil"/>
            </w:tcBorders>
            <w:shd w:val="clear" w:color="auto" w:fill="auto"/>
            <w:noWrap/>
            <w:vAlign w:val="center"/>
            <w:hideMark/>
          </w:tcPr>
          <w:p w14:paraId="1B8427F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30,8</w:t>
            </w:r>
          </w:p>
        </w:tc>
        <w:tc>
          <w:tcPr>
            <w:tcW w:w="567" w:type="dxa"/>
            <w:tcBorders>
              <w:top w:val="nil"/>
              <w:left w:val="nil"/>
              <w:bottom w:val="nil"/>
              <w:right w:val="nil"/>
            </w:tcBorders>
            <w:shd w:val="clear" w:color="auto" w:fill="auto"/>
            <w:noWrap/>
            <w:vAlign w:val="center"/>
            <w:hideMark/>
          </w:tcPr>
          <w:p w14:paraId="37FD0C5D"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41,5</w:t>
            </w:r>
          </w:p>
        </w:tc>
        <w:tc>
          <w:tcPr>
            <w:tcW w:w="567" w:type="dxa"/>
            <w:tcBorders>
              <w:top w:val="nil"/>
              <w:left w:val="nil"/>
              <w:bottom w:val="nil"/>
              <w:right w:val="nil"/>
            </w:tcBorders>
            <w:shd w:val="clear" w:color="auto" w:fill="auto"/>
            <w:noWrap/>
            <w:vAlign w:val="center"/>
            <w:hideMark/>
          </w:tcPr>
          <w:p w14:paraId="01D00E0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39,2</w:t>
            </w:r>
          </w:p>
        </w:tc>
        <w:tc>
          <w:tcPr>
            <w:tcW w:w="559" w:type="dxa"/>
            <w:vAlign w:val="center"/>
          </w:tcPr>
          <w:p w14:paraId="25B6C58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51,9</w:t>
            </w:r>
          </w:p>
        </w:tc>
        <w:tc>
          <w:tcPr>
            <w:tcW w:w="500" w:type="dxa"/>
            <w:vAlign w:val="center"/>
          </w:tcPr>
          <w:p w14:paraId="63822C94" w14:textId="04F79A2B" w:rsidR="00AF51E3" w:rsidRPr="00554433" w:rsidRDefault="00AF51E3" w:rsidP="00AF51E3">
            <w:pPr>
              <w:spacing w:after="0" w:line="240" w:lineRule="auto"/>
              <w:jc w:val="right"/>
              <w:rPr>
                <w:rFonts w:cs="Arial"/>
                <w:color w:val="000000"/>
                <w:sz w:val="16"/>
                <w:szCs w:val="16"/>
              </w:rPr>
            </w:pPr>
            <w:r>
              <w:rPr>
                <w:rFonts w:cs="Arial"/>
                <w:color w:val="000000"/>
                <w:sz w:val="16"/>
                <w:szCs w:val="16"/>
              </w:rPr>
              <w:t>38,2</w:t>
            </w:r>
          </w:p>
        </w:tc>
      </w:tr>
      <w:tr w:rsidR="00AF51E3" w:rsidRPr="00554433" w14:paraId="1014BB26" w14:textId="13F52540" w:rsidTr="00AF51E3">
        <w:trPr>
          <w:trHeight w:val="300"/>
        </w:trPr>
        <w:tc>
          <w:tcPr>
            <w:tcW w:w="3476" w:type="dxa"/>
            <w:tcBorders>
              <w:top w:val="nil"/>
              <w:left w:val="nil"/>
              <w:bottom w:val="nil"/>
              <w:right w:val="single" w:sz="4" w:space="0" w:color="auto"/>
            </w:tcBorders>
            <w:shd w:val="clear" w:color="auto" w:fill="auto"/>
            <w:vAlign w:val="center"/>
            <w:hideMark/>
          </w:tcPr>
          <w:p w14:paraId="709C5EDB"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J – Informační a komunikační činnosti</w:t>
            </w:r>
          </w:p>
        </w:tc>
        <w:tc>
          <w:tcPr>
            <w:tcW w:w="567" w:type="dxa"/>
            <w:tcBorders>
              <w:top w:val="nil"/>
              <w:left w:val="nil"/>
              <w:bottom w:val="nil"/>
              <w:right w:val="nil"/>
            </w:tcBorders>
            <w:shd w:val="clear" w:color="auto" w:fill="auto"/>
            <w:noWrap/>
            <w:vAlign w:val="center"/>
            <w:hideMark/>
          </w:tcPr>
          <w:p w14:paraId="420CF31C"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23,0</w:t>
            </w:r>
          </w:p>
        </w:tc>
        <w:tc>
          <w:tcPr>
            <w:tcW w:w="567" w:type="dxa"/>
            <w:tcBorders>
              <w:top w:val="nil"/>
              <w:left w:val="nil"/>
              <w:bottom w:val="nil"/>
              <w:right w:val="nil"/>
            </w:tcBorders>
            <w:shd w:val="clear" w:color="auto" w:fill="auto"/>
            <w:noWrap/>
            <w:vAlign w:val="center"/>
            <w:hideMark/>
          </w:tcPr>
          <w:p w14:paraId="05D7525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21,7</w:t>
            </w:r>
          </w:p>
        </w:tc>
        <w:tc>
          <w:tcPr>
            <w:tcW w:w="567" w:type="dxa"/>
            <w:tcBorders>
              <w:top w:val="nil"/>
              <w:left w:val="nil"/>
              <w:bottom w:val="nil"/>
              <w:right w:val="nil"/>
            </w:tcBorders>
            <w:shd w:val="clear" w:color="auto" w:fill="auto"/>
            <w:noWrap/>
            <w:vAlign w:val="center"/>
            <w:hideMark/>
          </w:tcPr>
          <w:p w14:paraId="307E8CED"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23,1</w:t>
            </w:r>
          </w:p>
        </w:tc>
        <w:tc>
          <w:tcPr>
            <w:tcW w:w="567" w:type="dxa"/>
            <w:tcBorders>
              <w:top w:val="nil"/>
              <w:left w:val="nil"/>
              <w:bottom w:val="nil"/>
              <w:right w:val="nil"/>
            </w:tcBorders>
            <w:shd w:val="clear" w:color="auto" w:fill="auto"/>
            <w:noWrap/>
            <w:vAlign w:val="center"/>
            <w:hideMark/>
          </w:tcPr>
          <w:p w14:paraId="01F1383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23,8</w:t>
            </w:r>
          </w:p>
        </w:tc>
        <w:tc>
          <w:tcPr>
            <w:tcW w:w="567" w:type="dxa"/>
            <w:tcBorders>
              <w:top w:val="nil"/>
              <w:left w:val="nil"/>
              <w:bottom w:val="nil"/>
              <w:right w:val="nil"/>
            </w:tcBorders>
            <w:shd w:val="clear" w:color="auto" w:fill="auto"/>
            <w:noWrap/>
            <w:vAlign w:val="center"/>
            <w:hideMark/>
          </w:tcPr>
          <w:p w14:paraId="1E0660D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24,7</w:t>
            </w:r>
          </w:p>
        </w:tc>
        <w:tc>
          <w:tcPr>
            <w:tcW w:w="567" w:type="dxa"/>
            <w:tcBorders>
              <w:top w:val="nil"/>
              <w:left w:val="nil"/>
              <w:bottom w:val="nil"/>
              <w:right w:val="nil"/>
            </w:tcBorders>
            <w:shd w:val="clear" w:color="auto" w:fill="auto"/>
            <w:noWrap/>
            <w:vAlign w:val="center"/>
            <w:hideMark/>
          </w:tcPr>
          <w:p w14:paraId="75BDB6D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25,7</w:t>
            </w:r>
          </w:p>
        </w:tc>
        <w:tc>
          <w:tcPr>
            <w:tcW w:w="567" w:type="dxa"/>
            <w:tcBorders>
              <w:top w:val="nil"/>
              <w:left w:val="nil"/>
              <w:bottom w:val="nil"/>
              <w:right w:val="nil"/>
            </w:tcBorders>
            <w:shd w:val="clear" w:color="auto" w:fill="auto"/>
            <w:noWrap/>
            <w:vAlign w:val="center"/>
            <w:hideMark/>
          </w:tcPr>
          <w:p w14:paraId="0A1BBFA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27,3</w:t>
            </w:r>
          </w:p>
        </w:tc>
        <w:tc>
          <w:tcPr>
            <w:tcW w:w="567" w:type="dxa"/>
            <w:tcBorders>
              <w:top w:val="nil"/>
              <w:left w:val="nil"/>
              <w:bottom w:val="nil"/>
              <w:right w:val="nil"/>
            </w:tcBorders>
            <w:shd w:val="clear" w:color="auto" w:fill="auto"/>
            <w:noWrap/>
            <w:vAlign w:val="center"/>
            <w:hideMark/>
          </w:tcPr>
          <w:p w14:paraId="65934A72"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26,0</w:t>
            </w:r>
          </w:p>
        </w:tc>
        <w:tc>
          <w:tcPr>
            <w:tcW w:w="567" w:type="dxa"/>
            <w:tcBorders>
              <w:top w:val="nil"/>
              <w:left w:val="nil"/>
              <w:bottom w:val="nil"/>
              <w:right w:val="nil"/>
            </w:tcBorders>
            <w:shd w:val="clear" w:color="auto" w:fill="auto"/>
            <w:noWrap/>
            <w:vAlign w:val="center"/>
            <w:hideMark/>
          </w:tcPr>
          <w:p w14:paraId="5E9BD1C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28,9</w:t>
            </w:r>
          </w:p>
        </w:tc>
        <w:tc>
          <w:tcPr>
            <w:tcW w:w="559" w:type="dxa"/>
            <w:vAlign w:val="center"/>
          </w:tcPr>
          <w:p w14:paraId="1ACB9B62"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38,7</w:t>
            </w:r>
          </w:p>
        </w:tc>
        <w:tc>
          <w:tcPr>
            <w:tcW w:w="500" w:type="dxa"/>
            <w:vAlign w:val="center"/>
          </w:tcPr>
          <w:p w14:paraId="3EA2C8EA" w14:textId="29E22543" w:rsidR="00AF51E3" w:rsidRPr="00554433" w:rsidRDefault="00AF51E3" w:rsidP="00AF51E3">
            <w:pPr>
              <w:spacing w:after="0" w:line="240" w:lineRule="auto"/>
              <w:jc w:val="right"/>
              <w:rPr>
                <w:rFonts w:cs="Arial"/>
                <w:color w:val="000000"/>
                <w:sz w:val="16"/>
                <w:szCs w:val="16"/>
              </w:rPr>
            </w:pPr>
            <w:r>
              <w:rPr>
                <w:rFonts w:cs="Arial"/>
                <w:color w:val="000000"/>
                <w:sz w:val="16"/>
                <w:szCs w:val="16"/>
              </w:rPr>
              <w:t>30,2</w:t>
            </w:r>
          </w:p>
        </w:tc>
      </w:tr>
      <w:tr w:rsidR="00AF51E3" w:rsidRPr="00554433" w14:paraId="00D0E14A" w14:textId="0602897C" w:rsidTr="00AF51E3">
        <w:trPr>
          <w:trHeight w:val="300"/>
        </w:trPr>
        <w:tc>
          <w:tcPr>
            <w:tcW w:w="3476" w:type="dxa"/>
            <w:tcBorders>
              <w:top w:val="nil"/>
              <w:left w:val="nil"/>
              <w:bottom w:val="nil"/>
              <w:right w:val="single" w:sz="4" w:space="0" w:color="auto"/>
            </w:tcBorders>
            <w:shd w:val="clear" w:color="auto" w:fill="auto"/>
            <w:vAlign w:val="center"/>
            <w:hideMark/>
          </w:tcPr>
          <w:p w14:paraId="065C4B4B"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K – Peněžnictví a pojišťovnictví</w:t>
            </w:r>
          </w:p>
        </w:tc>
        <w:tc>
          <w:tcPr>
            <w:tcW w:w="567" w:type="dxa"/>
            <w:tcBorders>
              <w:top w:val="nil"/>
              <w:left w:val="nil"/>
              <w:bottom w:val="nil"/>
              <w:right w:val="nil"/>
            </w:tcBorders>
            <w:shd w:val="clear" w:color="auto" w:fill="auto"/>
            <w:noWrap/>
            <w:vAlign w:val="center"/>
            <w:hideMark/>
          </w:tcPr>
          <w:p w14:paraId="17423E8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26,6</w:t>
            </w:r>
          </w:p>
        </w:tc>
        <w:tc>
          <w:tcPr>
            <w:tcW w:w="567" w:type="dxa"/>
            <w:tcBorders>
              <w:top w:val="nil"/>
              <w:left w:val="nil"/>
              <w:bottom w:val="nil"/>
              <w:right w:val="nil"/>
            </w:tcBorders>
            <w:shd w:val="clear" w:color="auto" w:fill="auto"/>
            <w:noWrap/>
            <w:vAlign w:val="center"/>
            <w:hideMark/>
          </w:tcPr>
          <w:p w14:paraId="636588AC"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25,2</w:t>
            </w:r>
          </w:p>
        </w:tc>
        <w:tc>
          <w:tcPr>
            <w:tcW w:w="567" w:type="dxa"/>
            <w:tcBorders>
              <w:top w:val="nil"/>
              <w:left w:val="nil"/>
              <w:bottom w:val="nil"/>
              <w:right w:val="nil"/>
            </w:tcBorders>
            <w:shd w:val="clear" w:color="auto" w:fill="auto"/>
            <w:noWrap/>
            <w:vAlign w:val="center"/>
            <w:hideMark/>
          </w:tcPr>
          <w:p w14:paraId="4939213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28,3</w:t>
            </w:r>
          </w:p>
        </w:tc>
        <w:tc>
          <w:tcPr>
            <w:tcW w:w="567" w:type="dxa"/>
            <w:tcBorders>
              <w:top w:val="nil"/>
              <w:left w:val="nil"/>
              <w:bottom w:val="nil"/>
              <w:right w:val="nil"/>
            </w:tcBorders>
            <w:shd w:val="clear" w:color="auto" w:fill="auto"/>
            <w:noWrap/>
            <w:vAlign w:val="center"/>
            <w:hideMark/>
          </w:tcPr>
          <w:p w14:paraId="2FBB7EE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27,8</w:t>
            </w:r>
          </w:p>
        </w:tc>
        <w:tc>
          <w:tcPr>
            <w:tcW w:w="567" w:type="dxa"/>
            <w:tcBorders>
              <w:top w:val="nil"/>
              <w:left w:val="nil"/>
              <w:bottom w:val="nil"/>
              <w:right w:val="nil"/>
            </w:tcBorders>
            <w:shd w:val="clear" w:color="auto" w:fill="auto"/>
            <w:noWrap/>
            <w:vAlign w:val="center"/>
            <w:hideMark/>
          </w:tcPr>
          <w:p w14:paraId="46FFB0B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27,3</w:t>
            </w:r>
          </w:p>
        </w:tc>
        <w:tc>
          <w:tcPr>
            <w:tcW w:w="567" w:type="dxa"/>
            <w:tcBorders>
              <w:top w:val="nil"/>
              <w:left w:val="nil"/>
              <w:bottom w:val="nil"/>
              <w:right w:val="nil"/>
            </w:tcBorders>
            <w:shd w:val="clear" w:color="auto" w:fill="auto"/>
            <w:noWrap/>
            <w:vAlign w:val="center"/>
            <w:hideMark/>
          </w:tcPr>
          <w:p w14:paraId="5A2C408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29,4</w:t>
            </w:r>
          </w:p>
        </w:tc>
        <w:tc>
          <w:tcPr>
            <w:tcW w:w="567" w:type="dxa"/>
            <w:tcBorders>
              <w:top w:val="nil"/>
              <w:left w:val="nil"/>
              <w:bottom w:val="nil"/>
              <w:right w:val="nil"/>
            </w:tcBorders>
            <w:shd w:val="clear" w:color="auto" w:fill="auto"/>
            <w:noWrap/>
            <w:vAlign w:val="center"/>
            <w:hideMark/>
          </w:tcPr>
          <w:p w14:paraId="6EB4CDF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30,9</w:t>
            </w:r>
          </w:p>
        </w:tc>
        <w:tc>
          <w:tcPr>
            <w:tcW w:w="567" w:type="dxa"/>
            <w:tcBorders>
              <w:top w:val="nil"/>
              <w:left w:val="nil"/>
              <w:bottom w:val="nil"/>
              <w:right w:val="nil"/>
            </w:tcBorders>
            <w:shd w:val="clear" w:color="auto" w:fill="auto"/>
            <w:noWrap/>
            <w:vAlign w:val="center"/>
            <w:hideMark/>
          </w:tcPr>
          <w:p w14:paraId="294E62C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30,2</w:t>
            </w:r>
          </w:p>
        </w:tc>
        <w:tc>
          <w:tcPr>
            <w:tcW w:w="567" w:type="dxa"/>
            <w:tcBorders>
              <w:top w:val="nil"/>
              <w:left w:val="nil"/>
              <w:bottom w:val="nil"/>
              <w:right w:val="nil"/>
            </w:tcBorders>
            <w:shd w:val="clear" w:color="auto" w:fill="auto"/>
            <w:noWrap/>
            <w:vAlign w:val="center"/>
            <w:hideMark/>
          </w:tcPr>
          <w:p w14:paraId="3F307BC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31,2</w:t>
            </w:r>
          </w:p>
        </w:tc>
        <w:tc>
          <w:tcPr>
            <w:tcW w:w="559" w:type="dxa"/>
            <w:vAlign w:val="center"/>
          </w:tcPr>
          <w:p w14:paraId="42097B6D"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41,7</w:t>
            </w:r>
          </w:p>
        </w:tc>
        <w:tc>
          <w:tcPr>
            <w:tcW w:w="500" w:type="dxa"/>
            <w:vAlign w:val="center"/>
          </w:tcPr>
          <w:p w14:paraId="2A6110AC" w14:textId="63BC334F" w:rsidR="00AF51E3" w:rsidRPr="00554433" w:rsidRDefault="00AF51E3" w:rsidP="00AF51E3">
            <w:pPr>
              <w:spacing w:after="0" w:line="240" w:lineRule="auto"/>
              <w:jc w:val="right"/>
              <w:rPr>
                <w:rFonts w:cs="Arial"/>
                <w:color w:val="000000"/>
                <w:sz w:val="16"/>
                <w:szCs w:val="16"/>
              </w:rPr>
            </w:pPr>
            <w:r>
              <w:rPr>
                <w:rFonts w:cs="Arial"/>
                <w:color w:val="000000"/>
                <w:sz w:val="16"/>
                <w:szCs w:val="16"/>
              </w:rPr>
              <w:t>33,7</w:t>
            </w:r>
          </w:p>
        </w:tc>
      </w:tr>
      <w:tr w:rsidR="00AF51E3" w:rsidRPr="00554433" w14:paraId="50D0AED0" w14:textId="68C959EB" w:rsidTr="00AF51E3">
        <w:trPr>
          <w:trHeight w:val="300"/>
        </w:trPr>
        <w:tc>
          <w:tcPr>
            <w:tcW w:w="3476" w:type="dxa"/>
            <w:tcBorders>
              <w:top w:val="nil"/>
              <w:left w:val="nil"/>
              <w:bottom w:val="nil"/>
              <w:right w:val="single" w:sz="4" w:space="0" w:color="auto"/>
            </w:tcBorders>
            <w:shd w:val="clear" w:color="auto" w:fill="auto"/>
            <w:vAlign w:val="center"/>
            <w:hideMark/>
          </w:tcPr>
          <w:p w14:paraId="685F7B71"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L – Činnosti v oblasti nemovitostí</w:t>
            </w:r>
          </w:p>
        </w:tc>
        <w:tc>
          <w:tcPr>
            <w:tcW w:w="567" w:type="dxa"/>
            <w:tcBorders>
              <w:top w:val="nil"/>
              <w:left w:val="nil"/>
              <w:bottom w:val="nil"/>
              <w:right w:val="nil"/>
            </w:tcBorders>
            <w:shd w:val="clear" w:color="auto" w:fill="auto"/>
            <w:noWrap/>
            <w:vAlign w:val="center"/>
            <w:hideMark/>
          </w:tcPr>
          <w:p w14:paraId="1BAD06F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14,7</w:t>
            </w:r>
          </w:p>
        </w:tc>
        <w:tc>
          <w:tcPr>
            <w:tcW w:w="567" w:type="dxa"/>
            <w:tcBorders>
              <w:top w:val="nil"/>
              <w:left w:val="nil"/>
              <w:bottom w:val="nil"/>
              <w:right w:val="nil"/>
            </w:tcBorders>
            <w:shd w:val="clear" w:color="auto" w:fill="auto"/>
            <w:noWrap/>
            <w:vAlign w:val="center"/>
            <w:hideMark/>
          </w:tcPr>
          <w:p w14:paraId="57F0BC5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14,0</w:t>
            </w:r>
          </w:p>
        </w:tc>
        <w:tc>
          <w:tcPr>
            <w:tcW w:w="567" w:type="dxa"/>
            <w:tcBorders>
              <w:top w:val="nil"/>
              <w:left w:val="nil"/>
              <w:bottom w:val="nil"/>
              <w:right w:val="nil"/>
            </w:tcBorders>
            <w:shd w:val="clear" w:color="auto" w:fill="auto"/>
            <w:noWrap/>
            <w:vAlign w:val="center"/>
            <w:hideMark/>
          </w:tcPr>
          <w:p w14:paraId="49775A6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16,3</w:t>
            </w:r>
          </w:p>
        </w:tc>
        <w:tc>
          <w:tcPr>
            <w:tcW w:w="567" w:type="dxa"/>
            <w:tcBorders>
              <w:top w:val="nil"/>
              <w:left w:val="nil"/>
              <w:bottom w:val="nil"/>
              <w:right w:val="nil"/>
            </w:tcBorders>
            <w:shd w:val="clear" w:color="auto" w:fill="auto"/>
            <w:noWrap/>
            <w:vAlign w:val="center"/>
            <w:hideMark/>
          </w:tcPr>
          <w:p w14:paraId="02D4361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16,5</w:t>
            </w:r>
          </w:p>
        </w:tc>
        <w:tc>
          <w:tcPr>
            <w:tcW w:w="567" w:type="dxa"/>
            <w:tcBorders>
              <w:top w:val="nil"/>
              <w:left w:val="nil"/>
              <w:bottom w:val="nil"/>
              <w:right w:val="nil"/>
            </w:tcBorders>
            <w:shd w:val="clear" w:color="auto" w:fill="auto"/>
            <w:noWrap/>
            <w:vAlign w:val="center"/>
            <w:hideMark/>
          </w:tcPr>
          <w:p w14:paraId="222B5F2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15,7</w:t>
            </w:r>
          </w:p>
        </w:tc>
        <w:tc>
          <w:tcPr>
            <w:tcW w:w="567" w:type="dxa"/>
            <w:tcBorders>
              <w:top w:val="nil"/>
              <w:left w:val="nil"/>
              <w:bottom w:val="nil"/>
              <w:right w:val="nil"/>
            </w:tcBorders>
            <w:shd w:val="clear" w:color="auto" w:fill="auto"/>
            <w:noWrap/>
            <w:vAlign w:val="center"/>
            <w:hideMark/>
          </w:tcPr>
          <w:p w14:paraId="74ED41DD"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17,4</w:t>
            </w:r>
          </w:p>
        </w:tc>
        <w:tc>
          <w:tcPr>
            <w:tcW w:w="567" w:type="dxa"/>
            <w:tcBorders>
              <w:top w:val="nil"/>
              <w:left w:val="nil"/>
              <w:bottom w:val="nil"/>
              <w:right w:val="nil"/>
            </w:tcBorders>
            <w:shd w:val="clear" w:color="auto" w:fill="auto"/>
            <w:noWrap/>
            <w:vAlign w:val="center"/>
            <w:hideMark/>
          </w:tcPr>
          <w:p w14:paraId="4D04BA1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18,4</w:t>
            </w:r>
          </w:p>
        </w:tc>
        <w:tc>
          <w:tcPr>
            <w:tcW w:w="567" w:type="dxa"/>
            <w:tcBorders>
              <w:top w:val="nil"/>
              <w:left w:val="nil"/>
              <w:bottom w:val="nil"/>
              <w:right w:val="nil"/>
            </w:tcBorders>
            <w:shd w:val="clear" w:color="auto" w:fill="auto"/>
            <w:noWrap/>
            <w:vAlign w:val="center"/>
            <w:hideMark/>
          </w:tcPr>
          <w:p w14:paraId="4962DE8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24,3</w:t>
            </w:r>
          </w:p>
        </w:tc>
        <w:tc>
          <w:tcPr>
            <w:tcW w:w="567" w:type="dxa"/>
            <w:tcBorders>
              <w:top w:val="nil"/>
              <w:left w:val="nil"/>
              <w:bottom w:val="nil"/>
              <w:right w:val="nil"/>
            </w:tcBorders>
            <w:shd w:val="clear" w:color="auto" w:fill="auto"/>
            <w:noWrap/>
            <w:vAlign w:val="center"/>
            <w:hideMark/>
          </w:tcPr>
          <w:p w14:paraId="71002F1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28,7</w:t>
            </w:r>
          </w:p>
        </w:tc>
        <w:tc>
          <w:tcPr>
            <w:tcW w:w="559" w:type="dxa"/>
            <w:vAlign w:val="center"/>
          </w:tcPr>
          <w:p w14:paraId="2F1B993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34,5</w:t>
            </w:r>
          </w:p>
        </w:tc>
        <w:tc>
          <w:tcPr>
            <w:tcW w:w="500" w:type="dxa"/>
            <w:vAlign w:val="center"/>
          </w:tcPr>
          <w:p w14:paraId="0F8B787F" w14:textId="460951D7" w:rsidR="00AF51E3" w:rsidRPr="00554433" w:rsidRDefault="00AF51E3" w:rsidP="00AF51E3">
            <w:pPr>
              <w:spacing w:after="0" w:line="240" w:lineRule="auto"/>
              <w:jc w:val="right"/>
              <w:rPr>
                <w:rFonts w:cs="Arial"/>
                <w:color w:val="000000"/>
                <w:sz w:val="16"/>
                <w:szCs w:val="16"/>
              </w:rPr>
            </w:pPr>
            <w:r>
              <w:rPr>
                <w:rFonts w:cs="Arial"/>
                <w:color w:val="000000"/>
                <w:sz w:val="16"/>
                <w:szCs w:val="16"/>
              </w:rPr>
              <w:t>25,0</w:t>
            </w:r>
          </w:p>
        </w:tc>
      </w:tr>
      <w:tr w:rsidR="00AF51E3" w:rsidRPr="00554433" w14:paraId="7DCD97C9" w14:textId="749A57BB" w:rsidTr="00AF51E3">
        <w:trPr>
          <w:trHeight w:val="480"/>
        </w:trPr>
        <w:tc>
          <w:tcPr>
            <w:tcW w:w="3476" w:type="dxa"/>
            <w:tcBorders>
              <w:top w:val="nil"/>
              <w:left w:val="nil"/>
              <w:bottom w:val="nil"/>
              <w:right w:val="single" w:sz="4" w:space="0" w:color="auto"/>
            </w:tcBorders>
            <w:shd w:val="clear" w:color="auto" w:fill="auto"/>
            <w:vAlign w:val="center"/>
            <w:hideMark/>
          </w:tcPr>
          <w:p w14:paraId="70CF3C5F"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 xml:space="preserve">M – Profesní, vědecké a technické </w:t>
            </w:r>
            <w:r w:rsidRPr="00554433">
              <w:rPr>
                <w:rFonts w:cs="Arial"/>
                <w:color w:val="000000"/>
                <w:sz w:val="16"/>
                <w:szCs w:val="16"/>
              </w:rPr>
              <w:br/>
              <w:t xml:space="preserve">          činnosti</w:t>
            </w:r>
          </w:p>
        </w:tc>
        <w:tc>
          <w:tcPr>
            <w:tcW w:w="567" w:type="dxa"/>
            <w:tcBorders>
              <w:top w:val="nil"/>
              <w:left w:val="nil"/>
              <w:bottom w:val="nil"/>
              <w:right w:val="nil"/>
            </w:tcBorders>
            <w:shd w:val="clear" w:color="auto" w:fill="auto"/>
            <w:noWrap/>
            <w:vAlign w:val="center"/>
            <w:hideMark/>
          </w:tcPr>
          <w:p w14:paraId="55D19C6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19,4</w:t>
            </w:r>
          </w:p>
        </w:tc>
        <w:tc>
          <w:tcPr>
            <w:tcW w:w="567" w:type="dxa"/>
            <w:tcBorders>
              <w:top w:val="nil"/>
              <w:left w:val="nil"/>
              <w:bottom w:val="nil"/>
              <w:right w:val="nil"/>
            </w:tcBorders>
            <w:shd w:val="clear" w:color="auto" w:fill="auto"/>
            <w:noWrap/>
            <w:vAlign w:val="center"/>
            <w:hideMark/>
          </w:tcPr>
          <w:p w14:paraId="6569CF1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18,3</w:t>
            </w:r>
          </w:p>
        </w:tc>
        <w:tc>
          <w:tcPr>
            <w:tcW w:w="567" w:type="dxa"/>
            <w:tcBorders>
              <w:top w:val="nil"/>
              <w:left w:val="nil"/>
              <w:bottom w:val="nil"/>
              <w:right w:val="nil"/>
            </w:tcBorders>
            <w:shd w:val="clear" w:color="auto" w:fill="auto"/>
            <w:noWrap/>
            <w:vAlign w:val="center"/>
            <w:hideMark/>
          </w:tcPr>
          <w:p w14:paraId="273B987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21,1</w:t>
            </w:r>
          </w:p>
        </w:tc>
        <w:tc>
          <w:tcPr>
            <w:tcW w:w="567" w:type="dxa"/>
            <w:tcBorders>
              <w:top w:val="nil"/>
              <w:left w:val="nil"/>
              <w:bottom w:val="nil"/>
              <w:right w:val="nil"/>
            </w:tcBorders>
            <w:shd w:val="clear" w:color="auto" w:fill="auto"/>
            <w:noWrap/>
            <w:vAlign w:val="center"/>
            <w:hideMark/>
          </w:tcPr>
          <w:p w14:paraId="34554D5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21,3</w:t>
            </w:r>
          </w:p>
        </w:tc>
        <w:tc>
          <w:tcPr>
            <w:tcW w:w="567" w:type="dxa"/>
            <w:tcBorders>
              <w:top w:val="nil"/>
              <w:left w:val="nil"/>
              <w:bottom w:val="nil"/>
              <w:right w:val="nil"/>
            </w:tcBorders>
            <w:shd w:val="clear" w:color="auto" w:fill="auto"/>
            <w:noWrap/>
            <w:vAlign w:val="center"/>
            <w:hideMark/>
          </w:tcPr>
          <w:p w14:paraId="47851EA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21,8</w:t>
            </w:r>
          </w:p>
        </w:tc>
        <w:tc>
          <w:tcPr>
            <w:tcW w:w="567" w:type="dxa"/>
            <w:tcBorders>
              <w:top w:val="nil"/>
              <w:left w:val="nil"/>
              <w:bottom w:val="nil"/>
              <w:right w:val="nil"/>
            </w:tcBorders>
            <w:shd w:val="clear" w:color="auto" w:fill="auto"/>
            <w:noWrap/>
            <w:vAlign w:val="center"/>
            <w:hideMark/>
          </w:tcPr>
          <w:p w14:paraId="58F6E0C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22,5</w:t>
            </w:r>
          </w:p>
        </w:tc>
        <w:tc>
          <w:tcPr>
            <w:tcW w:w="567" w:type="dxa"/>
            <w:tcBorders>
              <w:top w:val="nil"/>
              <w:left w:val="nil"/>
              <w:bottom w:val="nil"/>
              <w:right w:val="nil"/>
            </w:tcBorders>
            <w:shd w:val="clear" w:color="auto" w:fill="auto"/>
            <w:noWrap/>
            <w:vAlign w:val="center"/>
            <w:hideMark/>
          </w:tcPr>
          <w:p w14:paraId="121973BB"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23,0</w:t>
            </w:r>
          </w:p>
        </w:tc>
        <w:tc>
          <w:tcPr>
            <w:tcW w:w="567" w:type="dxa"/>
            <w:tcBorders>
              <w:top w:val="nil"/>
              <w:left w:val="nil"/>
              <w:bottom w:val="nil"/>
              <w:right w:val="nil"/>
            </w:tcBorders>
            <w:shd w:val="clear" w:color="auto" w:fill="auto"/>
            <w:noWrap/>
            <w:vAlign w:val="center"/>
            <w:hideMark/>
          </w:tcPr>
          <w:p w14:paraId="75798D12"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27,6</w:t>
            </w:r>
          </w:p>
        </w:tc>
        <w:tc>
          <w:tcPr>
            <w:tcW w:w="567" w:type="dxa"/>
            <w:tcBorders>
              <w:top w:val="nil"/>
              <w:left w:val="nil"/>
              <w:bottom w:val="nil"/>
              <w:right w:val="nil"/>
            </w:tcBorders>
            <w:shd w:val="clear" w:color="auto" w:fill="auto"/>
            <w:noWrap/>
            <w:vAlign w:val="center"/>
            <w:hideMark/>
          </w:tcPr>
          <w:p w14:paraId="5325D7F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30,3</w:t>
            </w:r>
          </w:p>
        </w:tc>
        <w:tc>
          <w:tcPr>
            <w:tcW w:w="559" w:type="dxa"/>
            <w:vAlign w:val="center"/>
          </w:tcPr>
          <w:p w14:paraId="6DDACBE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39,5</w:t>
            </w:r>
          </w:p>
        </w:tc>
        <w:tc>
          <w:tcPr>
            <w:tcW w:w="500" w:type="dxa"/>
            <w:vAlign w:val="center"/>
          </w:tcPr>
          <w:p w14:paraId="60249898" w14:textId="6E956D69" w:rsidR="00AF51E3" w:rsidRPr="00554433" w:rsidRDefault="00AF51E3" w:rsidP="00AF51E3">
            <w:pPr>
              <w:spacing w:after="0" w:line="240" w:lineRule="auto"/>
              <w:jc w:val="right"/>
              <w:rPr>
                <w:rFonts w:cs="Arial"/>
                <w:color w:val="000000"/>
                <w:sz w:val="16"/>
                <w:szCs w:val="16"/>
              </w:rPr>
            </w:pPr>
            <w:r>
              <w:rPr>
                <w:rFonts w:cs="Arial"/>
                <w:color w:val="000000"/>
                <w:sz w:val="16"/>
                <w:szCs w:val="16"/>
              </w:rPr>
              <w:t>29,3</w:t>
            </w:r>
          </w:p>
        </w:tc>
      </w:tr>
      <w:tr w:rsidR="00AF51E3" w:rsidRPr="00554433" w14:paraId="48D9A209" w14:textId="76FEDC34" w:rsidTr="00AF51E3">
        <w:trPr>
          <w:trHeight w:val="480"/>
        </w:trPr>
        <w:tc>
          <w:tcPr>
            <w:tcW w:w="3476" w:type="dxa"/>
            <w:tcBorders>
              <w:top w:val="nil"/>
              <w:left w:val="nil"/>
              <w:bottom w:val="nil"/>
              <w:right w:val="single" w:sz="4" w:space="0" w:color="auto"/>
            </w:tcBorders>
            <w:shd w:val="clear" w:color="auto" w:fill="auto"/>
            <w:vAlign w:val="center"/>
            <w:hideMark/>
          </w:tcPr>
          <w:p w14:paraId="5344FAD2"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 xml:space="preserve">N – Administrativní a podpůrné </w:t>
            </w:r>
            <w:r w:rsidRPr="00554433">
              <w:rPr>
                <w:rFonts w:cs="Arial"/>
                <w:color w:val="000000"/>
                <w:sz w:val="16"/>
                <w:szCs w:val="16"/>
              </w:rPr>
              <w:br/>
              <w:t xml:space="preserve">          činnosti</w:t>
            </w:r>
          </w:p>
        </w:tc>
        <w:tc>
          <w:tcPr>
            <w:tcW w:w="567" w:type="dxa"/>
            <w:tcBorders>
              <w:top w:val="nil"/>
              <w:left w:val="nil"/>
              <w:bottom w:val="nil"/>
              <w:right w:val="nil"/>
            </w:tcBorders>
            <w:shd w:val="clear" w:color="auto" w:fill="auto"/>
            <w:noWrap/>
            <w:vAlign w:val="center"/>
            <w:hideMark/>
          </w:tcPr>
          <w:p w14:paraId="6376479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36,1</w:t>
            </w:r>
          </w:p>
        </w:tc>
        <w:tc>
          <w:tcPr>
            <w:tcW w:w="567" w:type="dxa"/>
            <w:tcBorders>
              <w:top w:val="nil"/>
              <w:left w:val="nil"/>
              <w:bottom w:val="nil"/>
              <w:right w:val="nil"/>
            </w:tcBorders>
            <w:shd w:val="clear" w:color="auto" w:fill="auto"/>
            <w:noWrap/>
            <w:vAlign w:val="center"/>
            <w:hideMark/>
          </w:tcPr>
          <w:p w14:paraId="4BA6923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40,3</w:t>
            </w:r>
          </w:p>
        </w:tc>
        <w:tc>
          <w:tcPr>
            <w:tcW w:w="567" w:type="dxa"/>
            <w:tcBorders>
              <w:top w:val="nil"/>
              <w:left w:val="nil"/>
              <w:bottom w:val="nil"/>
              <w:right w:val="nil"/>
            </w:tcBorders>
            <w:shd w:val="clear" w:color="auto" w:fill="auto"/>
            <w:noWrap/>
            <w:vAlign w:val="center"/>
            <w:hideMark/>
          </w:tcPr>
          <w:p w14:paraId="5044916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48,2</w:t>
            </w:r>
          </w:p>
        </w:tc>
        <w:tc>
          <w:tcPr>
            <w:tcW w:w="567" w:type="dxa"/>
            <w:tcBorders>
              <w:top w:val="nil"/>
              <w:left w:val="nil"/>
              <w:bottom w:val="nil"/>
              <w:right w:val="nil"/>
            </w:tcBorders>
            <w:shd w:val="clear" w:color="auto" w:fill="auto"/>
            <w:noWrap/>
            <w:vAlign w:val="center"/>
            <w:hideMark/>
          </w:tcPr>
          <w:p w14:paraId="718A666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49,4</w:t>
            </w:r>
          </w:p>
        </w:tc>
        <w:tc>
          <w:tcPr>
            <w:tcW w:w="567" w:type="dxa"/>
            <w:tcBorders>
              <w:top w:val="nil"/>
              <w:left w:val="nil"/>
              <w:bottom w:val="nil"/>
              <w:right w:val="nil"/>
            </w:tcBorders>
            <w:shd w:val="clear" w:color="auto" w:fill="auto"/>
            <w:noWrap/>
            <w:vAlign w:val="center"/>
            <w:hideMark/>
          </w:tcPr>
          <w:p w14:paraId="65870BF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48,6</w:t>
            </w:r>
          </w:p>
        </w:tc>
        <w:tc>
          <w:tcPr>
            <w:tcW w:w="567" w:type="dxa"/>
            <w:tcBorders>
              <w:top w:val="nil"/>
              <w:left w:val="nil"/>
              <w:bottom w:val="nil"/>
              <w:right w:val="nil"/>
            </w:tcBorders>
            <w:shd w:val="clear" w:color="auto" w:fill="auto"/>
            <w:noWrap/>
            <w:vAlign w:val="center"/>
            <w:hideMark/>
          </w:tcPr>
          <w:p w14:paraId="08E272C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48,6</w:t>
            </w:r>
          </w:p>
        </w:tc>
        <w:tc>
          <w:tcPr>
            <w:tcW w:w="567" w:type="dxa"/>
            <w:tcBorders>
              <w:top w:val="nil"/>
              <w:left w:val="nil"/>
              <w:bottom w:val="nil"/>
              <w:right w:val="nil"/>
            </w:tcBorders>
            <w:shd w:val="clear" w:color="auto" w:fill="auto"/>
            <w:noWrap/>
            <w:vAlign w:val="center"/>
            <w:hideMark/>
          </w:tcPr>
          <w:p w14:paraId="7259D55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49,7</w:t>
            </w:r>
          </w:p>
        </w:tc>
        <w:tc>
          <w:tcPr>
            <w:tcW w:w="567" w:type="dxa"/>
            <w:tcBorders>
              <w:top w:val="nil"/>
              <w:left w:val="nil"/>
              <w:bottom w:val="nil"/>
              <w:right w:val="nil"/>
            </w:tcBorders>
            <w:shd w:val="clear" w:color="auto" w:fill="auto"/>
            <w:noWrap/>
            <w:vAlign w:val="center"/>
            <w:hideMark/>
          </w:tcPr>
          <w:p w14:paraId="7B5977E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56,9</w:t>
            </w:r>
          </w:p>
        </w:tc>
        <w:tc>
          <w:tcPr>
            <w:tcW w:w="567" w:type="dxa"/>
            <w:tcBorders>
              <w:top w:val="nil"/>
              <w:left w:val="nil"/>
              <w:bottom w:val="nil"/>
              <w:right w:val="nil"/>
            </w:tcBorders>
            <w:shd w:val="clear" w:color="auto" w:fill="auto"/>
            <w:noWrap/>
            <w:vAlign w:val="center"/>
            <w:hideMark/>
          </w:tcPr>
          <w:p w14:paraId="32593C3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66,4</w:t>
            </w:r>
          </w:p>
        </w:tc>
        <w:tc>
          <w:tcPr>
            <w:tcW w:w="559" w:type="dxa"/>
            <w:vAlign w:val="center"/>
          </w:tcPr>
          <w:p w14:paraId="24681AD2"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70,4</w:t>
            </w:r>
          </w:p>
        </w:tc>
        <w:tc>
          <w:tcPr>
            <w:tcW w:w="500" w:type="dxa"/>
            <w:vAlign w:val="center"/>
          </w:tcPr>
          <w:p w14:paraId="2A52A0B1" w14:textId="759339D8" w:rsidR="00AF51E3" w:rsidRPr="00554433" w:rsidRDefault="00AF51E3" w:rsidP="00AF51E3">
            <w:pPr>
              <w:spacing w:after="0" w:line="240" w:lineRule="auto"/>
              <w:jc w:val="right"/>
              <w:rPr>
                <w:rFonts w:cs="Arial"/>
                <w:color w:val="000000"/>
                <w:sz w:val="16"/>
                <w:szCs w:val="16"/>
              </w:rPr>
            </w:pPr>
            <w:r>
              <w:rPr>
                <w:rFonts w:cs="Arial"/>
                <w:color w:val="000000"/>
                <w:sz w:val="16"/>
                <w:szCs w:val="16"/>
              </w:rPr>
              <w:t>56,0</w:t>
            </w:r>
          </w:p>
        </w:tc>
      </w:tr>
      <w:tr w:rsidR="00AF51E3" w:rsidRPr="00554433" w14:paraId="6B137679" w14:textId="3EEB6C0F" w:rsidTr="00AF51E3">
        <w:trPr>
          <w:trHeight w:val="480"/>
        </w:trPr>
        <w:tc>
          <w:tcPr>
            <w:tcW w:w="3476" w:type="dxa"/>
            <w:tcBorders>
              <w:top w:val="nil"/>
              <w:left w:val="nil"/>
              <w:bottom w:val="nil"/>
              <w:right w:val="single" w:sz="4" w:space="0" w:color="auto"/>
            </w:tcBorders>
            <w:shd w:val="clear" w:color="auto" w:fill="auto"/>
            <w:vAlign w:val="center"/>
            <w:hideMark/>
          </w:tcPr>
          <w:p w14:paraId="602A1280"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 xml:space="preserve">O – Veřejná správa a obrana; </w:t>
            </w:r>
            <w:r w:rsidRPr="00554433">
              <w:rPr>
                <w:rFonts w:cs="Arial"/>
                <w:color w:val="000000"/>
                <w:sz w:val="16"/>
                <w:szCs w:val="16"/>
              </w:rPr>
              <w:br/>
              <w:t xml:space="preserve">          povinné sociální zabezpečení</w:t>
            </w:r>
          </w:p>
        </w:tc>
        <w:tc>
          <w:tcPr>
            <w:tcW w:w="567" w:type="dxa"/>
            <w:tcBorders>
              <w:top w:val="nil"/>
              <w:left w:val="nil"/>
              <w:bottom w:val="nil"/>
              <w:right w:val="nil"/>
            </w:tcBorders>
            <w:shd w:val="clear" w:color="auto" w:fill="auto"/>
            <w:noWrap/>
            <w:vAlign w:val="center"/>
            <w:hideMark/>
          </w:tcPr>
          <w:p w14:paraId="3A384BFD"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28,1</w:t>
            </w:r>
          </w:p>
        </w:tc>
        <w:tc>
          <w:tcPr>
            <w:tcW w:w="567" w:type="dxa"/>
            <w:tcBorders>
              <w:top w:val="nil"/>
              <w:left w:val="nil"/>
              <w:bottom w:val="nil"/>
              <w:right w:val="nil"/>
            </w:tcBorders>
            <w:shd w:val="clear" w:color="auto" w:fill="auto"/>
            <w:noWrap/>
            <w:vAlign w:val="center"/>
            <w:hideMark/>
          </w:tcPr>
          <w:p w14:paraId="1CC7EBC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26,3</w:t>
            </w:r>
          </w:p>
        </w:tc>
        <w:tc>
          <w:tcPr>
            <w:tcW w:w="567" w:type="dxa"/>
            <w:tcBorders>
              <w:top w:val="nil"/>
              <w:left w:val="nil"/>
              <w:bottom w:val="nil"/>
              <w:right w:val="nil"/>
            </w:tcBorders>
            <w:shd w:val="clear" w:color="auto" w:fill="auto"/>
            <w:noWrap/>
            <w:vAlign w:val="center"/>
            <w:hideMark/>
          </w:tcPr>
          <w:p w14:paraId="3CABD92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31,5</w:t>
            </w:r>
          </w:p>
        </w:tc>
        <w:tc>
          <w:tcPr>
            <w:tcW w:w="567" w:type="dxa"/>
            <w:tcBorders>
              <w:top w:val="nil"/>
              <w:left w:val="nil"/>
              <w:bottom w:val="nil"/>
              <w:right w:val="nil"/>
            </w:tcBorders>
            <w:shd w:val="clear" w:color="auto" w:fill="auto"/>
            <w:noWrap/>
            <w:vAlign w:val="center"/>
            <w:hideMark/>
          </w:tcPr>
          <w:p w14:paraId="27B5793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30,7</w:t>
            </w:r>
          </w:p>
        </w:tc>
        <w:tc>
          <w:tcPr>
            <w:tcW w:w="567" w:type="dxa"/>
            <w:tcBorders>
              <w:top w:val="nil"/>
              <w:left w:val="nil"/>
              <w:bottom w:val="nil"/>
              <w:right w:val="nil"/>
            </w:tcBorders>
            <w:shd w:val="clear" w:color="auto" w:fill="auto"/>
            <w:noWrap/>
            <w:vAlign w:val="center"/>
            <w:hideMark/>
          </w:tcPr>
          <w:p w14:paraId="77F71B1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31,3</w:t>
            </w:r>
          </w:p>
        </w:tc>
        <w:tc>
          <w:tcPr>
            <w:tcW w:w="567" w:type="dxa"/>
            <w:tcBorders>
              <w:top w:val="nil"/>
              <w:left w:val="nil"/>
              <w:bottom w:val="nil"/>
              <w:right w:val="nil"/>
            </w:tcBorders>
            <w:shd w:val="clear" w:color="auto" w:fill="auto"/>
            <w:noWrap/>
            <w:vAlign w:val="center"/>
            <w:hideMark/>
          </w:tcPr>
          <w:p w14:paraId="5DD7872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34,0</w:t>
            </w:r>
          </w:p>
        </w:tc>
        <w:tc>
          <w:tcPr>
            <w:tcW w:w="567" w:type="dxa"/>
            <w:tcBorders>
              <w:top w:val="nil"/>
              <w:left w:val="nil"/>
              <w:bottom w:val="nil"/>
              <w:right w:val="nil"/>
            </w:tcBorders>
            <w:shd w:val="clear" w:color="auto" w:fill="auto"/>
            <w:noWrap/>
            <w:vAlign w:val="center"/>
            <w:hideMark/>
          </w:tcPr>
          <w:p w14:paraId="3069447B"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35,5</w:t>
            </w:r>
          </w:p>
        </w:tc>
        <w:tc>
          <w:tcPr>
            <w:tcW w:w="567" w:type="dxa"/>
            <w:tcBorders>
              <w:top w:val="nil"/>
              <w:left w:val="nil"/>
              <w:bottom w:val="nil"/>
              <w:right w:val="nil"/>
            </w:tcBorders>
            <w:shd w:val="clear" w:color="auto" w:fill="auto"/>
            <w:noWrap/>
            <w:vAlign w:val="center"/>
            <w:hideMark/>
          </w:tcPr>
          <w:p w14:paraId="5174DD9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44,9</w:t>
            </w:r>
          </w:p>
        </w:tc>
        <w:tc>
          <w:tcPr>
            <w:tcW w:w="567" w:type="dxa"/>
            <w:tcBorders>
              <w:top w:val="nil"/>
              <w:left w:val="nil"/>
              <w:bottom w:val="nil"/>
              <w:right w:val="nil"/>
            </w:tcBorders>
            <w:shd w:val="clear" w:color="auto" w:fill="auto"/>
            <w:noWrap/>
            <w:vAlign w:val="center"/>
            <w:hideMark/>
          </w:tcPr>
          <w:p w14:paraId="0B6547C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52,7</w:t>
            </w:r>
          </w:p>
        </w:tc>
        <w:tc>
          <w:tcPr>
            <w:tcW w:w="559" w:type="dxa"/>
            <w:vAlign w:val="center"/>
          </w:tcPr>
          <w:p w14:paraId="477EEB3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77,0</w:t>
            </w:r>
          </w:p>
        </w:tc>
        <w:tc>
          <w:tcPr>
            <w:tcW w:w="500" w:type="dxa"/>
            <w:vAlign w:val="center"/>
          </w:tcPr>
          <w:p w14:paraId="689D5968" w14:textId="2C1F1878" w:rsidR="00AF51E3" w:rsidRPr="00554433" w:rsidRDefault="00AF51E3" w:rsidP="00AF51E3">
            <w:pPr>
              <w:spacing w:after="0" w:line="240" w:lineRule="auto"/>
              <w:jc w:val="right"/>
              <w:rPr>
                <w:rFonts w:cs="Arial"/>
                <w:color w:val="000000"/>
                <w:sz w:val="16"/>
                <w:szCs w:val="16"/>
              </w:rPr>
            </w:pPr>
            <w:r>
              <w:rPr>
                <w:rFonts w:cs="Arial"/>
                <w:color w:val="000000"/>
                <w:sz w:val="16"/>
                <w:szCs w:val="16"/>
              </w:rPr>
              <w:t>54,0</w:t>
            </w:r>
          </w:p>
        </w:tc>
      </w:tr>
      <w:tr w:rsidR="00AF51E3" w:rsidRPr="00554433" w14:paraId="16111DA0" w14:textId="777BE270" w:rsidTr="00AF51E3">
        <w:trPr>
          <w:trHeight w:val="300"/>
        </w:trPr>
        <w:tc>
          <w:tcPr>
            <w:tcW w:w="3476" w:type="dxa"/>
            <w:tcBorders>
              <w:top w:val="nil"/>
              <w:left w:val="nil"/>
              <w:bottom w:val="nil"/>
              <w:right w:val="single" w:sz="4" w:space="0" w:color="auto"/>
            </w:tcBorders>
            <w:shd w:val="clear" w:color="auto" w:fill="auto"/>
            <w:vAlign w:val="center"/>
            <w:hideMark/>
          </w:tcPr>
          <w:p w14:paraId="64B4EEB3"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P – Vzdělávání</w:t>
            </w:r>
          </w:p>
        </w:tc>
        <w:tc>
          <w:tcPr>
            <w:tcW w:w="567" w:type="dxa"/>
            <w:tcBorders>
              <w:top w:val="nil"/>
              <w:left w:val="nil"/>
              <w:bottom w:val="nil"/>
              <w:right w:val="nil"/>
            </w:tcBorders>
            <w:shd w:val="clear" w:color="auto" w:fill="auto"/>
            <w:noWrap/>
            <w:vAlign w:val="center"/>
            <w:hideMark/>
          </w:tcPr>
          <w:p w14:paraId="1696514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25,2</w:t>
            </w:r>
          </w:p>
        </w:tc>
        <w:tc>
          <w:tcPr>
            <w:tcW w:w="567" w:type="dxa"/>
            <w:tcBorders>
              <w:top w:val="nil"/>
              <w:left w:val="nil"/>
              <w:bottom w:val="nil"/>
              <w:right w:val="nil"/>
            </w:tcBorders>
            <w:shd w:val="clear" w:color="auto" w:fill="auto"/>
            <w:noWrap/>
            <w:vAlign w:val="center"/>
            <w:hideMark/>
          </w:tcPr>
          <w:p w14:paraId="1FB918F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24,4</w:t>
            </w:r>
          </w:p>
        </w:tc>
        <w:tc>
          <w:tcPr>
            <w:tcW w:w="567" w:type="dxa"/>
            <w:tcBorders>
              <w:top w:val="nil"/>
              <w:left w:val="nil"/>
              <w:bottom w:val="nil"/>
              <w:right w:val="nil"/>
            </w:tcBorders>
            <w:shd w:val="clear" w:color="auto" w:fill="auto"/>
            <w:noWrap/>
            <w:vAlign w:val="center"/>
            <w:hideMark/>
          </w:tcPr>
          <w:p w14:paraId="1AFE8A9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30,5</w:t>
            </w:r>
          </w:p>
        </w:tc>
        <w:tc>
          <w:tcPr>
            <w:tcW w:w="567" w:type="dxa"/>
            <w:tcBorders>
              <w:top w:val="nil"/>
              <w:left w:val="nil"/>
              <w:bottom w:val="nil"/>
              <w:right w:val="nil"/>
            </w:tcBorders>
            <w:shd w:val="clear" w:color="auto" w:fill="auto"/>
            <w:noWrap/>
            <w:vAlign w:val="center"/>
            <w:hideMark/>
          </w:tcPr>
          <w:p w14:paraId="3218008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30,5</w:t>
            </w:r>
          </w:p>
        </w:tc>
        <w:tc>
          <w:tcPr>
            <w:tcW w:w="567" w:type="dxa"/>
            <w:tcBorders>
              <w:top w:val="nil"/>
              <w:left w:val="nil"/>
              <w:bottom w:val="nil"/>
              <w:right w:val="nil"/>
            </w:tcBorders>
            <w:shd w:val="clear" w:color="auto" w:fill="auto"/>
            <w:noWrap/>
            <w:vAlign w:val="center"/>
            <w:hideMark/>
          </w:tcPr>
          <w:p w14:paraId="5DD7FE1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32,6</w:t>
            </w:r>
          </w:p>
        </w:tc>
        <w:tc>
          <w:tcPr>
            <w:tcW w:w="567" w:type="dxa"/>
            <w:tcBorders>
              <w:top w:val="nil"/>
              <w:left w:val="nil"/>
              <w:bottom w:val="nil"/>
              <w:right w:val="nil"/>
            </w:tcBorders>
            <w:shd w:val="clear" w:color="auto" w:fill="auto"/>
            <w:noWrap/>
            <w:vAlign w:val="center"/>
            <w:hideMark/>
          </w:tcPr>
          <w:p w14:paraId="423AF4F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35,9</w:t>
            </w:r>
          </w:p>
        </w:tc>
        <w:tc>
          <w:tcPr>
            <w:tcW w:w="567" w:type="dxa"/>
            <w:tcBorders>
              <w:top w:val="nil"/>
              <w:left w:val="nil"/>
              <w:bottom w:val="nil"/>
              <w:right w:val="nil"/>
            </w:tcBorders>
            <w:shd w:val="clear" w:color="auto" w:fill="auto"/>
            <w:noWrap/>
            <w:vAlign w:val="center"/>
            <w:hideMark/>
          </w:tcPr>
          <w:p w14:paraId="6AD5A92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36,0</w:t>
            </w:r>
          </w:p>
        </w:tc>
        <w:tc>
          <w:tcPr>
            <w:tcW w:w="567" w:type="dxa"/>
            <w:tcBorders>
              <w:top w:val="nil"/>
              <w:left w:val="nil"/>
              <w:bottom w:val="nil"/>
              <w:right w:val="nil"/>
            </w:tcBorders>
            <w:shd w:val="clear" w:color="auto" w:fill="auto"/>
            <w:noWrap/>
            <w:vAlign w:val="center"/>
            <w:hideMark/>
          </w:tcPr>
          <w:p w14:paraId="21C7718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43,3</w:t>
            </w:r>
          </w:p>
        </w:tc>
        <w:tc>
          <w:tcPr>
            <w:tcW w:w="567" w:type="dxa"/>
            <w:tcBorders>
              <w:top w:val="nil"/>
              <w:left w:val="nil"/>
              <w:bottom w:val="nil"/>
              <w:right w:val="nil"/>
            </w:tcBorders>
            <w:shd w:val="clear" w:color="auto" w:fill="auto"/>
            <w:noWrap/>
            <w:vAlign w:val="center"/>
            <w:hideMark/>
          </w:tcPr>
          <w:p w14:paraId="7B5ADD3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55,7</w:t>
            </w:r>
          </w:p>
        </w:tc>
        <w:tc>
          <w:tcPr>
            <w:tcW w:w="559" w:type="dxa"/>
            <w:vAlign w:val="center"/>
          </w:tcPr>
          <w:p w14:paraId="67E6A33C"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86,4</w:t>
            </w:r>
          </w:p>
        </w:tc>
        <w:tc>
          <w:tcPr>
            <w:tcW w:w="500" w:type="dxa"/>
            <w:vAlign w:val="center"/>
          </w:tcPr>
          <w:p w14:paraId="66AAE5F6" w14:textId="3FFA76F4" w:rsidR="00AF51E3" w:rsidRPr="00554433" w:rsidRDefault="00AF51E3" w:rsidP="00AF51E3">
            <w:pPr>
              <w:spacing w:after="0" w:line="240" w:lineRule="auto"/>
              <w:jc w:val="right"/>
              <w:rPr>
                <w:rFonts w:cs="Arial"/>
                <w:color w:val="000000"/>
                <w:sz w:val="16"/>
                <w:szCs w:val="16"/>
              </w:rPr>
            </w:pPr>
            <w:r>
              <w:rPr>
                <w:rFonts w:cs="Arial"/>
                <w:color w:val="000000"/>
                <w:sz w:val="16"/>
                <w:szCs w:val="16"/>
              </w:rPr>
              <w:t>63,1</w:t>
            </w:r>
          </w:p>
        </w:tc>
      </w:tr>
      <w:tr w:rsidR="00AF51E3" w:rsidRPr="00554433" w14:paraId="1A3D136C" w14:textId="4544F133" w:rsidTr="00AF51E3">
        <w:trPr>
          <w:trHeight w:val="300"/>
        </w:trPr>
        <w:tc>
          <w:tcPr>
            <w:tcW w:w="3476" w:type="dxa"/>
            <w:tcBorders>
              <w:top w:val="nil"/>
              <w:left w:val="nil"/>
              <w:bottom w:val="nil"/>
              <w:right w:val="single" w:sz="4" w:space="0" w:color="auto"/>
            </w:tcBorders>
            <w:shd w:val="clear" w:color="auto" w:fill="auto"/>
            <w:vAlign w:val="center"/>
            <w:hideMark/>
          </w:tcPr>
          <w:p w14:paraId="29AA3B06"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Q – Zdravotní a sociální péče</w:t>
            </w:r>
          </w:p>
        </w:tc>
        <w:tc>
          <w:tcPr>
            <w:tcW w:w="567" w:type="dxa"/>
            <w:tcBorders>
              <w:top w:val="nil"/>
              <w:left w:val="nil"/>
              <w:bottom w:val="nil"/>
              <w:right w:val="nil"/>
            </w:tcBorders>
            <w:shd w:val="clear" w:color="auto" w:fill="auto"/>
            <w:noWrap/>
            <w:vAlign w:val="center"/>
            <w:hideMark/>
          </w:tcPr>
          <w:p w14:paraId="5FE9855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25,5</w:t>
            </w:r>
          </w:p>
        </w:tc>
        <w:tc>
          <w:tcPr>
            <w:tcW w:w="567" w:type="dxa"/>
            <w:tcBorders>
              <w:top w:val="nil"/>
              <w:left w:val="nil"/>
              <w:bottom w:val="nil"/>
              <w:right w:val="nil"/>
            </w:tcBorders>
            <w:shd w:val="clear" w:color="auto" w:fill="auto"/>
            <w:noWrap/>
            <w:vAlign w:val="center"/>
            <w:hideMark/>
          </w:tcPr>
          <w:p w14:paraId="1CAD189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25,4</w:t>
            </w:r>
          </w:p>
        </w:tc>
        <w:tc>
          <w:tcPr>
            <w:tcW w:w="567" w:type="dxa"/>
            <w:tcBorders>
              <w:top w:val="nil"/>
              <w:left w:val="nil"/>
              <w:bottom w:val="nil"/>
              <w:right w:val="nil"/>
            </w:tcBorders>
            <w:shd w:val="clear" w:color="auto" w:fill="auto"/>
            <w:noWrap/>
            <w:vAlign w:val="center"/>
            <w:hideMark/>
          </w:tcPr>
          <w:p w14:paraId="3794923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29,7</w:t>
            </w:r>
          </w:p>
        </w:tc>
        <w:tc>
          <w:tcPr>
            <w:tcW w:w="567" w:type="dxa"/>
            <w:tcBorders>
              <w:top w:val="nil"/>
              <w:left w:val="nil"/>
              <w:bottom w:val="nil"/>
              <w:right w:val="nil"/>
            </w:tcBorders>
            <w:shd w:val="clear" w:color="auto" w:fill="auto"/>
            <w:noWrap/>
            <w:vAlign w:val="center"/>
            <w:hideMark/>
          </w:tcPr>
          <w:p w14:paraId="59B97D5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30,4</w:t>
            </w:r>
          </w:p>
        </w:tc>
        <w:tc>
          <w:tcPr>
            <w:tcW w:w="567" w:type="dxa"/>
            <w:tcBorders>
              <w:top w:val="nil"/>
              <w:left w:val="nil"/>
              <w:bottom w:val="nil"/>
              <w:right w:val="nil"/>
            </w:tcBorders>
            <w:shd w:val="clear" w:color="auto" w:fill="auto"/>
            <w:noWrap/>
            <w:vAlign w:val="center"/>
            <w:hideMark/>
          </w:tcPr>
          <w:p w14:paraId="3C0AC2D5"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31,3</w:t>
            </w:r>
          </w:p>
        </w:tc>
        <w:tc>
          <w:tcPr>
            <w:tcW w:w="567" w:type="dxa"/>
            <w:tcBorders>
              <w:top w:val="nil"/>
              <w:left w:val="nil"/>
              <w:bottom w:val="nil"/>
              <w:right w:val="nil"/>
            </w:tcBorders>
            <w:shd w:val="clear" w:color="auto" w:fill="auto"/>
            <w:noWrap/>
            <w:vAlign w:val="center"/>
            <w:hideMark/>
          </w:tcPr>
          <w:p w14:paraId="03E136C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33,7</w:t>
            </w:r>
          </w:p>
        </w:tc>
        <w:tc>
          <w:tcPr>
            <w:tcW w:w="567" w:type="dxa"/>
            <w:tcBorders>
              <w:top w:val="nil"/>
              <w:left w:val="nil"/>
              <w:bottom w:val="nil"/>
              <w:right w:val="nil"/>
            </w:tcBorders>
            <w:shd w:val="clear" w:color="auto" w:fill="auto"/>
            <w:noWrap/>
            <w:vAlign w:val="center"/>
            <w:hideMark/>
          </w:tcPr>
          <w:p w14:paraId="71FE47A0"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35,2</w:t>
            </w:r>
          </w:p>
        </w:tc>
        <w:tc>
          <w:tcPr>
            <w:tcW w:w="567" w:type="dxa"/>
            <w:tcBorders>
              <w:top w:val="nil"/>
              <w:left w:val="nil"/>
              <w:bottom w:val="nil"/>
              <w:right w:val="nil"/>
            </w:tcBorders>
            <w:shd w:val="clear" w:color="auto" w:fill="auto"/>
            <w:noWrap/>
            <w:vAlign w:val="center"/>
            <w:hideMark/>
          </w:tcPr>
          <w:p w14:paraId="430ECA3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59,7</w:t>
            </w:r>
          </w:p>
        </w:tc>
        <w:tc>
          <w:tcPr>
            <w:tcW w:w="567" w:type="dxa"/>
            <w:tcBorders>
              <w:top w:val="nil"/>
              <w:left w:val="nil"/>
              <w:bottom w:val="nil"/>
              <w:right w:val="nil"/>
            </w:tcBorders>
            <w:shd w:val="clear" w:color="auto" w:fill="auto"/>
            <w:noWrap/>
            <w:vAlign w:val="center"/>
            <w:hideMark/>
          </w:tcPr>
          <w:p w14:paraId="296FD0C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52,1</w:t>
            </w:r>
          </w:p>
        </w:tc>
        <w:tc>
          <w:tcPr>
            <w:tcW w:w="559" w:type="dxa"/>
            <w:vAlign w:val="center"/>
          </w:tcPr>
          <w:p w14:paraId="41A962B8"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72,2</w:t>
            </w:r>
          </w:p>
        </w:tc>
        <w:tc>
          <w:tcPr>
            <w:tcW w:w="500" w:type="dxa"/>
            <w:vAlign w:val="center"/>
          </w:tcPr>
          <w:p w14:paraId="00E5FB69" w14:textId="06B253CC" w:rsidR="00AF51E3" w:rsidRPr="00554433" w:rsidRDefault="00AF51E3" w:rsidP="00AF51E3">
            <w:pPr>
              <w:spacing w:after="0" w:line="240" w:lineRule="auto"/>
              <w:jc w:val="right"/>
              <w:rPr>
                <w:rFonts w:cs="Arial"/>
                <w:color w:val="000000"/>
                <w:sz w:val="16"/>
                <w:szCs w:val="16"/>
              </w:rPr>
            </w:pPr>
            <w:r>
              <w:rPr>
                <w:rFonts w:cs="Arial"/>
                <w:color w:val="000000"/>
                <w:sz w:val="16"/>
                <w:szCs w:val="16"/>
              </w:rPr>
              <w:t>53,1</w:t>
            </w:r>
          </w:p>
        </w:tc>
      </w:tr>
      <w:tr w:rsidR="00AF51E3" w:rsidRPr="00554433" w14:paraId="7BF312A7" w14:textId="11EAA25F" w:rsidTr="00AF51E3">
        <w:trPr>
          <w:trHeight w:val="480"/>
        </w:trPr>
        <w:tc>
          <w:tcPr>
            <w:tcW w:w="3476" w:type="dxa"/>
            <w:tcBorders>
              <w:top w:val="nil"/>
              <w:left w:val="nil"/>
              <w:bottom w:val="nil"/>
              <w:right w:val="single" w:sz="4" w:space="0" w:color="auto"/>
            </w:tcBorders>
            <w:shd w:val="clear" w:color="auto" w:fill="auto"/>
            <w:vAlign w:val="center"/>
            <w:hideMark/>
          </w:tcPr>
          <w:p w14:paraId="341EE343"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 xml:space="preserve">R – Kulturní, zábavní a rekreační </w:t>
            </w:r>
            <w:r w:rsidRPr="00554433">
              <w:rPr>
                <w:rFonts w:cs="Arial"/>
                <w:color w:val="000000"/>
                <w:sz w:val="16"/>
                <w:szCs w:val="16"/>
              </w:rPr>
              <w:br/>
              <w:t xml:space="preserve">          činnosti</w:t>
            </w:r>
          </w:p>
        </w:tc>
        <w:tc>
          <w:tcPr>
            <w:tcW w:w="567" w:type="dxa"/>
            <w:tcBorders>
              <w:top w:val="nil"/>
              <w:left w:val="nil"/>
              <w:bottom w:val="nil"/>
              <w:right w:val="nil"/>
            </w:tcBorders>
            <w:shd w:val="clear" w:color="auto" w:fill="auto"/>
            <w:noWrap/>
            <w:vAlign w:val="center"/>
            <w:hideMark/>
          </w:tcPr>
          <w:p w14:paraId="6D81577C"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20,9</w:t>
            </w:r>
          </w:p>
        </w:tc>
        <w:tc>
          <w:tcPr>
            <w:tcW w:w="567" w:type="dxa"/>
            <w:tcBorders>
              <w:top w:val="nil"/>
              <w:left w:val="nil"/>
              <w:bottom w:val="nil"/>
              <w:right w:val="nil"/>
            </w:tcBorders>
            <w:shd w:val="clear" w:color="auto" w:fill="auto"/>
            <w:noWrap/>
            <w:vAlign w:val="center"/>
            <w:hideMark/>
          </w:tcPr>
          <w:p w14:paraId="1606314D"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20,5</w:t>
            </w:r>
          </w:p>
        </w:tc>
        <w:tc>
          <w:tcPr>
            <w:tcW w:w="567" w:type="dxa"/>
            <w:tcBorders>
              <w:top w:val="nil"/>
              <w:left w:val="nil"/>
              <w:bottom w:val="nil"/>
              <w:right w:val="nil"/>
            </w:tcBorders>
            <w:shd w:val="clear" w:color="auto" w:fill="auto"/>
            <w:noWrap/>
            <w:vAlign w:val="center"/>
            <w:hideMark/>
          </w:tcPr>
          <w:p w14:paraId="069E1731"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24,1</w:t>
            </w:r>
          </w:p>
        </w:tc>
        <w:tc>
          <w:tcPr>
            <w:tcW w:w="567" w:type="dxa"/>
            <w:tcBorders>
              <w:top w:val="nil"/>
              <w:left w:val="nil"/>
              <w:bottom w:val="nil"/>
              <w:right w:val="nil"/>
            </w:tcBorders>
            <w:shd w:val="clear" w:color="auto" w:fill="auto"/>
            <w:noWrap/>
            <w:vAlign w:val="center"/>
            <w:hideMark/>
          </w:tcPr>
          <w:p w14:paraId="79EC597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24,6</w:t>
            </w:r>
          </w:p>
        </w:tc>
        <w:tc>
          <w:tcPr>
            <w:tcW w:w="567" w:type="dxa"/>
            <w:tcBorders>
              <w:top w:val="nil"/>
              <w:left w:val="nil"/>
              <w:bottom w:val="nil"/>
              <w:right w:val="nil"/>
            </w:tcBorders>
            <w:shd w:val="clear" w:color="auto" w:fill="auto"/>
            <w:noWrap/>
            <w:vAlign w:val="center"/>
            <w:hideMark/>
          </w:tcPr>
          <w:p w14:paraId="7B30F994"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24,4</w:t>
            </w:r>
          </w:p>
        </w:tc>
        <w:tc>
          <w:tcPr>
            <w:tcW w:w="567" w:type="dxa"/>
            <w:tcBorders>
              <w:top w:val="nil"/>
              <w:left w:val="nil"/>
              <w:bottom w:val="nil"/>
              <w:right w:val="nil"/>
            </w:tcBorders>
            <w:shd w:val="clear" w:color="auto" w:fill="auto"/>
            <w:noWrap/>
            <w:vAlign w:val="center"/>
            <w:hideMark/>
          </w:tcPr>
          <w:p w14:paraId="20E38A65"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26,8</w:t>
            </w:r>
          </w:p>
        </w:tc>
        <w:tc>
          <w:tcPr>
            <w:tcW w:w="567" w:type="dxa"/>
            <w:tcBorders>
              <w:top w:val="nil"/>
              <w:left w:val="nil"/>
              <w:bottom w:val="nil"/>
              <w:right w:val="nil"/>
            </w:tcBorders>
            <w:shd w:val="clear" w:color="auto" w:fill="auto"/>
            <w:noWrap/>
            <w:vAlign w:val="center"/>
            <w:hideMark/>
          </w:tcPr>
          <w:p w14:paraId="54410042"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27,9</w:t>
            </w:r>
          </w:p>
        </w:tc>
        <w:tc>
          <w:tcPr>
            <w:tcW w:w="567" w:type="dxa"/>
            <w:tcBorders>
              <w:top w:val="nil"/>
              <w:left w:val="nil"/>
              <w:bottom w:val="nil"/>
              <w:right w:val="nil"/>
            </w:tcBorders>
            <w:shd w:val="clear" w:color="auto" w:fill="auto"/>
            <w:noWrap/>
            <w:vAlign w:val="center"/>
            <w:hideMark/>
          </w:tcPr>
          <w:p w14:paraId="5CB3CD5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34,1</w:t>
            </w:r>
          </w:p>
        </w:tc>
        <w:tc>
          <w:tcPr>
            <w:tcW w:w="567" w:type="dxa"/>
            <w:tcBorders>
              <w:top w:val="nil"/>
              <w:left w:val="nil"/>
              <w:bottom w:val="nil"/>
              <w:right w:val="nil"/>
            </w:tcBorders>
            <w:shd w:val="clear" w:color="auto" w:fill="auto"/>
            <w:noWrap/>
            <w:vAlign w:val="center"/>
            <w:hideMark/>
          </w:tcPr>
          <w:p w14:paraId="78D8D1D3"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36,5</w:t>
            </w:r>
          </w:p>
        </w:tc>
        <w:tc>
          <w:tcPr>
            <w:tcW w:w="559" w:type="dxa"/>
            <w:vAlign w:val="center"/>
          </w:tcPr>
          <w:p w14:paraId="30F68257"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56,1</w:t>
            </w:r>
          </w:p>
        </w:tc>
        <w:tc>
          <w:tcPr>
            <w:tcW w:w="500" w:type="dxa"/>
            <w:vAlign w:val="center"/>
          </w:tcPr>
          <w:p w14:paraId="7163C4F7" w14:textId="024574D5" w:rsidR="00AF51E3" w:rsidRPr="00554433" w:rsidRDefault="00AF51E3" w:rsidP="00AF51E3">
            <w:pPr>
              <w:spacing w:after="0" w:line="240" w:lineRule="auto"/>
              <w:jc w:val="right"/>
              <w:rPr>
                <w:rFonts w:cs="Arial"/>
                <w:color w:val="000000"/>
                <w:sz w:val="16"/>
                <w:szCs w:val="16"/>
              </w:rPr>
            </w:pPr>
            <w:r>
              <w:rPr>
                <w:rFonts w:cs="Arial"/>
                <w:color w:val="000000"/>
                <w:sz w:val="16"/>
                <w:szCs w:val="16"/>
              </w:rPr>
              <w:t>39,1</w:t>
            </w:r>
          </w:p>
        </w:tc>
      </w:tr>
      <w:tr w:rsidR="00AF51E3" w:rsidRPr="00554433" w14:paraId="3DA9ECFE" w14:textId="1B8834C0" w:rsidTr="00AF51E3">
        <w:trPr>
          <w:trHeight w:val="300"/>
        </w:trPr>
        <w:tc>
          <w:tcPr>
            <w:tcW w:w="3476" w:type="dxa"/>
            <w:tcBorders>
              <w:top w:val="nil"/>
              <w:left w:val="nil"/>
              <w:bottom w:val="nil"/>
              <w:right w:val="single" w:sz="4" w:space="0" w:color="auto"/>
            </w:tcBorders>
            <w:shd w:val="clear" w:color="auto" w:fill="auto"/>
            <w:vAlign w:val="center"/>
            <w:hideMark/>
          </w:tcPr>
          <w:p w14:paraId="371F82B6" w14:textId="77777777" w:rsidR="00AF51E3" w:rsidRPr="00554433" w:rsidRDefault="00AF51E3" w:rsidP="00AF51E3">
            <w:pPr>
              <w:spacing w:after="0" w:line="240" w:lineRule="auto"/>
              <w:ind w:firstLineChars="100" w:firstLine="160"/>
              <w:rPr>
                <w:rFonts w:cs="Arial"/>
                <w:color w:val="000000"/>
                <w:sz w:val="16"/>
                <w:szCs w:val="16"/>
              </w:rPr>
            </w:pPr>
            <w:r w:rsidRPr="00554433">
              <w:rPr>
                <w:rFonts w:cs="Arial"/>
                <w:color w:val="000000"/>
                <w:sz w:val="16"/>
                <w:szCs w:val="16"/>
              </w:rPr>
              <w:t>S – Ostatní činnosti</w:t>
            </w:r>
          </w:p>
        </w:tc>
        <w:tc>
          <w:tcPr>
            <w:tcW w:w="567" w:type="dxa"/>
            <w:tcBorders>
              <w:top w:val="nil"/>
              <w:left w:val="nil"/>
              <w:bottom w:val="nil"/>
              <w:right w:val="nil"/>
            </w:tcBorders>
            <w:shd w:val="clear" w:color="auto" w:fill="auto"/>
            <w:noWrap/>
            <w:vAlign w:val="center"/>
            <w:hideMark/>
          </w:tcPr>
          <w:p w14:paraId="72FC815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23,5</w:t>
            </w:r>
          </w:p>
        </w:tc>
        <w:tc>
          <w:tcPr>
            <w:tcW w:w="567" w:type="dxa"/>
            <w:tcBorders>
              <w:top w:val="nil"/>
              <w:left w:val="nil"/>
              <w:bottom w:val="nil"/>
              <w:right w:val="nil"/>
            </w:tcBorders>
            <w:shd w:val="clear" w:color="auto" w:fill="auto"/>
            <w:noWrap/>
            <w:vAlign w:val="center"/>
            <w:hideMark/>
          </w:tcPr>
          <w:p w14:paraId="5BFBE56A"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23,5</w:t>
            </w:r>
          </w:p>
        </w:tc>
        <w:tc>
          <w:tcPr>
            <w:tcW w:w="567" w:type="dxa"/>
            <w:tcBorders>
              <w:top w:val="nil"/>
              <w:left w:val="nil"/>
              <w:bottom w:val="nil"/>
              <w:right w:val="nil"/>
            </w:tcBorders>
            <w:shd w:val="clear" w:color="auto" w:fill="auto"/>
            <w:noWrap/>
            <w:vAlign w:val="center"/>
            <w:hideMark/>
          </w:tcPr>
          <w:p w14:paraId="699CED7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27,5</w:t>
            </w:r>
          </w:p>
        </w:tc>
        <w:tc>
          <w:tcPr>
            <w:tcW w:w="567" w:type="dxa"/>
            <w:tcBorders>
              <w:top w:val="nil"/>
              <w:left w:val="nil"/>
              <w:bottom w:val="nil"/>
              <w:right w:val="nil"/>
            </w:tcBorders>
            <w:shd w:val="clear" w:color="auto" w:fill="auto"/>
            <w:noWrap/>
            <w:vAlign w:val="center"/>
            <w:hideMark/>
          </w:tcPr>
          <w:p w14:paraId="445000B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28,1</w:t>
            </w:r>
          </w:p>
        </w:tc>
        <w:tc>
          <w:tcPr>
            <w:tcW w:w="567" w:type="dxa"/>
            <w:tcBorders>
              <w:top w:val="nil"/>
              <w:left w:val="nil"/>
              <w:bottom w:val="nil"/>
              <w:right w:val="nil"/>
            </w:tcBorders>
            <w:shd w:val="clear" w:color="auto" w:fill="auto"/>
            <w:noWrap/>
            <w:vAlign w:val="center"/>
            <w:hideMark/>
          </w:tcPr>
          <w:p w14:paraId="4C39708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27,8</w:t>
            </w:r>
          </w:p>
        </w:tc>
        <w:tc>
          <w:tcPr>
            <w:tcW w:w="567" w:type="dxa"/>
            <w:tcBorders>
              <w:top w:val="nil"/>
              <w:left w:val="nil"/>
              <w:bottom w:val="nil"/>
              <w:right w:val="nil"/>
            </w:tcBorders>
            <w:shd w:val="clear" w:color="auto" w:fill="auto"/>
            <w:noWrap/>
            <w:vAlign w:val="center"/>
            <w:hideMark/>
          </w:tcPr>
          <w:p w14:paraId="529F06BE"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29,8</w:t>
            </w:r>
          </w:p>
        </w:tc>
        <w:tc>
          <w:tcPr>
            <w:tcW w:w="567" w:type="dxa"/>
            <w:tcBorders>
              <w:top w:val="nil"/>
              <w:left w:val="nil"/>
              <w:bottom w:val="nil"/>
              <w:right w:val="nil"/>
            </w:tcBorders>
            <w:shd w:val="clear" w:color="auto" w:fill="auto"/>
            <w:noWrap/>
            <w:vAlign w:val="center"/>
            <w:hideMark/>
          </w:tcPr>
          <w:p w14:paraId="39D29219"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31,3</w:t>
            </w:r>
          </w:p>
        </w:tc>
        <w:tc>
          <w:tcPr>
            <w:tcW w:w="567" w:type="dxa"/>
            <w:tcBorders>
              <w:top w:val="nil"/>
              <w:left w:val="nil"/>
              <w:bottom w:val="nil"/>
              <w:right w:val="nil"/>
            </w:tcBorders>
            <w:shd w:val="clear" w:color="auto" w:fill="auto"/>
            <w:noWrap/>
            <w:vAlign w:val="center"/>
            <w:hideMark/>
          </w:tcPr>
          <w:p w14:paraId="5E3B9236"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40,6</w:t>
            </w:r>
          </w:p>
        </w:tc>
        <w:tc>
          <w:tcPr>
            <w:tcW w:w="567" w:type="dxa"/>
            <w:tcBorders>
              <w:top w:val="nil"/>
              <w:left w:val="nil"/>
              <w:bottom w:val="nil"/>
              <w:right w:val="nil"/>
            </w:tcBorders>
            <w:shd w:val="clear" w:color="auto" w:fill="auto"/>
            <w:noWrap/>
            <w:vAlign w:val="center"/>
            <w:hideMark/>
          </w:tcPr>
          <w:p w14:paraId="2E65063F"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44,2</w:t>
            </w:r>
          </w:p>
        </w:tc>
        <w:tc>
          <w:tcPr>
            <w:tcW w:w="559" w:type="dxa"/>
            <w:vAlign w:val="center"/>
          </w:tcPr>
          <w:p w14:paraId="74AD768D" w14:textId="77777777" w:rsidR="00AF51E3" w:rsidRPr="00554433" w:rsidRDefault="00AF51E3" w:rsidP="00AF51E3">
            <w:pPr>
              <w:spacing w:after="0" w:line="240" w:lineRule="auto"/>
              <w:jc w:val="center"/>
              <w:rPr>
                <w:rFonts w:cs="Arial"/>
                <w:color w:val="000000"/>
                <w:sz w:val="16"/>
                <w:szCs w:val="16"/>
              </w:rPr>
            </w:pPr>
            <w:r w:rsidRPr="00554433">
              <w:rPr>
                <w:rFonts w:cs="Arial"/>
                <w:color w:val="000000"/>
                <w:sz w:val="16"/>
                <w:szCs w:val="16"/>
              </w:rPr>
              <w:t>56,3</w:t>
            </w:r>
          </w:p>
        </w:tc>
        <w:tc>
          <w:tcPr>
            <w:tcW w:w="500" w:type="dxa"/>
            <w:vAlign w:val="center"/>
          </w:tcPr>
          <w:p w14:paraId="535C731B" w14:textId="3D9FB9F0" w:rsidR="00AF51E3" w:rsidRPr="00554433" w:rsidRDefault="00AF51E3" w:rsidP="00AF51E3">
            <w:pPr>
              <w:spacing w:after="0" w:line="240" w:lineRule="auto"/>
              <w:jc w:val="right"/>
              <w:rPr>
                <w:rFonts w:cs="Arial"/>
                <w:color w:val="000000"/>
                <w:sz w:val="16"/>
                <w:szCs w:val="16"/>
              </w:rPr>
            </w:pPr>
            <w:r>
              <w:rPr>
                <w:rFonts w:cs="Arial"/>
                <w:color w:val="000000"/>
                <w:sz w:val="16"/>
                <w:szCs w:val="16"/>
              </w:rPr>
              <w:t>33,9</w:t>
            </w:r>
          </w:p>
        </w:tc>
      </w:tr>
    </w:tbl>
    <w:p w14:paraId="07520560" w14:textId="015EA0AF" w:rsidR="00AF51E3" w:rsidRDefault="00AF51E3" w:rsidP="00AF51E3">
      <w:pPr>
        <w:spacing w:before="120" w:after="120" w:line="240" w:lineRule="auto"/>
        <w:jc w:val="both"/>
        <w:rPr>
          <w:rFonts w:cs="Arial"/>
          <w:color w:val="000000"/>
          <w:sz w:val="16"/>
          <w:szCs w:val="16"/>
        </w:rPr>
      </w:pPr>
      <w:r>
        <w:rPr>
          <w:rFonts w:cs="Arial"/>
          <w:color w:val="000000"/>
          <w:sz w:val="16"/>
          <w:szCs w:val="16"/>
        </w:rPr>
        <w:t>* Údaje za rok 2022 nejsou srovnatelné s údaji za ostatní roky.</w:t>
      </w:r>
    </w:p>
    <w:p w14:paraId="7D8DB138" w14:textId="77777777" w:rsidR="00056319" w:rsidRPr="00166BEB" w:rsidRDefault="00056319" w:rsidP="00056319">
      <w:pPr>
        <w:spacing w:before="120" w:after="120" w:line="240" w:lineRule="auto"/>
        <w:jc w:val="both"/>
        <w:rPr>
          <w:rFonts w:cs="Arial"/>
          <w:color w:val="000000"/>
          <w:sz w:val="16"/>
          <w:szCs w:val="16"/>
          <w:highlight w:val="yellow"/>
        </w:rPr>
      </w:pPr>
      <w:r w:rsidRPr="00554433">
        <w:rPr>
          <w:rFonts w:cs="Arial"/>
          <w:color w:val="000000"/>
          <w:sz w:val="16"/>
          <w:szCs w:val="16"/>
        </w:rPr>
        <w:t>Zdroj: ČSÚ</w:t>
      </w:r>
    </w:p>
    <w:p w14:paraId="2502A405" w14:textId="1FB7167B" w:rsidR="00C8357C" w:rsidRPr="00251BF8" w:rsidRDefault="00C8357C" w:rsidP="00C8357C">
      <w:pPr>
        <w:spacing w:before="120" w:after="120"/>
        <w:jc w:val="both"/>
      </w:pPr>
      <w:r w:rsidRPr="00251BF8">
        <w:t xml:space="preserve">Nejvíce případů dočasné pracovní neschopnosti </w:t>
      </w:r>
      <w:r w:rsidRPr="00251BF8">
        <w:rPr>
          <w:b/>
        </w:rPr>
        <w:t>pro pracovní úraz</w:t>
      </w:r>
      <w:r w:rsidRPr="00251BF8">
        <w:t xml:space="preserve"> na 100 pojištěnců, což je možné chápat jako ukazatel vyjadřující „stupeň rizikovosti“ daného odvětví, bylo v roce 2023 (ale je již dlouhodobě) evidováno u sekce Zemědělství, lesnictví a rybářství (2,3), následované oblastmi Zásobování vodou; činnosti související s odpady a sanacemi (2,0) a Těžba a dobývání (1,8). Naproti tomu nejméně pracovních úrazů bylo zaznamenáno ve firmách působících v odvětví Peněžnictví a pojišťovnictví a Informační a komunikační činnosti (obě sekce shodně 0,09). </w:t>
      </w:r>
      <w:r w:rsidR="00E2590E" w:rsidRPr="00251BF8">
        <w:t>P</w:t>
      </w:r>
      <w:r w:rsidRPr="00251BF8">
        <w:t>růměrně za všechna odvětví připadal</w:t>
      </w:r>
      <w:r w:rsidR="00797463" w:rsidRPr="00251BF8">
        <w:t>o</w:t>
      </w:r>
      <w:r w:rsidRPr="00251BF8">
        <w:t xml:space="preserve"> na 100 pojištěnců 0,9 případu pracovní neschopnosti pro pracovní úraz. Více o pracovních úrazech v kap. 4.5.</w:t>
      </w:r>
      <w:r w:rsidRPr="00251BF8">
        <w:rPr>
          <w:noProof/>
        </w:rPr>
        <w:t xml:space="preserve"> </w:t>
      </w:r>
    </w:p>
    <w:p w14:paraId="0EC72E2B" w14:textId="2F3C9FED" w:rsidR="00AF51E3" w:rsidRPr="00251BF8" w:rsidRDefault="00AF51E3" w:rsidP="00AF51E3">
      <w:pPr>
        <w:spacing w:before="120" w:after="120"/>
        <w:jc w:val="both"/>
      </w:pPr>
      <w:r w:rsidRPr="00251BF8">
        <w:t xml:space="preserve">Rozdíly v pracovní neschopnosti lze zkoumat i podle </w:t>
      </w:r>
      <w:r w:rsidRPr="00251BF8">
        <w:rPr>
          <w:b/>
        </w:rPr>
        <w:t>velikosti podniku</w:t>
      </w:r>
      <w:r w:rsidRPr="00251BF8">
        <w:t>. V relativním pojetí při přepočtu na 100 pojištěnců dominovaly firmy zaměstnávající 50–99 zaměstnanců</w:t>
      </w:r>
      <w:r w:rsidR="00D744C7" w:rsidRPr="00251BF8">
        <w:t>. Tyto firmy během roku 2023 v průměru zaznamenaly 62 pracovních neschopností v přepočtu na 100 pojištěnců. Za nimi se nacházely středně velké</w:t>
      </w:r>
      <w:r w:rsidRPr="00251BF8">
        <w:t xml:space="preserve"> podniky, které mají 100–249 zaměstnanců</w:t>
      </w:r>
      <w:r w:rsidR="00D744C7" w:rsidRPr="00251BF8">
        <w:t>, resp. velké s více než 250 zaměstnanci. Obě tyto velikostní kategorie podniku vykázaly</w:t>
      </w:r>
      <w:r w:rsidRPr="00251BF8">
        <w:t> </w:t>
      </w:r>
      <w:r w:rsidR="00D744C7" w:rsidRPr="00251BF8">
        <w:t>60</w:t>
      </w:r>
      <w:r w:rsidRPr="00251BF8">
        <w:t xml:space="preserve"> případů pracovních neschopností v přepočtu na 100 pojištěnců. Daleko méně případů pracovní neschopnosti vykázaly firmy mající do 50 zaměstnanců, kde na 100 pojištěnců připadlo </w:t>
      </w:r>
      <w:r w:rsidR="00D744C7" w:rsidRPr="00251BF8">
        <w:t>4</w:t>
      </w:r>
      <w:r w:rsidR="00E2590E" w:rsidRPr="00251BF8">
        <w:t>1</w:t>
      </w:r>
      <w:r w:rsidRPr="00251BF8">
        <w:t xml:space="preserve"> hlášení. A zcela nejméně případů bylo zaznamenáno u OSVČ, a sice </w:t>
      </w:r>
      <w:r w:rsidR="00D744C7" w:rsidRPr="00251BF8">
        <w:t>15</w:t>
      </w:r>
      <w:r w:rsidRPr="00251BF8">
        <w:t xml:space="preserve"> na 100 nemocensky pojištěných OSVČ. Zde je nutné mít na paměti, že nemocenské dávky jsou vypláceny až od 15. dne pracovní </w:t>
      </w:r>
      <w:r w:rsidRPr="00251BF8">
        <w:lastRenderedPageBreak/>
        <w:t>neschopnosti (do té doby vyplácí náhradu mzdy zaměstnavatel), a proto se OSVČ nevyplatí při krátkodobější nemoci nastupovat do pracovní neschopnosti.</w:t>
      </w:r>
    </w:p>
    <w:p w14:paraId="0A42D3D5" w14:textId="491DBB1A" w:rsidR="00AF51E3" w:rsidRPr="00F032B8" w:rsidRDefault="00AF51E3" w:rsidP="00AF51E3">
      <w:pPr>
        <w:spacing w:before="120" w:after="120"/>
        <w:jc w:val="both"/>
      </w:pPr>
      <w:r w:rsidRPr="00251BF8">
        <w:t xml:space="preserve">Dalším kritériem, podle kterého je možné hodnotit pracovní neschopnost nemocensky pojištěných, je rozdělení na </w:t>
      </w:r>
      <w:r w:rsidRPr="00251BF8">
        <w:rPr>
          <w:b/>
        </w:rPr>
        <w:t xml:space="preserve">podniky domácí vs. </w:t>
      </w:r>
      <w:r w:rsidRPr="00251BF8">
        <w:t xml:space="preserve">podniky </w:t>
      </w:r>
      <w:r w:rsidRPr="00251BF8">
        <w:rPr>
          <w:b/>
        </w:rPr>
        <w:t>pod zahraniční kontrolou</w:t>
      </w:r>
      <w:r w:rsidRPr="00251BF8">
        <w:t>. Např. v nefinančních podnicích pod zahraniční kontrolou v </w:t>
      </w:r>
      <w:r w:rsidR="00D744C7" w:rsidRPr="00251BF8">
        <w:t>roce</w:t>
      </w:r>
      <w:r w:rsidRPr="00251BF8">
        <w:t xml:space="preserve"> 2023 připadlo na 100 nemocensky pojištěných </w:t>
      </w:r>
      <w:r w:rsidR="00D744C7" w:rsidRPr="00251BF8">
        <w:t>65</w:t>
      </w:r>
      <w:r w:rsidRPr="00251BF8">
        <w:t xml:space="preserve"> nahlášených případů v porovnání s</w:t>
      </w:r>
      <w:r w:rsidR="00D744C7" w:rsidRPr="00251BF8">
        <w:t>e</w:t>
      </w:r>
      <w:r w:rsidRPr="00251BF8">
        <w:t> </w:t>
      </w:r>
      <w:r w:rsidR="00D744C7" w:rsidRPr="00251BF8">
        <w:t>48</w:t>
      </w:r>
      <w:r w:rsidRPr="00251BF8">
        <w:t> případy v domácích nefinančních podnicích. Pracovní neschopnost zaměstnanců v domácích podnicích však trvala v průměru o 7 dnů déle (3</w:t>
      </w:r>
      <w:r w:rsidR="00D744C7" w:rsidRPr="00251BF8">
        <w:t>5</w:t>
      </w:r>
      <w:r w:rsidRPr="00251BF8">
        <w:t xml:space="preserve"> dnů) než u podniků pod zahraniční kontrolou (2</w:t>
      </w:r>
      <w:r w:rsidR="00D744C7" w:rsidRPr="00251BF8">
        <w:t>8</w:t>
      </w:r>
      <w:r w:rsidRPr="00251BF8">
        <w:t xml:space="preserve"> dnů). Podrobnější údaje za nefinanční podniky viz tabulková příloh</w:t>
      </w:r>
      <w:r w:rsidR="00797463" w:rsidRPr="00251BF8">
        <w:t>a – část 5</w:t>
      </w:r>
      <w:r w:rsidRPr="00251BF8">
        <w:t>.</w:t>
      </w:r>
    </w:p>
    <w:p w14:paraId="546123DC" w14:textId="77777777" w:rsidR="00D744C7" w:rsidRPr="005A75BA" w:rsidRDefault="00D744C7" w:rsidP="00D744C7">
      <w:pPr>
        <w:pStyle w:val="Nadpis4"/>
        <w:rPr>
          <w:sz w:val="24"/>
        </w:rPr>
      </w:pPr>
      <w:bookmarkStart w:id="10" w:name="_Toc136412151"/>
      <w:bookmarkStart w:id="11" w:name="_Toc167965226"/>
      <w:r w:rsidRPr="005A75BA">
        <w:rPr>
          <w:sz w:val="24"/>
        </w:rPr>
        <w:t>4.2.2 Délka trvání dočasné pracovní neschopnosti</w:t>
      </w:r>
      <w:bookmarkEnd w:id="10"/>
      <w:bookmarkEnd w:id="11"/>
    </w:p>
    <w:p w14:paraId="2DA9A0AA" w14:textId="77777777" w:rsidR="00D744C7" w:rsidRPr="00B448CC" w:rsidRDefault="00D744C7" w:rsidP="00D744C7">
      <w:pPr>
        <w:spacing w:after="120"/>
        <w:jc w:val="both"/>
      </w:pPr>
      <w:r w:rsidRPr="00B448CC">
        <w:t>Pro posouzení vývoje pracovní neschopnosti je důležité nejen zjištění, jak často zaměstnanci do pracovní neschopnosti nastupují, ale i to, jak dlouho v pracovní neschopnosti zůstávají.</w:t>
      </w:r>
    </w:p>
    <w:p w14:paraId="5F856941" w14:textId="77777777" w:rsidR="00D744C7" w:rsidRPr="00B448CC" w:rsidRDefault="00D744C7" w:rsidP="00D744C7">
      <w:pPr>
        <w:pStyle w:val="Box1"/>
        <w:spacing w:before="120" w:after="120"/>
        <w:ind w:left="0"/>
        <w:contextualSpacing w:val="0"/>
        <w:jc w:val="both"/>
        <w:rPr>
          <w:b/>
          <w:i/>
        </w:rPr>
      </w:pPr>
      <w:r w:rsidRPr="00B448CC">
        <w:rPr>
          <w:b/>
          <w:i/>
        </w:rPr>
        <w:t>Počet kalendářních dnů pracovní neschopnosti</w:t>
      </w:r>
      <w:r w:rsidRPr="00B448CC">
        <w:rPr>
          <w:i/>
        </w:rPr>
        <w:t xml:space="preserve"> – ukazatel udává celkový počet kalendářních dnů, po které byli v daném období (roce) nemocensky pojištění práce neschopni. Počet kalendářních dnů strávených v pracovní neschopnosti je zjišťován na základě hlášení o vzniku a ukončení pracovní neschopnosti. Údaj zahrnuje dny pracovní neschopnosti vč. dnů u těch případů, které vznikly před sledovaným obdobím a v počtu nově hlášených případů dočasné pracovní neschopnosti za toto období zařazeny nejsou. Maximální doba zápočtu je délka sledovaného období (365 resp. 366 dnů) bez ohledu na délku trvání pracovní neschopnosti daného případu. Do počtu kalendářních dnů pracovní neschopnosti patří i pracovní neschopnost vzniklá po zániku pojištění v tzv. ochranné lhůtě sedmi kalendářních dnů.</w:t>
      </w:r>
    </w:p>
    <w:p w14:paraId="1C23D81A" w14:textId="2158F848" w:rsidR="00D744C7" w:rsidRPr="00B448CC" w:rsidRDefault="00D744C7" w:rsidP="00D744C7">
      <w:pPr>
        <w:pStyle w:val="Box1"/>
        <w:ind w:left="0"/>
        <w:jc w:val="both"/>
        <w:rPr>
          <w:i/>
        </w:rPr>
      </w:pPr>
      <w:r w:rsidRPr="00B448CC">
        <w:rPr>
          <w:b/>
          <w:i/>
        </w:rPr>
        <w:t>Průměrná délka trvání pracovní neschopnosti ve dnech</w:t>
      </w:r>
      <w:r w:rsidRPr="00B448CC">
        <w:rPr>
          <w:i/>
        </w:rPr>
        <w:t xml:space="preserve"> – ukazatel vyjadřuje, kolik kalendářních dnů pracovní neschopnosti v průměru připadá na jeden nově hlášený případ pracovní neschopnosti. </w:t>
      </w:r>
      <w:r w:rsidR="009369EC" w:rsidRPr="009369EC">
        <w:rPr>
          <w:i/>
        </w:rPr>
        <w:t xml:space="preserve">Ukazatel je též nazýván </w:t>
      </w:r>
      <w:r w:rsidR="009369EC" w:rsidRPr="009369EC">
        <w:rPr>
          <w:b/>
          <w:i/>
        </w:rPr>
        <w:t>Počet kalendářních dnů pracovní neschopnosti na 1 nově hlášený případ.</w:t>
      </w:r>
      <w:r w:rsidR="009369EC">
        <w:t xml:space="preserve"> </w:t>
      </w:r>
      <w:r w:rsidRPr="00B448CC">
        <w:rPr>
          <w:i/>
        </w:rPr>
        <w:t xml:space="preserve">Nově hlášený případ musí být vzniklý ve sledovaném období, kdežto do dnů pracovní neschopnosti (maximálně v délce sledovaného období, tedy 365 resp. </w:t>
      </w:r>
      <w:r w:rsidR="005D2D26" w:rsidRPr="00B448CC">
        <w:rPr>
          <w:i/>
        </w:rPr>
        <w:t>36</w:t>
      </w:r>
      <w:r w:rsidR="005D2D26">
        <w:rPr>
          <w:i/>
        </w:rPr>
        <w:t>6</w:t>
      </w:r>
      <w:r w:rsidR="005D2D26" w:rsidRPr="00B448CC">
        <w:rPr>
          <w:i/>
        </w:rPr>
        <w:t xml:space="preserve"> </w:t>
      </w:r>
      <w:r w:rsidRPr="00B448CC">
        <w:rPr>
          <w:i/>
        </w:rPr>
        <w:t>dnů) se započítávají i dny z případů PN, které mohly vzniknout již v předchozím období, ale byly ukončeny či nadále trvají v průběhu sledovaného období.</w:t>
      </w:r>
    </w:p>
    <w:p w14:paraId="26263018" w14:textId="77777777" w:rsidR="00D744C7" w:rsidRPr="00B448CC" w:rsidRDefault="00D744C7" w:rsidP="00D744C7">
      <w:pPr>
        <w:pStyle w:val="Box1"/>
        <w:ind w:left="0"/>
        <w:jc w:val="both"/>
        <w:rPr>
          <w:i/>
          <w:u w:val="single"/>
        </w:rPr>
      </w:pPr>
      <w:r w:rsidRPr="00B448CC">
        <w:rPr>
          <w:i/>
          <w:u w:val="single"/>
        </w:rPr>
        <w:t>Způsob výpočtu:</w:t>
      </w:r>
    </w:p>
    <w:p w14:paraId="220FC99C" w14:textId="77777777" w:rsidR="00D744C7" w:rsidRPr="00B448CC" w:rsidRDefault="00D744C7" w:rsidP="00D744C7">
      <w:pPr>
        <w:pStyle w:val="Box1"/>
        <w:spacing w:before="120" w:after="120"/>
        <w:ind w:left="0"/>
        <w:contextualSpacing w:val="0"/>
        <w:jc w:val="both"/>
        <w:rPr>
          <w:i/>
        </w:rPr>
      </w:pPr>
      <w:r w:rsidRPr="00B448CC">
        <w:rPr>
          <w:i/>
        </w:rPr>
        <w:t>Průměrná délka trvání pracovní neschopnosti ve dnech = počet kalendářních dnů dočasné pracovní neschopnosti / počet nově hlášených případů dočasné pracovní neschopnosti.</w:t>
      </w:r>
    </w:p>
    <w:p w14:paraId="3BC43867" w14:textId="4FB900A3" w:rsidR="00C8357C" w:rsidRDefault="00C8357C" w:rsidP="00FC18CE">
      <w:pPr>
        <w:spacing w:before="120" w:after="120"/>
        <w:jc w:val="both"/>
      </w:pPr>
      <w:r w:rsidRPr="00251BF8">
        <w:t>Během roku 2023 strávili pojištěnci 79 564 tis. dnů v dočasné pracovní neschopnosti. Oproti roku 2019 je to o</w:t>
      </w:r>
      <w:r w:rsidR="00FC18CE">
        <w:t> </w:t>
      </w:r>
      <w:r w:rsidRPr="00251BF8">
        <w:t xml:space="preserve">1,6 mil. (2 %) </w:t>
      </w:r>
      <w:r w:rsidR="00F149A5" w:rsidRPr="00251BF8">
        <w:t>méně</w:t>
      </w:r>
      <w:r w:rsidRPr="00251BF8">
        <w:t>. Mezi rokem 2019 a 2020 počet prudce vzrostl z 81 205 tis. prostonaných dnů n</w:t>
      </w:r>
      <w:r w:rsidR="00FC18CE">
        <w:t>a 94 246 tis. dnů (tj. o 16 %).</w:t>
      </w:r>
    </w:p>
    <w:p w14:paraId="53531022" w14:textId="59C5B2EF" w:rsidR="00D744C7" w:rsidRPr="00B448CC" w:rsidRDefault="00D744C7" w:rsidP="00D744C7">
      <w:pPr>
        <w:spacing w:after="0"/>
        <w:jc w:val="both"/>
        <w:rPr>
          <w:b/>
        </w:rPr>
      </w:pPr>
      <w:r w:rsidRPr="00B448CC">
        <w:rPr>
          <w:b/>
        </w:rPr>
        <w:t>Tab. 2.</w:t>
      </w:r>
      <w:r w:rsidR="00797463">
        <w:rPr>
          <w:b/>
        </w:rPr>
        <w:t>3</w:t>
      </w:r>
      <w:r w:rsidRPr="00B448CC">
        <w:rPr>
          <w:b/>
        </w:rPr>
        <w:t>: Kalendářní dny dočasné pracovní neschopnosti podle příčiny a pohlaví, 201</w:t>
      </w:r>
      <w:r>
        <w:rPr>
          <w:b/>
        </w:rPr>
        <w:t>3</w:t>
      </w:r>
      <w:r w:rsidRPr="00B448CC">
        <w:rPr>
          <w:b/>
        </w:rPr>
        <w:t>–202</w:t>
      </w:r>
      <w:r>
        <w:rPr>
          <w:b/>
        </w:rPr>
        <w:t>3</w:t>
      </w:r>
      <w:r w:rsidRPr="00B448CC">
        <w:rPr>
          <w:b/>
        </w:rPr>
        <w:t xml:space="preserve"> (v tis.)</w:t>
      </w:r>
    </w:p>
    <w:tbl>
      <w:tblPr>
        <w:tblW w:w="9591" w:type="dxa"/>
        <w:tblCellMar>
          <w:left w:w="70" w:type="dxa"/>
          <w:right w:w="70" w:type="dxa"/>
        </w:tblCellMar>
        <w:tblLook w:val="04A0" w:firstRow="1" w:lastRow="0" w:firstColumn="1" w:lastColumn="0" w:noHBand="0" w:noVBand="1"/>
      </w:tblPr>
      <w:tblGrid>
        <w:gridCol w:w="735"/>
        <w:gridCol w:w="737"/>
        <w:gridCol w:w="736"/>
        <w:gridCol w:w="736"/>
        <w:gridCol w:w="736"/>
        <w:gridCol w:w="736"/>
        <w:gridCol w:w="736"/>
        <w:gridCol w:w="754"/>
        <w:gridCol w:w="737"/>
        <w:gridCol w:w="737"/>
        <w:gridCol w:w="737"/>
        <w:gridCol w:w="737"/>
        <w:gridCol w:w="737"/>
      </w:tblGrid>
      <w:tr w:rsidR="00D744C7" w:rsidRPr="00B448CC" w14:paraId="073A85DF" w14:textId="77777777" w:rsidTr="00D744C7">
        <w:trPr>
          <w:trHeight w:val="300"/>
        </w:trPr>
        <w:tc>
          <w:tcPr>
            <w:tcW w:w="735" w:type="dxa"/>
            <w:vMerge w:val="restart"/>
            <w:tcBorders>
              <w:top w:val="single" w:sz="4" w:space="0" w:color="auto"/>
              <w:left w:val="nil"/>
              <w:bottom w:val="single" w:sz="4" w:space="0" w:color="auto"/>
              <w:right w:val="single" w:sz="4" w:space="0" w:color="auto"/>
            </w:tcBorders>
            <w:shd w:val="clear" w:color="000000" w:fill="F5DADD"/>
            <w:vAlign w:val="center"/>
            <w:hideMark/>
          </w:tcPr>
          <w:p w14:paraId="5F882A16"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Rok</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2DBDB"/>
            <w:vAlign w:val="center"/>
            <w:hideMark/>
          </w:tcPr>
          <w:p w14:paraId="05C3891A" w14:textId="77777777" w:rsidR="00D744C7" w:rsidRPr="00B448CC" w:rsidRDefault="00D744C7" w:rsidP="00D744C7">
            <w:pPr>
              <w:spacing w:after="0" w:line="240" w:lineRule="auto"/>
              <w:jc w:val="center"/>
              <w:rPr>
                <w:rFonts w:cs="Arial"/>
                <w:b/>
                <w:bCs/>
                <w:color w:val="000000"/>
                <w:sz w:val="16"/>
                <w:szCs w:val="16"/>
              </w:rPr>
            </w:pPr>
            <w:r w:rsidRPr="00B448CC">
              <w:rPr>
                <w:rFonts w:cs="Arial"/>
                <w:b/>
                <w:bCs/>
                <w:color w:val="000000"/>
                <w:sz w:val="16"/>
                <w:szCs w:val="16"/>
              </w:rPr>
              <w:t>Celkem</w:t>
            </w:r>
          </w:p>
        </w:tc>
        <w:tc>
          <w:tcPr>
            <w:tcW w:w="1472" w:type="dxa"/>
            <w:gridSpan w:val="2"/>
            <w:tcBorders>
              <w:top w:val="single" w:sz="4" w:space="0" w:color="auto"/>
              <w:left w:val="nil"/>
              <w:bottom w:val="single" w:sz="4" w:space="0" w:color="auto"/>
              <w:right w:val="single" w:sz="4" w:space="0" w:color="auto"/>
            </w:tcBorders>
            <w:shd w:val="clear" w:color="000000" w:fill="F2DBDB"/>
            <w:vAlign w:val="center"/>
            <w:hideMark/>
          </w:tcPr>
          <w:p w14:paraId="396F6EA1"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podle pohlaví</w:t>
            </w:r>
          </w:p>
        </w:tc>
        <w:tc>
          <w:tcPr>
            <w:tcW w:w="736" w:type="dxa"/>
            <w:vMerge w:val="restart"/>
            <w:tcBorders>
              <w:top w:val="single" w:sz="4" w:space="0" w:color="auto"/>
              <w:left w:val="single" w:sz="4" w:space="0" w:color="auto"/>
              <w:right w:val="single" w:sz="4" w:space="0" w:color="auto"/>
            </w:tcBorders>
            <w:shd w:val="clear" w:color="000000" w:fill="F2DBDB"/>
            <w:vAlign w:val="center"/>
            <w:hideMark/>
          </w:tcPr>
          <w:p w14:paraId="02F3FB92"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Pro nemoc</w:t>
            </w:r>
          </w:p>
        </w:tc>
        <w:tc>
          <w:tcPr>
            <w:tcW w:w="1472" w:type="dxa"/>
            <w:gridSpan w:val="2"/>
            <w:tcBorders>
              <w:top w:val="single" w:sz="4" w:space="0" w:color="auto"/>
              <w:left w:val="nil"/>
              <w:bottom w:val="single" w:sz="4" w:space="0" w:color="auto"/>
              <w:right w:val="single" w:sz="4" w:space="0" w:color="auto"/>
            </w:tcBorders>
            <w:shd w:val="clear" w:color="000000" w:fill="F2DBDB"/>
            <w:vAlign w:val="center"/>
            <w:hideMark/>
          </w:tcPr>
          <w:p w14:paraId="6506C4C9"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podle pohlaví</w:t>
            </w:r>
          </w:p>
        </w:tc>
        <w:tc>
          <w:tcPr>
            <w:tcW w:w="754" w:type="dxa"/>
            <w:vMerge w:val="restart"/>
            <w:tcBorders>
              <w:top w:val="single" w:sz="4" w:space="0" w:color="auto"/>
              <w:left w:val="single" w:sz="4" w:space="0" w:color="auto"/>
              <w:right w:val="single" w:sz="4" w:space="0" w:color="auto"/>
            </w:tcBorders>
            <w:shd w:val="clear" w:color="000000" w:fill="F2DBDB"/>
            <w:vAlign w:val="center"/>
            <w:hideMark/>
          </w:tcPr>
          <w:p w14:paraId="4FB84E6E"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Pro pracovní úrazy</w:t>
            </w:r>
          </w:p>
        </w:tc>
        <w:tc>
          <w:tcPr>
            <w:tcW w:w="1474" w:type="dxa"/>
            <w:gridSpan w:val="2"/>
            <w:tcBorders>
              <w:top w:val="single" w:sz="4" w:space="0" w:color="auto"/>
              <w:left w:val="nil"/>
              <w:bottom w:val="single" w:sz="4" w:space="0" w:color="auto"/>
              <w:right w:val="single" w:sz="4" w:space="0" w:color="auto"/>
            </w:tcBorders>
            <w:shd w:val="clear" w:color="000000" w:fill="F2DBDB"/>
            <w:vAlign w:val="center"/>
            <w:hideMark/>
          </w:tcPr>
          <w:p w14:paraId="6CA5A2A8"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podle pohlaví</w:t>
            </w:r>
          </w:p>
        </w:tc>
        <w:tc>
          <w:tcPr>
            <w:tcW w:w="737" w:type="dxa"/>
            <w:vMerge w:val="restart"/>
            <w:tcBorders>
              <w:top w:val="single" w:sz="4" w:space="0" w:color="auto"/>
              <w:left w:val="single" w:sz="4" w:space="0" w:color="auto"/>
              <w:right w:val="single" w:sz="4" w:space="0" w:color="auto"/>
            </w:tcBorders>
            <w:shd w:val="clear" w:color="000000" w:fill="F2DBDB"/>
            <w:vAlign w:val="center"/>
            <w:hideMark/>
          </w:tcPr>
          <w:p w14:paraId="295DF8ED"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Pro ostatní úrazy</w:t>
            </w:r>
          </w:p>
        </w:tc>
        <w:tc>
          <w:tcPr>
            <w:tcW w:w="1474" w:type="dxa"/>
            <w:gridSpan w:val="2"/>
            <w:tcBorders>
              <w:top w:val="single" w:sz="4" w:space="0" w:color="auto"/>
              <w:left w:val="nil"/>
              <w:bottom w:val="single" w:sz="4" w:space="0" w:color="auto"/>
            </w:tcBorders>
            <w:shd w:val="clear" w:color="000000" w:fill="F2DBDB"/>
            <w:vAlign w:val="center"/>
            <w:hideMark/>
          </w:tcPr>
          <w:p w14:paraId="1523532C"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podle pohlaví</w:t>
            </w:r>
          </w:p>
        </w:tc>
      </w:tr>
      <w:tr w:rsidR="00D744C7" w:rsidRPr="00B448CC" w14:paraId="29ADCD85" w14:textId="77777777" w:rsidTr="00D744C7">
        <w:trPr>
          <w:trHeight w:val="300"/>
        </w:trPr>
        <w:tc>
          <w:tcPr>
            <w:tcW w:w="735" w:type="dxa"/>
            <w:vMerge/>
            <w:tcBorders>
              <w:top w:val="single" w:sz="4" w:space="0" w:color="auto"/>
              <w:left w:val="nil"/>
              <w:bottom w:val="single" w:sz="4" w:space="0" w:color="auto"/>
              <w:right w:val="single" w:sz="4" w:space="0" w:color="auto"/>
            </w:tcBorders>
            <w:vAlign w:val="center"/>
            <w:hideMark/>
          </w:tcPr>
          <w:p w14:paraId="6B2E690B" w14:textId="77777777" w:rsidR="00D744C7" w:rsidRPr="00B448CC" w:rsidRDefault="00D744C7" w:rsidP="00D744C7">
            <w:pPr>
              <w:spacing w:after="0" w:line="240" w:lineRule="auto"/>
              <w:rPr>
                <w:rFonts w:cs="Arial"/>
                <w:color w:val="000000"/>
                <w:sz w:val="16"/>
                <w:szCs w:val="16"/>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14:paraId="6E80AB34" w14:textId="77777777" w:rsidR="00D744C7" w:rsidRPr="00B448CC" w:rsidRDefault="00D744C7" w:rsidP="00D744C7">
            <w:pPr>
              <w:spacing w:after="0" w:line="240" w:lineRule="auto"/>
              <w:rPr>
                <w:rFonts w:cs="Arial"/>
                <w:b/>
                <w:bCs/>
                <w:color w:val="000000"/>
                <w:sz w:val="16"/>
                <w:szCs w:val="16"/>
              </w:rPr>
            </w:pPr>
          </w:p>
        </w:tc>
        <w:tc>
          <w:tcPr>
            <w:tcW w:w="736" w:type="dxa"/>
            <w:tcBorders>
              <w:top w:val="nil"/>
              <w:left w:val="nil"/>
              <w:bottom w:val="single" w:sz="4" w:space="0" w:color="auto"/>
              <w:right w:val="single" w:sz="4" w:space="0" w:color="auto"/>
            </w:tcBorders>
            <w:shd w:val="clear" w:color="000000" w:fill="F2DBDB"/>
            <w:vAlign w:val="center"/>
            <w:hideMark/>
          </w:tcPr>
          <w:p w14:paraId="5934CC6C"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muži</w:t>
            </w:r>
          </w:p>
        </w:tc>
        <w:tc>
          <w:tcPr>
            <w:tcW w:w="736" w:type="dxa"/>
            <w:tcBorders>
              <w:top w:val="nil"/>
              <w:left w:val="nil"/>
              <w:bottom w:val="single" w:sz="4" w:space="0" w:color="auto"/>
              <w:right w:val="single" w:sz="4" w:space="0" w:color="auto"/>
            </w:tcBorders>
            <w:shd w:val="clear" w:color="000000" w:fill="F2DBDB"/>
            <w:vAlign w:val="center"/>
            <w:hideMark/>
          </w:tcPr>
          <w:p w14:paraId="59931FAD"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ženy</w:t>
            </w:r>
          </w:p>
        </w:tc>
        <w:tc>
          <w:tcPr>
            <w:tcW w:w="736" w:type="dxa"/>
            <w:vMerge/>
            <w:tcBorders>
              <w:left w:val="single" w:sz="4" w:space="0" w:color="auto"/>
              <w:bottom w:val="single" w:sz="4" w:space="0" w:color="000000"/>
              <w:right w:val="single" w:sz="4" w:space="0" w:color="auto"/>
            </w:tcBorders>
            <w:vAlign w:val="center"/>
            <w:hideMark/>
          </w:tcPr>
          <w:p w14:paraId="7C3324E2" w14:textId="77777777" w:rsidR="00D744C7" w:rsidRPr="00B448CC" w:rsidRDefault="00D744C7" w:rsidP="00D744C7">
            <w:pPr>
              <w:spacing w:after="0" w:line="240" w:lineRule="auto"/>
              <w:rPr>
                <w:rFonts w:cs="Arial"/>
                <w:color w:val="000000"/>
                <w:sz w:val="16"/>
                <w:szCs w:val="16"/>
              </w:rPr>
            </w:pPr>
          </w:p>
        </w:tc>
        <w:tc>
          <w:tcPr>
            <w:tcW w:w="736" w:type="dxa"/>
            <w:tcBorders>
              <w:top w:val="nil"/>
              <w:left w:val="nil"/>
              <w:bottom w:val="single" w:sz="4" w:space="0" w:color="auto"/>
              <w:right w:val="single" w:sz="4" w:space="0" w:color="auto"/>
            </w:tcBorders>
            <w:shd w:val="clear" w:color="000000" w:fill="F2DBDB"/>
            <w:vAlign w:val="center"/>
            <w:hideMark/>
          </w:tcPr>
          <w:p w14:paraId="511AE7AA"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muži</w:t>
            </w:r>
          </w:p>
        </w:tc>
        <w:tc>
          <w:tcPr>
            <w:tcW w:w="736" w:type="dxa"/>
            <w:tcBorders>
              <w:top w:val="nil"/>
              <w:left w:val="nil"/>
              <w:bottom w:val="single" w:sz="4" w:space="0" w:color="auto"/>
              <w:right w:val="single" w:sz="4" w:space="0" w:color="auto"/>
            </w:tcBorders>
            <w:shd w:val="clear" w:color="000000" w:fill="F2DBDB"/>
            <w:vAlign w:val="center"/>
            <w:hideMark/>
          </w:tcPr>
          <w:p w14:paraId="10363E73"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ženy</w:t>
            </w:r>
          </w:p>
        </w:tc>
        <w:tc>
          <w:tcPr>
            <w:tcW w:w="754" w:type="dxa"/>
            <w:vMerge/>
            <w:tcBorders>
              <w:left w:val="single" w:sz="4" w:space="0" w:color="auto"/>
              <w:bottom w:val="single" w:sz="4" w:space="0" w:color="000000"/>
              <w:right w:val="single" w:sz="4" w:space="0" w:color="auto"/>
            </w:tcBorders>
            <w:vAlign w:val="center"/>
            <w:hideMark/>
          </w:tcPr>
          <w:p w14:paraId="0C068584" w14:textId="77777777" w:rsidR="00D744C7" w:rsidRPr="00B448CC" w:rsidRDefault="00D744C7" w:rsidP="00D744C7">
            <w:pPr>
              <w:spacing w:after="0" w:line="240" w:lineRule="auto"/>
              <w:rPr>
                <w:rFonts w:cs="Arial"/>
                <w:color w:val="000000"/>
                <w:sz w:val="16"/>
                <w:szCs w:val="16"/>
              </w:rPr>
            </w:pPr>
          </w:p>
        </w:tc>
        <w:tc>
          <w:tcPr>
            <w:tcW w:w="737" w:type="dxa"/>
            <w:tcBorders>
              <w:top w:val="nil"/>
              <w:left w:val="nil"/>
              <w:bottom w:val="single" w:sz="4" w:space="0" w:color="auto"/>
              <w:right w:val="single" w:sz="4" w:space="0" w:color="auto"/>
            </w:tcBorders>
            <w:shd w:val="clear" w:color="000000" w:fill="F2DBDB"/>
            <w:vAlign w:val="center"/>
            <w:hideMark/>
          </w:tcPr>
          <w:p w14:paraId="713CD438"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muži</w:t>
            </w:r>
          </w:p>
        </w:tc>
        <w:tc>
          <w:tcPr>
            <w:tcW w:w="737" w:type="dxa"/>
            <w:tcBorders>
              <w:top w:val="nil"/>
              <w:left w:val="nil"/>
              <w:bottom w:val="single" w:sz="4" w:space="0" w:color="auto"/>
              <w:right w:val="single" w:sz="4" w:space="0" w:color="auto"/>
            </w:tcBorders>
            <w:shd w:val="clear" w:color="000000" w:fill="F2DBDB"/>
            <w:vAlign w:val="center"/>
            <w:hideMark/>
          </w:tcPr>
          <w:p w14:paraId="45A65C2F"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ženy</w:t>
            </w:r>
          </w:p>
        </w:tc>
        <w:tc>
          <w:tcPr>
            <w:tcW w:w="737" w:type="dxa"/>
            <w:vMerge/>
            <w:tcBorders>
              <w:left w:val="single" w:sz="4" w:space="0" w:color="auto"/>
              <w:bottom w:val="single" w:sz="4" w:space="0" w:color="000000"/>
              <w:right w:val="single" w:sz="4" w:space="0" w:color="auto"/>
            </w:tcBorders>
            <w:vAlign w:val="center"/>
            <w:hideMark/>
          </w:tcPr>
          <w:p w14:paraId="1A2B4A06" w14:textId="77777777" w:rsidR="00D744C7" w:rsidRPr="00B448CC" w:rsidRDefault="00D744C7" w:rsidP="00D744C7">
            <w:pPr>
              <w:spacing w:after="0" w:line="240" w:lineRule="auto"/>
              <w:rPr>
                <w:rFonts w:cs="Arial"/>
                <w:color w:val="000000"/>
                <w:sz w:val="16"/>
                <w:szCs w:val="16"/>
              </w:rPr>
            </w:pPr>
          </w:p>
        </w:tc>
        <w:tc>
          <w:tcPr>
            <w:tcW w:w="737" w:type="dxa"/>
            <w:tcBorders>
              <w:top w:val="nil"/>
              <w:left w:val="nil"/>
              <w:bottom w:val="single" w:sz="4" w:space="0" w:color="auto"/>
              <w:right w:val="single" w:sz="4" w:space="0" w:color="auto"/>
            </w:tcBorders>
            <w:shd w:val="clear" w:color="000000" w:fill="F2DBDB"/>
            <w:vAlign w:val="center"/>
            <w:hideMark/>
          </w:tcPr>
          <w:p w14:paraId="09C37E95"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muži</w:t>
            </w:r>
          </w:p>
        </w:tc>
        <w:tc>
          <w:tcPr>
            <w:tcW w:w="737" w:type="dxa"/>
            <w:tcBorders>
              <w:top w:val="nil"/>
              <w:left w:val="nil"/>
              <w:bottom w:val="single" w:sz="4" w:space="0" w:color="auto"/>
              <w:right w:val="nil"/>
            </w:tcBorders>
            <w:shd w:val="clear" w:color="000000" w:fill="F2DBDB"/>
            <w:vAlign w:val="center"/>
            <w:hideMark/>
          </w:tcPr>
          <w:p w14:paraId="2BDBC8A9"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ženy</w:t>
            </w:r>
          </w:p>
        </w:tc>
      </w:tr>
      <w:tr w:rsidR="00D744C7" w:rsidRPr="00B448CC" w14:paraId="396354B0" w14:textId="77777777" w:rsidTr="00D744C7">
        <w:trPr>
          <w:trHeight w:val="300"/>
        </w:trPr>
        <w:tc>
          <w:tcPr>
            <w:tcW w:w="735" w:type="dxa"/>
            <w:tcBorders>
              <w:top w:val="nil"/>
              <w:left w:val="nil"/>
              <w:bottom w:val="nil"/>
              <w:right w:val="single" w:sz="4" w:space="0" w:color="auto"/>
            </w:tcBorders>
            <w:shd w:val="clear" w:color="auto" w:fill="auto"/>
            <w:vAlign w:val="center"/>
            <w:hideMark/>
          </w:tcPr>
          <w:p w14:paraId="6CE369E6"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2013</w:t>
            </w:r>
          </w:p>
        </w:tc>
        <w:tc>
          <w:tcPr>
            <w:tcW w:w="737" w:type="dxa"/>
            <w:tcBorders>
              <w:top w:val="nil"/>
              <w:left w:val="nil"/>
              <w:bottom w:val="nil"/>
              <w:right w:val="nil"/>
            </w:tcBorders>
            <w:shd w:val="clear" w:color="auto" w:fill="auto"/>
            <w:vAlign w:val="center"/>
            <w:hideMark/>
          </w:tcPr>
          <w:p w14:paraId="6B62917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58 587</w:t>
            </w:r>
          </w:p>
        </w:tc>
        <w:tc>
          <w:tcPr>
            <w:tcW w:w="736" w:type="dxa"/>
            <w:tcBorders>
              <w:top w:val="nil"/>
              <w:left w:val="nil"/>
              <w:bottom w:val="nil"/>
              <w:right w:val="nil"/>
            </w:tcBorders>
            <w:shd w:val="clear" w:color="auto" w:fill="auto"/>
            <w:vAlign w:val="center"/>
            <w:hideMark/>
          </w:tcPr>
          <w:p w14:paraId="3F7283AD"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27 024</w:t>
            </w:r>
          </w:p>
        </w:tc>
        <w:tc>
          <w:tcPr>
            <w:tcW w:w="736" w:type="dxa"/>
            <w:tcBorders>
              <w:top w:val="nil"/>
              <w:left w:val="nil"/>
              <w:bottom w:val="nil"/>
              <w:right w:val="nil"/>
            </w:tcBorders>
            <w:shd w:val="clear" w:color="auto" w:fill="auto"/>
            <w:vAlign w:val="center"/>
            <w:hideMark/>
          </w:tcPr>
          <w:p w14:paraId="273265C8"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31 563</w:t>
            </w:r>
          </w:p>
        </w:tc>
        <w:tc>
          <w:tcPr>
            <w:tcW w:w="736" w:type="dxa"/>
            <w:tcBorders>
              <w:top w:val="nil"/>
              <w:left w:val="single" w:sz="4" w:space="0" w:color="auto"/>
              <w:bottom w:val="nil"/>
              <w:right w:val="nil"/>
            </w:tcBorders>
            <w:shd w:val="clear" w:color="auto" w:fill="auto"/>
            <w:vAlign w:val="center"/>
            <w:hideMark/>
          </w:tcPr>
          <w:p w14:paraId="53776CA4"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49 582</w:t>
            </w:r>
          </w:p>
        </w:tc>
        <w:tc>
          <w:tcPr>
            <w:tcW w:w="736" w:type="dxa"/>
            <w:tcBorders>
              <w:top w:val="nil"/>
              <w:left w:val="nil"/>
              <w:bottom w:val="nil"/>
              <w:right w:val="nil"/>
            </w:tcBorders>
            <w:shd w:val="clear" w:color="auto" w:fill="auto"/>
            <w:vAlign w:val="center"/>
            <w:hideMark/>
          </w:tcPr>
          <w:p w14:paraId="278FB84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21 147</w:t>
            </w:r>
          </w:p>
        </w:tc>
        <w:tc>
          <w:tcPr>
            <w:tcW w:w="736" w:type="dxa"/>
            <w:tcBorders>
              <w:top w:val="nil"/>
              <w:left w:val="nil"/>
              <w:bottom w:val="nil"/>
              <w:right w:val="single" w:sz="4" w:space="0" w:color="auto"/>
            </w:tcBorders>
            <w:shd w:val="clear" w:color="auto" w:fill="auto"/>
            <w:vAlign w:val="center"/>
            <w:hideMark/>
          </w:tcPr>
          <w:p w14:paraId="4F9C65F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28 435</w:t>
            </w:r>
          </w:p>
        </w:tc>
        <w:tc>
          <w:tcPr>
            <w:tcW w:w="754" w:type="dxa"/>
            <w:tcBorders>
              <w:top w:val="nil"/>
              <w:left w:val="nil"/>
              <w:bottom w:val="nil"/>
              <w:right w:val="nil"/>
            </w:tcBorders>
            <w:shd w:val="clear" w:color="auto" w:fill="auto"/>
            <w:vAlign w:val="center"/>
            <w:hideMark/>
          </w:tcPr>
          <w:p w14:paraId="3DFF773D"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2 392</w:t>
            </w:r>
          </w:p>
        </w:tc>
        <w:tc>
          <w:tcPr>
            <w:tcW w:w="737" w:type="dxa"/>
            <w:tcBorders>
              <w:top w:val="nil"/>
              <w:left w:val="nil"/>
              <w:bottom w:val="nil"/>
              <w:right w:val="nil"/>
            </w:tcBorders>
            <w:shd w:val="clear" w:color="auto" w:fill="auto"/>
            <w:vAlign w:val="center"/>
            <w:hideMark/>
          </w:tcPr>
          <w:p w14:paraId="0C8E2AD7"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1 689</w:t>
            </w:r>
          </w:p>
        </w:tc>
        <w:tc>
          <w:tcPr>
            <w:tcW w:w="737" w:type="dxa"/>
            <w:tcBorders>
              <w:top w:val="nil"/>
              <w:left w:val="nil"/>
              <w:bottom w:val="nil"/>
              <w:right w:val="single" w:sz="4" w:space="0" w:color="auto"/>
            </w:tcBorders>
            <w:shd w:val="clear" w:color="auto" w:fill="auto"/>
            <w:vAlign w:val="center"/>
            <w:hideMark/>
          </w:tcPr>
          <w:p w14:paraId="450E3F1D"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702</w:t>
            </w:r>
          </w:p>
        </w:tc>
        <w:tc>
          <w:tcPr>
            <w:tcW w:w="737" w:type="dxa"/>
            <w:tcBorders>
              <w:top w:val="nil"/>
              <w:left w:val="nil"/>
              <w:bottom w:val="nil"/>
              <w:right w:val="nil"/>
            </w:tcBorders>
            <w:shd w:val="clear" w:color="auto" w:fill="auto"/>
            <w:vAlign w:val="center"/>
            <w:hideMark/>
          </w:tcPr>
          <w:p w14:paraId="4E98208A"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6 613</w:t>
            </w:r>
          </w:p>
        </w:tc>
        <w:tc>
          <w:tcPr>
            <w:tcW w:w="737" w:type="dxa"/>
            <w:tcBorders>
              <w:top w:val="nil"/>
              <w:left w:val="nil"/>
              <w:bottom w:val="nil"/>
              <w:right w:val="nil"/>
            </w:tcBorders>
            <w:shd w:val="clear" w:color="auto" w:fill="auto"/>
            <w:vAlign w:val="center"/>
            <w:hideMark/>
          </w:tcPr>
          <w:p w14:paraId="3D252247"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4 188</w:t>
            </w:r>
          </w:p>
        </w:tc>
        <w:tc>
          <w:tcPr>
            <w:tcW w:w="737" w:type="dxa"/>
            <w:tcBorders>
              <w:top w:val="nil"/>
              <w:left w:val="nil"/>
              <w:bottom w:val="nil"/>
              <w:right w:val="nil"/>
            </w:tcBorders>
            <w:shd w:val="clear" w:color="auto" w:fill="auto"/>
            <w:vAlign w:val="center"/>
            <w:hideMark/>
          </w:tcPr>
          <w:p w14:paraId="54A0D6F5"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2 425</w:t>
            </w:r>
          </w:p>
        </w:tc>
      </w:tr>
      <w:tr w:rsidR="00D744C7" w:rsidRPr="00B448CC" w14:paraId="5A4042EB" w14:textId="77777777" w:rsidTr="00D744C7">
        <w:trPr>
          <w:trHeight w:val="300"/>
        </w:trPr>
        <w:tc>
          <w:tcPr>
            <w:tcW w:w="735" w:type="dxa"/>
            <w:tcBorders>
              <w:top w:val="nil"/>
              <w:left w:val="nil"/>
              <w:bottom w:val="nil"/>
              <w:right w:val="single" w:sz="4" w:space="0" w:color="auto"/>
            </w:tcBorders>
            <w:shd w:val="clear" w:color="auto" w:fill="auto"/>
            <w:vAlign w:val="center"/>
            <w:hideMark/>
          </w:tcPr>
          <w:p w14:paraId="32B4BC0E"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2014</w:t>
            </w:r>
          </w:p>
        </w:tc>
        <w:tc>
          <w:tcPr>
            <w:tcW w:w="737" w:type="dxa"/>
            <w:tcBorders>
              <w:top w:val="nil"/>
              <w:left w:val="nil"/>
              <w:bottom w:val="nil"/>
              <w:right w:val="nil"/>
            </w:tcBorders>
            <w:shd w:val="clear" w:color="auto" w:fill="auto"/>
            <w:vAlign w:val="center"/>
            <w:hideMark/>
          </w:tcPr>
          <w:p w14:paraId="5A9F2FF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60 235</w:t>
            </w:r>
          </w:p>
        </w:tc>
        <w:tc>
          <w:tcPr>
            <w:tcW w:w="736" w:type="dxa"/>
            <w:tcBorders>
              <w:top w:val="nil"/>
              <w:left w:val="nil"/>
              <w:bottom w:val="nil"/>
              <w:right w:val="nil"/>
            </w:tcBorders>
            <w:shd w:val="clear" w:color="auto" w:fill="auto"/>
            <w:vAlign w:val="center"/>
            <w:hideMark/>
          </w:tcPr>
          <w:p w14:paraId="27FEF5A3"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27 429</w:t>
            </w:r>
          </w:p>
        </w:tc>
        <w:tc>
          <w:tcPr>
            <w:tcW w:w="736" w:type="dxa"/>
            <w:tcBorders>
              <w:top w:val="nil"/>
              <w:left w:val="nil"/>
              <w:bottom w:val="nil"/>
              <w:right w:val="nil"/>
            </w:tcBorders>
            <w:shd w:val="clear" w:color="auto" w:fill="auto"/>
            <w:vAlign w:val="center"/>
            <w:hideMark/>
          </w:tcPr>
          <w:p w14:paraId="7B2233D2"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32 806</w:t>
            </w:r>
          </w:p>
        </w:tc>
        <w:tc>
          <w:tcPr>
            <w:tcW w:w="736" w:type="dxa"/>
            <w:tcBorders>
              <w:top w:val="nil"/>
              <w:left w:val="single" w:sz="4" w:space="0" w:color="auto"/>
              <w:bottom w:val="nil"/>
              <w:right w:val="nil"/>
            </w:tcBorders>
            <w:shd w:val="clear" w:color="auto" w:fill="auto"/>
            <w:vAlign w:val="center"/>
            <w:hideMark/>
          </w:tcPr>
          <w:p w14:paraId="6A2AF5AC"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51 093</w:t>
            </w:r>
          </w:p>
        </w:tc>
        <w:tc>
          <w:tcPr>
            <w:tcW w:w="736" w:type="dxa"/>
            <w:tcBorders>
              <w:top w:val="nil"/>
              <w:left w:val="nil"/>
              <w:bottom w:val="nil"/>
              <w:right w:val="nil"/>
            </w:tcBorders>
            <w:shd w:val="clear" w:color="auto" w:fill="auto"/>
            <w:vAlign w:val="center"/>
            <w:hideMark/>
          </w:tcPr>
          <w:p w14:paraId="0D1FC764"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21 441</w:t>
            </w:r>
          </w:p>
        </w:tc>
        <w:tc>
          <w:tcPr>
            <w:tcW w:w="736" w:type="dxa"/>
            <w:tcBorders>
              <w:top w:val="nil"/>
              <w:left w:val="nil"/>
              <w:bottom w:val="nil"/>
              <w:right w:val="single" w:sz="4" w:space="0" w:color="auto"/>
            </w:tcBorders>
            <w:shd w:val="clear" w:color="auto" w:fill="auto"/>
            <w:vAlign w:val="center"/>
            <w:hideMark/>
          </w:tcPr>
          <w:p w14:paraId="1730FD2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29 652</w:t>
            </w:r>
          </w:p>
        </w:tc>
        <w:tc>
          <w:tcPr>
            <w:tcW w:w="754" w:type="dxa"/>
            <w:tcBorders>
              <w:top w:val="nil"/>
              <w:left w:val="nil"/>
              <w:bottom w:val="nil"/>
              <w:right w:val="nil"/>
            </w:tcBorders>
            <w:shd w:val="clear" w:color="auto" w:fill="auto"/>
            <w:vAlign w:val="center"/>
            <w:hideMark/>
          </w:tcPr>
          <w:p w14:paraId="4D6B9E8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2 447</w:t>
            </w:r>
          </w:p>
        </w:tc>
        <w:tc>
          <w:tcPr>
            <w:tcW w:w="737" w:type="dxa"/>
            <w:tcBorders>
              <w:top w:val="nil"/>
              <w:left w:val="nil"/>
              <w:bottom w:val="nil"/>
              <w:right w:val="nil"/>
            </w:tcBorders>
            <w:shd w:val="clear" w:color="auto" w:fill="auto"/>
            <w:vAlign w:val="center"/>
            <w:hideMark/>
          </w:tcPr>
          <w:p w14:paraId="34AC613A"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1 723</w:t>
            </w:r>
          </w:p>
        </w:tc>
        <w:tc>
          <w:tcPr>
            <w:tcW w:w="737" w:type="dxa"/>
            <w:tcBorders>
              <w:top w:val="nil"/>
              <w:left w:val="nil"/>
              <w:bottom w:val="nil"/>
              <w:right w:val="single" w:sz="4" w:space="0" w:color="auto"/>
            </w:tcBorders>
            <w:shd w:val="clear" w:color="auto" w:fill="auto"/>
            <w:vAlign w:val="center"/>
            <w:hideMark/>
          </w:tcPr>
          <w:p w14:paraId="541AC7E9"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724</w:t>
            </w:r>
          </w:p>
        </w:tc>
        <w:tc>
          <w:tcPr>
            <w:tcW w:w="737" w:type="dxa"/>
            <w:tcBorders>
              <w:top w:val="nil"/>
              <w:left w:val="nil"/>
              <w:bottom w:val="nil"/>
              <w:right w:val="nil"/>
            </w:tcBorders>
            <w:shd w:val="clear" w:color="auto" w:fill="auto"/>
            <w:vAlign w:val="center"/>
            <w:hideMark/>
          </w:tcPr>
          <w:p w14:paraId="22740752"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6 695</w:t>
            </w:r>
          </w:p>
        </w:tc>
        <w:tc>
          <w:tcPr>
            <w:tcW w:w="737" w:type="dxa"/>
            <w:tcBorders>
              <w:top w:val="nil"/>
              <w:left w:val="nil"/>
              <w:bottom w:val="nil"/>
              <w:right w:val="nil"/>
            </w:tcBorders>
            <w:shd w:val="clear" w:color="auto" w:fill="auto"/>
            <w:vAlign w:val="center"/>
            <w:hideMark/>
          </w:tcPr>
          <w:p w14:paraId="584987D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4 265</w:t>
            </w:r>
          </w:p>
        </w:tc>
        <w:tc>
          <w:tcPr>
            <w:tcW w:w="737" w:type="dxa"/>
            <w:tcBorders>
              <w:top w:val="nil"/>
              <w:left w:val="nil"/>
              <w:bottom w:val="nil"/>
              <w:right w:val="nil"/>
            </w:tcBorders>
            <w:shd w:val="clear" w:color="auto" w:fill="auto"/>
            <w:vAlign w:val="center"/>
            <w:hideMark/>
          </w:tcPr>
          <w:p w14:paraId="17EC2B27"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2 431</w:t>
            </w:r>
          </w:p>
        </w:tc>
      </w:tr>
      <w:tr w:rsidR="00D744C7" w:rsidRPr="00B448CC" w14:paraId="4059D9F4" w14:textId="77777777" w:rsidTr="00D744C7">
        <w:trPr>
          <w:trHeight w:val="300"/>
        </w:trPr>
        <w:tc>
          <w:tcPr>
            <w:tcW w:w="735" w:type="dxa"/>
            <w:tcBorders>
              <w:top w:val="nil"/>
              <w:left w:val="nil"/>
              <w:bottom w:val="nil"/>
              <w:right w:val="single" w:sz="4" w:space="0" w:color="auto"/>
            </w:tcBorders>
            <w:shd w:val="clear" w:color="auto" w:fill="auto"/>
            <w:vAlign w:val="center"/>
            <w:hideMark/>
          </w:tcPr>
          <w:p w14:paraId="6E5423B6"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2015</w:t>
            </w:r>
          </w:p>
        </w:tc>
        <w:tc>
          <w:tcPr>
            <w:tcW w:w="737" w:type="dxa"/>
            <w:tcBorders>
              <w:top w:val="nil"/>
              <w:left w:val="nil"/>
              <w:bottom w:val="nil"/>
              <w:right w:val="nil"/>
            </w:tcBorders>
            <w:shd w:val="clear" w:color="auto" w:fill="auto"/>
            <w:vAlign w:val="center"/>
            <w:hideMark/>
          </w:tcPr>
          <w:p w14:paraId="2CEADE0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66 817</w:t>
            </w:r>
          </w:p>
        </w:tc>
        <w:tc>
          <w:tcPr>
            <w:tcW w:w="736" w:type="dxa"/>
            <w:tcBorders>
              <w:top w:val="nil"/>
              <w:left w:val="nil"/>
              <w:bottom w:val="nil"/>
              <w:right w:val="nil"/>
            </w:tcBorders>
            <w:shd w:val="clear" w:color="auto" w:fill="auto"/>
            <w:vAlign w:val="center"/>
            <w:hideMark/>
          </w:tcPr>
          <w:p w14:paraId="49537A98"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30 473</w:t>
            </w:r>
          </w:p>
        </w:tc>
        <w:tc>
          <w:tcPr>
            <w:tcW w:w="736" w:type="dxa"/>
            <w:tcBorders>
              <w:top w:val="nil"/>
              <w:left w:val="nil"/>
              <w:bottom w:val="nil"/>
              <w:right w:val="nil"/>
            </w:tcBorders>
            <w:shd w:val="clear" w:color="auto" w:fill="auto"/>
            <w:vAlign w:val="center"/>
            <w:hideMark/>
          </w:tcPr>
          <w:p w14:paraId="2292F5D5"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36 345</w:t>
            </w:r>
          </w:p>
        </w:tc>
        <w:tc>
          <w:tcPr>
            <w:tcW w:w="736" w:type="dxa"/>
            <w:tcBorders>
              <w:top w:val="nil"/>
              <w:left w:val="single" w:sz="4" w:space="0" w:color="auto"/>
              <w:bottom w:val="nil"/>
              <w:right w:val="nil"/>
            </w:tcBorders>
            <w:shd w:val="clear" w:color="auto" w:fill="auto"/>
            <w:vAlign w:val="center"/>
            <w:hideMark/>
          </w:tcPr>
          <w:p w14:paraId="7AEDB355"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57 013</w:t>
            </w:r>
          </w:p>
        </w:tc>
        <w:tc>
          <w:tcPr>
            <w:tcW w:w="736" w:type="dxa"/>
            <w:tcBorders>
              <w:top w:val="nil"/>
              <w:left w:val="nil"/>
              <w:bottom w:val="nil"/>
              <w:right w:val="nil"/>
            </w:tcBorders>
            <w:shd w:val="clear" w:color="auto" w:fill="auto"/>
            <w:vAlign w:val="center"/>
            <w:hideMark/>
          </w:tcPr>
          <w:p w14:paraId="0C05C49C"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24 152</w:t>
            </w:r>
          </w:p>
        </w:tc>
        <w:tc>
          <w:tcPr>
            <w:tcW w:w="736" w:type="dxa"/>
            <w:tcBorders>
              <w:top w:val="nil"/>
              <w:left w:val="nil"/>
              <w:bottom w:val="nil"/>
              <w:right w:val="single" w:sz="4" w:space="0" w:color="auto"/>
            </w:tcBorders>
            <w:shd w:val="clear" w:color="auto" w:fill="auto"/>
            <w:vAlign w:val="center"/>
            <w:hideMark/>
          </w:tcPr>
          <w:p w14:paraId="54544A8B"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32 861</w:t>
            </w:r>
          </w:p>
        </w:tc>
        <w:tc>
          <w:tcPr>
            <w:tcW w:w="754" w:type="dxa"/>
            <w:tcBorders>
              <w:top w:val="nil"/>
              <w:left w:val="nil"/>
              <w:bottom w:val="nil"/>
              <w:right w:val="nil"/>
            </w:tcBorders>
            <w:shd w:val="clear" w:color="auto" w:fill="auto"/>
            <w:vAlign w:val="center"/>
            <w:hideMark/>
          </w:tcPr>
          <w:p w14:paraId="40BCA757"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2 569</w:t>
            </w:r>
          </w:p>
        </w:tc>
        <w:tc>
          <w:tcPr>
            <w:tcW w:w="737" w:type="dxa"/>
            <w:tcBorders>
              <w:top w:val="nil"/>
              <w:left w:val="nil"/>
              <w:bottom w:val="nil"/>
              <w:right w:val="nil"/>
            </w:tcBorders>
            <w:shd w:val="clear" w:color="auto" w:fill="auto"/>
            <w:vAlign w:val="center"/>
            <w:hideMark/>
          </w:tcPr>
          <w:p w14:paraId="206C7D37"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1 775</w:t>
            </w:r>
          </w:p>
        </w:tc>
        <w:tc>
          <w:tcPr>
            <w:tcW w:w="737" w:type="dxa"/>
            <w:tcBorders>
              <w:top w:val="nil"/>
              <w:left w:val="nil"/>
              <w:bottom w:val="nil"/>
              <w:right w:val="single" w:sz="4" w:space="0" w:color="auto"/>
            </w:tcBorders>
            <w:shd w:val="clear" w:color="auto" w:fill="auto"/>
            <w:vAlign w:val="center"/>
            <w:hideMark/>
          </w:tcPr>
          <w:p w14:paraId="7D0C5AD4"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794</w:t>
            </w:r>
          </w:p>
        </w:tc>
        <w:tc>
          <w:tcPr>
            <w:tcW w:w="737" w:type="dxa"/>
            <w:tcBorders>
              <w:top w:val="nil"/>
              <w:left w:val="nil"/>
              <w:bottom w:val="nil"/>
              <w:right w:val="nil"/>
            </w:tcBorders>
            <w:shd w:val="clear" w:color="auto" w:fill="auto"/>
            <w:vAlign w:val="center"/>
            <w:hideMark/>
          </w:tcPr>
          <w:p w14:paraId="5E056B87"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7 236</w:t>
            </w:r>
          </w:p>
        </w:tc>
        <w:tc>
          <w:tcPr>
            <w:tcW w:w="737" w:type="dxa"/>
            <w:tcBorders>
              <w:top w:val="nil"/>
              <w:left w:val="nil"/>
              <w:bottom w:val="nil"/>
              <w:right w:val="nil"/>
            </w:tcBorders>
            <w:shd w:val="clear" w:color="auto" w:fill="auto"/>
            <w:vAlign w:val="center"/>
            <w:hideMark/>
          </w:tcPr>
          <w:p w14:paraId="10FB0545"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4 546</w:t>
            </w:r>
          </w:p>
        </w:tc>
        <w:tc>
          <w:tcPr>
            <w:tcW w:w="737" w:type="dxa"/>
            <w:tcBorders>
              <w:top w:val="nil"/>
              <w:left w:val="nil"/>
              <w:bottom w:val="nil"/>
              <w:right w:val="nil"/>
            </w:tcBorders>
            <w:shd w:val="clear" w:color="auto" w:fill="auto"/>
            <w:vAlign w:val="center"/>
            <w:hideMark/>
          </w:tcPr>
          <w:p w14:paraId="0905D8C6"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2 689</w:t>
            </w:r>
          </w:p>
        </w:tc>
      </w:tr>
      <w:tr w:rsidR="00D744C7" w:rsidRPr="00B448CC" w14:paraId="334ADCC7" w14:textId="77777777" w:rsidTr="00D744C7">
        <w:trPr>
          <w:trHeight w:val="300"/>
        </w:trPr>
        <w:tc>
          <w:tcPr>
            <w:tcW w:w="735" w:type="dxa"/>
            <w:tcBorders>
              <w:top w:val="nil"/>
              <w:left w:val="nil"/>
              <w:bottom w:val="nil"/>
              <w:right w:val="single" w:sz="4" w:space="0" w:color="auto"/>
            </w:tcBorders>
            <w:shd w:val="clear" w:color="auto" w:fill="auto"/>
            <w:vAlign w:val="center"/>
            <w:hideMark/>
          </w:tcPr>
          <w:p w14:paraId="520B3E0E"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2016</w:t>
            </w:r>
          </w:p>
        </w:tc>
        <w:tc>
          <w:tcPr>
            <w:tcW w:w="737" w:type="dxa"/>
            <w:tcBorders>
              <w:top w:val="nil"/>
              <w:left w:val="nil"/>
              <w:bottom w:val="nil"/>
              <w:right w:val="nil"/>
            </w:tcBorders>
            <w:shd w:val="clear" w:color="auto" w:fill="auto"/>
            <w:vAlign w:val="center"/>
            <w:hideMark/>
          </w:tcPr>
          <w:p w14:paraId="145885D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70 252</w:t>
            </w:r>
          </w:p>
        </w:tc>
        <w:tc>
          <w:tcPr>
            <w:tcW w:w="736" w:type="dxa"/>
            <w:tcBorders>
              <w:top w:val="nil"/>
              <w:left w:val="nil"/>
              <w:bottom w:val="nil"/>
              <w:right w:val="nil"/>
            </w:tcBorders>
            <w:shd w:val="clear" w:color="auto" w:fill="auto"/>
            <w:vAlign w:val="center"/>
            <w:hideMark/>
          </w:tcPr>
          <w:p w14:paraId="23125787"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31 874</w:t>
            </w:r>
          </w:p>
        </w:tc>
        <w:tc>
          <w:tcPr>
            <w:tcW w:w="736" w:type="dxa"/>
            <w:tcBorders>
              <w:top w:val="nil"/>
              <w:left w:val="nil"/>
              <w:bottom w:val="nil"/>
              <w:right w:val="nil"/>
            </w:tcBorders>
            <w:shd w:val="clear" w:color="auto" w:fill="auto"/>
            <w:vAlign w:val="center"/>
            <w:hideMark/>
          </w:tcPr>
          <w:p w14:paraId="11B49D27"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38 378</w:t>
            </w:r>
          </w:p>
        </w:tc>
        <w:tc>
          <w:tcPr>
            <w:tcW w:w="736" w:type="dxa"/>
            <w:tcBorders>
              <w:top w:val="nil"/>
              <w:left w:val="single" w:sz="4" w:space="0" w:color="auto"/>
              <w:bottom w:val="nil"/>
              <w:right w:val="nil"/>
            </w:tcBorders>
            <w:shd w:val="clear" w:color="auto" w:fill="auto"/>
            <w:vAlign w:val="center"/>
            <w:hideMark/>
          </w:tcPr>
          <w:p w14:paraId="58FDA31B"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60 094</w:t>
            </w:r>
          </w:p>
        </w:tc>
        <w:tc>
          <w:tcPr>
            <w:tcW w:w="736" w:type="dxa"/>
            <w:tcBorders>
              <w:top w:val="nil"/>
              <w:left w:val="nil"/>
              <w:bottom w:val="nil"/>
              <w:right w:val="nil"/>
            </w:tcBorders>
            <w:shd w:val="clear" w:color="auto" w:fill="auto"/>
            <w:vAlign w:val="center"/>
            <w:hideMark/>
          </w:tcPr>
          <w:p w14:paraId="156716A8"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25 396</w:t>
            </w:r>
          </w:p>
        </w:tc>
        <w:tc>
          <w:tcPr>
            <w:tcW w:w="736" w:type="dxa"/>
            <w:tcBorders>
              <w:top w:val="nil"/>
              <w:left w:val="nil"/>
              <w:bottom w:val="nil"/>
              <w:right w:val="single" w:sz="4" w:space="0" w:color="auto"/>
            </w:tcBorders>
            <w:shd w:val="clear" w:color="auto" w:fill="auto"/>
            <w:vAlign w:val="center"/>
            <w:hideMark/>
          </w:tcPr>
          <w:p w14:paraId="2EDCE853"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34 697</w:t>
            </w:r>
          </w:p>
        </w:tc>
        <w:tc>
          <w:tcPr>
            <w:tcW w:w="754" w:type="dxa"/>
            <w:tcBorders>
              <w:top w:val="nil"/>
              <w:left w:val="nil"/>
              <w:bottom w:val="nil"/>
              <w:right w:val="nil"/>
            </w:tcBorders>
            <w:shd w:val="clear" w:color="auto" w:fill="auto"/>
            <w:vAlign w:val="center"/>
            <w:hideMark/>
          </w:tcPr>
          <w:p w14:paraId="6BC981F4"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2 575</w:t>
            </w:r>
          </w:p>
        </w:tc>
        <w:tc>
          <w:tcPr>
            <w:tcW w:w="737" w:type="dxa"/>
            <w:tcBorders>
              <w:top w:val="nil"/>
              <w:left w:val="nil"/>
              <w:bottom w:val="nil"/>
              <w:right w:val="nil"/>
            </w:tcBorders>
            <w:shd w:val="clear" w:color="auto" w:fill="auto"/>
            <w:vAlign w:val="center"/>
            <w:hideMark/>
          </w:tcPr>
          <w:p w14:paraId="2C8B6A9F"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1 761</w:t>
            </w:r>
          </w:p>
        </w:tc>
        <w:tc>
          <w:tcPr>
            <w:tcW w:w="737" w:type="dxa"/>
            <w:tcBorders>
              <w:top w:val="nil"/>
              <w:left w:val="nil"/>
              <w:bottom w:val="nil"/>
              <w:right w:val="single" w:sz="4" w:space="0" w:color="auto"/>
            </w:tcBorders>
            <w:shd w:val="clear" w:color="auto" w:fill="auto"/>
            <w:vAlign w:val="center"/>
            <w:hideMark/>
          </w:tcPr>
          <w:p w14:paraId="7B862EB3"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814</w:t>
            </w:r>
          </w:p>
        </w:tc>
        <w:tc>
          <w:tcPr>
            <w:tcW w:w="737" w:type="dxa"/>
            <w:tcBorders>
              <w:top w:val="nil"/>
              <w:left w:val="nil"/>
              <w:bottom w:val="nil"/>
              <w:right w:val="nil"/>
            </w:tcBorders>
            <w:shd w:val="clear" w:color="auto" w:fill="auto"/>
            <w:vAlign w:val="center"/>
            <w:hideMark/>
          </w:tcPr>
          <w:p w14:paraId="65BA7A2B"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7 583</w:t>
            </w:r>
          </w:p>
        </w:tc>
        <w:tc>
          <w:tcPr>
            <w:tcW w:w="737" w:type="dxa"/>
            <w:tcBorders>
              <w:top w:val="nil"/>
              <w:left w:val="nil"/>
              <w:bottom w:val="nil"/>
              <w:right w:val="nil"/>
            </w:tcBorders>
            <w:shd w:val="clear" w:color="auto" w:fill="auto"/>
            <w:vAlign w:val="center"/>
            <w:hideMark/>
          </w:tcPr>
          <w:p w14:paraId="3DEDA84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4 717</w:t>
            </w:r>
          </w:p>
        </w:tc>
        <w:tc>
          <w:tcPr>
            <w:tcW w:w="737" w:type="dxa"/>
            <w:tcBorders>
              <w:top w:val="nil"/>
              <w:left w:val="nil"/>
              <w:bottom w:val="nil"/>
              <w:right w:val="nil"/>
            </w:tcBorders>
            <w:shd w:val="clear" w:color="auto" w:fill="auto"/>
            <w:vAlign w:val="center"/>
            <w:hideMark/>
          </w:tcPr>
          <w:p w14:paraId="615C76EA"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2 866</w:t>
            </w:r>
          </w:p>
        </w:tc>
      </w:tr>
      <w:tr w:rsidR="00D744C7" w:rsidRPr="00B448CC" w14:paraId="546EB132" w14:textId="77777777" w:rsidTr="00D744C7">
        <w:trPr>
          <w:trHeight w:val="300"/>
        </w:trPr>
        <w:tc>
          <w:tcPr>
            <w:tcW w:w="735" w:type="dxa"/>
            <w:tcBorders>
              <w:top w:val="nil"/>
              <w:left w:val="nil"/>
              <w:bottom w:val="nil"/>
              <w:right w:val="single" w:sz="4" w:space="0" w:color="auto"/>
            </w:tcBorders>
            <w:shd w:val="clear" w:color="auto" w:fill="auto"/>
            <w:vAlign w:val="center"/>
            <w:hideMark/>
          </w:tcPr>
          <w:p w14:paraId="5A049C1A"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2017</w:t>
            </w:r>
          </w:p>
        </w:tc>
        <w:tc>
          <w:tcPr>
            <w:tcW w:w="737" w:type="dxa"/>
            <w:tcBorders>
              <w:top w:val="nil"/>
              <w:left w:val="nil"/>
              <w:bottom w:val="nil"/>
              <w:right w:val="nil"/>
            </w:tcBorders>
            <w:shd w:val="clear" w:color="auto" w:fill="auto"/>
            <w:vAlign w:val="center"/>
            <w:hideMark/>
          </w:tcPr>
          <w:p w14:paraId="7DE57B2A"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72 678</w:t>
            </w:r>
          </w:p>
        </w:tc>
        <w:tc>
          <w:tcPr>
            <w:tcW w:w="736" w:type="dxa"/>
            <w:tcBorders>
              <w:top w:val="nil"/>
              <w:left w:val="nil"/>
              <w:bottom w:val="nil"/>
              <w:right w:val="nil"/>
            </w:tcBorders>
            <w:shd w:val="clear" w:color="auto" w:fill="auto"/>
            <w:vAlign w:val="center"/>
            <w:hideMark/>
          </w:tcPr>
          <w:p w14:paraId="67B305C6"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33 089</w:t>
            </w:r>
          </w:p>
        </w:tc>
        <w:tc>
          <w:tcPr>
            <w:tcW w:w="736" w:type="dxa"/>
            <w:tcBorders>
              <w:top w:val="nil"/>
              <w:left w:val="nil"/>
              <w:bottom w:val="nil"/>
              <w:right w:val="nil"/>
            </w:tcBorders>
            <w:shd w:val="clear" w:color="auto" w:fill="auto"/>
            <w:vAlign w:val="center"/>
            <w:hideMark/>
          </w:tcPr>
          <w:p w14:paraId="59F15F29"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39 588</w:t>
            </w:r>
          </w:p>
        </w:tc>
        <w:tc>
          <w:tcPr>
            <w:tcW w:w="736" w:type="dxa"/>
            <w:tcBorders>
              <w:top w:val="nil"/>
              <w:left w:val="single" w:sz="4" w:space="0" w:color="auto"/>
              <w:bottom w:val="nil"/>
              <w:right w:val="nil"/>
            </w:tcBorders>
            <w:shd w:val="clear" w:color="auto" w:fill="auto"/>
            <w:vAlign w:val="center"/>
            <w:hideMark/>
          </w:tcPr>
          <w:p w14:paraId="1BDC86C2"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62 113</w:t>
            </w:r>
          </w:p>
        </w:tc>
        <w:tc>
          <w:tcPr>
            <w:tcW w:w="736" w:type="dxa"/>
            <w:tcBorders>
              <w:top w:val="nil"/>
              <w:left w:val="nil"/>
              <w:bottom w:val="nil"/>
              <w:right w:val="nil"/>
            </w:tcBorders>
            <w:shd w:val="clear" w:color="auto" w:fill="auto"/>
            <w:vAlign w:val="center"/>
            <w:hideMark/>
          </w:tcPr>
          <w:p w14:paraId="762A724D"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26 463</w:t>
            </w:r>
          </w:p>
        </w:tc>
        <w:tc>
          <w:tcPr>
            <w:tcW w:w="736" w:type="dxa"/>
            <w:tcBorders>
              <w:top w:val="nil"/>
              <w:left w:val="nil"/>
              <w:bottom w:val="nil"/>
              <w:right w:val="single" w:sz="4" w:space="0" w:color="auto"/>
            </w:tcBorders>
            <w:shd w:val="clear" w:color="auto" w:fill="auto"/>
            <w:vAlign w:val="center"/>
            <w:hideMark/>
          </w:tcPr>
          <w:p w14:paraId="556FEC28"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35 650</w:t>
            </w:r>
          </w:p>
        </w:tc>
        <w:tc>
          <w:tcPr>
            <w:tcW w:w="754" w:type="dxa"/>
            <w:tcBorders>
              <w:top w:val="nil"/>
              <w:left w:val="nil"/>
              <w:bottom w:val="nil"/>
              <w:right w:val="nil"/>
            </w:tcBorders>
            <w:shd w:val="clear" w:color="auto" w:fill="auto"/>
            <w:vAlign w:val="center"/>
            <w:hideMark/>
          </w:tcPr>
          <w:p w14:paraId="41C3A1DC"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2 583</w:t>
            </w:r>
          </w:p>
        </w:tc>
        <w:tc>
          <w:tcPr>
            <w:tcW w:w="737" w:type="dxa"/>
            <w:tcBorders>
              <w:top w:val="nil"/>
              <w:left w:val="nil"/>
              <w:bottom w:val="nil"/>
              <w:right w:val="nil"/>
            </w:tcBorders>
            <w:shd w:val="clear" w:color="auto" w:fill="auto"/>
            <w:vAlign w:val="center"/>
            <w:hideMark/>
          </w:tcPr>
          <w:p w14:paraId="09253AE9"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1 765</w:t>
            </w:r>
          </w:p>
        </w:tc>
        <w:tc>
          <w:tcPr>
            <w:tcW w:w="737" w:type="dxa"/>
            <w:tcBorders>
              <w:top w:val="nil"/>
              <w:left w:val="nil"/>
              <w:bottom w:val="nil"/>
              <w:right w:val="single" w:sz="4" w:space="0" w:color="auto"/>
            </w:tcBorders>
            <w:shd w:val="clear" w:color="auto" w:fill="auto"/>
            <w:vAlign w:val="center"/>
            <w:hideMark/>
          </w:tcPr>
          <w:p w14:paraId="7451A2C8"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818</w:t>
            </w:r>
          </w:p>
        </w:tc>
        <w:tc>
          <w:tcPr>
            <w:tcW w:w="737" w:type="dxa"/>
            <w:tcBorders>
              <w:top w:val="nil"/>
              <w:left w:val="nil"/>
              <w:bottom w:val="nil"/>
              <w:right w:val="nil"/>
            </w:tcBorders>
            <w:shd w:val="clear" w:color="auto" w:fill="auto"/>
            <w:vAlign w:val="center"/>
            <w:hideMark/>
          </w:tcPr>
          <w:p w14:paraId="7ADEBDF3"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7 982</w:t>
            </w:r>
          </w:p>
        </w:tc>
        <w:tc>
          <w:tcPr>
            <w:tcW w:w="737" w:type="dxa"/>
            <w:tcBorders>
              <w:top w:val="nil"/>
              <w:left w:val="nil"/>
              <w:bottom w:val="nil"/>
              <w:right w:val="nil"/>
            </w:tcBorders>
            <w:shd w:val="clear" w:color="auto" w:fill="auto"/>
            <w:vAlign w:val="center"/>
            <w:hideMark/>
          </w:tcPr>
          <w:p w14:paraId="4E2A17AD"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4 862</w:t>
            </w:r>
          </w:p>
        </w:tc>
        <w:tc>
          <w:tcPr>
            <w:tcW w:w="737" w:type="dxa"/>
            <w:tcBorders>
              <w:top w:val="nil"/>
              <w:left w:val="nil"/>
              <w:bottom w:val="nil"/>
              <w:right w:val="nil"/>
            </w:tcBorders>
            <w:shd w:val="clear" w:color="auto" w:fill="auto"/>
            <w:vAlign w:val="center"/>
            <w:hideMark/>
          </w:tcPr>
          <w:p w14:paraId="3FDB203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3 120</w:t>
            </w:r>
          </w:p>
        </w:tc>
      </w:tr>
      <w:tr w:rsidR="00D744C7" w:rsidRPr="00B448CC" w14:paraId="50529D50" w14:textId="77777777" w:rsidTr="00D744C7">
        <w:trPr>
          <w:trHeight w:val="300"/>
        </w:trPr>
        <w:tc>
          <w:tcPr>
            <w:tcW w:w="735" w:type="dxa"/>
            <w:tcBorders>
              <w:top w:val="nil"/>
              <w:left w:val="nil"/>
              <w:bottom w:val="nil"/>
              <w:right w:val="single" w:sz="4" w:space="0" w:color="auto"/>
            </w:tcBorders>
            <w:shd w:val="clear" w:color="auto" w:fill="auto"/>
            <w:vAlign w:val="center"/>
            <w:hideMark/>
          </w:tcPr>
          <w:p w14:paraId="3590AA40"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2018</w:t>
            </w:r>
          </w:p>
        </w:tc>
        <w:tc>
          <w:tcPr>
            <w:tcW w:w="737" w:type="dxa"/>
            <w:tcBorders>
              <w:top w:val="nil"/>
              <w:left w:val="nil"/>
              <w:bottom w:val="nil"/>
              <w:right w:val="nil"/>
            </w:tcBorders>
            <w:shd w:val="clear" w:color="auto" w:fill="auto"/>
            <w:vAlign w:val="center"/>
            <w:hideMark/>
          </w:tcPr>
          <w:p w14:paraId="09E01FFC"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77 158</w:t>
            </w:r>
          </w:p>
        </w:tc>
        <w:tc>
          <w:tcPr>
            <w:tcW w:w="736" w:type="dxa"/>
            <w:tcBorders>
              <w:top w:val="nil"/>
              <w:left w:val="nil"/>
              <w:bottom w:val="nil"/>
              <w:right w:val="nil"/>
            </w:tcBorders>
            <w:shd w:val="clear" w:color="auto" w:fill="auto"/>
            <w:vAlign w:val="center"/>
            <w:hideMark/>
          </w:tcPr>
          <w:p w14:paraId="7637CC0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35 223</w:t>
            </w:r>
          </w:p>
        </w:tc>
        <w:tc>
          <w:tcPr>
            <w:tcW w:w="736" w:type="dxa"/>
            <w:tcBorders>
              <w:top w:val="nil"/>
              <w:left w:val="nil"/>
              <w:bottom w:val="nil"/>
              <w:right w:val="nil"/>
            </w:tcBorders>
            <w:shd w:val="clear" w:color="auto" w:fill="auto"/>
            <w:vAlign w:val="center"/>
            <w:hideMark/>
          </w:tcPr>
          <w:p w14:paraId="559A2AD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41 934</w:t>
            </w:r>
          </w:p>
        </w:tc>
        <w:tc>
          <w:tcPr>
            <w:tcW w:w="736" w:type="dxa"/>
            <w:tcBorders>
              <w:top w:val="nil"/>
              <w:left w:val="single" w:sz="4" w:space="0" w:color="auto"/>
              <w:bottom w:val="nil"/>
              <w:right w:val="nil"/>
            </w:tcBorders>
            <w:shd w:val="clear" w:color="auto" w:fill="auto"/>
            <w:vAlign w:val="center"/>
            <w:hideMark/>
          </w:tcPr>
          <w:p w14:paraId="16694F7F"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66 223</w:t>
            </w:r>
          </w:p>
        </w:tc>
        <w:tc>
          <w:tcPr>
            <w:tcW w:w="736" w:type="dxa"/>
            <w:tcBorders>
              <w:top w:val="nil"/>
              <w:left w:val="nil"/>
              <w:bottom w:val="nil"/>
              <w:right w:val="nil"/>
            </w:tcBorders>
            <w:shd w:val="clear" w:color="auto" w:fill="auto"/>
            <w:vAlign w:val="center"/>
            <w:hideMark/>
          </w:tcPr>
          <w:p w14:paraId="611B7E1F"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28 379</w:t>
            </w:r>
          </w:p>
        </w:tc>
        <w:tc>
          <w:tcPr>
            <w:tcW w:w="736" w:type="dxa"/>
            <w:tcBorders>
              <w:top w:val="nil"/>
              <w:left w:val="nil"/>
              <w:bottom w:val="nil"/>
              <w:right w:val="single" w:sz="4" w:space="0" w:color="auto"/>
            </w:tcBorders>
            <w:shd w:val="clear" w:color="auto" w:fill="auto"/>
            <w:vAlign w:val="center"/>
            <w:hideMark/>
          </w:tcPr>
          <w:p w14:paraId="76C253EF"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37 845</w:t>
            </w:r>
          </w:p>
        </w:tc>
        <w:tc>
          <w:tcPr>
            <w:tcW w:w="754" w:type="dxa"/>
            <w:tcBorders>
              <w:top w:val="nil"/>
              <w:left w:val="nil"/>
              <w:bottom w:val="nil"/>
              <w:right w:val="nil"/>
            </w:tcBorders>
            <w:shd w:val="clear" w:color="auto" w:fill="auto"/>
            <w:vAlign w:val="center"/>
            <w:hideMark/>
          </w:tcPr>
          <w:p w14:paraId="181AEE83"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2 571</w:t>
            </w:r>
          </w:p>
        </w:tc>
        <w:tc>
          <w:tcPr>
            <w:tcW w:w="737" w:type="dxa"/>
            <w:tcBorders>
              <w:top w:val="nil"/>
              <w:left w:val="nil"/>
              <w:bottom w:val="nil"/>
              <w:right w:val="nil"/>
            </w:tcBorders>
            <w:shd w:val="clear" w:color="auto" w:fill="auto"/>
            <w:vAlign w:val="center"/>
            <w:hideMark/>
          </w:tcPr>
          <w:p w14:paraId="5C3CE6A3"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1 741</w:t>
            </w:r>
          </w:p>
        </w:tc>
        <w:tc>
          <w:tcPr>
            <w:tcW w:w="737" w:type="dxa"/>
            <w:tcBorders>
              <w:top w:val="nil"/>
              <w:left w:val="nil"/>
              <w:bottom w:val="nil"/>
              <w:right w:val="single" w:sz="4" w:space="0" w:color="auto"/>
            </w:tcBorders>
            <w:shd w:val="clear" w:color="auto" w:fill="auto"/>
            <w:vAlign w:val="center"/>
            <w:hideMark/>
          </w:tcPr>
          <w:p w14:paraId="2768ED42"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830</w:t>
            </w:r>
          </w:p>
        </w:tc>
        <w:tc>
          <w:tcPr>
            <w:tcW w:w="737" w:type="dxa"/>
            <w:tcBorders>
              <w:top w:val="nil"/>
              <w:left w:val="nil"/>
              <w:bottom w:val="nil"/>
              <w:right w:val="nil"/>
            </w:tcBorders>
            <w:shd w:val="clear" w:color="auto" w:fill="auto"/>
            <w:vAlign w:val="center"/>
            <w:hideMark/>
          </w:tcPr>
          <w:p w14:paraId="7F62C1FB"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8 363</w:t>
            </w:r>
          </w:p>
        </w:tc>
        <w:tc>
          <w:tcPr>
            <w:tcW w:w="737" w:type="dxa"/>
            <w:tcBorders>
              <w:top w:val="nil"/>
              <w:left w:val="nil"/>
              <w:bottom w:val="nil"/>
              <w:right w:val="nil"/>
            </w:tcBorders>
            <w:shd w:val="clear" w:color="auto" w:fill="auto"/>
            <w:vAlign w:val="center"/>
            <w:hideMark/>
          </w:tcPr>
          <w:p w14:paraId="0AB8C58E"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5 104</w:t>
            </w:r>
          </w:p>
        </w:tc>
        <w:tc>
          <w:tcPr>
            <w:tcW w:w="737" w:type="dxa"/>
            <w:tcBorders>
              <w:top w:val="nil"/>
              <w:left w:val="nil"/>
              <w:bottom w:val="nil"/>
              <w:right w:val="nil"/>
            </w:tcBorders>
            <w:shd w:val="clear" w:color="auto" w:fill="auto"/>
            <w:vAlign w:val="center"/>
            <w:hideMark/>
          </w:tcPr>
          <w:p w14:paraId="6D7F865D"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3 260</w:t>
            </w:r>
          </w:p>
        </w:tc>
      </w:tr>
      <w:tr w:rsidR="00D744C7" w:rsidRPr="00B448CC" w14:paraId="1D59E574" w14:textId="77777777" w:rsidTr="00D744C7">
        <w:trPr>
          <w:trHeight w:val="300"/>
        </w:trPr>
        <w:tc>
          <w:tcPr>
            <w:tcW w:w="735" w:type="dxa"/>
            <w:tcBorders>
              <w:top w:val="nil"/>
              <w:left w:val="nil"/>
              <w:bottom w:val="nil"/>
              <w:right w:val="single" w:sz="4" w:space="0" w:color="auto"/>
            </w:tcBorders>
            <w:shd w:val="clear" w:color="auto" w:fill="auto"/>
            <w:vAlign w:val="center"/>
            <w:hideMark/>
          </w:tcPr>
          <w:p w14:paraId="0C69E5E6"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2019</w:t>
            </w:r>
          </w:p>
        </w:tc>
        <w:tc>
          <w:tcPr>
            <w:tcW w:w="737" w:type="dxa"/>
            <w:tcBorders>
              <w:top w:val="nil"/>
              <w:left w:val="nil"/>
              <w:bottom w:val="nil"/>
              <w:right w:val="nil"/>
            </w:tcBorders>
            <w:shd w:val="clear" w:color="auto" w:fill="auto"/>
            <w:vAlign w:val="center"/>
            <w:hideMark/>
          </w:tcPr>
          <w:p w14:paraId="55A5683E"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81 205</w:t>
            </w:r>
          </w:p>
        </w:tc>
        <w:tc>
          <w:tcPr>
            <w:tcW w:w="736" w:type="dxa"/>
            <w:tcBorders>
              <w:top w:val="nil"/>
              <w:left w:val="nil"/>
              <w:bottom w:val="nil"/>
              <w:right w:val="nil"/>
            </w:tcBorders>
            <w:shd w:val="clear" w:color="auto" w:fill="auto"/>
            <w:vAlign w:val="center"/>
            <w:hideMark/>
          </w:tcPr>
          <w:p w14:paraId="459CFB7F"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37 043</w:t>
            </w:r>
          </w:p>
        </w:tc>
        <w:tc>
          <w:tcPr>
            <w:tcW w:w="736" w:type="dxa"/>
            <w:tcBorders>
              <w:top w:val="nil"/>
              <w:left w:val="nil"/>
              <w:bottom w:val="nil"/>
              <w:right w:val="nil"/>
            </w:tcBorders>
            <w:shd w:val="clear" w:color="auto" w:fill="auto"/>
            <w:vAlign w:val="center"/>
            <w:hideMark/>
          </w:tcPr>
          <w:p w14:paraId="32692356"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44 162</w:t>
            </w:r>
          </w:p>
        </w:tc>
        <w:tc>
          <w:tcPr>
            <w:tcW w:w="736" w:type="dxa"/>
            <w:tcBorders>
              <w:top w:val="nil"/>
              <w:left w:val="single" w:sz="4" w:space="0" w:color="auto"/>
              <w:bottom w:val="nil"/>
              <w:right w:val="nil"/>
            </w:tcBorders>
            <w:shd w:val="clear" w:color="auto" w:fill="auto"/>
            <w:vAlign w:val="center"/>
            <w:hideMark/>
          </w:tcPr>
          <w:p w14:paraId="067D58D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69 903</w:t>
            </w:r>
          </w:p>
        </w:tc>
        <w:tc>
          <w:tcPr>
            <w:tcW w:w="736" w:type="dxa"/>
            <w:tcBorders>
              <w:top w:val="nil"/>
              <w:left w:val="nil"/>
              <w:bottom w:val="nil"/>
              <w:right w:val="nil"/>
            </w:tcBorders>
            <w:shd w:val="clear" w:color="auto" w:fill="auto"/>
            <w:vAlign w:val="center"/>
            <w:hideMark/>
          </w:tcPr>
          <w:p w14:paraId="11C4CA6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30 002</w:t>
            </w:r>
          </w:p>
        </w:tc>
        <w:tc>
          <w:tcPr>
            <w:tcW w:w="736" w:type="dxa"/>
            <w:tcBorders>
              <w:top w:val="nil"/>
              <w:left w:val="nil"/>
              <w:bottom w:val="nil"/>
              <w:right w:val="single" w:sz="4" w:space="0" w:color="auto"/>
            </w:tcBorders>
            <w:shd w:val="clear" w:color="auto" w:fill="auto"/>
            <w:vAlign w:val="center"/>
            <w:hideMark/>
          </w:tcPr>
          <w:p w14:paraId="4594A229"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39 900</w:t>
            </w:r>
          </w:p>
        </w:tc>
        <w:tc>
          <w:tcPr>
            <w:tcW w:w="754" w:type="dxa"/>
            <w:tcBorders>
              <w:top w:val="nil"/>
              <w:left w:val="nil"/>
              <w:bottom w:val="nil"/>
              <w:right w:val="nil"/>
            </w:tcBorders>
            <w:shd w:val="clear" w:color="auto" w:fill="auto"/>
            <w:vAlign w:val="center"/>
            <w:hideMark/>
          </w:tcPr>
          <w:p w14:paraId="721DDE33"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2 533</w:t>
            </w:r>
          </w:p>
        </w:tc>
        <w:tc>
          <w:tcPr>
            <w:tcW w:w="737" w:type="dxa"/>
            <w:tcBorders>
              <w:top w:val="nil"/>
              <w:left w:val="nil"/>
              <w:bottom w:val="nil"/>
              <w:right w:val="nil"/>
            </w:tcBorders>
            <w:shd w:val="clear" w:color="auto" w:fill="auto"/>
            <w:vAlign w:val="center"/>
            <w:hideMark/>
          </w:tcPr>
          <w:p w14:paraId="7EE24C86"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1 709</w:t>
            </w:r>
          </w:p>
        </w:tc>
        <w:tc>
          <w:tcPr>
            <w:tcW w:w="737" w:type="dxa"/>
            <w:tcBorders>
              <w:top w:val="nil"/>
              <w:left w:val="nil"/>
              <w:bottom w:val="nil"/>
              <w:right w:val="single" w:sz="4" w:space="0" w:color="auto"/>
            </w:tcBorders>
            <w:shd w:val="clear" w:color="auto" w:fill="auto"/>
            <w:vAlign w:val="center"/>
            <w:hideMark/>
          </w:tcPr>
          <w:p w14:paraId="4A9EB694"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823</w:t>
            </w:r>
          </w:p>
        </w:tc>
        <w:tc>
          <w:tcPr>
            <w:tcW w:w="737" w:type="dxa"/>
            <w:tcBorders>
              <w:top w:val="nil"/>
              <w:left w:val="nil"/>
              <w:bottom w:val="nil"/>
              <w:right w:val="nil"/>
            </w:tcBorders>
            <w:shd w:val="clear" w:color="auto" w:fill="auto"/>
            <w:vAlign w:val="center"/>
            <w:hideMark/>
          </w:tcPr>
          <w:p w14:paraId="45CF1605"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8 770</w:t>
            </w:r>
          </w:p>
        </w:tc>
        <w:tc>
          <w:tcPr>
            <w:tcW w:w="737" w:type="dxa"/>
            <w:tcBorders>
              <w:top w:val="nil"/>
              <w:left w:val="nil"/>
              <w:bottom w:val="nil"/>
              <w:right w:val="nil"/>
            </w:tcBorders>
            <w:shd w:val="clear" w:color="auto" w:fill="auto"/>
            <w:vAlign w:val="center"/>
            <w:hideMark/>
          </w:tcPr>
          <w:p w14:paraId="348C97E2"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5 331</w:t>
            </w:r>
          </w:p>
        </w:tc>
        <w:tc>
          <w:tcPr>
            <w:tcW w:w="737" w:type="dxa"/>
            <w:tcBorders>
              <w:top w:val="nil"/>
              <w:left w:val="nil"/>
              <w:bottom w:val="nil"/>
              <w:right w:val="nil"/>
            </w:tcBorders>
            <w:shd w:val="clear" w:color="auto" w:fill="auto"/>
            <w:vAlign w:val="center"/>
            <w:hideMark/>
          </w:tcPr>
          <w:p w14:paraId="10AB795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3 438</w:t>
            </w:r>
          </w:p>
        </w:tc>
      </w:tr>
      <w:tr w:rsidR="00D744C7" w:rsidRPr="00B448CC" w14:paraId="59CEEF89" w14:textId="77777777" w:rsidTr="00D744C7">
        <w:trPr>
          <w:trHeight w:val="300"/>
        </w:trPr>
        <w:tc>
          <w:tcPr>
            <w:tcW w:w="735" w:type="dxa"/>
            <w:tcBorders>
              <w:top w:val="nil"/>
              <w:left w:val="nil"/>
              <w:bottom w:val="nil"/>
              <w:right w:val="single" w:sz="4" w:space="0" w:color="auto"/>
            </w:tcBorders>
            <w:shd w:val="clear" w:color="auto" w:fill="auto"/>
            <w:vAlign w:val="center"/>
            <w:hideMark/>
          </w:tcPr>
          <w:p w14:paraId="1CC4627E"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2020</w:t>
            </w:r>
          </w:p>
        </w:tc>
        <w:tc>
          <w:tcPr>
            <w:tcW w:w="737" w:type="dxa"/>
            <w:tcBorders>
              <w:top w:val="nil"/>
              <w:left w:val="nil"/>
              <w:bottom w:val="nil"/>
              <w:right w:val="nil"/>
            </w:tcBorders>
            <w:shd w:val="clear" w:color="auto" w:fill="auto"/>
            <w:vAlign w:val="center"/>
            <w:hideMark/>
          </w:tcPr>
          <w:p w14:paraId="35033CF6"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94 246</w:t>
            </w:r>
          </w:p>
        </w:tc>
        <w:tc>
          <w:tcPr>
            <w:tcW w:w="736" w:type="dxa"/>
            <w:tcBorders>
              <w:top w:val="nil"/>
              <w:left w:val="nil"/>
              <w:bottom w:val="nil"/>
              <w:right w:val="nil"/>
            </w:tcBorders>
            <w:shd w:val="clear" w:color="auto" w:fill="auto"/>
            <w:vAlign w:val="center"/>
            <w:hideMark/>
          </w:tcPr>
          <w:p w14:paraId="5846844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43 214</w:t>
            </w:r>
          </w:p>
        </w:tc>
        <w:tc>
          <w:tcPr>
            <w:tcW w:w="736" w:type="dxa"/>
            <w:tcBorders>
              <w:top w:val="nil"/>
              <w:left w:val="nil"/>
              <w:bottom w:val="nil"/>
              <w:right w:val="nil"/>
            </w:tcBorders>
            <w:shd w:val="clear" w:color="auto" w:fill="auto"/>
            <w:vAlign w:val="center"/>
            <w:hideMark/>
          </w:tcPr>
          <w:p w14:paraId="244C981E"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51 032</w:t>
            </w:r>
          </w:p>
        </w:tc>
        <w:tc>
          <w:tcPr>
            <w:tcW w:w="736" w:type="dxa"/>
            <w:tcBorders>
              <w:top w:val="nil"/>
              <w:left w:val="single" w:sz="4" w:space="0" w:color="auto"/>
              <w:bottom w:val="nil"/>
              <w:right w:val="nil"/>
            </w:tcBorders>
            <w:shd w:val="clear" w:color="auto" w:fill="auto"/>
            <w:vAlign w:val="center"/>
            <w:hideMark/>
          </w:tcPr>
          <w:p w14:paraId="29747CF5"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82 287</w:t>
            </w:r>
          </w:p>
        </w:tc>
        <w:tc>
          <w:tcPr>
            <w:tcW w:w="736" w:type="dxa"/>
            <w:tcBorders>
              <w:top w:val="nil"/>
              <w:left w:val="nil"/>
              <w:bottom w:val="nil"/>
              <w:right w:val="nil"/>
            </w:tcBorders>
            <w:shd w:val="clear" w:color="auto" w:fill="auto"/>
            <w:vAlign w:val="center"/>
            <w:hideMark/>
          </w:tcPr>
          <w:p w14:paraId="74EA9679"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35 854</w:t>
            </w:r>
          </w:p>
        </w:tc>
        <w:tc>
          <w:tcPr>
            <w:tcW w:w="736" w:type="dxa"/>
            <w:tcBorders>
              <w:top w:val="nil"/>
              <w:left w:val="nil"/>
              <w:bottom w:val="nil"/>
              <w:right w:val="single" w:sz="4" w:space="0" w:color="auto"/>
            </w:tcBorders>
            <w:shd w:val="clear" w:color="auto" w:fill="auto"/>
            <w:vAlign w:val="center"/>
            <w:hideMark/>
          </w:tcPr>
          <w:p w14:paraId="669B8722"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46 434</w:t>
            </w:r>
          </w:p>
        </w:tc>
        <w:tc>
          <w:tcPr>
            <w:tcW w:w="754" w:type="dxa"/>
            <w:tcBorders>
              <w:top w:val="nil"/>
              <w:left w:val="nil"/>
              <w:bottom w:val="nil"/>
              <w:right w:val="nil"/>
            </w:tcBorders>
            <w:shd w:val="clear" w:color="auto" w:fill="auto"/>
            <w:vAlign w:val="center"/>
            <w:hideMark/>
          </w:tcPr>
          <w:p w14:paraId="779C01D5"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2 585</w:t>
            </w:r>
          </w:p>
        </w:tc>
        <w:tc>
          <w:tcPr>
            <w:tcW w:w="737" w:type="dxa"/>
            <w:tcBorders>
              <w:top w:val="nil"/>
              <w:left w:val="nil"/>
              <w:bottom w:val="nil"/>
              <w:right w:val="nil"/>
            </w:tcBorders>
            <w:shd w:val="clear" w:color="auto" w:fill="auto"/>
            <w:vAlign w:val="center"/>
            <w:hideMark/>
          </w:tcPr>
          <w:p w14:paraId="36FF4A75"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1 766</w:t>
            </w:r>
          </w:p>
        </w:tc>
        <w:tc>
          <w:tcPr>
            <w:tcW w:w="737" w:type="dxa"/>
            <w:tcBorders>
              <w:top w:val="nil"/>
              <w:left w:val="nil"/>
              <w:bottom w:val="nil"/>
              <w:right w:val="single" w:sz="4" w:space="0" w:color="auto"/>
            </w:tcBorders>
            <w:shd w:val="clear" w:color="auto" w:fill="auto"/>
            <w:vAlign w:val="center"/>
            <w:hideMark/>
          </w:tcPr>
          <w:p w14:paraId="7AD82A9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819</w:t>
            </w:r>
          </w:p>
        </w:tc>
        <w:tc>
          <w:tcPr>
            <w:tcW w:w="737" w:type="dxa"/>
            <w:tcBorders>
              <w:top w:val="nil"/>
              <w:left w:val="nil"/>
              <w:bottom w:val="nil"/>
              <w:right w:val="nil"/>
            </w:tcBorders>
            <w:shd w:val="clear" w:color="auto" w:fill="auto"/>
            <w:vAlign w:val="center"/>
            <w:hideMark/>
          </w:tcPr>
          <w:p w14:paraId="51E5E22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9 373</w:t>
            </w:r>
          </w:p>
        </w:tc>
        <w:tc>
          <w:tcPr>
            <w:tcW w:w="737" w:type="dxa"/>
            <w:tcBorders>
              <w:top w:val="nil"/>
              <w:left w:val="nil"/>
              <w:bottom w:val="nil"/>
              <w:right w:val="nil"/>
            </w:tcBorders>
            <w:shd w:val="clear" w:color="auto" w:fill="auto"/>
            <w:vAlign w:val="center"/>
            <w:hideMark/>
          </w:tcPr>
          <w:p w14:paraId="7B20E3BA"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5 594</w:t>
            </w:r>
          </w:p>
        </w:tc>
        <w:tc>
          <w:tcPr>
            <w:tcW w:w="737" w:type="dxa"/>
            <w:tcBorders>
              <w:top w:val="nil"/>
              <w:left w:val="nil"/>
              <w:bottom w:val="nil"/>
              <w:right w:val="nil"/>
            </w:tcBorders>
            <w:shd w:val="clear" w:color="auto" w:fill="auto"/>
            <w:vAlign w:val="center"/>
            <w:hideMark/>
          </w:tcPr>
          <w:p w14:paraId="37CD4B4F"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3 779</w:t>
            </w:r>
          </w:p>
        </w:tc>
      </w:tr>
      <w:tr w:rsidR="00D744C7" w:rsidRPr="00B448CC" w14:paraId="2DBFD8D6" w14:textId="77777777" w:rsidTr="00D744C7">
        <w:trPr>
          <w:trHeight w:val="300"/>
        </w:trPr>
        <w:tc>
          <w:tcPr>
            <w:tcW w:w="735" w:type="dxa"/>
            <w:tcBorders>
              <w:top w:val="nil"/>
              <w:left w:val="nil"/>
              <w:bottom w:val="nil"/>
              <w:right w:val="single" w:sz="4" w:space="0" w:color="auto"/>
            </w:tcBorders>
            <w:shd w:val="clear" w:color="auto" w:fill="auto"/>
            <w:vAlign w:val="center"/>
          </w:tcPr>
          <w:p w14:paraId="72C852CD" w14:textId="77777777"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2021</w:t>
            </w:r>
          </w:p>
        </w:tc>
        <w:tc>
          <w:tcPr>
            <w:tcW w:w="737" w:type="dxa"/>
            <w:tcBorders>
              <w:top w:val="nil"/>
              <w:left w:val="nil"/>
              <w:bottom w:val="nil"/>
              <w:right w:val="nil"/>
            </w:tcBorders>
            <w:shd w:val="clear" w:color="auto" w:fill="auto"/>
            <w:vAlign w:val="center"/>
          </w:tcPr>
          <w:p w14:paraId="0A1D823B"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94 950</w:t>
            </w:r>
          </w:p>
        </w:tc>
        <w:tc>
          <w:tcPr>
            <w:tcW w:w="736" w:type="dxa"/>
            <w:tcBorders>
              <w:top w:val="nil"/>
              <w:left w:val="nil"/>
              <w:bottom w:val="nil"/>
              <w:right w:val="nil"/>
            </w:tcBorders>
            <w:shd w:val="clear" w:color="auto" w:fill="auto"/>
            <w:vAlign w:val="center"/>
          </w:tcPr>
          <w:p w14:paraId="2919B95F"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44 255</w:t>
            </w:r>
          </w:p>
        </w:tc>
        <w:tc>
          <w:tcPr>
            <w:tcW w:w="736" w:type="dxa"/>
            <w:tcBorders>
              <w:top w:val="nil"/>
              <w:left w:val="nil"/>
              <w:bottom w:val="nil"/>
              <w:right w:val="nil"/>
            </w:tcBorders>
            <w:shd w:val="clear" w:color="auto" w:fill="auto"/>
            <w:vAlign w:val="center"/>
          </w:tcPr>
          <w:p w14:paraId="5AE9443B"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50 695</w:t>
            </w:r>
          </w:p>
        </w:tc>
        <w:tc>
          <w:tcPr>
            <w:tcW w:w="736" w:type="dxa"/>
            <w:tcBorders>
              <w:top w:val="nil"/>
              <w:left w:val="single" w:sz="4" w:space="0" w:color="auto"/>
              <w:bottom w:val="nil"/>
              <w:right w:val="nil"/>
            </w:tcBorders>
            <w:shd w:val="clear" w:color="auto" w:fill="auto"/>
            <w:vAlign w:val="center"/>
          </w:tcPr>
          <w:p w14:paraId="41EB79A7"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83 363</w:t>
            </w:r>
          </w:p>
        </w:tc>
        <w:tc>
          <w:tcPr>
            <w:tcW w:w="736" w:type="dxa"/>
            <w:tcBorders>
              <w:top w:val="nil"/>
              <w:left w:val="nil"/>
              <w:bottom w:val="nil"/>
              <w:right w:val="nil"/>
            </w:tcBorders>
            <w:shd w:val="clear" w:color="auto" w:fill="auto"/>
            <w:vAlign w:val="center"/>
          </w:tcPr>
          <w:p w14:paraId="01A6DCEE"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37 211</w:t>
            </w:r>
          </w:p>
        </w:tc>
        <w:tc>
          <w:tcPr>
            <w:tcW w:w="736" w:type="dxa"/>
            <w:tcBorders>
              <w:top w:val="nil"/>
              <w:left w:val="nil"/>
              <w:bottom w:val="nil"/>
              <w:right w:val="single" w:sz="4" w:space="0" w:color="auto"/>
            </w:tcBorders>
            <w:shd w:val="clear" w:color="auto" w:fill="auto"/>
            <w:vAlign w:val="center"/>
          </w:tcPr>
          <w:p w14:paraId="79764118"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46 152</w:t>
            </w:r>
          </w:p>
        </w:tc>
        <w:tc>
          <w:tcPr>
            <w:tcW w:w="754" w:type="dxa"/>
            <w:tcBorders>
              <w:top w:val="nil"/>
              <w:left w:val="nil"/>
              <w:bottom w:val="nil"/>
              <w:right w:val="nil"/>
            </w:tcBorders>
            <w:shd w:val="clear" w:color="auto" w:fill="auto"/>
            <w:vAlign w:val="center"/>
          </w:tcPr>
          <w:p w14:paraId="48AC1D1F"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2 607</w:t>
            </w:r>
          </w:p>
        </w:tc>
        <w:tc>
          <w:tcPr>
            <w:tcW w:w="737" w:type="dxa"/>
            <w:tcBorders>
              <w:top w:val="nil"/>
              <w:left w:val="nil"/>
              <w:bottom w:val="nil"/>
              <w:right w:val="nil"/>
            </w:tcBorders>
            <w:shd w:val="clear" w:color="auto" w:fill="auto"/>
            <w:vAlign w:val="center"/>
          </w:tcPr>
          <w:p w14:paraId="0DE606C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1 791</w:t>
            </w:r>
          </w:p>
        </w:tc>
        <w:tc>
          <w:tcPr>
            <w:tcW w:w="737" w:type="dxa"/>
            <w:tcBorders>
              <w:top w:val="nil"/>
              <w:left w:val="nil"/>
              <w:bottom w:val="nil"/>
              <w:right w:val="single" w:sz="4" w:space="0" w:color="auto"/>
            </w:tcBorders>
            <w:shd w:val="clear" w:color="auto" w:fill="auto"/>
            <w:vAlign w:val="center"/>
          </w:tcPr>
          <w:p w14:paraId="4C9DE172"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816</w:t>
            </w:r>
          </w:p>
        </w:tc>
        <w:tc>
          <w:tcPr>
            <w:tcW w:w="737" w:type="dxa"/>
            <w:tcBorders>
              <w:top w:val="nil"/>
              <w:left w:val="nil"/>
              <w:bottom w:val="nil"/>
              <w:right w:val="nil"/>
            </w:tcBorders>
            <w:shd w:val="clear" w:color="auto" w:fill="auto"/>
            <w:vAlign w:val="center"/>
          </w:tcPr>
          <w:p w14:paraId="5FDEA941"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8 979</w:t>
            </w:r>
          </w:p>
        </w:tc>
        <w:tc>
          <w:tcPr>
            <w:tcW w:w="737" w:type="dxa"/>
            <w:tcBorders>
              <w:top w:val="nil"/>
              <w:left w:val="nil"/>
              <w:bottom w:val="nil"/>
              <w:right w:val="nil"/>
            </w:tcBorders>
            <w:shd w:val="clear" w:color="auto" w:fill="auto"/>
            <w:vAlign w:val="center"/>
          </w:tcPr>
          <w:p w14:paraId="7C101074"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5 253</w:t>
            </w:r>
          </w:p>
        </w:tc>
        <w:tc>
          <w:tcPr>
            <w:tcW w:w="737" w:type="dxa"/>
            <w:tcBorders>
              <w:top w:val="nil"/>
              <w:left w:val="nil"/>
              <w:bottom w:val="nil"/>
              <w:right w:val="nil"/>
            </w:tcBorders>
            <w:shd w:val="clear" w:color="auto" w:fill="auto"/>
            <w:vAlign w:val="center"/>
          </w:tcPr>
          <w:p w14:paraId="0F543D49"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3 726</w:t>
            </w:r>
          </w:p>
        </w:tc>
      </w:tr>
      <w:tr w:rsidR="00D744C7" w:rsidRPr="00B448CC" w14:paraId="16B5232C" w14:textId="77777777" w:rsidTr="00D744C7">
        <w:trPr>
          <w:trHeight w:val="300"/>
        </w:trPr>
        <w:tc>
          <w:tcPr>
            <w:tcW w:w="735" w:type="dxa"/>
            <w:tcBorders>
              <w:top w:val="nil"/>
              <w:left w:val="nil"/>
              <w:bottom w:val="nil"/>
              <w:right w:val="single" w:sz="4" w:space="0" w:color="auto"/>
            </w:tcBorders>
            <w:shd w:val="clear" w:color="auto" w:fill="auto"/>
            <w:vAlign w:val="center"/>
          </w:tcPr>
          <w:p w14:paraId="33EE4FE0" w14:textId="3043B9F3" w:rsidR="00D744C7" w:rsidRPr="00B448CC" w:rsidRDefault="00D744C7" w:rsidP="00D744C7">
            <w:pPr>
              <w:spacing w:after="0" w:line="240" w:lineRule="auto"/>
              <w:jc w:val="center"/>
              <w:rPr>
                <w:rFonts w:cs="Arial"/>
                <w:color w:val="000000"/>
                <w:sz w:val="16"/>
                <w:szCs w:val="16"/>
              </w:rPr>
            </w:pPr>
            <w:r w:rsidRPr="00B448CC">
              <w:rPr>
                <w:rFonts w:cs="Arial"/>
                <w:color w:val="000000"/>
                <w:sz w:val="16"/>
                <w:szCs w:val="16"/>
              </w:rPr>
              <w:t>2022</w:t>
            </w:r>
            <w:r>
              <w:rPr>
                <w:rFonts w:cs="Arial"/>
                <w:color w:val="000000"/>
                <w:sz w:val="16"/>
                <w:szCs w:val="16"/>
              </w:rPr>
              <w:t>*</w:t>
            </w:r>
          </w:p>
        </w:tc>
        <w:tc>
          <w:tcPr>
            <w:tcW w:w="737" w:type="dxa"/>
            <w:tcBorders>
              <w:top w:val="nil"/>
              <w:left w:val="nil"/>
              <w:bottom w:val="nil"/>
              <w:right w:val="nil"/>
            </w:tcBorders>
            <w:shd w:val="clear" w:color="auto" w:fill="auto"/>
            <w:vAlign w:val="center"/>
          </w:tcPr>
          <w:p w14:paraId="587B1ED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91 064</w:t>
            </w:r>
          </w:p>
        </w:tc>
        <w:tc>
          <w:tcPr>
            <w:tcW w:w="736" w:type="dxa"/>
            <w:tcBorders>
              <w:top w:val="nil"/>
              <w:left w:val="nil"/>
              <w:bottom w:val="nil"/>
              <w:right w:val="nil"/>
            </w:tcBorders>
            <w:shd w:val="clear" w:color="auto" w:fill="auto"/>
            <w:vAlign w:val="center"/>
          </w:tcPr>
          <w:p w14:paraId="0659F49F"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41 382</w:t>
            </w:r>
          </w:p>
        </w:tc>
        <w:tc>
          <w:tcPr>
            <w:tcW w:w="736" w:type="dxa"/>
            <w:tcBorders>
              <w:top w:val="nil"/>
              <w:left w:val="nil"/>
              <w:bottom w:val="nil"/>
              <w:right w:val="nil"/>
            </w:tcBorders>
            <w:shd w:val="clear" w:color="auto" w:fill="auto"/>
            <w:vAlign w:val="center"/>
          </w:tcPr>
          <w:p w14:paraId="440A302F"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49 681</w:t>
            </w:r>
          </w:p>
        </w:tc>
        <w:tc>
          <w:tcPr>
            <w:tcW w:w="736" w:type="dxa"/>
            <w:tcBorders>
              <w:top w:val="nil"/>
              <w:left w:val="single" w:sz="4" w:space="0" w:color="auto"/>
              <w:bottom w:val="nil"/>
              <w:right w:val="nil"/>
            </w:tcBorders>
            <w:shd w:val="clear" w:color="auto" w:fill="auto"/>
            <w:vAlign w:val="center"/>
          </w:tcPr>
          <w:p w14:paraId="55E74C4C"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79 190</w:t>
            </w:r>
          </w:p>
        </w:tc>
        <w:tc>
          <w:tcPr>
            <w:tcW w:w="736" w:type="dxa"/>
            <w:tcBorders>
              <w:top w:val="nil"/>
              <w:left w:val="nil"/>
              <w:bottom w:val="nil"/>
              <w:right w:val="nil"/>
            </w:tcBorders>
            <w:shd w:val="clear" w:color="auto" w:fill="auto"/>
            <w:vAlign w:val="center"/>
          </w:tcPr>
          <w:p w14:paraId="2566D58E"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34 214</w:t>
            </w:r>
          </w:p>
        </w:tc>
        <w:tc>
          <w:tcPr>
            <w:tcW w:w="736" w:type="dxa"/>
            <w:tcBorders>
              <w:top w:val="nil"/>
              <w:left w:val="nil"/>
              <w:bottom w:val="nil"/>
              <w:right w:val="single" w:sz="4" w:space="0" w:color="auto"/>
            </w:tcBorders>
            <w:shd w:val="clear" w:color="auto" w:fill="auto"/>
            <w:vAlign w:val="center"/>
          </w:tcPr>
          <w:p w14:paraId="751B692C" w14:textId="6396071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44 976</w:t>
            </w:r>
          </w:p>
        </w:tc>
        <w:tc>
          <w:tcPr>
            <w:tcW w:w="754" w:type="dxa"/>
            <w:tcBorders>
              <w:top w:val="nil"/>
              <w:left w:val="nil"/>
              <w:bottom w:val="nil"/>
              <w:right w:val="nil"/>
            </w:tcBorders>
            <w:shd w:val="clear" w:color="auto" w:fill="auto"/>
            <w:vAlign w:val="center"/>
          </w:tcPr>
          <w:p w14:paraId="379EACDA"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2 514</w:t>
            </w:r>
          </w:p>
        </w:tc>
        <w:tc>
          <w:tcPr>
            <w:tcW w:w="737" w:type="dxa"/>
            <w:tcBorders>
              <w:top w:val="nil"/>
              <w:left w:val="nil"/>
              <w:bottom w:val="nil"/>
              <w:right w:val="nil"/>
            </w:tcBorders>
            <w:shd w:val="clear" w:color="auto" w:fill="auto"/>
            <w:vAlign w:val="center"/>
          </w:tcPr>
          <w:p w14:paraId="5D5A0860"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1 692</w:t>
            </w:r>
          </w:p>
        </w:tc>
        <w:tc>
          <w:tcPr>
            <w:tcW w:w="737" w:type="dxa"/>
            <w:tcBorders>
              <w:top w:val="nil"/>
              <w:left w:val="nil"/>
              <w:bottom w:val="nil"/>
              <w:right w:val="single" w:sz="4" w:space="0" w:color="auto"/>
            </w:tcBorders>
            <w:shd w:val="clear" w:color="auto" w:fill="auto"/>
            <w:vAlign w:val="center"/>
          </w:tcPr>
          <w:p w14:paraId="62003B44"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822</w:t>
            </w:r>
          </w:p>
        </w:tc>
        <w:tc>
          <w:tcPr>
            <w:tcW w:w="737" w:type="dxa"/>
            <w:tcBorders>
              <w:top w:val="nil"/>
              <w:left w:val="nil"/>
              <w:bottom w:val="nil"/>
              <w:right w:val="nil"/>
            </w:tcBorders>
            <w:shd w:val="clear" w:color="auto" w:fill="auto"/>
            <w:vAlign w:val="center"/>
          </w:tcPr>
          <w:p w14:paraId="3DEE8B3A"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9 360</w:t>
            </w:r>
          </w:p>
        </w:tc>
        <w:tc>
          <w:tcPr>
            <w:tcW w:w="737" w:type="dxa"/>
            <w:tcBorders>
              <w:top w:val="nil"/>
              <w:left w:val="nil"/>
              <w:bottom w:val="nil"/>
              <w:right w:val="nil"/>
            </w:tcBorders>
            <w:shd w:val="clear" w:color="auto" w:fill="auto"/>
            <w:vAlign w:val="center"/>
          </w:tcPr>
          <w:p w14:paraId="035FFCA7"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5 476</w:t>
            </w:r>
          </w:p>
        </w:tc>
        <w:tc>
          <w:tcPr>
            <w:tcW w:w="737" w:type="dxa"/>
            <w:tcBorders>
              <w:top w:val="nil"/>
              <w:left w:val="nil"/>
              <w:bottom w:val="nil"/>
              <w:right w:val="nil"/>
            </w:tcBorders>
            <w:shd w:val="clear" w:color="auto" w:fill="auto"/>
            <w:vAlign w:val="center"/>
          </w:tcPr>
          <w:p w14:paraId="146C3836" w14:textId="77777777" w:rsidR="00D744C7" w:rsidRPr="00B448CC" w:rsidRDefault="00D744C7" w:rsidP="00D744C7">
            <w:pPr>
              <w:spacing w:after="0" w:line="240" w:lineRule="auto"/>
              <w:jc w:val="right"/>
              <w:rPr>
                <w:rFonts w:cs="Arial"/>
                <w:color w:val="000000"/>
                <w:sz w:val="16"/>
                <w:szCs w:val="16"/>
              </w:rPr>
            </w:pPr>
            <w:r w:rsidRPr="00B448CC">
              <w:rPr>
                <w:rFonts w:cs="Arial"/>
                <w:color w:val="000000"/>
                <w:sz w:val="16"/>
                <w:szCs w:val="16"/>
              </w:rPr>
              <w:t>3 884</w:t>
            </w:r>
          </w:p>
        </w:tc>
      </w:tr>
      <w:tr w:rsidR="00D744C7" w:rsidRPr="00D744C7" w14:paraId="1A3FFC6C" w14:textId="77777777" w:rsidTr="00D744C7">
        <w:trPr>
          <w:trHeight w:val="300"/>
        </w:trPr>
        <w:tc>
          <w:tcPr>
            <w:tcW w:w="735" w:type="dxa"/>
            <w:tcBorders>
              <w:top w:val="nil"/>
              <w:left w:val="nil"/>
              <w:bottom w:val="nil"/>
              <w:right w:val="single" w:sz="4" w:space="0" w:color="auto"/>
            </w:tcBorders>
            <w:shd w:val="clear" w:color="auto" w:fill="auto"/>
            <w:vAlign w:val="center"/>
          </w:tcPr>
          <w:p w14:paraId="2FC6FC33" w14:textId="22EB587F" w:rsidR="00D744C7" w:rsidRPr="00B448CC" w:rsidRDefault="00D744C7" w:rsidP="00D744C7">
            <w:pPr>
              <w:spacing w:after="0" w:line="240" w:lineRule="auto"/>
              <w:jc w:val="center"/>
              <w:rPr>
                <w:rFonts w:cs="Arial"/>
                <w:color w:val="000000"/>
                <w:sz w:val="16"/>
                <w:szCs w:val="16"/>
              </w:rPr>
            </w:pPr>
            <w:r w:rsidRPr="00D744C7">
              <w:rPr>
                <w:rFonts w:cs="Arial"/>
                <w:color w:val="000000"/>
                <w:sz w:val="16"/>
                <w:szCs w:val="16"/>
              </w:rPr>
              <w:t>2023</w:t>
            </w:r>
          </w:p>
        </w:tc>
        <w:tc>
          <w:tcPr>
            <w:tcW w:w="737" w:type="dxa"/>
            <w:tcBorders>
              <w:top w:val="nil"/>
              <w:left w:val="nil"/>
              <w:bottom w:val="nil"/>
              <w:right w:val="nil"/>
            </w:tcBorders>
            <w:shd w:val="clear" w:color="auto" w:fill="auto"/>
            <w:vAlign w:val="center"/>
          </w:tcPr>
          <w:p w14:paraId="7FC5EECA" w14:textId="39AEB4D0"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79 564</w:t>
            </w:r>
          </w:p>
        </w:tc>
        <w:tc>
          <w:tcPr>
            <w:tcW w:w="736" w:type="dxa"/>
            <w:tcBorders>
              <w:top w:val="nil"/>
              <w:left w:val="nil"/>
              <w:bottom w:val="nil"/>
              <w:right w:val="nil"/>
            </w:tcBorders>
            <w:shd w:val="clear" w:color="auto" w:fill="auto"/>
            <w:vAlign w:val="center"/>
          </w:tcPr>
          <w:p w14:paraId="6766B969" w14:textId="7E5B5DA2"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36 126</w:t>
            </w:r>
          </w:p>
        </w:tc>
        <w:tc>
          <w:tcPr>
            <w:tcW w:w="736" w:type="dxa"/>
            <w:tcBorders>
              <w:top w:val="nil"/>
              <w:left w:val="nil"/>
              <w:bottom w:val="nil"/>
              <w:right w:val="nil"/>
            </w:tcBorders>
            <w:shd w:val="clear" w:color="auto" w:fill="auto"/>
            <w:vAlign w:val="center"/>
          </w:tcPr>
          <w:p w14:paraId="6AE3DF10" w14:textId="12241A66"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43 439</w:t>
            </w:r>
          </w:p>
        </w:tc>
        <w:tc>
          <w:tcPr>
            <w:tcW w:w="736" w:type="dxa"/>
            <w:tcBorders>
              <w:top w:val="nil"/>
              <w:left w:val="single" w:sz="4" w:space="0" w:color="auto"/>
              <w:bottom w:val="nil"/>
              <w:right w:val="nil"/>
            </w:tcBorders>
            <w:shd w:val="clear" w:color="auto" w:fill="auto"/>
            <w:vAlign w:val="center"/>
          </w:tcPr>
          <w:p w14:paraId="42F1548F" w14:textId="0E1568FD"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67 864</w:t>
            </w:r>
          </w:p>
        </w:tc>
        <w:tc>
          <w:tcPr>
            <w:tcW w:w="736" w:type="dxa"/>
            <w:tcBorders>
              <w:top w:val="nil"/>
              <w:left w:val="nil"/>
              <w:bottom w:val="nil"/>
              <w:right w:val="nil"/>
            </w:tcBorders>
            <w:shd w:val="clear" w:color="auto" w:fill="auto"/>
            <w:vAlign w:val="center"/>
          </w:tcPr>
          <w:p w14:paraId="3F45D395" w14:textId="666972A5"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29 177</w:t>
            </w:r>
          </w:p>
        </w:tc>
        <w:tc>
          <w:tcPr>
            <w:tcW w:w="736" w:type="dxa"/>
            <w:tcBorders>
              <w:top w:val="nil"/>
              <w:left w:val="nil"/>
              <w:bottom w:val="nil"/>
              <w:right w:val="single" w:sz="4" w:space="0" w:color="auto"/>
            </w:tcBorders>
            <w:shd w:val="clear" w:color="auto" w:fill="auto"/>
            <w:vAlign w:val="center"/>
          </w:tcPr>
          <w:p w14:paraId="74D2C89A" w14:textId="766021BE" w:rsidR="00D744C7" w:rsidRPr="00D744C7" w:rsidRDefault="00D744C7" w:rsidP="00D744C7">
            <w:pPr>
              <w:spacing w:after="0" w:line="240" w:lineRule="auto"/>
              <w:jc w:val="right"/>
              <w:rPr>
                <w:rFonts w:cs="Arial"/>
                <w:color w:val="000000"/>
                <w:sz w:val="16"/>
                <w:szCs w:val="16"/>
              </w:rPr>
            </w:pPr>
            <w:r w:rsidRPr="00D744C7">
              <w:rPr>
                <w:rFonts w:cs="Arial"/>
                <w:color w:val="000000"/>
                <w:sz w:val="16"/>
                <w:szCs w:val="16"/>
              </w:rPr>
              <w:t>38 687</w:t>
            </w:r>
          </w:p>
        </w:tc>
        <w:tc>
          <w:tcPr>
            <w:tcW w:w="754" w:type="dxa"/>
            <w:tcBorders>
              <w:top w:val="nil"/>
              <w:left w:val="nil"/>
              <w:bottom w:val="nil"/>
              <w:right w:val="nil"/>
            </w:tcBorders>
            <w:shd w:val="clear" w:color="auto" w:fill="auto"/>
            <w:vAlign w:val="center"/>
          </w:tcPr>
          <w:p w14:paraId="5566B51A" w14:textId="60FB7540"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2 441</w:t>
            </w:r>
          </w:p>
        </w:tc>
        <w:tc>
          <w:tcPr>
            <w:tcW w:w="737" w:type="dxa"/>
            <w:tcBorders>
              <w:top w:val="nil"/>
              <w:left w:val="nil"/>
              <w:bottom w:val="nil"/>
              <w:right w:val="nil"/>
            </w:tcBorders>
            <w:shd w:val="clear" w:color="auto" w:fill="auto"/>
            <w:vAlign w:val="center"/>
          </w:tcPr>
          <w:p w14:paraId="603E9BB5" w14:textId="29CE0293"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1 603</w:t>
            </w:r>
          </w:p>
        </w:tc>
        <w:tc>
          <w:tcPr>
            <w:tcW w:w="737" w:type="dxa"/>
            <w:tcBorders>
              <w:top w:val="nil"/>
              <w:left w:val="nil"/>
              <w:bottom w:val="nil"/>
              <w:right w:val="single" w:sz="4" w:space="0" w:color="auto"/>
            </w:tcBorders>
            <w:shd w:val="clear" w:color="auto" w:fill="auto"/>
            <w:vAlign w:val="center"/>
          </w:tcPr>
          <w:p w14:paraId="5CE852DB" w14:textId="5F459193"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838</w:t>
            </w:r>
          </w:p>
        </w:tc>
        <w:tc>
          <w:tcPr>
            <w:tcW w:w="737" w:type="dxa"/>
            <w:tcBorders>
              <w:top w:val="nil"/>
              <w:left w:val="nil"/>
              <w:bottom w:val="nil"/>
              <w:right w:val="nil"/>
            </w:tcBorders>
            <w:shd w:val="clear" w:color="auto" w:fill="auto"/>
            <w:vAlign w:val="center"/>
          </w:tcPr>
          <w:p w14:paraId="57BF8F2C" w14:textId="0AEE9BE2"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9 259</w:t>
            </w:r>
          </w:p>
        </w:tc>
        <w:tc>
          <w:tcPr>
            <w:tcW w:w="737" w:type="dxa"/>
            <w:tcBorders>
              <w:top w:val="nil"/>
              <w:left w:val="nil"/>
              <w:bottom w:val="nil"/>
              <w:right w:val="nil"/>
            </w:tcBorders>
            <w:shd w:val="clear" w:color="auto" w:fill="auto"/>
            <w:vAlign w:val="center"/>
          </w:tcPr>
          <w:p w14:paraId="6AE46F3C" w14:textId="7EDEDAA8"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5 346</w:t>
            </w:r>
          </w:p>
        </w:tc>
        <w:tc>
          <w:tcPr>
            <w:tcW w:w="737" w:type="dxa"/>
            <w:tcBorders>
              <w:top w:val="nil"/>
              <w:left w:val="nil"/>
              <w:bottom w:val="nil"/>
              <w:right w:val="nil"/>
            </w:tcBorders>
            <w:shd w:val="clear" w:color="auto" w:fill="auto"/>
            <w:vAlign w:val="center"/>
          </w:tcPr>
          <w:p w14:paraId="588C5259" w14:textId="467749A7" w:rsidR="00D744C7" w:rsidRPr="00B448CC" w:rsidRDefault="00D744C7" w:rsidP="00D744C7">
            <w:pPr>
              <w:spacing w:after="0" w:line="240" w:lineRule="auto"/>
              <w:jc w:val="right"/>
              <w:rPr>
                <w:rFonts w:cs="Arial"/>
                <w:color w:val="000000"/>
                <w:sz w:val="16"/>
                <w:szCs w:val="16"/>
              </w:rPr>
            </w:pPr>
            <w:r w:rsidRPr="00D744C7">
              <w:rPr>
                <w:rFonts w:cs="Arial"/>
                <w:color w:val="000000"/>
                <w:sz w:val="16"/>
                <w:szCs w:val="16"/>
              </w:rPr>
              <w:t>3 913</w:t>
            </w:r>
          </w:p>
        </w:tc>
      </w:tr>
    </w:tbl>
    <w:p w14:paraId="2509C9E7" w14:textId="77777777" w:rsidR="00D744C7" w:rsidRDefault="00D744C7" w:rsidP="00D744C7">
      <w:pPr>
        <w:spacing w:before="120" w:after="120" w:line="240" w:lineRule="auto"/>
        <w:jc w:val="both"/>
        <w:rPr>
          <w:rFonts w:cs="Arial"/>
          <w:color w:val="000000"/>
          <w:sz w:val="16"/>
          <w:szCs w:val="16"/>
        </w:rPr>
      </w:pPr>
      <w:r>
        <w:rPr>
          <w:rFonts w:cs="Arial"/>
          <w:color w:val="000000"/>
          <w:sz w:val="16"/>
          <w:szCs w:val="16"/>
        </w:rPr>
        <w:t>* Údaje za rok 2022 (celkem a pro nemoc) nejsou srovnatelné s údaji za ostatní roky.</w:t>
      </w:r>
    </w:p>
    <w:p w14:paraId="0D0D6BF9" w14:textId="52CABC97" w:rsidR="006D760E" w:rsidRDefault="00D744C7" w:rsidP="00D744C7">
      <w:pPr>
        <w:spacing w:before="120" w:after="120" w:line="240" w:lineRule="auto"/>
        <w:jc w:val="both"/>
        <w:rPr>
          <w:rFonts w:cs="Arial"/>
          <w:color w:val="000000"/>
          <w:sz w:val="16"/>
          <w:szCs w:val="16"/>
        </w:rPr>
      </w:pPr>
      <w:r w:rsidRPr="00554433">
        <w:rPr>
          <w:rFonts w:cs="Arial"/>
          <w:color w:val="000000"/>
          <w:sz w:val="16"/>
          <w:szCs w:val="16"/>
        </w:rPr>
        <w:t>Zdroj: ČSÚ</w:t>
      </w:r>
    </w:p>
    <w:p w14:paraId="2B133178" w14:textId="0A5CDB21" w:rsidR="008715C2" w:rsidRDefault="008715C2" w:rsidP="008715C2">
      <w:pPr>
        <w:spacing w:before="120" w:after="120"/>
        <w:jc w:val="both"/>
      </w:pPr>
      <w:r w:rsidRPr="00251BF8">
        <w:lastRenderedPageBreak/>
        <w:t xml:space="preserve">Většina dnů pracovní neschopnosti (85 %) byla </w:t>
      </w:r>
      <w:r w:rsidR="003D7FCF">
        <w:t xml:space="preserve">v roce 2023 </w:t>
      </w:r>
      <w:r w:rsidRPr="00251BF8">
        <w:t>způsobena nemocí, v absolutním počtu 67</w:t>
      </w:r>
      <w:r w:rsidR="00957C5B">
        <w:t> </w:t>
      </w:r>
      <w:r w:rsidRPr="00251BF8">
        <w:t>864</w:t>
      </w:r>
      <w:r w:rsidR="00957C5B">
        <w:t> </w:t>
      </w:r>
      <w:r w:rsidRPr="00251BF8">
        <w:t>tis. Ženy byly na neschopence celkem 43 439 tis. dnů, což je o 7 313 tis. dnů více než muži.</w:t>
      </w:r>
    </w:p>
    <w:p w14:paraId="2A87EBCC" w14:textId="0CC7D183" w:rsidR="008715C2" w:rsidRDefault="008715C2" w:rsidP="00D744C7">
      <w:pPr>
        <w:spacing w:before="120" w:after="120"/>
        <w:jc w:val="both"/>
        <w:rPr>
          <w:b/>
        </w:rPr>
      </w:pPr>
      <w:r w:rsidRPr="008715C2">
        <w:rPr>
          <w:b/>
        </w:rPr>
        <w:t>Graf 2.6: Kalendářní dny dočasné pracovní neschopnosti, 2015–2023</w:t>
      </w:r>
    </w:p>
    <w:p w14:paraId="119E6C6F" w14:textId="4BDF3398" w:rsidR="008715C2" w:rsidRDefault="008715C2" w:rsidP="00D744C7">
      <w:pPr>
        <w:spacing w:before="120" w:after="120"/>
        <w:jc w:val="both"/>
        <w:rPr>
          <w:b/>
        </w:rPr>
      </w:pPr>
      <w:r>
        <w:rPr>
          <w:noProof/>
        </w:rPr>
        <w:drawing>
          <wp:inline distT="0" distB="0" distL="0" distR="0" wp14:anchorId="4CCB3877" wp14:editId="59612392">
            <wp:extent cx="6019800" cy="295275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78BD5F" w14:textId="77777777" w:rsidR="008715C2" w:rsidRDefault="008715C2" w:rsidP="008715C2">
      <w:pPr>
        <w:spacing w:before="120" w:after="120" w:line="240" w:lineRule="auto"/>
        <w:jc w:val="both"/>
        <w:rPr>
          <w:rFonts w:cs="Arial"/>
          <w:color w:val="000000"/>
          <w:sz w:val="16"/>
          <w:szCs w:val="16"/>
        </w:rPr>
      </w:pPr>
      <w:r>
        <w:rPr>
          <w:rFonts w:cs="Arial"/>
          <w:color w:val="000000"/>
          <w:sz w:val="16"/>
          <w:szCs w:val="16"/>
        </w:rPr>
        <w:t>* 1. pol. 2022 není srovnatelné s ostatními 1. pololetími.</w:t>
      </w:r>
    </w:p>
    <w:p w14:paraId="28749A0E" w14:textId="77777777" w:rsidR="008715C2" w:rsidRDefault="008715C2" w:rsidP="008715C2">
      <w:pPr>
        <w:spacing w:before="120" w:after="120" w:line="240" w:lineRule="auto"/>
        <w:jc w:val="both"/>
        <w:rPr>
          <w:rFonts w:cs="Arial"/>
          <w:color w:val="000000"/>
          <w:sz w:val="16"/>
          <w:szCs w:val="16"/>
        </w:rPr>
      </w:pPr>
      <w:r w:rsidRPr="00554433">
        <w:rPr>
          <w:rFonts w:cs="Arial"/>
          <w:color w:val="000000"/>
          <w:sz w:val="16"/>
          <w:szCs w:val="16"/>
        </w:rPr>
        <w:t>Zdroj: ČSÚ</w:t>
      </w:r>
    </w:p>
    <w:p w14:paraId="37CC686C" w14:textId="5BEE190E" w:rsidR="003F5663" w:rsidRPr="00251BF8" w:rsidRDefault="008715C2" w:rsidP="002C4214">
      <w:pPr>
        <w:spacing w:before="120" w:after="120"/>
        <w:jc w:val="both"/>
      </w:pPr>
      <w:r w:rsidRPr="00251BF8">
        <w:t>Celkový počet dnů pracovní neschopnosti za rok 2022</w:t>
      </w:r>
      <w:r w:rsidR="00710A8B" w:rsidRPr="00251BF8">
        <w:t xml:space="preserve"> byl</w:t>
      </w:r>
      <w:r w:rsidRPr="00251BF8">
        <w:t xml:space="preserve"> zatížen duplicitami z počátku roku. Druhé pololetí už touto skutečností ovlivněno </w:t>
      </w:r>
      <w:r w:rsidR="00710A8B" w:rsidRPr="00251BF8">
        <w:t xml:space="preserve">nebylo a </w:t>
      </w:r>
      <w:r w:rsidR="003F5663" w:rsidRPr="00251BF8">
        <w:t>v 2. pol. 2023 už potřetí v řadě došlo k poklesu počtu kalendářních dnů v</w:t>
      </w:r>
      <w:r w:rsidR="00797463" w:rsidRPr="00251BF8">
        <w:t> </w:t>
      </w:r>
      <w:r w:rsidR="003F5663" w:rsidRPr="00251BF8">
        <w:t>neschopnosti</w:t>
      </w:r>
      <w:r w:rsidR="00797463" w:rsidRPr="00251BF8">
        <w:t xml:space="preserve"> během druhé poloviny roku</w:t>
      </w:r>
      <w:r w:rsidR="003F5663" w:rsidRPr="00251BF8">
        <w:t>. V</w:t>
      </w:r>
      <w:r w:rsidR="00710A8B" w:rsidRPr="00251BF8">
        <w:t>e 2. pololetí roku 2023 byl počet dnů dočasné pracovní neschopnosti nižší než v</w:t>
      </w:r>
      <w:r w:rsidR="003F5663" w:rsidRPr="00251BF8">
        <w:t> předcovidovém období, v 2. pol. 2019.</w:t>
      </w:r>
    </w:p>
    <w:p w14:paraId="7D703B2E" w14:textId="646AAC06" w:rsidR="003F5663" w:rsidRDefault="003F5663" w:rsidP="00D744C7">
      <w:pPr>
        <w:spacing w:before="120" w:after="120"/>
        <w:jc w:val="both"/>
        <w:rPr>
          <w:b/>
        </w:rPr>
      </w:pPr>
      <w:r w:rsidRPr="003F5663">
        <w:rPr>
          <w:b/>
        </w:rPr>
        <w:t>Graf 2.</w:t>
      </w:r>
      <w:r>
        <w:rPr>
          <w:b/>
        </w:rPr>
        <w:t>7</w:t>
      </w:r>
      <w:r w:rsidRPr="003F5663">
        <w:rPr>
          <w:b/>
        </w:rPr>
        <w:t>: Průměrná délka trvání dočasné pracovní neschopnosti, 2015–2023</w:t>
      </w:r>
    </w:p>
    <w:p w14:paraId="0190A070" w14:textId="5147C685" w:rsidR="003F5663" w:rsidRDefault="00DE4751" w:rsidP="00D744C7">
      <w:pPr>
        <w:spacing w:before="120" w:after="120"/>
        <w:jc w:val="both"/>
        <w:rPr>
          <w:b/>
        </w:rPr>
      </w:pPr>
      <w:r>
        <w:rPr>
          <w:noProof/>
        </w:rPr>
        <w:drawing>
          <wp:inline distT="0" distB="0" distL="0" distR="0" wp14:anchorId="4997B3FB" wp14:editId="2EB30285">
            <wp:extent cx="6086475" cy="3048000"/>
            <wp:effectExtent l="0" t="0" r="9525"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7046E8" w14:textId="77777777" w:rsidR="003F5663" w:rsidRDefault="003F5663" w:rsidP="003F5663">
      <w:pPr>
        <w:spacing w:before="120" w:after="120" w:line="240" w:lineRule="auto"/>
        <w:jc w:val="both"/>
        <w:rPr>
          <w:rFonts w:cs="Arial"/>
          <w:color w:val="000000"/>
          <w:sz w:val="16"/>
          <w:szCs w:val="16"/>
        </w:rPr>
      </w:pPr>
      <w:r>
        <w:rPr>
          <w:rFonts w:cs="Arial"/>
          <w:color w:val="000000"/>
          <w:sz w:val="16"/>
          <w:szCs w:val="16"/>
        </w:rPr>
        <w:t>* 1. pol. 2022 není srovnatelné s ostatními 1. pololetími.</w:t>
      </w:r>
    </w:p>
    <w:p w14:paraId="5F003712" w14:textId="43B3A203" w:rsidR="003F5663" w:rsidRDefault="003F5663" w:rsidP="003F5663">
      <w:pPr>
        <w:spacing w:before="120" w:after="120" w:line="240" w:lineRule="auto"/>
        <w:jc w:val="both"/>
        <w:rPr>
          <w:rFonts w:cs="Arial"/>
          <w:color w:val="000000"/>
          <w:sz w:val="16"/>
          <w:szCs w:val="16"/>
        </w:rPr>
      </w:pPr>
      <w:r w:rsidRPr="00554433">
        <w:rPr>
          <w:rFonts w:cs="Arial"/>
          <w:color w:val="000000"/>
          <w:sz w:val="16"/>
          <w:szCs w:val="16"/>
        </w:rPr>
        <w:t>Zdroj: ČSÚ</w:t>
      </w:r>
    </w:p>
    <w:p w14:paraId="305FFF03" w14:textId="2ABDF5A6" w:rsidR="00FC18CE" w:rsidRDefault="00FC18CE" w:rsidP="00FC18CE">
      <w:pPr>
        <w:spacing w:before="120" w:after="120"/>
        <w:jc w:val="both"/>
      </w:pPr>
      <w:r w:rsidRPr="00251BF8">
        <w:t xml:space="preserve">Zatímco během covidu se průměrná délka trvání případu pracovní neschopnosti snižovala (z důvodu velkého množství krátkodobých pracovních neschopností pro nemoc, tedy vč. karantén), v 1. pol. 2023 došlo </w:t>
      </w:r>
      <w:r w:rsidRPr="00251BF8">
        <w:lastRenderedPageBreak/>
        <w:t>k prodloužení neschopenky</w:t>
      </w:r>
      <w:r>
        <w:t>, protože krátkodobých neschopenek ubylo</w:t>
      </w:r>
      <w:r w:rsidRPr="00251BF8">
        <w:t>. Nicméně dá se předpokládat, že za 1.</w:t>
      </w:r>
      <w:r w:rsidR="00957C5B">
        <w:t> </w:t>
      </w:r>
      <w:r w:rsidRPr="00251BF8">
        <w:t>pol. 2022 se jedná o podhodnocený údaj z důvodu duplicitních karanténních neschopenek, které stahovaly průměr směrem dolů. Před pandemií v 1. pol. 2019 činila průměrná doba neschopenky 42,6 dne. O 4 roky později, v 1. pol. 2023 téměř 32 dnů.</w:t>
      </w:r>
    </w:p>
    <w:p w14:paraId="644DFB57" w14:textId="38BA9285" w:rsidR="00FC18CE" w:rsidRPr="0009690A" w:rsidRDefault="00FC18CE" w:rsidP="00FC18CE">
      <w:pPr>
        <w:jc w:val="both"/>
      </w:pPr>
      <w:r w:rsidRPr="00251BF8">
        <w:t>Průměrná délka trvání jednoho případu pracovní neschopnosti v roce 2023, ať už pro nemoc či úraz, byla 31,4</w:t>
      </w:r>
      <w:r w:rsidR="00957C5B">
        <w:t> </w:t>
      </w:r>
      <w:r w:rsidRPr="00251BF8">
        <w:t xml:space="preserve">dne. </w:t>
      </w:r>
      <w:r w:rsidRPr="00251BF8">
        <w:rPr>
          <w:b/>
        </w:rPr>
        <w:t>Nemoc</w:t>
      </w:r>
      <w:r w:rsidRPr="00251BF8">
        <w:t xml:space="preserve"> způsobila pracovní neschopnost o průměrné délce 29 dnů, neschopnost pro </w:t>
      </w:r>
      <w:r w:rsidRPr="00251BF8">
        <w:rPr>
          <w:b/>
        </w:rPr>
        <w:t>pracovní i mimopracovní úraz</w:t>
      </w:r>
      <w:r w:rsidRPr="00251BF8">
        <w:t xml:space="preserve"> trvala v průměru zhruba o 26 dnů déle.</w:t>
      </w:r>
      <w:r w:rsidRPr="0009690A">
        <w:t xml:space="preserve"> </w:t>
      </w:r>
    </w:p>
    <w:p w14:paraId="5D5B3636" w14:textId="474C8E02" w:rsidR="002C4214" w:rsidRDefault="002C4214" w:rsidP="005F17A0">
      <w:pPr>
        <w:spacing w:after="120"/>
        <w:jc w:val="both"/>
        <w:rPr>
          <w:rFonts w:cs="Arial"/>
          <w:color w:val="000000"/>
          <w:sz w:val="16"/>
          <w:szCs w:val="16"/>
        </w:rPr>
      </w:pPr>
      <w:r w:rsidRPr="00251BF8">
        <w:t xml:space="preserve">V roce 2023 průměrná délka trvání pracovní neschopnosti mužů poprvé za uplynulou dekádu překonala hodnotu za ženy. Muži strávili na neschopence v průměru </w:t>
      </w:r>
      <w:r w:rsidR="005F17A0" w:rsidRPr="00251BF8">
        <w:t>31,9 dne, zatímco ženy 31 dnů.</w:t>
      </w:r>
    </w:p>
    <w:p w14:paraId="24C0C9A7" w14:textId="128FB01D" w:rsidR="002C4214" w:rsidRPr="002C4214" w:rsidRDefault="002C4214" w:rsidP="002C4214">
      <w:pPr>
        <w:spacing w:after="0" w:line="240" w:lineRule="auto"/>
        <w:jc w:val="both"/>
        <w:rPr>
          <w:rFonts w:cs="Arial"/>
          <w:b/>
          <w:bCs/>
          <w:color w:val="000000"/>
          <w:szCs w:val="20"/>
        </w:rPr>
      </w:pPr>
      <w:r w:rsidRPr="002C4214">
        <w:rPr>
          <w:rFonts w:cs="Arial"/>
          <w:b/>
          <w:bCs/>
          <w:color w:val="000000"/>
          <w:szCs w:val="20"/>
        </w:rPr>
        <w:t>Graf 2.</w:t>
      </w:r>
      <w:r w:rsidR="009C0EB6">
        <w:rPr>
          <w:rFonts w:cs="Arial"/>
          <w:b/>
          <w:bCs/>
          <w:color w:val="000000"/>
          <w:szCs w:val="20"/>
        </w:rPr>
        <w:t>8</w:t>
      </w:r>
      <w:r w:rsidRPr="002C4214">
        <w:rPr>
          <w:rFonts w:cs="Arial"/>
          <w:b/>
          <w:bCs/>
          <w:color w:val="000000"/>
          <w:szCs w:val="20"/>
        </w:rPr>
        <w:t>: Průměrná délka trvání dočasné pracovní neschopnosti podle pohlaví, 2013–2023</w:t>
      </w:r>
    </w:p>
    <w:p w14:paraId="294B08EF" w14:textId="41E89E08" w:rsidR="003F5663" w:rsidRDefault="005F17A0" w:rsidP="00D744C7">
      <w:pPr>
        <w:spacing w:before="120" w:after="120"/>
        <w:jc w:val="both"/>
        <w:rPr>
          <w:b/>
        </w:rPr>
      </w:pPr>
      <w:r>
        <w:rPr>
          <w:noProof/>
        </w:rPr>
        <w:drawing>
          <wp:inline distT="0" distB="0" distL="0" distR="0" wp14:anchorId="1574295D" wp14:editId="5A64BD70">
            <wp:extent cx="6210300" cy="2924175"/>
            <wp:effectExtent l="0" t="0" r="0" b="952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755117" w14:textId="77777777" w:rsidR="005F17A0" w:rsidRDefault="005F17A0" w:rsidP="005F17A0">
      <w:pPr>
        <w:spacing w:before="120" w:after="120" w:line="240" w:lineRule="auto"/>
        <w:jc w:val="both"/>
        <w:rPr>
          <w:rFonts w:cs="Arial"/>
          <w:color w:val="000000"/>
          <w:sz w:val="16"/>
          <w:szCs w:val="16"/>
        </w:rPr>
      </w:pPr>
      <w:r>
        <w:rPr>
          <w:rFonts w:cs="Arial"/>
          <w:color w:val="000000"/>
          <w:sz w:val="16"/>
          <w:szCs w:val="16"/>
        </w:rPr>
        <w:t>* Údaje za rok 2022 nejsou srovnatelné s údaji za ostatní roky.</w:t>
      </w:r>
    </w:p>
    <w:p w14:paraId="1BB4D838" w14:textId="744D949A" w:rsidR="005F17A0" w:rsidRDefault="005F17A0" w:rsidP="005F17A0">
      <w:pPr>
        <w:spacing w:before="120" w:after="120" w:line="240" w:lineRule="auto"/>
        <w:jc w:val="both"/>
        <w:rPr>
          <w:rFonts w:cs="Arial"/>
          <w:color w:val="000000"/>
          <w:sz w:val="16"/>
          <w:szCs w:val="16"/>
        </w:rPr>
      </w:pPr>
      <w:r w:rsidRPr="00554433">
        <w:rPr>
          <w:rFonts w:cs="Arial"/>
          <w:color w:val="000000"/>
          <w:sz w:val="16"/>
          <w:szCs w:val="16"/>
        </w:rPr>
        <w:t>Zdroj: ČSÚ</w:t>
      </w:r>
    </w:p>
    <w:p w14:paraId="5F4ADD04" w14:textId="1FAA0D7D" w:rsidR="005F17A0" w:rsidRDefault="00C8357C" w:rsidP="00C8357C">
      <w:pPr>
        <w:spacing w:before="120" w:after="120"/>
        <w:jc w:val="both"/>
        <w:rPr>
          <w:rFonts w:cs="Arial"/>
          <w:color w:val="000000"/>
          <w:sz w:val="16"/>
          <w:szCs w:val="16"/>
        </w:rPr>
      </w:pPr>
      <w:r w:rsidRPr="00251BF8">
        <w:t>Nejvíce dnů dočasné pracovní neschopnosti bylo v roce 2023 zaznamenáno ve zpracovatelském průmyslu (26 016 tis.), kde je nejvíce pojištěnců, a tím pádem také nejvyšší počet případů pracovní neschopnosti. Nejméně dnů pracovní neschopnosti z důvodu pracovních úrazů vykazovaly odvětvové sekce Peněžnictví a pojišťovnictví (2,9 tis.) a Informační a komunikační činnosti (7,9 tis.).</w:t>
      </w:r>
      <w:r>
        <w:t xml:space="preserve"> </w:t>
      </w:r>
    </w:p>
    <w:p w14:paraId="170BACCD" w14:textId="0AD2ED72" w:rsidR="005F17A0" w:rsidRPr="003F5663" w:rsidRDefault="005F17A0" w:rsidP="005F17A0">
      <w:pPr>
        <w:spacing w:after="0" w:line="240" w:lineRule="auto"/>
        <w:jc w:val="both"/>
        <w:rPr>
          <w:rFonts w:cs="Arial"/>
          <w:b/>
          <w:bCs/>
          <w:color w:val="000000"/>
          <w:szCs w:val="20"/>
        </w:rPr>
      </w:pPr>
      <w:r w:rsidRPr="003F5663">
        <w:rPr>
          <w:rFonts w:cs="Arial"/>
          <w:b/>
          <w:bCs/>
          <w:color w:val="000000"/>
          <w:szCs w:val="20"/>
        </w:rPr>
        <w:t>Tab. 2.</w:t>
      </w:r>
      <w:r w:rsidR="00797463">
        <w:rPr>
          <w:rFonts w:cs="Arial"/>
          <w:b/>
          <w:bCs/>
          <w:color w:val="000000"/>
          <w:szCs w:val="20"/>
        </w:rPr>
        <w:t>4</w:t>
      </w:r>
      <w:r w:rsidRPr="003F5663">
        <w:rPr>
          <w:rFonts w:cs="Arial"/>
          <w:b/>
          <w:bCs/>
          <w:color w:val="000000"/>
          <w:szCs w:val="20"/>
        </w:rPr>
        <w:t>: Průměrná délka trvání dočasné pracovní neschopnosti podle pohlaví, 2013–2023</w:t>
      </w:r>
    </w:p>
    <w:tbl>
      <w:tblPr>
        <w:tblW w:w="9526" w:type="dxa"/>
        <w:tblCellMar>
          <w:left w:w="70" w:type="dxa"/>
          <w:right w:w="70" w:type="dxa"/>
        </w:tblCellMar>
        <w:tblLook w:val="04A0" w:firstRow="1" w:lastRow="0" w:firstColumn="1" w:lastColumn="0" w:noHBand="0" w:noVBand="1"/>
      </w:tblPr>
      <w:tblGrid>
        <w:gridCol w:w="787"/>
        <w:gridCol w:w="869"/>
        <w:gridCol w:w="787"/>
        <w:gridCol w:w="787"/>
        <w:gridCol w:w="787"/>
        <w:gridCol w:w="787"/>
        <w:gridCol w:w="787"/>
        <w:gridCol w:w="787"/>
        <w:gridCol w:w="787"/>
        <w:gridCol w:w="787"/>
        <w:gridCol w:w="787"/>
        <w:gridCol w:w="787"/>
      </w:tblGrid>
      <w:tr w:rsidR="005F17A0" w:rsidRPr="003F5663" w14:paraId="39AC93EB" w14:textId="77777777" w:rsidTr="00245F95">
        <w:trPr>
          <w:trHeight w:val="300"/>
        </w:trPr>
        <w:tc>
          <w:tcPr>
            <w:tcW w:w="787" w:type="dxa"/>
            <w:tcBorders>
              <w:top w:val="single" w:sz="4" w:space="0" w:color="auto"/>
              <w:left w:val="nil"/>
              <w:bottom w:val="single" w:sz="4" w:space="0" w:color="auto"/>
              <w:right w:val="single" w:sz="4" w:space="0" w:color="auto"/>
            </w:tcBorders>
            <w:shd w:val="clear" w:color="000000" w:fill="F5DADD"/>
            <w:vAlign w:val="center"/>
            <w:hideMark/>
          </w:tcPr>
          <w:p w14:paraId="35F0EB19" w14:textId="77777777" w:rsidR="005F17A0" w:rsidRPr="003F5663" w:rsidRDefault="005F17A0" w:rsidP="00245F95">
            <w:pPr>
              <w:spacing w:after="0" w:line="240" w:lineRule="auto"/>
              <w:jc w:val="center"/>
              <w:rPr>
                <w:rFonts w:cs="Arial"/>
                <w:sz w:val="16"/>
                <w:szCs w:val="16"/>
              </w:rPr>
            </w:pPr>
            <w:r w:rsidRPr="00C459A3">
              <w:rPr>
                <w:rFonts w:cs="Arial"/>
                <w:sz w:val="16"/>
                <w:szCs w:val="16"/>
              </w:rPr>
              <w:t>Rok</w:t>
            </w:r>
          </w:p>
        </w:tc>
        <w:tc>
          <w:tcPr>
            <w:tcW w:w="869" w:type="dxa"/>
            <w:tcBorders>
              <w:top w:val="single" w:sz="4" w:space="0" w:color="auto"/>
              <w:left w:val="nil"/>
              <w:bottom w:val="single" w:sz="4" w:space="0" w:color="auto"/>
              <w:right w:val="nil"/>
            </w:tcBorders>
            <w:shd w:val="clear" w:color="000000" w:fill="F5DADD"/>
            <w:vAlign w:val="center"/>
            <w:hideMark/>
          </w:tcPr>
          <w:p w14:paraId="7677E184" w14:textId="77777777" w:rsidR="005F17A0" w:rsidRPr="003F5663" w:rsidRDefault="005F17A0" w:rsidP="00245F95">
            <w:pPr>
              <w:spacing w:after="0" w:line="240" w:lineRule="auto"/>
              <w:jc w:val="center"/>
              <w:rPr>
                <w:rFonts w:cs="Arial"/>
                <w:sz w:val="16"/>
                <w:szCs w:val="16"/>
              </w:rPr>
            </w:pPr>
            <w:r w:rsidRPr="00C459A3">
              <w:rPr>
                <w:rFonts w:cs="Arial"/>
                <w:sz w:val="16"/>
                <w:szCs w:val="16"/>
              </w:rPr>
              <w:t>2013</w:t>
            </w:r>
          </w:p>
        </w:tc>
        <w:tc>
          <w:tcPr>
            <w:tcW w:w="787" w:type="dxa"/>
            <w:tcBorders>
              <w:top w:val="single" w:sz="4" w:space="0" w:color="auto"/>
              <w:left w:val="nil"/>
              <w:bottom w:val="single" w:sz="4" w:space="0" w:color="auto"/>
              <w:right w:val="nil"/>
            </w:tcBorders>
            <w:shd w:val="clear" w:color="000000" w:fill="F5DADD"/>
            <w:vAlign w:val="center"/>
            <w:hideMark/>
          </w:tcPr>
          <w:p w14:paraId="70137112" w14:textId="77777777" w:rsidR="005F17A0" w:rsidRPr="003F5663" w:rsidRDefault="005F17A0" w:rsidP="00245F95">
            <w:pPr>
              <w:spacing w:after="0" w:line="240" w:lineRule="auto"/>
              <w:jc w:val="center"/>
              <w:rPr>
                <w:rFonts w:cs="Arial"/>
                <w:sz w:val="16"/>
                <w:szCs w:val="16"/>
              </w:rPr>
            </w:pPr>
            <w:r w:rsidRPr="00C459A3">
              <w:rPr>
                <w:rFonts w:cs="Arial"/>
                <w:sz w:val="16"/>
                <w:szCs w:val="16"/>
              </w:rPr>
              <w:t>2014</w:t>
            </w:r>
          </w:p>
        </w:tc>
        <w:tc>
          <w:tcPr>
            <w:tcW w:w="787" w:type="dxa"/>
            <w:tcBorders>
              <w:top w:val="single" w:sz="4" w:space="0" w:color="auto"/>
              <w:left w:val="nil"/>
              <w:bottom w:val="single" w:sz="4" w:space="0" w:color="auto"/>
              <w:right w:val="nil"/>
            </w:tcBorders>
            <w:shd w:val="clear" w:color="000000" w:fill="F5DADD"/>
            <w:vAlign w:val="center"/>
            <w:hideMark/>
          </w:tcPr>
          <w:p w14:paraId="34E5C3F0" w14:textId="77777777" w:rsidR="005F17A0" w:rsidRPr="003F5663" w:rsidRDefault="005F17A0" w:rsidP="00245F95">
            <w:pPr>
              <w:spacing w:after="0" w:line="240" w:lineRule="auto"/>
              <w:jc w:val="center"/>
              <w:rPr>
                <w:rFonts w:cs="Arial"/>
                <w:sz w:val="16"/>
                <w:szCs w:val="16"/>
              </w:rPr>
            </w:pPr>
            <w:r w:rsidRPr="00C459A3">
              <w:rPr>
                <w:rFonts w:cs="Arial"/>
                <w:sz w:val="16"/>
                <w:szCs w:val="16"/>
              </w:rPr>
              <w:t>2015</w:t>
            </w:r>
          </w:p>
        </w:tc>
        <w:tc>
          <w:tcPr>
            <w:tcW w:w="787" w:type="dxa"/>
            <w:tcBorders>
              <w:top w:val="single" w:sz="4" w:space="0" w:color="auto"/>
              <w:left w:val="nil"/>
              <w:bottom w:val="single" w:sz="4" w:space="0" w:color="auto"/>
              <w:right w:val="nil"/>
            </w:tcBorders>
            <w:shd w:val="clear" w:color="000000" w:fill="F5DADD"/>
            <w:vAlign w:val="center"/>
            <w:hideMark/>
          </w:tcPr>
          <w:p w14:paraId="6D9AA687" w14:textId="77777777" w:rsidR="005F17A0" w:rsidRPr="003F5663" w:rsidRDefault="005F17A0" w:rsidP="00245F95">
            <w:pPr>
              <w:spacing w:after="0" w:line="240" w:lineRule="auto"/>
              <w:jc w:val="center"/>
              <w:rPr>
                <w:rFonts w:cs="Arial"/>
                <w:sz w:val="16"/>
                <w:szCs w:val="16"/>
              </w:rPr>
            </w:pPr>
            <w:r w:rsidRPr="00C459A3">
              <w:rPr>
                <w:rFonts w:cs="Arial"/>
                <w:sz w:val="16"/>
                <w:szCs w:val="16"/>
              </w:rPr>
              <w:t>2016</w:t>
            </w:r>
          </w:p>
        </w:tc>
        <w:tc>
          <w:tcPr>
            <w:tcW w:w="787" w:type="dxa"/>
            <w:tcBorders>
              <w:top w:val="single" w:sz="4" w:space="0" w:color="auto"/>
              <w:left w:val="nil"/>
              <w:bottom w:val="single" w:sz="4" w:space="0" w:color="auto"/>
              <w:right w:val="nil"/>
            </w:tcBorders>
            <w:shd w:val="clear" w:color="000000" w:fill="F5DADD"/>
            <w:vAlign w:val="center"/>
            <w:hideMark/>
          </w:tcPr>
          <w:p w14:paraId="60F368CD" w14:textId="77777777" w:rsidR="005F17A0" w:rsidRPr="003F5663" w:rsidRDefault="005F17A0" w:rsidP="00245F95">
            <w:pPr>
              <w:spacing w:after="0" w:line="240" w:lineRule="auto"/>
              <w:jc w:val="center"/>
              <w:rPr>
                <w:rFonts w:cs="Arial"/>
                <w:sz w:val="16"/>
                <w:szCs w:val="16"/>
              </w:rPr>
            </w:pPr>
            <w:r w:rsidRPr="00C459A3">
              <w:rPr>
                <w:rFonts w:cs="Arial"/>
                <w:sz w:val="16"/>
                <w:szCs w:val="16"/>
              </w:rPr>
              <w:t>2017</w:t>
            </w:r>
          </w:p>
        </w:tc>
        <w:tc>
          <w:tcPr>
            <w:tcW w:w="787" w:type="dxa"/>
            <w:tcBorders>
              <w:top w:val="single" w:sz="4" w:space="0" w:color="auto"/>
              <w:left w:val="nil"/>
              <w:bottom w:val="single" w:sz="4" w:space="0" w:color="auto"/>
              <w:right w:val="nil"/>
            </w:tcBorders>
            <w:shd w:val="clear" w:color="000000" w:fill="F5DADD"/>
            <w:vAlign w:val="center"/>
            <w:hideMark/>
          </w:tcPr>
          <w:p w14:paraId="75085FB4" w14:textId="77777777" w:rsidR="005F17A0" w:rsidRPr="003F5663" w:rsidRDefault="005F17A0" w:rsidP="00245F95">
            <w:pPr>
              <w:spacing w:after="0" w:line="240" w:lineRule="auto"/>
              <w:jc w:val="center"/>
              <w:rPr>
                <w:rFonts w:cs="Arial"/>
                <w:sz w:val="16"/>
                <w:szCs w:val="16"/>
              </w:rPr>
            </w:pPr>
            <w:r w:rsidRPr="00C459A3">
              <w:rPr>
                <w:rFonts w:cs="Arial"/>
                <w:sz w:val="16"/>
                <w:szCs w:val="16"/>
              </w:rPr>
              <w:t>2018</w:t>
            </w:r>
          </w:p>
        </w:tc>
        <w:tc>
          <w:tcPr>
            <w:tcW w:w="787" w:type="dxa"/>
            <w:tcBorders>
              <w:top w:val="single" w:sz="4" w:space="0" w:color="auto"/>
              <w:left w:val="nil"/>
              <w:bottom w:val="single" w:sz="4" w:space="0" w:color="auto"/>
              <w:right w:val="nil"/>
            </w:tcBorders>
            <w:shd w:val="clear" w:color="000000" w:fill="F5DADD"/>
            <w:vAlign w:val="center"/>
            <w:hideMark/>
          </w:tcPr>
          <w:p w14:paraId="5D4C776C" w14:textId="77777777" w:rsidR="005F17A0" w:rsidRPr="003F5663" w:rsidRDefault="005F17A0" w:rsidP="00245F95">
            <w:pPr>
              <w:spacing w:after="0" w:line="240" w:lineRule="auto"/>
              <w:jc w:val="center"/>
              <w:rPr>
                <w:rFonts w:cs="Arial"/>
                <w:sz w:val="16"/>
                <w:szCs w:val="16"/>
              </w:rPr>
            </w:pPr>
            <w:r w:rsidRPr="00C459A3">
              <w:rPr>
                <w:rFonts w:cs="Arial"/>
                <w:sz w:val="16"/>
                <w:szCs w:val="16"/>
              </w:rPr>
              <w:t>2019</w:t>
            </w:r>
          </w:p>
        </w:tc>
        <w:tc>
          <w:tcPr>
            <w:tcW w:w="787" w:type="dxa"/>
            <w:tcBorders>
              <w:top w:val="single" w:sz="4" w:space="0" w:color="auto"/>
              <w:left w:val="nil"/>
              <w:bottom w:val="single" w:sz="4" w:space="0" w:color="auto"/>
              <w:right w:val="nil"/>
            </w:tcBorders>
            <w:shd w:val="clear" w:color="000000" w:fill="F5DADD"/>
            <w:vAlign w:val="center"/>
            <w:hideMark/>
          </w:tcPr>
          <w:p w14:paraId="598E4DF6" w14:textId="77777777" w:rsidR="005F17A0" w:rsidRPr="003F5663" w:rsidRDefault="005F17A0" w:rsidP="00245F95">
            <w:pPr>
              <w:spacing w:after="0" w:line="240" w:lineRule="auto"/>
              <w:jc w:val="center"/>
              <w:rPr>
                <w:rFonts w:cs="Arial"/>
                <w:sz w:val="16"/>
                <w:szCs w:val="16"/>
              </w:rPr>
            </w:pPr>
            <w:r w:rsidRPr="00C459A3">
              <w:rPr>
                <w:rFonts w:cs="Arial"/>
                <w:sz w:val="16"/>
                <w:szCs w:val="16"/>
              </w:rPr>
              <w:t>2020</w:t>
            </w:r>
          </w:p>
        </w:tc>
        <w:tc>
          <w:tcPr>
            <w:tcW w:w="787" w:type="dxa"/>
            <w:tcBorders>
              <w:top w:val="single" w:sz="4" w:space="0" w:color="auto"/>
              <w:left w:val="nil"/>
              <w:bottom w:val="single" w:sz="4" w:space="0" w:color="auto"/>
              <w:right w:val="nil"/>
            </w:tcBorders>
            <w:shd w:val="clear" w:color="000000" w:fill="F5DADD"/>
            <w:vAlign w:val="center"/>
            <w:hideMark/>
          </w:tcPr>
          <w:p w14:paraId="4351CD81" w14:textId="77777777" w:rsidR="005F17A0" w:rsidRPr="003F5663" w:rsidRDefault="005F17A0" w:rsidP="00245F95">
            <w:pPr>
              <w:spacing w:after="0" w:line="240" w:lineRule="auto"/>
              <w:jc w:val="center"/>
              <w:rPr>
                <w:rFonts w:cs="Arial"/>
                <w:sz w:val="16"/>
                <w:szCs w:val="16"/>
              </w:rPr>
            </w:pPr>
            <w:r w:rsidRPr="00C459A3">
              <w:rPr>
                <w:rFonts w:cs="Arial"/>
                <w:sz w:val="16"/>
                <w:szCs w:val="16"/>
              </w:rPr>
              <w:t>2021</w:t>
            </w:r>
          </w:p>
        </w:tc>
        <w:tc>
          <w:tcPr>
            <w:tcW w:w="787" w:type="dxa"/>
            <w:tcBorders>
              <w:top w:val="single" w:sz="4" w:space="0" w:color="auto"/>
              <w:left w:val="nil"/>
              <w:bottom w:val="single" w:sz="4" w:space="0" w:color="auto"/>
              <w:right w:val="nil"/>
            </w:tcBorders>
            <w:shd w:val="clear" w:color="000000" w:fill="F5DADD"/>
            <w:vAlign w:val="center"/>
            <w:hideMark/>
          </w:tcPr>
          <w:p w14:paraId="3445A05C" w14:textId="77777777" w:rsidR="005F17A0" w:rsidRPr="003F5663" w:rsidRDefault="005F17A0" w:rsidP="00245F95">
            <w:pPr>
              <w:spacing w:after="0" w:line="240" w:lineRule="auto"/>
              <w:jc w:val="center"/>
              <w:rPr>
                <w:rFonts w:cs="Arial"/>
                <w:sz w:val="16"/>
                <w:szCs w:val="16"/>
              </w:rPr>
            </w:pPr>
            <w:r w:rsidRPr="00C459A3">
              <w:rPr>
                <w:rFonts w:cs="Arial"/>
                <w:sz w:val="16"/>
                <w:szCs w:val="16"/>
              </w:rPr>
              <w:t>2022</w:t>
            </w:r>
            <w:r>
              <w:rPr>
                <w:rFonts w:cs="Arial"/>
                <w:sz w:val="16"/>
                <w:szCs w:val="16"/>
              </w:rPr>
              <w:t>*</w:t>
            </w:r>
          </w:p>
        </w:tc>
        <w:tc>
          <w:tcPr>
            <w:tcW w:w="787" w:type="dxa"/>
            <w:tcBorders>
              <w:top w:val="single" w:sz="4" w:space="0" w:color="auto"/>
              <w:left w:val="nil"/>
              <w:bottom w:val="single" w:sz="4" w:space="0" w:color="auto"/>
              <w:right w:val="nil"/>
            </w:tcBorders>
            <w:shd w:val="clear" w:color="000000" w:fill="F5DADD"/>
            <w:vAlign w:val="center"/>
          </w:tcPr>
          <w:p w14:paraId="6E25C2BC" w14:textId="77777777" w:rsidR="005F17A0" w:rsidRPr="00C459A3" w:rsidRDefault="005F17A0" w:rsidP="00245F95">
            <w:pPr>
              <w:spacing w:after="0" w:line="240" w:lineRule="auto"/>
              <w:jc w:val="center"/>
              <w:rPr>
                <w:rFonts w:cs="Arial"/>
                <w:sz w:val="16"/>
                <w:szCs w:val="16"/>
              </w:rPr>
            </w:pPr>
            <w:r>
              <w:rPr>
                <w:rFonts w:cs="Arial"/>
                <w:sz w:val="16"/>
                <w:szCs w:val="16"/>
              </w:rPr>
              <w:t>2023</w:t>
            </w:r>
          </w:p>
        </w:tc>
      </w:tr>
      <w:tr w:rsidR="005F17A0" w:rsidRPr="003F5663" w14:paraId="78312751" w14:textId="77777777" w:rsidTr="00245F95">
        <w:trPr>
          <w:trHeight w:val="300"/>
        </w:trPr>
        <w:tc>
          <w:tcPr>
            <w:tcW w:w="787" w:type="dxa"/>
            <w:tcBorders>
              <w:top w:val="nil"/>
              <w:left w:val="nil"/>
              <w:bottom w:val="nil"/>
              <w:right w:val="single" w:sz="4" w:space="0" w:color="auto"/>
            </w:tcBorders>
            <w:shd w:val="clear" w:color="auto" w:fill="auto"/>
            <w:noWrap/>
            <w:vAlign w:val="center"/>
            <w:hideMark/>
          </w:tcPr>
          <w:p w14:paraId="2CB36E52" w14:textId="77777777" w:rsidR="005F17A0" w:rsidRPr="003F5663" w:rsidRDefault="005F17A0" w:rsidP="00245F95">
            <w:pPr>
              <w:spacing w:after="0" w:line="240" w:lineRule="auto"/>
              <w:rPr>
                <w:rFonts w:cs="Arial"/>
                <w:b/>
                <w:bCs/>
                <w:color w:val="000000"/>
                <w:sz w:val="16"/>
                <w:szCs w:val="16"/>
              </w:rPr>
            </w:pPr>
            <w:r w:rsidRPr="00C459A3">
              <w:rPr>
                <w:rFonts w:cs="Arial"/>
                <w:b/>
                <w:bCs/>
                <w:color w:val="000000"/>
                <w:sz w:val="16"/>
                <w:szCs w:val="16"/>
              </w:rPr>
              <w:t>Celkem</w:t>
            </w:r>
          </w:p>
        </w:tc>
        <w:tc>
          <w:tcPr>
            <w:tcW w:w="869" w:type="dxa"/>
            <w:tcBorders>
              <w:top w:val="nil"/>
              <w:left w:val="nil"/>
              <w:bottom w:val="nil"/>
              <w:right w:val="nil"/>
            </w:tcBorders>
            <w:shd w:val="clear" w:color="auto" w:fill="auto"/>
            <w:noWrap/>
            <w:vAlign w:val="center"/>
            <w:hideMark/>
          </w:tcPr>
          <w:p w14:paraId="7A9C125B" w14:textId="77777777" w:rsidR="005F17A0" w:rsidRPr="003F5663" w:rsidRDefault="005F17A0" w:rsidP="00245F95">
            <w:pPr>
              <w:spacing w:after="0" w:line="240" w:lineRule="auto"/>
              <w:jc w:val="center"/>
              <w:rPr>
                <w:rFonts w:cs="Arial"/>
                <w:b/>
                <w:bCs/>
                <w:color w:val="000000"/>
                <w:sz w:val="16"/>
                <w:szCs w:val="16"/>
              </w:rPr>
            </w:pPr>
            <w:r w:rsidRPr="00C459A3">
              <w:rPr>
                <w:rFonts w:cs="Arial"/>
                <w:b/>
                <w:bCs/>
                <w:color w:val="000000"/>
                <w:sz w:val="16"/>
                <w:szCs w:val="16"/>
              </w:rPr>
              <w:t>44,0</w:t>
            </w:r>
          </w:p>
        </w:tc>
        <w:tc>
          <w:tcPr>
            <w:tcW w:w="787" w:type="dxa"/>
            <w:tcBorders>
              <w:top w:val="nil"/>
              <w:left w:val="nil"/>
              <w:bottom w:val="nil"/>
              <w:right w:val="nil"/>
            </w:tcBorders>
            <w:shd w:val="clear" w:color="auto" w:fill="auto"/>
            <w:noWrap/>
            <w:vAlign w:val="center"/>
            <w:hideMark/>
          </w:tcPr>
          <w:p w14:paraId="507933B4" w14:textId="77777777" w:rsidR="005F17A0" w:rsidRPr="003F5663" w:rsidRDefault="005F17A0" w:rsidP="00245F95">
            <w:pPr>
              <w:spacing w:after="0" w:line="240" w:lineRule="auto"/>
              <w:jc w:val="center"/>
              <w:rPr>
                <w:rFonts w:cs="Arial"/>
                <w:b/>
                <w:bCs/>
                <w:color w:val="000000"/>
                <w:sz w:val="16"/>
                <w:szCs w:val="16"/>
              </w:rPr>
            </w:pPr>
            <w:r w:rsidRPr="00C459A3">
              <w:rPr>
                <w:rFonts w:cs="Arial"/>
                <w:b/>
                <w:bCs/>
                <w:color w:val="000000"/>
                <w:sz w:val="16"/>
                <w:szCs w:val="16"/>
              </w:rPr>
              <w:t>45,8</w:t>
            </w:r>
          </w:p>
        </w:tc>
        <w:tc>
          <w:tcPr>
            <w:tcW w:w="787" w:type="dxa"/>
            <w:tcBorders>
              <w:top w:val="nil"/>
              <w:left w:val="nil"/>
              <w:bottom w:val="nil"/>
              <w:right w:val="nil"/>
            </w:tcBorders>
            <w:shd w:val="clear" w:color="auto" w:fill="auto"/>
            <w:noWrap/>
            <w:vAlign w:val="center"/>
            <w:hideMark/>
          </w:tcPr>
          <w:p w14:paraId="54C169F7" w14:textId="77777777" w:rsidR="005F17A0" w:rsidRPr="003F5663" w:rsidRDefault="005F17A0" w:rsidP="00245F95">
            <w:pPr>
              <w:spacing w:after="0" w:line="240" w:lineRule="auto"/>
              <w:jc w:val="center"/>
              <w:rPr>
                <w:rFonts w:cs="Arial"/>
                <w:b/>
                <w:bCs/>
                <w:color w:val="000000"/>
                <w:sz w:val="16"/>
                <w:szCs w:val="16"/>
              </w:rPr>
            </w:pPr>
            <w:r w:rsidRPr="00C459A3">
              <w:rPr>
                <w:rFonts w:cs="Arial"/>
                <w:b/>
                <w:bCs/>
                <w:color w:val="000000"/>
                <w:sz w:val="16"/>
                <w:szCs w:val="16"/>
              </w:rPr>
              <w:t>42,7</w:t>
            </w:r>
          </w:p>
        </w:tc>
        <w:tc>
          <w:tcPr>
            <w:tcW w:w="787" w:type="dxa"/>
            <w:tcBorders>
              <w:top w:val="nil"/>
              <w:left w:val="nil"/>
              <w:bottom w:val="nil"/>
              <w:right w:val="nil"/>
            </w:tcBorders>
            <w:shd w:val="clear" w:color="auto" w:fill="auto"/>
            <w:noWrap/>
            <w:vAlign w:val="center"/>
            <w:hideMark/>
          </w:tcPr>
          <w:p w14:paraId="1B0AFFF3" w14:textId="77777777" w:rsidR="005F17A0" w:rsidRPr="003F5663" w:rsidRDefault="005F17A0" w:rsidP="00245F95">
            <w:pPr>
              <w:spacing w:after="0" w:line="240" w:lineRule="auto"/>
              <w:jc w:val="center"/>
              <w:rPr>
                <w:rFonts w:cs="Arial"/>
                <w:b/>
                <w:bCs/>
                <w:color w:val="000000"/>
                <w:sz w:val="16"/>
                <w:szCs w:val="16"/>
              </w:rPr>
            </w:pPr>
            <w:r w:rsidRPr="00C459A3">
              <w:rPr>
                <w:rFonts w:cs="Arial"/>
                <w:b/>
                <w:bCs/>
                <w:color w:val="000000"/>
                <w:sz w:val="16"/>
                <w:szCs w:val="16"/>
              </w:rPr>
              <w:t>43,0</w:t>
            </w:r>
          </w:p>
        </w:tc>
        <w:tc>
          <w:tcPr>
            <w:tcW w:w="787" w:type="dxa"/>
            <w:tcBorders>
              <w:top w:val="nil"/>
              <w:left w:val="nil"/>
              <w:bottom w:val="nil"/>
              <w:right w:val="nil"/>
            </w:tcBorders>
            <w:shd w:val="clear" w:color="auto" w:fill="auto"/>
            <w:noWrap/>
            <w:vAlign w:val="center"/>
            <w:hideMark/>
          </w:tcPr>
          <w:p w14:paraId="1009D13E" w14:textId="77777777" w:rsidR="005F17A0" w:rsidRPr="003F5663" w:rsidRDefault="005F17A0" w:rsidP="00245F95">
            <w:pPr>
              <w:spacing w:after="0" w:line="240" w:lineRule="auto"/>
              <w:jc w:val="center"/>
              <w:rPr>
                <w:rFonts w:cs="Arial"/>
                <w:b/>
                <w:bCs/>
                <w:color w:val="000000"/>
                <w:sz w:val="16"/>
                <w:szCs w:val="16"/>
              </w:rPr>
            </w:pPr>
            <w:r w:rsidRPr="00C459A3">
              <w:rPr>
                <w:rFonts w:cs="Arial"/>
                <w:b/>
                <w:bCs/>
                <w:color w:val="000000"/>
                <w:sz w:val="16"/>
                <w:szCs w:val="16"/>
              </w:rPr>
              <w:t>42,6</w:t>
            </w:r>
          </w:p>
        </w:tc>
        <w:tc>
          <w:tcPr>
            <w:tcW w:w="787" w:type="dxa"/>
            <w:tcBorders>
              <w:top w:val="nil"/>
              <w:left w:val="nil"/>
              <w:bottom w:val="nil"/>
              <w:right w:val="nil"/>
            </w:tcBorders>
            <w:shd w:val="clear" w:color="auto" w:fill="auto"/>
            <w:noWrap/>
            <w:vAlign w:val="center"/>
            <w:hideMark/>
          </w:tcPr>
          <w:p w14:paraId="63ACE155" w14:textId="77777777" w:rsidR="005F17A0" w:rsidRPr="003F5663" w:rsidRDefault="005F17A0" w:rsidP="00245F95">
            <w:pPr>
              <w:spacing w:after="0" w:line="240" w:lineRule="auto"/>
              <w:jc w:val="center"/>
              <w:rPr>
                <w:rFonts w:cs="Arial"/>
                <w:b/>
                <w:bCs/>
                <w:color w:val="000000"/>
                <w:sz w:val="16"/>
                <w:szCs w:val="16"/>
              </w:rPr>
            </w:pPr>
            <w:r w:rsidRPr="00C459A3">
              <w:rPr>
                <w:rFonts w:cs="Arial"/>
                <w:b/>
                <w:bCs/>
                <w:color w:val="000000"/>
                <w:sz w:val="16"/>
                <w:szCs w:val="16"/>
              </w:rPr>
              <w:t>41,7</w:t>
            </w:r>
          </w:p>
        </w:tc>
        <w:tc>
          <w:tcPr>
            <w:tcW w:w="787" w:type="dxa"/>
            <w:tcBorders>
              <w:top w:val="nil"/>
              <w:left w:val="nil"/>
              <w:bottom w:val="nil"/>
              <w:right w:val="nil"/>
            </w:tcBorders>
            <w:shd w:val="clear" w:color="auto" w:fill="auto"/>
            <w:noWrap/>
            <w:vAlign w:val="center"/>
            <w:hideMark/>
          </w:tcPr>
          <w:p w14:paraId="7A4D615A" w14:textId="77777777" w:rsidR="005F17A0" w:rsidRPr="003F5663" w:rsidRDefault="005F17A0" w:rsidP="00245F95">
            <w:pPr>
              <w:spacing w:after="0" w:line="240" w:lineRule="auto"/>
              <w:jc w:val="center"/>
              <w:rPr>
                <w:rFonts w:cs="Arial"/>
                <w:b/>
                <w:bCs/>
                <w:color w:val="000000"/>
                <w:sz w:val="16"/>
                <w:szCs w:val="16"/>
              </w:rPr>
            </w:pPr>
            <w:r w:rsidRPr="00C459A3">
              <w:rPr>
                <w:rFonts w:cs="Arial"/>
                <w:b/>
                <w:bCs/>
                <w:color w:val="000000"/>
                <w:sz w:val="16"/>
                <w:szCs w:val="16"/>
              </w:rPr>
              <w:t>42,4</w:t>
            </w:r>
          </w:p>
        </w:tc>
        <w:tc>
          <w:tcPr>
            <w:tcW w:w="787" w:type="dxa"/>
            <w:tcBorders>
              <w:top w:val="nil"/>
              <w:left w:val="nil"/>
              <w:bottom w:val="nil"/>
              <w:right w:val="nil"/>
            </w:tcBorders>
            <w:shd w:val="clear" w:color="auto" w:fill="auto"/>
            <w:noWrap/>
            <w:vAlign w:val="center"/>
            <w:hideMark/>
          </w:tcPr>
          <w:p w14:paraId="059CB3FB" w14:textId="77777777" w:rsidR="005F17A0" w:rsidRPr="003F5663" w:rsidRDefault="005F17A0" w:rsidP="00245F95">
            <w:pPr>
              <w:spacing w:after="0" w:line="240" w:lineRule="auto"/>
              <w:jc w:val="center"/>
              <w:rPr>
                <w:rFonts w:cs="Arial"/>
                <w:b/>
                <w:bCs/>
                <w:color w:val="000000"/>
                <w:sz w:val="16"/>
                <w:szCs w:val="16"/>
              </w:rPr>
            </w:pPr>
            <w:r w:rsidRPr="00C459A3">
              <w:rPr>
                <w:rFonts w:cs="Arial"/>
                <w:b/>
                <w:bCs/>
                <w:color w:val="000000"/>
                <w:sz w:val="16"/>
                <w:szCs w:val="16"/>
              </w:rPr>
              <w:t>39,4</w:t>
            </w:r>
          </w:p>
        </w:tc>
        <w:tc>
          <w:tcPr>
            <w:tcW w:w="787" w:type="dxa"/>
            <w:tcBorders>
              <w:top w:val="nil"/>
              <w:left w:val="nil"/>
              <w:bottom w:val="nil"/>
              <w:right w:val="nil"/>
            </w:tcBorders>
            <w:shd w:val="clear" w:color="auto" w:fill="auto"/>
            <w:noWrap/>
            <w:vAlign w:val="center"/>
            <w:hideMark/>
          </w:tcPr>
          <w:p w14:paraId="67B16871" w14:textId="77777777" w:rsidR="005F17A0" w:rsidRPr="003F5663" w:rsidRDefault="005F17A0" w:rsidP="00245F95">
            <w:pPr>
              <w:spacing w:after="0" w:line="240" w:lineRule="auto"/>
              <w:jc w:val="center"/>
              <w:rPr>
                <w:rFonts w:cs="Arial"/>
                <w:b/>
                <w:bCs/>
                <w:color w:val="000000"/>
                <w:sz w:val="16"/>
                <w:szCs w:val="16"/>
              </w:rPr>
            </w:pPr>
            <w:r w:rsidRPr="00C459A3">
              <w:rPr>
                <w:rFonts w:cs="Arial"/>
                <w:b/>
                <w:bCs/>
                <w:color w:val="000000"/>
                <w:sz w:val="16"/>
                <w:szCs w:val="16"/>
              </w:rPr>
              <w:t>34,5</w:t>
            </w:r>
          </w:p>
        </w:tc>
        <w:tc>
          <w:tcPr>
            <w:tcW w:w="787" w:type="dxa"/>
            <w:tcBorders>
              <w:top w:val="nil"/>
              <w:left w:val="nil"/>
              <w:bottom w:val="nil"/>
              <w:right w:val="nil"/>
            </w:tcBorders>
            <w:shd w:val="clear" w:color="auto" w:fill="auto"/>
            <w:noWrap/>
            <w:vAlign w:val="center"/>
            <w:hideMark/>
          </w:tcPr>
          <w:p w14:paraId="1C00A31A" w14:textId="77777777" w:rsidR="005F17A0" w:rsidRPr="003F5663" w:rsidRDefault="005F17A0" w:rsidP="00245F95">
            <w:pPr>
              <w:spacing w:after="0" w:line="240" w:lineRule="auto"/>
              <w:jc w:val="center"/>
              <w:rPr>
                <w:rFonts w:cs="Arial"/>
                <w:b/>
                <w:bCs/>
                <w:color w:val="000000"/>
                <w:sz w:val="16"/>
                <w:szCs w:val="16"/>
              </w:rPr>
            </w:pPr>
            <w:r w:rsidRPr="00C459A3">
              <w:rPr>
                <w:rFonts w:cs="Arial"/>
                <w:b/>
                <w:bCs/>
                <w:color w:val="000000"/>
                <w:sz w:val="16"/>
                <w:szCs w:val="16"/>
              </w:rPr>
              <w:t>26,3</w:t>
            </w:r>
          </w:p>
        </w:tc>
        <w:tc>
          <w:tcPr>
            <w:tcW w:w="787" w:type="dxa"/>
            <w:tcBorders>
              <w:top w:val="nil"/>
              <w:left w:val="nil"/>
              <w:bottom w:val="nil"/>
              <w:right w:val="nil"/>
            </w:tcBorders>
            <w:vAlign w:val="center"/>
          </w:tcPr>
          <w:p w14:paraId="5F7DCD12" w14:textId="77777777" w:rsidR="005F17A0" w:rsidRPr="00C459A3" w:rsidRDefault="005F17A0" w:rsidP="00245F95">
            <w:pPr>
              <w:spacing w:after="0" w:line="240" w:lineRule="auto"/>
              <w:jc w:val="center"/>
              <w:rPr>
                <w:rFonts w:cs="Arial"/>
                <w:b/>
                <w:bCs/>
                <w:color w:val="000000"/>
                <w:sz w:val="16"/>
                <w:szCs w:val="16"/>
              </w:rPr>
            </w:pPr>
            <w:r>
              <w:rPr>
                <w:rFonts w:cs="Arial"/>
                <w:b/>
                <w:bCs/>
                <w:color w:val="000000"/>
                <w:sz w:val="16"/>
                <w:szCs w:val="16"/>
              </w:rPr>
              <w:t>31,4</w:t>
            </w:r>
          </w:p>
        </w:tc>
      </w:tr>
      <w:tr w:rsidR="005F17A0" w:rsidRPr="003F5663" w14:paraId="1DE17C99" w14:textId="77777777" w:rsidTr="00245F95">
        <w:trPr>
          <w:trHeight w:val="300"/>
        </w:trPr>
        <w:tc>
          <w:tcPr>
            <w:tcW w:w="787" w:type="dxa"/>
            <w:tcBorders>
              <w:top w:val="nil"/>
              <w:left w:val="nil"/>
              <w:bottom w:val="nil"/>
              <w:right w:val="single" w:sz="4" w:space="0" w:color="auto"/>
            </w:tcBorders>
            <w:shd w:val="clear" w:color="auto" w:fill="auto"/>
            <w:noWrap/>
            <w:vAlign w:val="center"/>
            <w:hideMark/>
          </w:tcPr>
          <w:p w14:paraId="10BE5154" w14:textId="77777777" w:rsidR="005F17A0" w:rsidRPr="003F5663" w:rsidRDefault="005F17A0" w:rsidP="00245F95">
            <w:pPr>
              <w:spacing w:after="0" w:line="240" w:lineRule="auto"/>
              <w:ind w:firstLineChars="100" w:firstLine="160"/>
              <w:rPr>
                <w:rFonts w:cs="Arial"/>
                <w:color w:val="000000"/>
                <w:sz w:val="16"/>
                <w:szCs w:val="16"/>
              </w:rPr>
            </w:pPr>
            <w:r w:rsidRPr="00C459A3">
              <w:rPr>
                <w:rFonts w:cs="Arial"/>
                <w:color w:val="000000"/>
                <w:sz w:val="16"/>
                <w:szCs w:val="16"/>
              </w:rPr>
              <w:t>muži</w:t>
            </w:r>
          </w:p>
        </w:tc>
        <w:tc>
          <w:tcPr>
            <w:tcW w:w="869" w:type="dxa"/>
            <w:tcBorders>
              <w:top w:val="nil"/>
              <w:left w:val="nil"/>
              <w:bottom w:val="nil"/>
              <w:right w:val="nil"/>
            </w:tcBorders>
            <w:shd w:val="clear" w:color="auto" w:fill="auto"/>
            <w:noWrap/>
            <w:vAlign w:val="center"/>
            <w:hideMark/>
          </w:tcPr>
          <w:p w14:paraId="7042C394"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42,3</w:t>
            </w:r>
          </w:p>
        </w:tc>
        <w:tc>
          <w:tcPr>
            <w:tcW w:w="787" w:type="dxa"/>
            <w:tcBorders>
              <w:top w:val="nil"/>
              <w:left w:val="nil"/>
              <w:bottom w:val="nil"/>
              <w:right w:val="nil"/>
            </w:tcBorders>
            <w:shd w:val="clear" w:color="auto" w:fill="auto"/>
            <w:noWrap/>
            <w:vAlign w:val="center"/>
            <w:hideMark/>
          </w:tcPr>
          <w:p w14:paraId="4C55EA38"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43,4</w:t>
            </w:r>
          </w:p>
        </w:tc>
        <w:tc>
          <w:tcPr>
            <w:tcW w:w="787" w:type="dxa"/>
            <w:tcBorders>
              <w:top w:val="nil"/>
              <w:left w:val="nil"/>
              <w:bottom w:val="nil"/>
              <w:right w:val="nil"/>
            </w:tcBorders>
            <w:shd w:val="clear" w:color="auto" w:fill="auto"/>
            <w:noWrap/>
            <w:vAlign w:val="center"/>
            <w:hideMark/>
          </w:tcPr>
          <w:p w14:paraId="17073E16"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40,5</w:t>
            </w:r>
          </w:p>
        </w:tc>
        <w:tc>
          <w:tcPr>
            <w:tcW w:w="787" w:type="dxa"/>
            <w:tcBorders>
              <w:top w:val="nil"/>
              <w:left w:val="nil"/>
              <w:bottom w:val="nil"/>
              <w:right w:val="nil"/>
            </w:tcBorders>
            <w:shd w:val="clear" w:color="auto" w:fill="auto"/>
            <w:noWrap/>
            <w:vAlign w:val="center"/>
            <w:hideMark/>
          </w:tcPr>
          <w:p w14:paraId="0BE5A05F"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40,7</w:t>
            </w:r>
          </w:p>
        </w:tc>
        <w:tc>
          <w:tcPr>
            <w:tcW w:w="787" w:type="dxa"/>
            <w:tcBorders>
              <w:top w:val="nil"/>
              <w:left w:val="nil"/>
              <w:bottom w:val="nil"/>
              <w:right w:val="nil"/>
            </w:tcBorders>
            <w:shd w:val="clear" w:color="auto" w:fill="auto"/>
            <w:noWrap/>
            <w:vAlign w:val="center"/>
            <w:hideMark/>
          </w:tcPr>
          <w:p w14:paraId="03460FD7"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40,6</w:t>
            </w:r>
          </w:p>
        </w:tc>
        <w:tc>
          <w:tcPr>
            <w:tcW w:w="787" w:type="dxa"/>
            <w:tcBorders>
              <w:top w:val="nil"/>
              <w:left w:val="nil"/>
              <w:bottom w:val="nil"/>
              <w:right w:val="nil"/>
            </w:tcBorders>
            <w:shd w:val="clear" w:color="auto" w:fill="auto"/>
            <w:noWrap/>
            <w:vAlign w:val="center"/>
            <w:hideMark/>
          </w:tcPr>
          <w:p w14:paraId="31DA6ED8"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40,3</w:t>
            </w:r>
          </w:p>
        </w:tc>
        <w:tc>
          <w:tcPr>
            <w:tcW w:w="787" w:type="dxa"/>
            <w:tcBorders>
              <w:top w:val="nil"/>
              <w:left w:val="nil"/>
              <w:bottom w:val="nil"/>
              <w:right w:val="nil"/>
            </w:tcBorders>
            <w:shd w:val="clear" w:color="auto" w:fill="auto"/>
            <w:noWrap/>
            <w:vAlign w:val="center"/>
            <w:hideMark/>
          </w:tcPr>
          <w:p w14:paraId="23DB0FBE"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41,1</w:t>
            </w:r>
          </w:p>
        </w:tc>
        <w:tc>
          <w:tcPr>
            <w:tcW w:w="787" w:type="dxa"/>
            <w:tcBorders>
              <w:top w:val="nil"/>
              <w:left w:val="nil"/>
              <w:bottom w:val="nil"/>
              <w:right w:val="nil"/>
            </w:tcBorders>
            <w:shd w:val="clear" w:color="auto" w:fill="auto"/>
            <w:noWrap/>
            <w:vAlign w:val="center"/>
            <w:hideMark/>
          </w:tcPr>
          <w:p w14:paraId="25F7AA24"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37,8</w:t>
            </w:r>
          </w:p>
        </w:tc>
        <w:tc>
          <w:tcPr>
            <w:tcW w:w="787" w:type="dxa"/>
            <w:tcBorders>
              <w:top w:val="nil"/>
              <w:left w:val="nil"/>
              <w:bottom w:val="nil"/>
              <w:right w:val="nil"/>
            </w:tcBorders>
            <w:shd w:val="clear" w:color="auto" w:fill="auto"/>
            <w:noWrap/>
            <w:vAlign w:val="center"/>
            <w:hideMark/>
          </w:tcPr>
          <w:p w14:paraId="2946F0CF"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33,0</w:t>
            </w:r>
          </w:p>
        </w:tc>
        <w:tc>
          <w:tcPr>
            <w:tcW w:w="787" w:type="dxa"/>
            <w:tcBorders>
              <w:top w:val="nil"/>
              <w:left w:val="nil"/>
              <w:bottom w:val="nil"/>
              <w:right w:val="nil"/>
            </w:tcBorders>
            <w:shd w:val="clear" w:color="auto" w:fill="auto"/>
            <w:noWrap/>
            <w:vAlign w:val="center"/>
            <w:hideMark/>
          </w:tcPr>
          <w:p w14:paraId="219104DA"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26,1</w:t>
            </w:r>
          </w:p>
        </w:tc>
        <w:tc>
          <w:tcPr>
            <w:tcW w:w="787" w:type="dxa"/>
            <w:tcBorders>
              <w:top w:val="nil"/>
              <w:left w:val="nil"/>
              <w:bottom w:val="nil"/>
              <w:right w:val="nil"/>
            </w:tcBorders>
            <w:vAlign w:val="center"/>
          </w:tcPr>
          <w:p w14:paraId="5373D5E4" w14:textId="77777777" w:rsidR="005F17A0" w:rsidRPr="00C459A3" w:rsidRDefault="005F17A0" w:rsidP="00245F95">
            <w:pPr>
              <w:spacing w:after="0" w:line="240" w:lineRule="auto"/>
              <w:jc w:val="center"/>
              <w:rPr>
                <w:rFonts w:cs="Arial"/>
                <w:color w:val="000000"/>
                <w:sz w:val="16"/>
                <w:szCs w:val="16"/>
              </w:rPr>
            </w:pPr>
            <w:r>
              <w:rPr>
                <w:rFonts w:cs="Arial"/>
                <w:color w:val="000000"/>
                <w:sz w:val="16"/>
                <w:szCs w:val="16"/>
              </w:rPr>
              <w:t>31,9</w:t>
            </w:r>
          </w:p>
        </w:tc>
      </w:tr>
      <w:tr w:rsidR="005F17A0" w:rsidRPr="003F5663" w14:paraId="6BCA9317" w14:textId="77777777" w:rsidTr="00245F95">
        <w:trPr>
          <w:trHeight w:val="300"/>
        </w:trPr>
        <w:tc>
          <w:tcPr>
            <w:tcW w:w="787" w:type="dxa"/>
            <w:tcBorders>
              <w:top w:val="nil"/>
              <w:left w:val="nil"/>
              <w:bottom w:val="nil"/>
              <w:right w:val="single" w:sz="4" w:space="0" w:color="auto"/>
            </w:tcBorders>
            <w:shd w:val="clear" w:color="auto" w:fill="auto"/>
            <w:noWrap/>
            <w:vAlign w:val="center"/>
            <w:hideMark/>
          </w:tcPr>
          <w:p w14:paraId="6E75BB37" w14:textId="77777777" w:rsidR="005F17A0" w:rsidRPr="003F5663" w:rsidRDefault="005F17A0" w:rsidP="00245F95">
            <w:pPr>
              <w:spacing w:after="0" w:line="240" w:lineRule="auto"/>
              <w:ind w:firstLineChars="100" w:firstLine="160"/>
              <w:rPr>
                <w:rFonts w:cs="Arial"/>
                <w:color w:val="000000"/>
                <w:sz w:val="16"/>
                <w:szCs w:val="16"/>
              </w:rPr>
            </w:pPr>
            <w:r w:rsidRPr="00C459A3">
              <w:rPr>
                <w:rFonts w:cs="Arial"/>
                <w:color w:val="000000"/>
                <w:sz w:val="16"/>
                <w:szCs w:val="16"/>
              </w:rPr>
              <w:t>ženy</w:t>
            </w:r>
          </w:p>
        </w:tc>
        <w:tc>
          <w:tcPr>
            <w:tcW w:w="869" w:type="dxa"/>
            <w:tcBorders>
              <w:top w:val="nil"/>
              <w:left w:val="nil"/>
              <w:bottom w:val="nil"/>
              <w:right w:val="nil"/>
            </w:tcBorders>
            <w:shd w:val="clear" w:color="auto" w:fill="auto"/>
            <w:noWrap/>
            <w:vAlign w:val="center"/>
            <w:hideMark/>
          </w:tcPr>
          <w:p w14:paraId="359C31AE"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45,5</w:t>
            </w:r>
          </w:p>
        </w:tc>
        <w:tc>
          <w:tcPr>
            <w:tcW w:w="787" w:type="dxa"/>
            <w:tcBorders>
              <w:top w:val="nil"/>
              <w:left w:val="nil"/>
              <w:bottom w:val="nil"/>
              <w:right w:val="nil"/>
            </w:tcBorders>
            <w:shd w:val="clear" w:color="auto" w:fill="auto"/>
            <w:noWrap/>
            <w:vAlign w:val="center"/>
            <w:hideMark/>
          </w:tcPr>
          <w:p w14:paraId="442AAE10"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48,0</w:t>
            </w:r>
          </w:p>
        </w:tc>
        <w:tc>
          <w:tcPr>
            <w:tcW w:w="787" w:type="dxa"/>
            <w:tcBorders>
              <w:top w:val="nil"/>
              <w:left w:val="nil"/>
              <w:bottom w:val="nil"/>
              <w:right w:val="nil"/>
            </w:tcBorders>
            <w:shd w:val="clear" w:color="auto" w:fill="auto"/>
            <w:noWrap/>
            <w:vAlign w:val="center"/>
            <w:hideMark/>
          </w:tcPr>
          <w:p w14:paraId="34646B16"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44,8</w:t>
            </w:r>
          </w:p>
        </w:tc>
        <w:tc>
          <w:tcPr>
            <w:tcW w:w="787" w:type="dxa"/>
            <w:tcBorders>
              <w:top w:val="nil"/>
              <w:left w:val="nil"/>
              <w:bottom w:val="nil"/>
              <w:right w:val="nil"/>
            </w:tcBorders>
            <w:shd w:val="clear" w:color="auto" w:fill="auto"/>
            <w:noWrap/>
            <w:vAlign w:val="center"/>
            <w:hideMark/>
          </w:tcPr>
          <w:p w14:paraId="0B6D0B94"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45,2</w:t>
            </w:r>
          </w:p>
        </w:tc>
        <w:tc>
          <w:tcPr>
            <w:tcW w:w="787" w:type="dxa"/>
            <w:tcBorders>
              <w:top w:val="nil"/>
              <w:left w:val="nil"/>
              <w:bottom w:val="nil"/>
              <w:right w:val="nil"/>
            </w:tcBorders>
            <w:shd w:val="clear" w:color="auto" w:fill="auto"/>
            <w:noWrap/>
            <w:vAlign w:val="center"/>
            <w:hideMark/>
          </w:tcPr>
          <w:p w14:paraId="7161E569"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44,3</w:t>
            </w:r>
          </w:p>
        </w:tc>
        <w:tc>
          <w:tcPr>
            <w:tcW w:w="787" w:type="dxa"/>
            <w:tcBorders>
              <w:top w:val="nil"/>
              <w:left w:val="nil"/>
              <w:bottom w:val="nil"/>
              <w:right w:val="nil"/>
            </w:tcBorders>
            <w:shd w:val="clear" w:color="auto" w:fill="auto"/>
            <w:noWrap/>
            <w:vAlign w:val="center"/>
            <w:hideMark/>
          </w:tcPr>
          <w:p w14:paraId="53AAD345"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43,0</w:t>
            </w:r>
          </w:p>
        </w:tc>
        <w:tc>
          <w:tcPr>
            <w:tcW w:w="787" w:type="dxa"/>
            <w:tcBorders>
              <w:top w:val="nil"/>
              <w:left w:val="nil"/>
              <w:bottom w:val="nil"/>
              <w:right w:val="nil"/>
            </w:tcBorders>
            <w:shd w:val="clear" w:color="auto" w:fill="auto"/>
            <w:noWrap/>
            <w:vAlign w:val="center"/>
            <w:hideMark/>
          </w:tcPr>
          <w:p w14:paraId="5B77EE15"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43,6</w:t>
            </w:r>
          </w:p>
        </w:tc>
        <w:tc>
          <w:tcPr>
            <w:tcW w:w="787" w:type="dxa"/>
            <w:tcBorders>
              <w:top w:val="nil"/>
              <w:left w:val="nil"/>
              <w:bottom w:val="nil"/>
              <w:right w:val="nil"/>
            </w:tcBorders>
            <w:shd w:val="clear" w:color="auto" w:fill="auto"/>
            <w:noWrap/>
            <w:vAlign w:val="center"/>
            <w:hideMark/>
          </w:tcPr>
          <w:p w14:paraId="22F58AAD"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40,9</w:t>
            </w:r>
          </w:p>
        </w:tc>
        <w:tc>
          <w:tcPr>
            <w:tcW w:w="787" w:type="dxa"/>
            <w:tcBorders>
              <w:top w:val="nil"/>
              <w:left w:val="nil"/>
              <w:bottom w:val="nil"/>
              <w:right w:val="nil"/>
            </w:tcBorders>
            <w:shd w:val="clear" w:color="auto" w:fill="auto"/>
            <w:noWrap/>
            <w:vAlign w:val="center"/>
            <w:hideMark/>
          </w:tcPr>
          <w:p w14:paraId="40D5C9AB"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35,9</w:t>
            </w:r>
          </w:p>
        </w:tc>
        <w:tc>
          <w:tcPr>
            <w:tcW w:w="787" w:type="dxa"/>
            <w:tcBorders>
              <w:top w:val="nil"/>
              <w:left w:val="nil"/>
              <w:bottom w:val="nil"/>
              <w:right w:val="nil"/>
            </w:tcBorders>
            <w:shd w:val="clear" w:color="auto" w:fill="auto"/>
            <w:noWrap/>
            <w:vAlign w:val="center"/>
            <w:hideMark/>
          </w:tcPr>
          <w:p w14:paraId="64A66F26" w14:textId="77777777" w:rsidR="005F17A0" w:rsidRPr="003F5663" w:rsidRDefault="005F17A0" w:rsidP="00245F95">
            <w:pPr>
              <w:spacing w:after="0" w:line="240" w:lineRule="auto"/>
              <w:jc w:val="center"/>
              <w:rPr>
                <w:rFonts w:cs="Arial"/>
                <w:color w:val="000000"/>
                <w:sz w:val="16"/>
                <w:szCs w:val="16"/>
              </w:rPr>
            </w:pPr>
            <w:r w:rsidRPr="00C459A3">
              <w:rPr>
                <w:rFonts w:cs="Arial"/>
                <w:color w:val="000000"/>
                <w:sz w:val="16"/>
                <w:szCs w:val="16"/>
              </w:rPr>
              <w:t>26,6</w:t>
            </w:r>
          </w:p>
        </w:tc>
        <w:tc>
          <w:tcPr>
            <w:tcW w:w="787" w:type="dxa"/>
            <w:tcBorders>
              <w:top w:val="nil"/>
              <w:left w:val="nil"/>
              <w:bottom w:val="nil"/>
              <w:right w:val="nil"/>
            </w:tcBorders>
            <w:vAlign w:val="center"/>
          </w:tcPr>
          <w:p w14:paraId="6002F053" w14:textId="77777777" w:rsidR="005F17A0" w:rsidRPr="00C459A3" w:rsidRDefault="005F17A0" w:rsidP="00245F95">
            <w:pPr>
              <w:spacing w:after="0" w:line="240" w:lineRule="auto"/>
              <w:jc w:val="center"/>
              <w:rPr>
                <w:rFonts w:cs="Arial"/>
                <w:color w:val="000000"/>
                <w:sz w:val="16"/>
                <w:szCs w:val="16"/>
              </w:rPr>
            </w:pPr>
            <w:r>
              <w:rPr>
                <w:rFonts w:cs="Arial"/>
                <w:color w:val="000000"/>
                <w:sz w:val="16"/>
                <w:szCs w:val="16"/>
              </w:rPr>
              <w:t>31,0</w:t>
            </w:r>
          </w:p>
        </w:tc>
      </w:tr>
    </w:tbl>
    <w:p w14:paraId="5579CB9F" w14:textId="77777777" w:rsidR="005F17A0" w:rsidRDefault="005F17A0" w:rsidP="005F17A0">
      <w:pPr>
        <w:spacing w:before="120" w:after="120" w:line="240" w:lineRule="auto"/>
        <w:jc w:val="both"/>
        <w:rPr>
          <w:rFonts w:cs="Arial"/>
          <w:color w:val="000000"/>
          <w:sz w:val="16"/>
          <w:szCs w:val="16"/>
        </w:rPr>
      </w:pPr>
      <w:r>
        <w:t xml:space="preserve"> </w:t>
      </w:r>
      <w:r>
        <w:rPr>
          <w:rFonts w:cs="Arial"/>
          <w:color w:val="000000"/>
          <w:sz w:val="16"/>
          <w:szCs w:val="16"/>
        </w:rPr>
        <w:t>* Údaje za rok 2022 nejsou srovnatelné s údaji za ostatní roky.</w:t>
      </w:r>
    </w:p>
    <w:p w14:paraId="3C856CC0" w14:textId="77777777" w:rsidR="005F17A0" w:rsidRDefault="005F17A0" w:rsidP="005F17A0">
      <w:pPr>
        <w:spacing w:before="120" w:after="120" w:line="240" w:lineRule="auto"/>
        <w:jc w:val="both"/>
        <w:rPr>
          <w:rFonts w:cs="Arial"/>
          <w:color w:val="000000"/>
          <w:sz w:val="16"/>
          <w:szCs w:val="16"/>
        </w:rPr>
      </w:pPr>
      <w:r w:rsidRPr="00554433">
        <w:rPr>
          <w:rFonts w:cs="Arial"/>
          <w:color w:val="000000"/>
          <w:sz w:val="16"/>
          <w:szCs w:val="16"/>
        </w:rPr>
        <w:t>Zdroj: ČSÚ</w:t>
      </w:r>
    </w:p>
    <w:p w14:paraId="65531F9B" w14:textId="50879767" w:rsidR="00FC18CE" w:rsidRDefault="009C0EB6" w:rsidP="009C0EB6">
      <w:pPr>
        <w:spacing w:before="120" w:after="120"/>
        <w:jc w:val="both"/>
      </w:pPr>
      <w:r w:rsidRPr="00251BF8">
        <w:t xml:space="preserve">Jak již bylo zmíněno výše, dočasná pracovní neschopnost v roce 2023 trvala v průměru 31 dnů. </w:t>
      </w:r>
      <w:r w:rsidRPr="00251BF8">
        <w:rPr>
          <w:b/>
        </w:rPr>
        <w:t xml:space="preserve">Odvětvím </w:t>
      </w:r>
      <w:r w:rsidRPr="00251BF8">
        <w:t>s</w:t>
      </w:r>
      <w:r w:rsidR="009369EC">
        <w:t> </w:t>
      </w:r>
      <w:r w:rsidRPr="00251BF8">
        <w:t>nejvyšší průměrnou délkou trvání případu bylo Zemědělství, lesnictví, rybářství (45 dnů) spolu se sekcemi </w:t>
      </w:r>
      <w:r w:rsidRPr="00FC18CE">
        <w:t>Ubytování, stravování a pohostinství</w:t>
      </w:r>
      <w:r w:rsidRPr="00251BF8">
        <w:t xml:space="preserve"> a Stavebnictví (43, resp. 42 dnů). Více než 40denní neschopnost dále vykazovala sekce Těžba a dobývání.</w:t>
      </w:r>
    </w:p>
    <w:p w14:paraId="2C978FD0" w14:textId="77777777" w:rsidR="00FC18CE" w:rsidRDefault="00FC18CE">
      <w:pPr>
        <w:spacing w:after="0" w:line="240" w:lineRule="auto"/>
      </w:pPr>
      <w:r>
        <w:br w:type="page"/>
      </w:r>
    </w:p>
    <w:p w14:paraId="0B7756DE" w14:textId="63F5BDB8" w:rsidR="009C0EB6" w:rsidRPr="009C0EB6" w:rsidRDefault="009C0EB6" w:rsidP="009C0EB6">
      <w:pPr>
        <w:spacing w:after="0" w:line="240" w:lineRule="auto"/>
        <w:jc w:val="both"/>
        <w:rPr>
          <w:rFonts w:cs="Arial"/>
          <w:b/>
          <w:bCs/>
          <w:color w:val="000000"/>
          <w:szCs w:val="20"/>
        </w:rPr>
      </w:pPr>
      <w:r w:rsidRPr="009C0EB6">
        <w:rPr>
          <w:rFonts w:cs="Arial"/>
          <w:b/>
          <w:bCs/>
          <w:color w:val="000000"/>
          <w:szCs w:val="20"/>
        </w:rPr>
        <w:lastRenderedPageBreak/>
        <w:t>Graf 2.</w:t>
      </w:r>
      <w:r>
        <w:rPr>
          <w:rFonts w:cs="Arial"/>
          <w:b/>
          <w:bCs/>
          <w:color w:val="000000"/>
          <w:szCs w:val="20"/>
        </w:rPr>
        <w:t>9</w:t>
      </w:r>
      <w:r w:rsidRPr="009C0EB6">
        <w:rPr>
          <w:rFonts w:cs="Arial"/>
          <w:b/>
          <w:bCs/>
          <w:color w:val="000000"/>
          <w:szCs w:val="20"/>
        </w:rPr>
        <w:t>: Průměrná délka trvání dočasné pracovní neschopnosti podle odvětví (sekce CZ-NACE), 2023</w:t>
      </w:r>
    </w:p>
    <w:p w14:paraId="26735BF1" w14:textId="6E5C8013" w:rsidR="009C0EB6" w:rsidRPr="0001459D" w:rsidRDefault="009C0EB6" w:rsidP="009C0EB6">
      <w:pPr>
        <w:spacing w:before="120" w:after="120"/>
        <w:jc w:val="both"/>
      </w:pPr>
      <w:r>
        <w:rPr>
          <w:noProof/>
        </w:rPr>
        <w:drawing>
          <wp:inline distT="0" distB="0" distL="0" distR="0" wp14:anchorId="6DAA39EF" wp14:editId="78E347A0">
            <wp:extent cx="6120130" cy="4208145"/>
            <wp:effectExtent l="0" t="0" r="13970" b="190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5B237E" w14:textId="77777777" w:rsidR="009C0EB6" w:rsidRDefault="009C0EB6" w:rsidP="009C0EB6">
      <w:pPr>
        <w:spacing w:before="120" w:after="120" w:line="240" w:lineRule="auto"/>
        <w:jc w:val="both"/>
        <w:rPr>
          <w:rFonts w:cs="Arial"/>
          <w:color w:val="000000"/>
          <w:sz w:val="16"/>
          <w:szCs w:val="16"/>
        </w:rPr>
      </w:pPr>
      <w:r w:rsidRPr="00554433">
        <w:rPr>
          <w:rFonts w:cs="Arial"/>
          <w:color w:val="000000"/>
          <w:sz w:val="16"/>
          <w:szCs w:val="16"/>
        </w:rPr>
        <w:t>Zdroj: ČSÚ</w:t>
      </w:r>
    </w:p>
    <w:p w14:paraId="25E91514" w14:textId="1AC39927" w:rsidR="009C0EB6" w:rsidRDefault="009C0EB6" w:rsidP="009C0EB6">
      <w:pPr>
        <w:spacing w:before="120" w:after="120"/>
        <w:jc w:val="both"/>
      </w:pPr>
      <w:r w:rsidRPr="00251BF8">
        <w:t>Nejkratší doba (18, resp. 20</w:t>
      </w:r>
      <w:r w:rsidR="00797463" w:rsidRPr="00251BF8">
        <w:t xml:space="preserve"> </w:t>
      </w:r>
      <w:r w:rsidRPr="00251BF8">
        <w:t>dnů) připadala na pracovní neschopnost v odvětví Informační a komunikační činnosti a Vzdělávání. Dalším odvětvím s poměrně nízkou průměrnou délkou pracovní neschopnosti byla sekce Peněžnictví a pojišťovnictví (22 dnů). Podrobněji viz graf 2.9 a tab. 2.</w:t>
      </w:r>
      <w:r w:rsidR="001010F1" w:rsidRPr="00251BF8">
        <w:t>5</w:t>
      </w:r>
      <w:r w:rsidRPr="00251BF8">
        <w:t>.</w:t>
      </w:r>
    </w:p>
    <w:p w14:paraId="4B4F971A" w14:textId="2792A4F1" w:rsidR="003D7FCF" w:rsidRPr="00E26CDE" w:rsidRDefault="003D7FCF" w:rsidP="009C0EB6">
      <w:pPr>
        <w:spacing w:after="120"/>
        <w:jc w:val="both"/>
      </w:pPr>
      <w:r>
        <w:t xml:space="preserve">Oproti roku 2019 </w:t>
      </w:r>
      <w:r w:rsidR="009369EC">
        <w:t>došlo k poklesu ve všech odvětvových sekcích</w:t>
      </w:r>
      <w:r w:rsidR="00B920BC">
        <w:t>, v průměru to bylo o 11 dnů (o čtvrtinu)</w:t>
      </w:r>
      <w:r w:rsidR="009369EC">
        <w:t>. Nejvíce v sekci</w:t>
      </w:r>
      <w:r>
        <w:t xml:space="preserve"> Zdravotní a sociální péč</w:t>
      </w:r>
      <w:r w:rsidR="00D05A05">
        <w:t>e</w:t>
      </w:r>
      <w:r w:rsidR="009369EC">
        <w:t>, a</w:t>
      </w:r>
      <w:r w:rsidR="00B920BC">
        <w:t> </w:t>
      </w:r>
      <w:r w:rsidR="009369EC">
        <w:t>sice</w:t>
      </w:r>
      <w:r>
        <w:t xml:space="preserve"> o 14 dnů (</w:t>
      </w:r>
      <w:r w:rsidR="0056643C">
        <w:t>30 %)</w:t>
      </w:r>
      <w:r w:rsidR="009369EC">
        <w:t>. Největší relativní pokles byl zaznamenán</w:t>
      </w:r>
      <w:r w:rsidR="0056643C">
        <w:t xml:space="preserve"> v</w:t>
      </w:r>
      <w:r w:rsidR="00957C5B">
        <w:t> </w:t>
      </w:r>
      <w:r w:rsidR="009369EC">
        <w:t xml:space="preserve">sekci Vzdělávání </w:t>
      </w:r>
      <w:r>
        <w:t xml:space="preserve">o </w:t>
      </w:r>
      <w:r w:rsidR="0056643C">
        <w:t>36 %</w:t>
      </w:r>
      <w:r w:rsidR="009369EC">
        <w:t>, což představuje zkrácení o 11 dnů</w:t>
      </w:r>
      <w:r w:rsidR="00B920BC">
        <w:t>.</w:t>
      </w:r>
    </w:p>
    <w:p w14:paraId="023BED5E" w14:textId="77777777" w:rsidR="00B920BC" w:rsidRPr="00251BF8" w:rsidRDefault="00B920BC" w:rsidP="00B920BC">
      <w:pPr>
        <w:spacing w:before="120" w:after="120"/>
        <w:jc w:val="both"/>
      </w:pPr>
      <w:r w:rsidRPr="00251BF8">
        <w:rPr>
          <w:b/>
        </w:rPr>
        <w:t>Osoby samostatně výdělečně činné (OSVČ)</w:t>
      </w:r>
      <w:r w:rsidRPr="00251BF8">
        <w:t xml:space="preserve"> nastupují do pracovní neschopnosti méně často než zaměstnanci (15 případů na 100 nemocensky pojištěných OSVČ vs. 54 případů u zaměstnanců v roce 2023). Pokud jsou však ze zdravotních důvodů z výkonu práce indisponováni, průměrná délka jejich pracovní neschopnosti značně převyšuje ostatní sledované kategorie velikosti podniku (podle počtu zaměstnanců; viz graf 2.10).</w:t>
      </w:r>
    </w:p>
    <w:p w14:paraId="500DCF38" w14:textId="41DDEA6B" w:rsidR="00B920BC" w:rsidRPr="00251BF8" w:rsidRDefault="00B920BC" w:rsidP="00B920BC">
      <w:pPr>
        <w:spacing w:before="120" w:after="120"/>
        <w:jc w:val="both"/>
      </w:pPr>
      <w:r w:rsidRPr="00251BF8">
        <w:t xml:space="preserve">Dočasná pracovní neschopnost OSVČ v roce 2023 trvala průměrně 100 dní. Delší doba trvání pracovní neschopnosti u OSVČ může souviset se skutečností, že tato skupina pojištěnců v době prvních 14 dnů pracovní neschopnosti není finančně zabezpečena jako ostatní pojištěnci, je jim vypláceno až nemocenské od 15. dne. Vzhledem k tomuto faktu pak krátkodobé případy lehčích forem nemocí neřeší pracovní neschopností, tu si nechávají vystavit až při onemocnění vážnější chorobou, která si pak vyžádá dlouhodobější pracovní neschopnost. </w:t>
      </w:r>
      <w:r w:rsidR="00D05A05">
        <w:t xml:space="preserve">I proto se u OSVČ v porovnání se zaměstnanci tolik neliší délka trvání pracovní neschopnosti z důvodu nemoci a úrazu. </w:t>
      </w:r>
      <w:r w:rsidRPr="00251BF8">
        <w:t>Další možností, kterou OSVČ mohou využít, je sjednání pojištění pracovní neschopnosti u soukromých pojišťoven v rámci životního pojištění. Tomu se však tato publikace nevěnuje.</w:t>
      </w:r>
    </w:p>
    <w:p w14:paraId="66CF78B9" w14:textId="0DC9367D" w:rsidR="00C8357C" w:rsidRDefault="00B920BC" w:rsidP="00D05A05">
      <w:pPr>
        <w:spacing w:before="120" w:after="120"/>
        <w:jc w:val="both"/>
        <w:rPr>
          <w:b/>
          <w:bCs/>
          <w:spacing w:val="-5"/>
        </w:rPr>
      </w:pPr>
      <w:r w:rsidRPr="00251BF8">
        <w:t>U zaměstnanců byla průměrná délka pracovní neschopnosti (bez ohledu na příčinu) ve srovnání s OSVČ zhruba třetinová (31 dnů). Nejdelší zaznamenaly malé podniky mající do 49 zaměstnanců (36 dnů). V ostatních velikostních kategoriích se tato hodnota pohybovala okolo 30 dnů.</w:t>
      </w:r>
      <w:r w:rsidR="00C8357C">
        <w:rPr>
          <w:b/>
          <w:bCs/>
          <w:spacing w:val="-5"/>
        </w:rPr>
        <w:br w:type="page"/>
      </w:r>
    </w:p>
    <w:p w14:paraId="0391A795" w14:textId="7D29052A" w:rsidR="007F25C1" w:rsidRPr="00986950" w:rsidRDefault="007F25C1" w:rsidP="007F25C1">
      <w:pPr>
        <w:spacing w:before="120" w:after="0"/>
        <w:jc w:val="both"/>
        <w:rPr>
          <w:rFonts w:cs="Arial"/>
          <w:color w:val="000000"/>
          <w:spacing w:val="-5"/>
          <w:sz w:val="16"/>
          <w:szCs w:val="16"/>
        </w:rPr>
      </w:pPr>
      <w:r w:rsidRPr="00986950">
        <w:rPr>
          <w:b/>
          <w:bCs/>
          <w:spacing w:val="-5"/>
        </w:rPr>
        <w:lastRenderedPageBreak/>
        <w:t>Tab. 2.</w:t>
      </w:r>
      <w:r w:rsidR="00797463">
        <w:rPr>
          <w:b/>
          <w:bCs/>
          <w:spacing w:val="-5"/>
        </w:rPr>
        <w:t>5</w:t>
      </w:r>
      <w:r w:rsidRPr="00986950">
        <w:rPr>
          <w:b/>
          <w:bCs/>
          <w:spacing w:val="-5"/>
        </w:rPr>
        <w:t>: Průměrná délka trvání dočasné pracovní neschopnosti podle odvětví (sekce CZ-NACE), 201</w:t>
      </w:r>
      <w:r>
        <w:rPr>
          <w:b/>
          <w:bCs/>
          <w:spacing w:val="-5"/>
        </w:rPr>
        <w:t>3–2023</w:t>
      </w:r>
      <w:r w:rsidRPr="00986950">
        <w:rPr>
          <w:rFonts w:cs="Arial"/>
          <w:color w:val="000000"/>
          <w:spacing w:val="-5"/>
          <w:sz w:val="16"/>
          <w:szCs w:val="16"/>
        </w:rPr>
        <w:t xml:space="preserve"> </w:t>
      </w:r>
    </w:p>
    <w:tbl>
      <w:tblPr>
        <w:tblW w:w="9638" w:type="dxa"/>
        <w:tblCellMar>
          <w:left w:w="70" w:type="dxa"/>
          <w:right w:w="70" w:type="dxa"/>
        </w:tblCellMar>
        <w:tblLook w:val="04A0" w:firstRow="1" w:lastRow="0" w:firstColumn="1" w:lastColumn="0" w:noHBand="0" w:noVBand="1"/>
      </w:tblPr>
      <w:tblGrid>
        <w:gridCol w:w="3401"/>
        <w:gridCol w:w="567"/>
        <w:gridCol w:w="567"/>
        <w:gridCol w:w="567"/>
        <w:gridCol w:w="567"/>
        <w:gridCol w:w="567"/>
        <w:gridCol w:w="567"/>
        <w:gridCol w:w="567"/>
        <w:gridCol w:w="567"/>
        <w:gridCol w:w="567"/>
        <w:gridCol w:w="567"/>
        <w:gridCol w:w="567"/>
      </w:tblGrid>
      <w:tr w:rsidR="007F25C1" w:rsidRPr="00986950" w14:paraId="2F1C9076" w14:textId="106F7BFD" w:rsidTr="00245F95">
        <w:trPr>
          <w:trHeight w:val="300"/>
        </w:trPr>
        <w:tc>
          <w:tcPr>
            <w:tcW w:w="3401" w:type="dxa"/>
            <w:tcBorders>
              <w:top w:val="single" w:sz="4" w:space="0" w:color="auto"/>
              <w:left w:val="nil"/>
              <w:bottom w:val="single" w:sz="4" w:space="0" w:color="auto"/>
              <w:right w:val="single" w:sz="4" w:space="0" w:color="auto"/>
            </w:tcBorders>
            <w:shd w:val="clear" w:color="000000" w:fill="F5DADD"/>
            <w:vAlign w:val="center"/>
            <w:hideMark/>
          </w:tcPr>
          <w:p w14:paraId="05D6BD5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Sekce CZ-NACE</w:t>
            </w:r>
          </w:p>
        </w:tc>
        <w:tc>
          <w:tcPr>
            <w:tcW w:w="567" w:type="dxa"/>
            <w:tcBorders>
              <w:top w:val="single" w:sz="4" w:space="0" w:color="auto"/>
              <w:left w:val="nil"/>
              <w:bottom w:val="single" w:sz="4" w:space="0" w:color="auto"/>
              <w:right w:val="nil"/>
            </w:tcBorders>
            <w:shd w:val="clear" w:color="000000" w:fill="F5DADD"/>
            <w:noWrap/>
            <w:vAlign w:val="center"/>
            <w:hideMark/>
          </w:tcPr>
          <w:p w14:paraId="4F3D5DF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2013</w:t>
            </w:r>
          </w:p>
        </w:tc>
        <w:tc>
          <w:tcPr>
            <w:tcW w:w="567" w:type="dxa"/>
            <w:tcBorders>
              <w:top w:val="single" w:sz="4" w:space="0" w:color="auto"/>
              <w:left w:val="nil"/>
              <w:bottom w:val="single" w:sz="4" w:space="0" w:color="auto"/>
              <w:right w:val="nil"/>
            </w:tcBorders>
            <w:shd w:val="clear" w:color="000000" w:fill="F5DADD"/>
            <w:noWrap/>
            <w:vAlign w:val="center"/>
            <w:hideMark/>
          </w:tcPr>
          <w:p w14:paraId="00499DA1"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2014</w:t>
            </w:r>
          </w:p>
        </w:tc>
        <w:tc>
          <w:tcPr>
            <w:tcW w:w="567" w:type="dxa"/>
            <w:tcBorders>
              <w:top w:val="single" w:sz="4" w:space="0" w:color="auto"/>
              <w:left w:val="nil"/>
              <w:bottom w:val="single" w:sz="4" w:space="0" w:color="auto"/>
              <w:right w:val="nil"/>
            </w:tcBorders>
            <w:shd w:val="clear" w:color="000000" w:fill="F5DADD"/>
            <w:noWrap/>
            <w:vAlign w:val="center"/>
            <w:hideMark/>
          </w:tcPr>
          <w:p w14:paraId="2330CA0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2015</w:t>
            </w:r>
          </w:p>
        </w:tc>
        <w:tc>
          <w:tcPr>
            <w:tcW w:w="567" w:type="dxa"/>
            <w:tcBorders>
              <w:top w:val="single" w:sz="4" w:space="0" w:color="auto"/>
              <w:left w:val="nil"/>
              <w:bottom w:val="single" w:sz="4" w:space="0" w:color="auto"/>
              <w:right w:val="nil"/>
            </w:tcBorders>
            <w:shd w:val="clear" w:color="000000" w:fill="F5DADD"/>
            <w:noWrap/>
            <w:vAlign w:val="center"/>
            <w:hideMark/>
          </w:tcPr>
          <w:p w14:paraId="21C2822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2016</w:t>
            </w:r>
          </w:p>
        </w:tc>
        <w:tc>
          <w:tcPr>
            <w:tcW w:w="567" w:type="dxa"/>
            <w:tcBorders>
              <w:top w:val="single" w:sz="4" w:space="0" w:color="auto"/>
              <w:left w:val="nil"/>
              <w:bottom w:val="single" w:sz="4" w:space="0" w:color="auto"/>
              <w:right w:val="nil"/>
            </w:tcBorders>
            <w:shd w:val="clear" w:color="000000" w:fill="F5DADD"/>
            <w:noWrap/>
            <w:vAlign w:val="center"/>
            <w:hideMark/>
          </w:tcPr>
          <w:p w14:paraId="3E06CDD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2017</w:t>
            </w:r>
          </w:p>
        </w:tc>
        <w:tc>
          <w:tcPr>
            <w:tcW w:w="567" w:type="dxa"/>
            <w:tcBorders>
              <w:top w:val="single" w:sz="4" w:space="0" w:color="auto"/>
              <w:left w:val="nil"/>
              <w:bottom w:val="single" w:sz="4" w:space="0" w:color="auto"/>
              <w:right w:val="nil"/>
            </w:tcBorders>
            <w:shd w:val="clear" w:color="000000" w:fill="F5DADD"/>
            <w:noWrap/>
            <w:vAlign w:val="center"/>
            <w:hideMark/>
          </w:tcPr>
          <w:p w14:paraId="2614284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2018</w:t>
            </w:r>
          </w:p>
        </w:tc>
        <w:tc>
          <w:tcPr>
            <w:tcW w:w="567" w:type="dxa"/>
            <w:tcBorders>
              <w:top w:val="single" w:sz="4" w:space="0" w:color="auto"/>
              <w:left w:val="nil"/>
              <w:bottom w:val="single" w:sz="4" w:space="0" w:color="auto"/>
              <w:right w:val="nil"/>
            </w:tcBorders>
            <w:shd w:val="clear" w:color="000000" w:fill="F5DADD"/>
            <w:noWrap/>
            <w:vAlign w:val="center"/>
            <w:hideMark/>
          </w:tcPr>
          <w:p w14:paraId="6E5AA80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2019</w:t>
            </w:r>
          </w:p>
        </w:tc>
        <w:tc>
          <w:tcPr>
            <w:tcW w:w="567" w:type="dxa"/>
            <w:tcBorders>
              <w:top w:val="single" w:sz="4" w:space="0" w:color="auto"/>
              <w:left w:val="nil"/>
              <w:bottom w:val="single" w:sz="4" w:space="0" w:color="auto"/>
              <w:right w:val="nil"/>
            </w:tcBorders>
            <w:shd w:val="clear" w:color="000000" w:fill="F5DADD"/>
            <w:noWrap/>
            <w:vAlign w:val="center"/>
            <w:hideMark/>
          </w:tcPr>
          <w:p w14:paraId="26EBF147"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2020</w:t>
            </w:r>
          </w:p>
        </w:tc>
        <w:tc>
          <w:tcPr>
            <w:tcW w:w="567" w:type="dxa"/>
            <w:tcBorders>
              <w:top w:val="single" w:sz="4" w:space="0" w:color="auto"/>
              <w:bottom w:val="single" w:sz="4" w:space="0" w:color="auto"/>
            </w:tcBorders>
            <w:shd w:val="clear" w:color="auto" w:fill="F5DADD"/>
            <w:vAlign w:val="center"/>
          </w:tcPr>
          <w:p w14:paraId="4493EC36" w14:textId="77777777" w:rsidR="007F25C1" w:rsidRPr="00986950" w:rsidRDefault="007F25C1" w:rsidP="007F25C1">
            <w:pPr>
              <w:spacing w:after="0" w:line="240" w:lineRule="auto"/>
              <w:jc w:val="center"/>
            </w:pPr>
            <w:r w:rsidRPr="00986950">
              <w:rPr>
                <w:rFonts w:cs="Arial"/>
                <w:color w:val="000000"/>
                <w:sz w:val="16"/>
                <w:szCs w:val="16"/>
              </w:rPr>
              <w:t>2021</w:t>
            </w:r>
          </w:p>
        </w:tc>
        <w:tc>
          <w:tcPr>
            <w:tcW w:w="567" w:type="dxa"/>
            <w:tcBorders>
              <w:top w:val="single" w:sz="4" w:space="0" w:color="auto"/>
              <w:bottom w:val="single" w:sz="4" w:space="0" w:color="auto"/>
            </w:tcBorders>
            <w:shd w:val="clear" w:color="auto" w:fill="F5DADD"/>
            <w:vAlign w:val="center"/>
          </w:tcPr>
          <w:p w14:paraId="79D9AF07" w14:textId="63E5995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2022</w:t>
            </w:r>
            <w:r>
              <w:rPr>
                <w:rFonts w:cs="Arial"/>
                <w:color w:val="000000"/>
                <w:sz w:val="16"/>
                <w:szCs w:val="16"/>
              </w:rPr>
              <w:t>*</w:t>
            </w:r>
          </w:p>
        </w:tc>
        <w:tc>
          <w:tcPr>
            <w:tcW w:w="567" w:type="dxa"/>
            <w:tcBorders>
              <w:top w:val="single" w:sz="4" w:space="0" w:color="auto"/>
              <w:bottom w:val="single" w:sz="4" w:space="0" w:color="auto"/>
            </w:tcBorders>
            <w:shd w:val="clear" w:color="auto" w:fill="F5DADD"/>
            <w:vAlign w:val="center"/>
          </w:tcPr>
          <w:p w14:paraId="1FF443FF" w14:textId="252CD905" w:rsidR="007F25C1" w:rsidRPr="00986950" w:rsidRDefault="007F25C1" w:rsidP="007F25C1">
            <w:pPr>
              <w:spacing w:after="0" w:line="240" w:lineRule="auto"/>
              <w:jc w:val="center"/>
              <w:rPr>
                <w:rFonts w:cs="Arial"/>
                <w:color w:val="000000"/>
                <w:sz w:val="16"/>
                <w:szCs w:val="16"/>
              </w:rPr>
            </w:pPr>
            <w:r>
              <w:rPr>
                <w:rFonts w:cs="Arial"/>
                <w:color w:val="000000"/>
                <w:sz w:val="16"/>
                <w:szCs w:val="16"/>
              </w:rPr>
              <w:t>2023</w:t>
            </w:r>
          </w:p>
        </w:tc>
      </w:tr>
      <w:tr w:rsidR="007F25C1" w:rsidRPr="00986950" w14:paraId="1B6C6BE6" w14:textId="78E1521E" w:rsidTr="00245F95">
        <w:trPr>
          <w:trHeight w:val="300"/>
        </w:trPr>
        <w:tc>
          <w:tcPr>
            <w:tcW w:w="3401" w:type="dxa"/>
            <w:tcBorders>
              <w:top w:val="nil"/>
              <w:left w:val="nil"/>
              <w:bottom w:val="nil"/>
              <w:right w:val="single" w:sz="4" w:space="0" w:color="auto"/>
            </w:tcBorders>
            <w:shd w:val="clear" w:color="auto" w:fill="auto"/>
            <w:vAlign w:val="center"/>
            <w:hideMark/>
          </w:tcPr>
          <w:p w14:paraId="75DECE83" w14:textId="77777777" w:rsidR="007F25C1" w:rsidRPr="00986950" w:rsidRDefault="007F25C1" w:rsidP="007F25C1">
            <w:pPr>
              <w:spacing w:after="0" w:line="240" w:lineRule="auto"/>
              <w:rPr>
                <w:rFonts w:cs="Arial"/>
                <w:b/>
                <w:bCs/>
                <w:color w:val="000000"/>
                <w:sz w:val="16"/>
                <w:szCs w:val="16"/>
              </w:rPr>
            </w:pPr>
            <w:r w:rsidRPr="00986950">
              <w:rPr>
                <w:rFonts w:cs="Arial"/>
                <w:b/>
                <w:bCs/>
                <w:color w:val="000000"/>
                <w:sz w:val="16"/>
                <w:szCs w:val="16"/>
              </w:rPr>
              <w:t>Celkem</w:t>
            </w:r>
          </w:p>
        </w:tc>
        <w:tc>
          <w:tcPr>
            <w:tcW w:w="567" w:type="dxa"/>
            <w:tcBorders>
              <w:top w:val="nil"/>
              <w:left w:val="nil"/>
              <w:bottom w:val="nil"/>
              <w:right w:val="nil"/>
            </w:tcBorders>
            <w:shd w:val="clear" w:color="auto" w:fill="auto"/>
            <w:noWrap/>
            <w:vAlign w:val="center"/>
            <w:hideMark/>
          </w:tcPr>
          <w:p w14:paraId="0A6D1303" w14:textId="77777777" w:rsidR="007F25C1" w:rsidRPr="00986950" w:rsidRDefault="007F25C1" w:rsidP="007F25C1">
            <w:pPr>
              <w:spacing w:after="0" w:line="240" w:lineRule="auto"/>
              <w:jc w:val="center"/>
              <w:rPr>
                <w:rFonts w:cs="Arial"/>
                <w:b/>
                <w:bCs/>
                <w:color w:val="000000"/>
                <w:sz w:val="16"/>
                <w:szCs w:val="16"/>
              </w:rPr>
            </w:pPr>
            <w:r w:rsidRPr="00986950">
              <w:rPr>
                <w:rFonts w:cs="Arial"/>
                <w:b/>
                <w:bCs/>
                <w:color w:val="000000"/>
                <w:sz w:val="16"/>
                <w:szCs w:val="16"/>
              </w:rPr>
              <w:t>44,0</w:t>
            </w:r>
          </w:p>
        </w:tc>
        <w:tc>
          <w:tcPr>
            <w:tcW w:w="567" w:type="dxa"/>
            <w:tcBorders>
              <w:top w:val="nil"/>
              <w:left w:val="nil"/>
              <w:bottom w:val="nil"/>
              <w:right w:val="nil"/>
            </w:tcBorders>
            <w:shd w:val="clear" w:color="auto" w:fill="auto"/>
            <w:noWrap/>
            <w:vAlign w:val="center"/>
            <w:hideMark/>
          </w:tcPr>
          <w:p w14:paraId="157F0361" w14:textId="77777777" w:rsidR="007F25C1" w:rsidRPr="00986950" w:rsidRDefault="007F25C1" w:rsidP="007F25C1">
            <w:pPr>
              <w:spacing w:after="0" w:line="240" w:lineRule="auto"/>
              <w:jc w:val="center"/>
              <w:rPr>
                <w:rFonts w:cs="Arial"/>
                <w:b/>
                <w:bCs/>
                <w:color w:val="000000"/>
                <w:sz w:val="16"/>
                <w:szCs w:val="16"/>
              </w:rPr>
            </w:pPr>
            <w:r w:rsidRPr="00986950">
              <w:rPr>
                <w:rFonts w:cs="Arial"/>
                <w:b/>
                <w:bCs/>
                <w:color w:val="000000"/>
                <w:sz w:val="16"/>
                <w:szCs w:val="16"/>
              </w:rPr>
              <w:t>45,8</w:t>
            </w:r>
          </w:p>
        </w:tc>
        <w:tc>
          <w:tcPr>
            <w:tcW w:w="567" w:type="dxa"/>
            <w:tcBorders>
              <w:top w:val="nil"/>
              <w:left w:val="nil"/>
              <w:bottom w:val="nil"/>
              <w:right w:val="nil"/>
            </w:tcBorders>
            <w:shd w:val="clear" w:color="auto" w:fill="auto"/>
            <w:noWrap/>
            <w:vAlign w:val="center"/>
            <w:hideMark/>
          </w:tcPr>
          <w:p w14:paraId="44B156F0" w14:textId="77777777" w:rsidR="007F25C1" w:rsidRPr="00986950" w:rsidRDefault="007F25C1" w:rsidP="007F25C1">
            <w:pPr>
              <w:spacing w:after="0" w:line="240" w:lineRule="auto"/>
              <w:jc w:val="center"/>
              <w:rPr>
                <w:rFonts w:cs="Arial"/>
                <w:b/>
                <w:bCs/>
                <w:color w:val="000000"/>
                <w:sz w:val="16"/>
                <w:szCs w:val="16"/>
              </w:rPr>
            </w:pPr>
            <w:r w:rsidRPr="00986950">
              <w:rPr>
                <w:rFonts w:cs="Arial"/>
                <w:b/>
                <w:bCs/>
                <w:color w:val="000000"/>
                <w:sz w:val="16"/>
                <w:szCs w:val="16"/>
              </w:rPr>
              <w:t>42,7</w:t>
            </w:r>
          </w:p>
        </w:tc>
        <w:tc>
          <w:tcPr>
            <w:tcW w:w="567" w:type="dxa"/>
            <w:tcBorders>
              <w:top w:val="nil"/>
              <w:left w:val="nil"/>
              <w:bottom w:val="nil"/>
              <w:right w:val="nil"/>
            </w:tcBorders>
            <w:shd w:val="clear" w:color="auto" w:fill="auto"/>
            <w:noWrap/>
            <w:vAlign w:val="center"/>
            <w:hideMark/>
          </w:tcPr>
          <w:p w14:paraId="6260FF97" w14:textId="77777777" w:rsidR="007F25C1" w:rsidRPr="00986950" w:rsidRDefault="007F25C1" w:rsidP="007F25C1">
            <w:pPr>
              <w:spacing w:after="0" w:line="240" w:lineRule="auto"/>
              <w:jc w:val="center"/>
              <w:rPr>
                <w:rFonts w:cs="Arial"/>
                <w:b/>
                <w:bCs/>
                <w:color w:val="000000"/>
                <w:sz w:val="16"/>
                <w:szCs w:val="16"/>
              </w:rPr>
            </w:pPr>
            <w:r w:rsidRPr="00986950">
              <w:rPr>
                <w:rFonts w:cs="Arial"/>
                <w:b/>
                <w:bCs/>
                <w:color w:val="000000"/>
                <w:sz w:val="16"/>
                <w:szCs w:val="16"/>
              </w:rPr>
              <w:t>43,0</w:t>
            </w:r>
          </w:p>
        </w:tc>
        <w:tc>
          <w:tcPr>
            <w:tcW w:w="567" w:type="dxa"/>
            <w:tcBorders>
              <w:top w:val="nil"/>
              <w:left w:val="nil"/>
              <w:bottom w:val="nil"/>
              <w:right w:val="nil"/>
            </w:tcBorders>
            <w:shd w:val="clear" w:color="auto" w:fill="auto"/>
            <w:noWrap/>
            <w:vAlign w:val="center"/>
            <w:hideMark/>
          </w:tcPr>
          <w:p w14:paraId="3E3A2BDB" w14:textId="77777777" w:rsidR="007F25C1" w:rsidRPr="00986950" w:rsidRDefault="007F25C1" w:rsidP="007F25C1">
            <w:pPr>
              <w:spacing w:after="0" w:line="240" w:lineRule="auto"/>
              <w:jc w:val="center"/>
              <w:rPr>
                <w:rFonts w:cs="Arial"/>
                <w:b/>
                <w:bCs/>
                <w:color w:val="000000"/>
                <w:sz w:val="16"/>
                <w:szCs w:val="16"/>
              </w:rPr>
            </w:pPr>
            <w:r w:rsidRPr="00986950">
              <w:rPr>
                <w:rFonts w:cs="Arial"/>
                <w:b/>
                <w:bCs/>
                <w:color w:val="000000"/>
                <w:sz w:val="16"/>
                <w:szCs w:val="16"/>
              </w:rPr>
              <w:t>42,6</w:t>
            </w:r>
          </w:p>
        </w:tc>
        <w:tc>
          <w:tcPr>
            <w:tcW w:w="567" w:type="dxa"/>
            <w:tcBorders>
              <w:top w:val="nil"/>
              <w:left w:val="nil"/>
              <w:bottom w:val="nil"/>
              <w:right w:val="nil"/>
            </w:tcBorders>
            <w:shd w:val="clear" w:color="auto" w:fill="auto"/>
            <w:noWrap/>
            <w:vAlign w:val="center"/>
            <w:hideMark/>
          </w:tcPr>
          <w:p w14:paraId="58B14EE4" w14:textId="77777777" w:rsidR="007F25C1" w:rsidRPr="00986950" w:rsidRDefault="007F25C1" w:rsidP="007F25C1">
            <w:pPr>
              <w:spacing w:after="0" w:line="240" w:lineRule="auto"/>
              <w:jc w:val="center"/>
              <w:rPr>
                <w:rFonts w:cs="Arial"/>
                <w:b/>
                <w:bCs/>
                <w:color w:val="000000"/>
                <w:sz w:val="16"/>
                <w:szCs w:val="16"/>
              </w:rPr>
            </w:pPr>
            <w:r w:rsidRPr="00986950">
              <w:rPr>
                <w:rFonts w:cs="Arial"/>
                <w:b/>
                <w:bCs/>
                <w:color w:val="000000"/>
                <w:sz w:val="16"/>
                <w:szCs w:val="16"/>
              </w:rPr>
              <w:t>41,7</w:t>
            </w:r>
          </w:p>
        </w:tc>
        <w:tc>
          <w:tcPr>
            <w:tcW w:w="567" w:type="dxa"/>
            <w:tcBorders>
              <w:top w:val="nil"/>
              <w:left w:val="nil"/>
              <w:bottom w:val="nil"/>
              <w:right w:val="nil"/>
            </w:tcBorders>
            <w:shd w:val="clear" w:color="auto" w:fill="auto"/>
            <w:noWrap/>
            <w:vAlign w:val="center"/>
            <w:hideMark/>
          </w:tcPr>
          <w:p w14:paraId="252C74F8" w14:textId="77777777" w:rsidR="007F25C1" w:rsidRPr="00986950" w:rsidRDefault="007F25C1" w:rsidP="007F25C1">
            <w:pPr>
              <w:spacing w:after="0" w:line="240" w:lineRule="auto"/>
              <w:jc w:val="center"/>
              <w:rPr>
                <w:rFonts w:cs="Arial"/>
                <w:b/>
                <w:bCs/>
                <w:color w:val="000000"/>
                <w:sz w:val="16"/>
                <w:szCs w:val="16"/>
              </w:rPr>
            </w:pPr>
            <w:r w:rsidRPr="00986950">
              <w:rPr>
                <w:rFonts w:cs="Arial"/>
                <w:b/>
                <w:bCs/>
                <w:color w:val="000000"/>
                <w:sz w:val="16"/>
                <w:szCs w:val="16"/>
              </w:rPr>
              <w:t>42,4</w:t>
            </w:r>
          </w:p>
        </w:tc>
        <w:tc>
          <w:tcPr>
            <w:tcW w:w="567" w:type="dxa"/>
            <w:tcBorders>
              <w:top w:val="nil"/>
              <w:left w:val="nil"/>
              <w:bottom w:val="nil"/>
              <w:right w:val="nil"/>
            </w:tcBorders>
            <w:shd w:val="clear" w:color="auto" w:fill="auto"/>
            <w:noWrap/>
            <w:vAlign w:val="center"/>
            <w:hideMark/>
          </w:tcPr>
          <w:p w14:paraId="35901667" w14:textId="77777777" w:rsidR="007F25C1" w:rsidRPr="00986950" w:rsidRDefault="007F25C1" w:rsidP="007F25C1">
            <w:pPr>
              <w:spacing w:after="0" w:line="240" w:lineRule="auto"/>
              <w:jc w:val="center"/>
              <w:rPr>
                <w:rFonts w:cs="Arial"/>
                <w:b/>
                <w:bCs/>
                <w:color w:val="000000"/>
                <w:sz w:val="16"/>
                <w:szCs w:val="16"/>
              </w:rPr>
            </w:pPr>
            <w:r w:rsidRPr="00986950">
              <w:rPr>
                <w:rFonts w:cs="Arial"/>
                <w:b/>
                <w:bCs/>
                <w:color w:val="000000"/>
                <w:sz w:val="16"/>
                <w:szCs w:val="16"/>
              </w:rPr>
              <w:t>39,4</w:t>
            </w:r>
          </w:p>
        </w:tc>
        <w:tc>
          <w:tcPr>
            <w:tcW w:w="567" w:type="dxa"/>
            <w:tcBorders>
              <w:top w:val="single" w:sz="4" w:space="0" w:color="auto"/>
            </w:tcBorders>
            <w:vAlign w:val="center"/>
          </w:tcPr>
          <w:p w14:paraId="73B82BC1" w14:textId="77777777" w:rsidR="007F25C1" w:rsidRPr="00986950" w:rsidRDefault="007F25C1" w:rsidP="007F25C1">
            <w:pPr>
              <w:spacing w:after="0" w:line="240" w:lineRule="auto"/>
              <w:jc w:val="center"/>
            </w:pPr>
            <w:r w:rsidRPr="00986950">
              <w:rPr>
                <w:rFonts w:cs="Arial"/>
                <w:b/>
                <w:bCs/>
                <w:color w:val="000000"/>
                <w:sz w:val="16"/>
                <w:szCs w:val="16"/>
              </w:rPr>
              <w:t>34,5</w:t>
            </w:r>
          </w:p>
        </w:tc>
        <w:tc>
          <w:tcPr>
            <w:tcW w:w="567" w:type="dxa"/>
            <w:tcBorders>
              <w:top w:val="single" w:sz="4" w:space="0" w:color="auto"/>
            </w:tcBorders>
            <w:vAlign w:val="center"/>
          </w:tcPr>
          <w:p w14:paraId="7B73901C" w14:textId="77777777" w:rsidR="007F25C1" w:rsidRPr="00986950" w:rsidRDefault="007F25C1" w:rsidP="007F25C1">
            <w:pPr>
              <w:spacing w:after="0" w:line="240" w:lineRule="auto"/>
              <w:jc w:val="center"/>
              <w:rPr>
                <w:rFonts w:cs="Arial"/>
                <w:b/>
                <w:bCs/>
                <w:color w:val="000000"/>
                <w:sz w:val="16"/>
                <w:szCs w:val="16"/>
              </w:rPr>
            </w:pPr>
            <w:r w:rsidRPr="00986950">
              <w:rPr>
                <w:rFonts w:cs="Arial"/>
                <w:b/>
                <w:bCs/>
                <w:color w:val="000000"/>
                <w:sz w:val="16"/>
                <w:szCs w:val="16"/>
              </w:rPr>
              <w:t>26,3</w:t>
            </w:r>
          </w:p>
        </w:tc>
        <w:tc>
          <w:tcPr>
            <w:tcW w:w="567" w:type="dxa"/>
            <w:tcBorders>
              <w:top w:val="single" w:sz="4" w:space="0" w:color="auto"/>
            </w:tcBorders>
            <w:vAlign w:val="center"/>
          </w:tcPr>
          <w:p w14:paraId="771849D9" w14:textId="448E6CA2" w:rsidR="007F25C1" w:rsidRPr="00986950" w:rsidRDefault="007F25C1" w:rsidP="007F25C1">
            <w:pPr>
              <w:spacing w:after="0" w:line="240" w:lineRule="auto"/>
              <w:jc w:val="center"/>
              <w:rPr>
                <w:rFonts w:cs="Arial"/>
                <w:b/>
                <w:bCs/>
                <w:color w:val="000000"/>
                <w:sz w:val="16"/>
                <w:szCs w:val="16"/>
              </w:rPr>
            </w:pPr>
            <w:r>
              <w:rPr>
                <w:rFonts w:cs="Arial"/>
                <w:b/>
                <w:bCs/>
                <w:color w:val="000000"/>
                <w:sz w:val="16"/>
                <w:szCs w:val="16"/>
              </w:rPr>
              <w:t>31,4</w:t>
            </w:r>
          </w:p>
        </w:tc>
      </w:tr>
      <w:tr w:rsidR="007F25C1" w:rsidRPr="00986950" w14:paraId="1A618A57" w14:textId="79D5FAE5" w:rsidTr="00245F95">
        <w:trPr>
          <w:trHeight w:val="300"/>
        </w:trPr>
        <w:tc>
          <w:tcPr>
            <w:tcW w:w="3401" w:type="dxa"/>
            <w:tcBorders>
              <w:top w:val="nil"/>
              <w:left w:val="nil"/>
              <w:bottom w:val="nil"/>
              <w:right w:val="single" w:sz="4" w:space="0" w:color="auto"/>
            </w:tcBorders>
            <w:shd w:val="clear" w:color="auto" w:fill="auto"/>
            <w:vAlign w:val="center"/>
            <w:hideMark/>
          </w:tcPr>
          <w:p w14:paraId="2974156C"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A – Zemědělství, lesnictví a rybářství</w:t>
            </w:r>
          </w:p>
        </w:tc>
        <w:tc>
          <w:tcPr>
            <w:tcW w:w="567" w:type="dxa"/>
            <w:tcBorders>
              <w:top w:val="nil"/>
              <w:left w:val="nil"/>
              <w:bottom w:val="nil"/>
              <w:right w:val="nil"/>
            </w:tcBorders>
            <w:shd w:val="clear" w:color="auto" w:fill="auto"/>
            <w:noWrap/>
            <w:vAlign w:val="center"/>
            <w:hideMark/>
          </w:tcPr>
          <w:p w14:paraId="2B1F348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58,9</w:t>
            </w:r>
          </w:p>
        </w:tc>
        <w:tc>
          <w:tcPr>
            <w:tcW w:w="567" w:type="dxa"/>
            <w:tcBorders>
              <w:top w:val="nil"/>
              <w:left w:val="nil"/>
              <w:bottom w:val="nil"/>
              <w:right w:val="nil"/>
            </w:tcBorders>
            <w:shd w:val="clear" w:color="auto" w:fill="auto"/>
            <w:noWrap/>
            <w:vAlign w:val="center"/>
            <w:hideMark/>
          </w:tcPr>
          <w:p w14:paraId="672F4C9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60,6</w:t>
            </w:r>
          </w:p>
        </w:tc>
        <w:tc>
          <w:tcPr>
            <w:tcW w:w="567" w:type="dxa"/>
            <w:tcBorders>
              <w:top w:val="nil"/>
              <w:left w:val="nil"/>
              <w:bottom w:val="nil"/>
              <w:right w:val="nil"/>
            </w:tcBorders>
            <w:shd w:val="clear" w:color="auto" w:fill="auto"/>
            <w:noWrap/>
            <w:vAlign w:val="center"/>
            <w:hideMark/>
          </w:tcPr>
          <w:p w14:paraId="1C99975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57,4</w:t>
            </w:r>
          </w:p>
        </w:tc>
        <w:tc>
          <w:tcPr>
            <w:tcW w:w="567" w:type="dxa"/>
            <w:tcBorders>
              <w:top w:val="nil"/>
              <w:left w:val="nil"/>
              <w:bottom w:val="nil"/>
              <w:right w:val="nil"/>
            </w:tcBorders>
            <w:shd w:val="clear" w:color="auto" w:fill="auto"/>
            <w:noWrap/>
            <w:vAlign w:val="center"/>
            <w:hideMark/>
          </w:tcPr>
          <w:p w14:paraId="4B4ED831"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59,0</w:t>
            </w:r>
          </w:p>
        </w:tc>
        <w:tc>
          <w:tcPr>
            <w:tcW w:w="567" w:type="dxa"/>
            <w:tcBorders>
              <w:top w:val="nil"/>
              <w:left w:val="nil"/>
              <w:bottom w:val="nil"/>
              <w:right w:val="nil"/>
            </w:tcBorders>
            <w:shd w:val="clear" w:color="auto" w:fill="auto"/>
            <w:noWrap/>
            <w:vAlign w:val="center"/>
            <w:hideMark/>
          </w:tcPr>
          <w:p w14:paraId="2AC89A8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57,6</w:t>
            </w:r>
          </w:p>
        </w:tc>
        <w:tc>
          <w:tcPr>
            <w:tcW w:w="567" w:type="dxa"/>
            <w:tcBorders>
              <w:top w:val="nil"/>
              <w:left w:val="nil"/>
              <w:bottom w:val="nil"/>
              <w:right w:val="nil"/>
            </w:tcBorders>
            <w:shd w:val="clear" w:color="auto" w:fill="auto"/>
            <w:noWrap/>
            <w:vAlign w:val="center"/>
            <w:hideMark/>
          </w:tcPr>
          <w:p w14:paraId="6CDC245F"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55,9</w:t>
            </w:r>
          </w:p>
        </w:tc>
        <w:tc>
          <w:tcPr>
            <w:tcW w:w="567" w:type="dxa"/>
            <w:tcBorders>
              <w:top w:val="nil"/>
              <w:left w:val="nil"/>
              <w:bottom w:val="nil"/>
              <w:right w:val="nil"/>
            </w:tcBorders>
            <w:shd w:val="clear" w:color="auto" w:fill="auto"/>
            <w:noWrap/>
            <w:vAlign w:val="center"/>
            <w:hideMark/>
          </w:tcPr>
          <w:p w14:paraId="546C44B9"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56,8</w:t>
            </w:r>
          </w:p>
        </w:tc>
        <w:tc>
          <w:tcPr>
            <w:tcW w:w="567" w:type="dxa"/>
            <w:tcBorders>
              <w:top w:val="nil"/>
              <w:left w:val="nil"/>
              <w:bottom w:val="nil"/>
              <w:right w:val="nil"/>
            </w:tcBorders>
            <w:shd w:val="clear" w:color="auto" w:fill="auto"/>
            <w:noWrap/>
            <w:vAlign w:val="center"/>
            <w:hideMark/>
          </w:tcPr>
          <w:p w14:paraId="589562E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49,7</w:t>
            </w:r>
          </w:p>
        </w:tc>
        <w:tc>
          <w:tcPr>
            <w:tcW w:w="567" w:type="dxa"/>
            <w:vAlign w:val="center"/>
          </w:tcPr>
          <w:p w14:paraId="7600B8EB" w14:textId="77777777" w:rsidR="007F25C1" w:rsidRPr="00986950" w:rsidRDefault="007F25C1" w:rsidP="007F25C1">
            <w:pPr>
              <w:spacing w:after="0" w:line="240" w:lineRule="auto"/>
              <w:jc w:val="center"/>
            </w:pPr>
            <w:r w:rsidRPr="00986950">
              <w:rPr>
                <w:rFonts w:cs="Arial"/>
                <w:color w:val="000000"/>
                <w:sz w:val="16"/>
                <w:szCs w:val="16"/>
              </w:rPr>
              <w:t>43,4</w:t>
            </w:r>
          </w:p>
        </w:tc>
        <w:tc>
          <w:tcPr>
            <w:tcW w:w="567" w:type="dxa"/>
            <w:vAlign w:val="center"/>
          </w:tcPr>
          <w:p w14:paraId="14C310A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37,0</w:t>
            </w:r>
          </w:p>
        </w:tc>
        <w:tc>
          <w:tcPr>
            <w:tcW w:w="567" w:type="dxa"/>
            <w:vAlign w:val="center"/>
          </w:tcPr>
          <w:p w14:paraId="21072724" w14:textId="26EA5832" w:rsidR="007F25C1" w:rsidRPr="00986950" w:rsidRDefault="007F25C1" w:rsidP="007F25C1">
            <w:pPr>
              <w:spacing w:after="0" w:line="240" w:lineRule="auto"/>
              <w:jc w:val="center"/>
              <w:rPr>
                <w:rFonts w:cs="Arial"/>
                <w:color w:val="000000"/>
                <w:sz w:val="16"/>
                <w:szCs w:val="16"/>
              </w:rPr>
            </w:pPr>
            <w:r>
              <w:rPr>
                <w:rFonts w:cs="Arial"/>
                <w:color w:val="000000"/>
                <w:sz w:val="16"/>
                <w:szCs w:val="16"/>
              </w:rPr>
              <w:t>45,4</w:t>
            </w:r>
          </w:p>
        </w:tc>
      </w:tr>
      <w:tr w:rsidR="007F25C1" w:rsidRPr="00986950" w14:paraId="3B809EB9" w14:textId="2A7564F9" w:rsidTr="00245F95">
        <w:trPr>
          <w:trHeight w:val="300"/>
        </w:trPr>
        <w:tc>
          <w:tcPr>
            <w:tcW w:w="3401" w:type="dxa"/>
            <w:tcBorders>
              <w:top w:val="nil"/>
              <w:left w:val="nil"/>
              <w:bottom w:val="nil"/>
              <w:right w:val="single" w:sz="4" w:space="0" w:color="auto"/>
            </w:tcBorders>
            <w:shd w:val="clear" w:color="auto" w:fill="auto"/>
            <w:vAlign w:val="center"/>
            <w:hideMark/>
          </w:tcPr>
          <w:p w14:paraId="2B04F8A2"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B – Těžba a dobývání</w:t>
            </w:r>
          </w:p>
        </w:tc>
        <w:tc>
          <w:tcPr>
            <w:tcW w:w="567" w:type="dxa"/>
            <w:tcBorders>
              <w:top w:val="nil"/>
              <w:left w:val="nil"/>
              <w:bottom w:val="nil"/>
              <w:right w:val="nil"/>
            </w:tcBorders>
            <w:shd w:val="clear" w:color="auto" w:fill="auto"/>
            <w:noWrap/>
            <w:vAlign w:val="center"/>
            <w:hideMark/>
          </w:tcPr>
          <w:p w14:paraId="72D0421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44,8</w:t>
            </w:r>
          </w:p>
        </w:tc>
        <w:tc>
          <w:tcPr>
            <w:tcW w:w="567" w:type="dxa"/>
            <w:tcBorders>
              <w:top w:val="nil"/>
              <w:left w:val="nil"/>
              <w:bottom w:val="nil"/>
              <w:right w:val="nil"/>
            </w:tcBorders>
            <w:shd w:val="clear" w:color="auto" w:fill="auto"/>
            <w:noWrap/>
            <w:vAlign w:val="center"/>
            <w:hideMark/>
          </w:tcPr>
          <w:p w14:paraId="3A83D44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48,0</w:t>
            </w:r>
          </w:p>
        </w:tc>
        <w:tc>
          <w:tcPr>
            <w:tcW w:w="567" w:type="dxa"/>
            <w:tcBorders>
              <w:top w:val="nil"/>
              <w:left w:val="nil"/>
              <w:bottom w:val="nil"/>
              <w:right w:val="nil"/>
            </w:tcBorders>
            <w:shd w:val="clear" w:color="auto" w:fill="auto"/>
            <w:noWrap/>
            <w:vAlign w:val="center"/>
            <w:hideMark/>
          </w:tcPr>
          <w:p w14:paraId="6E74827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45,4</w:t>
            </w:r>
          </w:p>
        </w:tc>
        <w:tc>
          <w:tcPr>
            <w:tcW w:w="567" w:type="dxa"/>
            <w:tcBorders>
              <w:top w:val="nil"/>
              <w:left w:val="nil"/>
              <w:bottom w:val="nil"/>
              <w:right w:val="nil"/>
            </w:tcBorders>
            <w:shd w:val="clear" w:color="auto" w:fill="auto"/>
            <w:noWrap/>
            <w:vAlign w:val="center"/>
            <w:hideMark/>
          </w:tcPr>
          <w:p w14:paraId="06BEBA3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53,8</w:t>
            </w:r>
          </w:p>
        </w:tc>
        <w:tc>
          <w:tcPr>
            <w:tcW w:w="567" w:type="dxa"/>
            <w:tcBorders>
              <w:top w:val="nil"/>
              <w:left w:val="nil"/>
              <w:bottom w:val="nil"/>
              <w:right w:val="nil"/>
            </w:tcBorders>
            <w:shd w:val="clear" w:color="auto" w:fill="auto"/>
            <w:noWrap/>
            <w:vAlign w:val="center"/>
            <w:hideMark/>
          </w:tcPr>
          <w:p w14:paraId="5DF9E069"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55,6</w:t>
            </w:r>
          </w:p>
        </w:tc>
        <w:tc>
          <w:tcPr>
            <w:tcW w:w="567" w:type="dxa"/>
            <w:tcBorders>
              <w:top w:val="nil"/>
              <w:left w:val="nil"/>
              <w:bottom w:val="nil"/>
              <w:right w:val="nil"/>
            </w:tcBorders>
            <w:shd w:val="clear" w:color="auto" w:fill="auto"/>
            <w:noWrap/>
            <w:vAlign w:val="center"/>
            <w:hideMark/>
          </w:tcPr>
          <w:p w14:paraId="56230A9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47,9</w:t>
            </w:r>
          </w:p>
        </w:tc>
        <w:tc>
          <w:tcPr>
            <w:tcW w:w="567" w:type="dxa"/>
            <w:tcBorders>
              <w:top w:val="nil"/>
              <w:left w:val="nil"/>
              <w:bottom w:val="nil"/>
              <w:right w:val="nil"/>
            </w:tcBorders>
            <w:shd w:val="clear" w:color="auto" w:fill="auto"/>
            <w:noWrap/>
            <w:vAlign w:val="center"/>
            <w:hideMark/>
          </w:tcPr>
          <w:p w14:paraId="195A12A8"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49,4</w:t>
            </w:r>
          </w:p>
        </w:tc>
        <w:tc>
          <w:tcPr>
            <w:tcW w:w="567" w:type="dxa"/>
            <w:tcBorders>
              <w:top w:val="nil"/>
              <w:left w:val="nil"/>
              <w:bottom w:val="nil"/>
              <w:right w:val="nil"/>
            </w:tcBorders>
            <w:shd w:val="clear" w:color="auto" w:fill="auto"/>
            <w:noWrap/>
            <w:vAlign w:val="center"/>
            <w:hideMark/>
          </w:tcPr>
          <w:p w14:paraId="2F8A7BA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40,5</w:t>
            </w:r>
          </w:p>
        </w:tc>
        <w:tc>
          <w:tcPr>
            <w:tcW w:w="567" w:type="dxa"/>
            <w:vAlign w:val="center"/>
          </w:tcPr>
          <w:p w14:paraId="6EB71148" w14:textId="77777777" w:rsidR="007F25C1" w:rsidRPr="00986950" w:rsidRDefault="007F25C1" w:rsidP="007F25C1">
            <w:pPr>
              <w:spacing w:after="0" w:line="240" w:lineRule="auto"/>
              <w:jc w:val="center"/>
            </w:pPr>
            <w:r w:rsidRPr="00986950">
              <w:rPr>
                <w:rFonts w:cs="Arial"/>
                <w:color w:val="000000"/>
                <w:sz w:val="16"/>
                <w:szCs w:val="16"/>
              </w:rPr>
              <w:t>41,3</w:t>
            </w:r>
          </w:p>
        </w:tc>
        <w:tc>
          <w:tcPr>
            <w:tcW w:w="567" w:type="dxa"/>
            <w:vAlign w:val="center"/>
          </w:tcPr>
          <w:p w14:paraId="001EDFE9"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32,2</w:t>
            </w:r>
          </w:p>
        </w:tc>
        <w:tc>
          <w:tcPr>
            <w:tcW w:w="567" w:type="dxa"/>
            <w:vAlign w:val="center"/>
          </w:tcPr>
          <w:p w14:paraId="74AF7693" w14:textId="07464BBC" w:rsidR="007F25C1" w:rsidRPr="00986950" w:rsidRDefault="007F25C1" w:rsidP="007F25C1">
            <w:pPr>
              <w:spacing w:after="0" w:line="240" w:lineRule="auto"/>
              <w:jc w:val="center"/>
              <w:rPr>
                <w:rFonts w:cs="Arial"/>
                <w:color w:val="000000"/>
                <w:sz w:val="16"/>
                <w:szCs w:val="16"/>
              </w:rPr>
            </w:pPr>
            <w:r>
              <w:rPr>
                <w:rFonts w:cs="Arial"/>
                <w:color w:val="000000"/>
                <w:sz w:val="16"/>
                <w:szCs w:val="16"/>
              </w:rPr>
              <w:t>40,0</w:t>
            </w:r>
          </w:p>
        </w:tc>
      </w:tr>
      <w:tr w:rsidR="007F25C1" w:rsidRPr="00986950" w14:paraId="077A541D" w14:textId="0A64E89B" w:rsidTr="00245F95">
        <w:trPr>
          <w:trHeight w:val="300"/>
        </w:trPr>
        <w:tc>
          <w:tcPr>
            <w:tcW w:w="3401" w:type="dxa"/>
            <w:tcBorders>
              <w:top w:val="nil"/>
              <w:left w:val="nil"/>
              <w:bottom w:val="nil"/>
              <w:right w:val="single" w:sz="4" w:space="0" w:color="auto"/>
            </w:tcBorders>
            <w:shd w:val="clear" w:color="auto" w:fill="auto"/>
            <w:vAlign w:val="center"/>
            <w:hideMark/>
          </w:tcPr>
          <w:p w14:paraId="5055F813"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C – Zpracovatelský průmysl</w:t>
            </w:r>
          </w:p>
        </w:tc>
        <w:tc>
          <w:tcPr>
            <w:tcW w:w="567" w:type="dxa"/>
            <w:tcBorders>
              <w:top w:val="nil"/>
              <w:left w:val="nil"/>
              <w:bottom w:val="nil"/>
              <w:right w:val="nil"/>
            </w:tcBorders>
            <w:shd w:val="clear" w:color="auto" w:fill="auto"/>
            <w:noWrap/>
            <w:vAlign w:val="center"/>
            <w:hideMark/>
          </w:tcPr>
          <w:p w14:paraId="56BB79E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43,7</w:t>
            </w:r>
          </w:p>
        </w:tc>
        <w:tc>
          <w:tcPr>
            <w:tcW w:w="567" w:type="dxa"/>
            <w:tcBorders>
              <w:top w:val="nil"/>
              <w:left w:val="nil"/>
              <w:bottom w:val="nil"/>
              <w:right w:val="nil"/>
            </w:tcBorders>
            <w:shd w:val="clear" w:color="auto" w:fill="auto"/>
            <w:noWrap/>
            <w:vAlign w:val="center"/>
            <w:hideMark/>
          </w:tcPr>
          <w:p w14:paraId="713FD134"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44,8</w:t>
            </w:r>
          </w:p>
        </w:tc>
        <w:tc>
          <w:tcPr>
            <w:tcW w:w="567" w:type="dxa"/>
            <w:tcBorders>
              <w:top w:val="nil"/>
              <w:left w:val="nil"/>
              <w:bottom w:val="nil"/>
              <w:right w:val="nil"/>
            </w:tcBorders>
            <w:shd w:val="clear" w:color="auto" w:fill="auto"/>
            <w:noWrap/>
            <w:vAlign w:val="center"/>
            <w:hideMark/>
          </w:tcPr>
          <w:p w14:paraId="3849ACA1"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41,6</w:t>
            </w:r>
          </w:p>
        </w:tc>
        <w:tc>
          <w:tcPr>
            <w:tcW w:w="567" w:type="dxa"/>
            <w:tcBorders>
              <w:top w:val="nil"/>
              <w:left w:val="nil"/>
              <w:bottom w:val="nil"/>
              <w:right w:val="nil"/>
            </w:tcBorders>
            <w:shd w:val="clear" w:color="auto" w:fill="auto"/>
            <w:noWrap/>
            <w:vAlign w:val="center"/>
            <w:hideMark/>
          </w:tcPr>
          <w:p w14:paraId="7D70765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42,4</w:t>
            </w:r>
          </w:p>
        </w:tc>
        <w:tc>
          <w:tcPr>
            <w:tcW w:w="567" w:type="dxa"/>
            <w:tcBorders>
              <w:top w:val="nil"/>
              <w:left w:val="nil"/>
              <w:bottom w:val="nil"/>
              <w:right w:val="nil"/>
            </w:tcBorders>
            <w:shd w:val="clear" w:color="auto" w:fill="auto"/>
            <w:noWrap/>
            <w:vAlign w:val="center"/>
            <w:hideMark/>
          </w:tcPr>
          <w:p w14:paraId="5E78463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41,9</w:t>
            </w:r>
          </w:p>
        </w:tc>
        <w:tc>
          <w:tcPr>
            <w:tcW w:w="567" w:type="dxa"/>
            <w:tcBorders>
              <w:top w:val="nil"/>
              <w:left w:val="nil"/>
              <w:bottom w:val="nil"/>
              <w:right w:val="nil"/>
            </w:tcBorders>
            <w:shd w:val="clear" w:color="auto" w:fill="auto"/>
            <w:noWrap/>
            <w:vAlign w:val="center"/>
            <w:hideMark/>
          </w:tcPr>
          <w:p w14:paraId="472978F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41,2</w:t>
            </w:r>
          </w:p>
        </w:tc>
        <w:tc>
          <w:tcPr>
            <w:tcW w:w="567" w:type="dxa"/>
            <w:tcBorders>
              <w:top w:val="nil"/>
              <w:left w:val="nil"/>
              <w:bottom w:val="nil"/>
              <w:right w:val="nil"/>
            </w:tcBorders>
            <w:shd w:val="clear" w:color="auto" w:fill="auto"/>
            <w:noWrap/>
            <w:vAlign w:val="center"/>
            <w:hideMark/>
          </w:tcPr>
          <w:p w14:paraId="1D12EAF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42,2</w:t>
            </w:r>
          </w:p>
        </w:tc>
        <w:tc>
          <w:tcPr>
            <w:tcW w:w="567" w:type="dxa"/>
            <w:tcBorders>
              <w:top w:val="nil"/>
              <w:left w:val="nil"/>
              <w:bottom w:val="nil"/>
              <w:right w:val="nil"/>
            </w:tcBorders>
            <w:shd w:val="clear" w:color="auto" w:fill="auto"/>
            <w:noWrap/>
            <w:vAlign w:val="center"/>
            <w:hideMark/>
          </w:tcPr>
          <w:p w14:paraId="79CD890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39,8</w:t>
            </w:r>
          </w:p>
        </w:tc>
        <w:tc>
          <w:tcPr>
            <w:tcW w:w="567" w:type="dxa"/>
            <w:vAlign w:val="center"/>
          </w:tcPr>
          <w:p w14:paraId="5D0FD12D" w14:textId="77777777" w:rsidR="007F25C1" w:rsidRPr="00986950" w:rsidRDefault="007F25C1" w:rsidP="007F25C1">
            <w:pPr>
              <w:spacing w:after="0" w:line="240" w:lineRule="auto"/>
              <w:jc w:val="center"/>
            </w:pPr>
            <w:r w:rsidRPr="00986950">
              <w:rPr>
                <w:rFonts w:cs="Arial"/>
                <w:color w:val="000000"/>
                <w:sz w:val="16"/>
                <w:szCs w:val="16"/>
              </w:rPr>
              <w:t>33,8</w:t>
            </w:r>
          </w:p>
        </w:tc>
        <w:tc>
          <w:tcPr>
            <w:tcW w:w="567" w:type="dxa"/>
            <w:vAlign w:val="center"/>
          </w:tcPr>
          <w:p w14:paraId="42D8853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26,8</w:t>
            </w:r>
          </w:p>
        </w:tc>
        <w:tc>
          <w:tcPr>
            <w:tcW w:w="567" w:type="dxa"/>
            <w:vAlign w:val="center"/>
          </w:tcPr>
          <w:p w14:paraId="5C3C37E2" w14:textId="2ED42F68" w:rsidR="007F25C1" w:rsidRPr="00986950" w:rsidRDefault="007F25C1" w:rsidP="007F25C1">
            <w:pPr>
              <w:spacing w:after="0" w:line="240" w:lineRule="auto"/>
              <w:jc w:val="center"/>
              <w:rPr>
                <w:rFonts w:cs="Arial"/>
                <w:color w:val="000000"/>
                <w:sz w:val="16"/>
                <w:szCs w:val="16"/>
              </w:rPr>
            </w:pPr>
            <w:r>
              <w:rPr>
                <w:rFonts w:cs="Arial"/>
                <w:color w:val="000000"/>
                <w:sz w:val="16"/>
                <w:szCs w:val="16"/>
              </w:rPr>
              <w:t>31,9</w:t>
            </w:r>
          </w:p>
        </w:tc>
      </w:tr>
      <w:tr w:rsidR="007F25C1" w:rsidRPr="00986950" w14:paraId="376C03BC" w14:textId="0D38AE13" w:rsidTr="00245F95">
        <w:trPr>
          <w:trHeight w:val="480"/>
        </w:trPr>
        <w:tc>
          <w:tcPr>
            <w:tcW w:w="3401" w:type="dxa"/>
            <w:tcBorders>
              <w:top w:val="nil"/>
              <w:left w:val="nil"/>
              <w:bottom w:val="nil"/>
              <w:right w:val="single" w:sz="4" w:space="0" w:color="auto"/>
            </w:tcBorders>
            <w:shd w:val="clear" w:color="auto" w:fill="auto"/>
            <w:vAlign w:val="center"/>
            <w:hideMark/>
          </w:tcPr>
          <w:p w14:paraId="7AF98F8F"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 xml:space="preserve">D – Výroba a rozvod elektřiny, plynu, </w:t>
            </w:r>
            <w:r w:rsidRPr="00986950">
              <w:rPr>
                <w:rFonts w:cs="Arial"/>
                <w:color w:val="000000"/>
                <w:sz w:val="16"/>
                <w:szCs w:val="16"/>
              </w:rPr>
              <w:br/>
              <w:t xml:space="preserve">          tepla a klimatizovaného vzduchu</w:t>
            </w:r>
          </w:p>
        </w:tc>
        <w:tc>
          <w:tcPr>
            <w:tcW w:w="567" w:type="dxa"/>
            <w:tcBorders>
              <w:top w:val="nil"/>
              <w:left w:val="nil"/>
              <w:bottom w:val="nil"/>
              <w:right w:val="nil"/>
            </w:tcBorders>
            <w:shd w:val="clear" w:color="auto" w:fill="auto"/>
            <w:noWrap/>
            <w:vAlign w:val="center"/>
            <w:hideMark/>
          </w:tcPr>
          <w:p w14:paraId="0EAF5AE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38,5</w:t>
            </w:r>
          </w:p>
        </w:tc>
        <w:tc>
          <w:tcPr>
            <w:tcW w:w="567" w:type="dxa"/>
            <w:tcBorders>
              <w:top w:val="nil"/>
              <w:left w:val="nil"/>
              <w:bottom w:val="nil"/>
              <w:right w:val="nil"/>
            </w:tcBorders>
            <w:shd w:val="clear" w:color="auto" w:fill="auto"/>
            <w:noWrap/>
            <w:vAlign w:val="center"/>
            <w:hideMark/>
          </w:tcPr>
          <w:p w14:paraId="783E827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40,8</w:t>
            </w:r>
          </w:p>
        </w:tc>
        <w:tc>
          <w:tcPr>
            <w:tcW w:w="567" w:type="dxa"/>
            <w:tcBorders>
              <w:top w:val="nil"/>
              <w:left w:val="nil"/>
              <w:bottom w:val="nil"/>
              <w:right w:val="nil"/>
            </w:tcBorders>
            <w:shd w:val="clear" w:color="auto" w:fill="auto"/>
            <w:noWrap/>
            <w:vAlign w:val="center"/>
            <w:hideMark/>
          </w:tcPr>
          <w:p w14:paraId="111F09F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40,3</w:t>
            </w:r>
          </w:p>
        </w:tc>
        <w:tc>
          <w:tcPr>
            <w:tcW w:w="567" w:type="dxa"/>
            <w:tcBorders>
              <w:top w:val="nil"/>
              <w:left w:val="nil"/>
              <w:bottom w:val="nil"/>
              <w:right w:val="nil"/>
            </w:tcBorders>
            <w:shd w:val="clear" w:color="auto" w:fill="auto"/>
            <w:noWrap/>
            <w:vAlign w:val="center"/>
            <w:hideMark/>
          </w:tcPr>
          <w:p w14:paraId="6ECCEA6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41,4</w:t>
            </w:r>
          </w:p>
        </w:tc>
        <w:tc>
          <w:tcPr>
            <w:tcW w:w="567" w:type="dxa"/>
            <w:tcBorders>
              <w:top w:val="nil"/>
              <w:left w:val="nil"/>
              <w:bottom w:val="nil"/>
              <w:right w:val="nil"/>
            </w:tcBorders>
            <w:shd w:val="clear" w:color="auto" w:fill="auto"/>
            <w:noWrap/>
            <w:vAlign w:val="center"/>
            <w:hideMark/>
          </w:tcPr>
          <w:p w14:paraId="4649E77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40,3</w:t>
            </w:r>
          </w:p>
        </w:tc>
        <w:tc>
          <w:tcPr>
            <w:tcW w:w="567" w:type="dxa"/>
            <w:tcBorders>
              <w:top w:val="nil"/>
              <w:left w:val="nil"/>
              <w:bottom w:val="nil"/>
              <w:right w:val="nil"/>
            </w:tcBorders>
            <w:shd w:val="clear" w:color="auto" w:fill="auto"/>
            <w:noWrap/>
            <w:vAlign w:val="center"/>
            <w:hideMark/>
          </w:tcPr>
          <w:p w14:paraId="1C42470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36,9</w:t>
            </w:r>
          </w:p>
        </w:tc>
        <w:tc>
          <w:tcPr>
            <w:tcW w:w="567" w:type="dxa"/>
            <w:tcBorders>
              <w:top w:val="nil"/>
              <w:left w:val="nil"/>
              <w:bottom w:val="nil"/>
              <w:right w:val="nil"/>
            </w:tcBorders>
            <w:shd w:val="clear" w:color="auto" w:fill="auto"/>
            <w:noWrap/>
            <w:vAlign w:val="center"/>
            <w:hideMark/>
          </w:tcPr>
          <w:p w14:paraId="35AACBB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38,1</w:t>
            </w:r>
          </w:p>
        </w:tc>
        <w:tc>
          <w:tcPr>
            <w:tcW w:w="567" w:type="dxa"/>
            <w:tcBorders>
              <w:top w:val="nil"/>
              <w:left w:val="nil"/>
              <w:bottom w:val="nil"/>
              <w:right w:val="nil"/>
            </w:tcBorders>
            <w:shd w:val="clear" w:color="auto" w:fill="auto"/>
            <w:noWrap/>
            <w:vAlign w:val="center"/>
            <w:hideMark/>
          </w:tcPr>
          <w:p w14:paraId="74567AA8"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33,2</w:t>
            </w:r>
          </w:p>
        </w:tc>
        <w:tc>
          <w:tcPr>
            <w:tcW w:w="567" w:type="dxa"/>
            <w:vAlign w:val="center"/>
          </w:tcPr>
          <w:p w14:paraId="34AC61F0" w14:textId="77777777" w:rsidR="007F25C1" w:rsidRPr="00986950" w:rsidRDefault="007F25C1" w:rsidP="007F25C1">
            <w:pPr>
              <w:spacing w:after="0" w:line="240" w:lineRule="auto"/>
              <w:jc w:val="center"/>
            </w:pPr>
            <w:r w:rsidRPr="00986950">
              <w:rPr>
                <w:rFonts w:cs="Arial"/>
                <w:color w:val="000000"/>
                <w:sz w:val="16"/>
                <w:szCs w:val="16"/>
              </w:rPr>
              <w:t>31,6</w:t>
            </w:r>
          </w:p>
        </w:tc>
        <w:tc>
          <w:tcPr>
            <w:tcW w:w="567" w:type="dxa"/>
            <w:vAlign w:val="center"/>
          </w:tcPr>
          <w:p w14:paraId="54360509"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24,2</w:t>
            </w:r>
          </w:p>
        </w:tc>
        <w:tc>
          <w:tcPr>
            <w:tcW w:w="567" w:type="dxa"/>
            <w:vAlign w:val="center"/>
          </w:tcPr>
          <w:p w14:paraId="527AC1A1" w14:textId="1D2B86E5" w:rsidR="007F25C1" w:rsidRPr="00986950" w:rsidRDefault="007F25C1" w:rsidP="007F25C1">
            <w:pPr>
              <w:spacing w:after="0" w:line="240" w:lineRule="auto"/>
              <w:jc w:val="center"/>
              <w:rPr>
                <w:rFonts w:cs="Arial"/>
                <w:color w:val="000000"/>
                <w:sz w:val="16"/>
                <w:szCs w:val="16"/>
              </w:rPr>
            </w:pPr>
            <w:r>
              <w:rPr>
                <w:rFonts w:cs="Arial"/>
                <w:color w:val="000000"/>
                <w:sz w:val="16"/>
                <w:szCs w:val="16"/>
              </w:rPr>
              <w:t>28,5</w:t>
            </w:r>
          </w:p>
        </w:tc>
      </w:tr>
      <w:tr w:rsidR="007F25C1" w:rsidRPr="00986950" w14:paraId="0F92BC01" w14:textId="4A631634" w:rsidTr="00245F95">
        <w:trPr>
          <w:trHeight w:val="480"/>
        </w:trPr>
        <w:tc>
          <w:tcPr>
            <w:tcW w:w="3401" w:type="dxa"/>
            <w:tcBorders>
              <w:top w:val="nil"/>
              <w:left w:val="nil"/>
              <w:bottom w:val="nil"/>
              <w:right w:val="single" w:sz="4" w:space="0" w:color="auto"/>
            </w:tcBorders>
            <w:shd w:val="clear" w:color="auto" w:fill="auto"/>
            <w:vAlign w:val="center"/>
            <w:hideMark/>
          </w:tcPr>
          <w:p w14:paraId="45D8187E"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 xml:space="preserve">E – Zásobování vodou; činnosti </w:t>
            </w:r>
            <w:r w:rsidRPr="00986950">
              <w:rPr>
                <w:rFonts w:cs="Arial"/>
                <w:color w:val="000000"/>
                <w:sz w:val="16"/>
                <w:szCs w:val="16"/>
              </w:rPr>
              <w:br/>
              <w:t xml:space="preserve">          související s odpady a sanacemi</w:t>
            </w:r>
          </w:p>
        </w:tc>
        <w:tc>
          <w:tcPr>
            <w:tcW w:w="567" w:type="dxa"/>
            <w:tcBorders>
              <w:top w:val="nil"/>
              <w:left w:val="nil"/>
              <w:bottom w:val="nil"/>
              <w:right w:val="nil"/>
            </w:tcBorders>
            <w:shd w:val="clear" w:color="auto" w:fill="auto"/>
            <w:noWrap/>
            <w:vAlign w:val="center"/>
            <w:hideMark/>
          </w:tcPr>
          <w:p w14:paraId="71159F21"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45,2</w:t>
            </w:r>
          </w:p>
        </w:tc>
        <w:tc>
          <w:tcPr>
            <w:tcW w:w="567" w:type="dxa"/>
            <w:tcBorders>
              <w:top w:val="nil"/>
              <w:left w:val="nil"/>
              <w:bottom w:val="nil"/>
              <w:right w:val="nil"/>
            </w:tcBorders>
            <w:shd w:val="clear" w:color="auto" w:fill="auto"/>
            <w:noWrap/>
            <w:vAlign w:val="center"/>
            <w:hideMark/>
          </w:tcPr>
          <w:p w14:paraId="6586B8B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48,1</w:t>
            </w:r>
          </w:p>
        </w:tc>
        <w:tc>
          <w:tcPr>
            <w:tcW w:w="567" w:type="dxa"/>
            <w:tcBorders>
              <w:top w:val="nil"/>
              <w:left w:val="nil"/>
              <w:bottom w:val="nil"/>
              <w:right w:val="nil"/>
            </w:tcBorders>
            <w:shd w:val="clear" w:color="auto" w:fill="auto"/>
            <w:noWrap/>
            <w:vAlign w:val="center"/>
            <w:hideMark/>
          </w:tcPr>
          <w:p w14:paraId="7C69048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45,0</w:t>
            </w:r>
          </w:p>
        </w:tc>
        <w:tc>
          <w:tcPr>
            <w:tcW w:w="567" w:type="dxa"/>
            <w:tcBorders>
              <w:top w:val="nil"/>
              <w:left w:val="nil"/>
              <w:bottom w:val="nil"/>
              <w:right w:val="nil"/>
            </w:tcBorders>
            <w:shd w:val="clear" w:color="auto" w:fill="auto"/>
            <w:noWrap/>
            <w:vAlign w:val="center"/>
            <w:hideMark/>
          </w:tcPr>
          <w:p w14:paraId="63E02DF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45,0</w:t>
            </w:r>
          </w:p>
        </w:tc>
        <w:tc>
          <w:tcPr>
            <w:tcW w:w="567" w:type="dxa"/>
            <w:tcBorders>
              <w:top w:val="nil"/>
              <w:left w:val="nil"/>
              <w:bottom w:val="nil"/>
              <w:right w:val="nil"/>
            </w:tcBorders>
            <w:shd w:val="clear" w:color="auto" w:fill="auto"/>
            <w:noWrap/>
            <w:vAlign w:val="center"/>
            <w:hideMark/>
          </w:tcPr>
          <w:p w14:paraId="2A4F9B05"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44,6</w:t>
            </w:r>
          </w:p>
        </w:tc>
        <w:tc>
          <w:tcPr>
            <w:tcW w:w="567" w:type="dxa"/>
            <w:tcBorders>
              <w:top w:val="nil"/>
              <w:left w:val="nil"/>
              <w:bottom w:val="nil"/>
              <w:right w:val="nil"/>
            </w:tcBorders>
            <w:shd w:val="clear" w:color="auto" w:fill="auto"/>
            <w:noWrap/>
            <w:vAlign w:val="center"/>
            <w:hideMark/>
          </w:tcPr>
          <w:p w14:paraId="4AFADD31"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44,0</w:t>
            </w:r>
          </w:p>
        </w:tc>
        <w:tc>
          <w:tcPr>
            <w:tcW w:w="567" w:type="dxa"/>
            <w:tcBorders>
              <w:top w:val="nil"/>
              <w:left w:val="nil"/>
              <w:bottom w:val="nil"/>
              <w:right w:val="nil"/>
            </w:tcBorders>
            <w:shd w:val="clear" w:color="auto" w:fill="auto"/>
            <w:noWrap/>
            <w:vAlign w:val="center"/>
            <w:hideMark/>
          </w:tcPr>
          <w:p w14:paraId="15047A7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44,9</w:t>
            </w:r>
          </w:p>
        </w:tc>
        <w:tc>
          <w:tcPr>
            <w:tcW w:w="567" w:type="dxa"/>
            <w:tcBorders>
              <w:top w:val="nil"/>
              <w:left w:val="nil"/>
              <w:bottom w:val="nil"/>
              <w:right w:val="nil"/>
            </w:tcBorders>
            <w:shd w:val="clear" w:color="auto" w:fill="auto"/>
            <w:noWrap/>
            <w:vAlign w:val="center"/>
            <w:hideMark/>
          </w:tcPr>
          <w:p w14:paraId="67DBF78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41,4</w:t>
            </w:r>
          </w:p>
        </w:tc>
        <w:tc>
          <w:tcPr>
            <w:tcW w:w="567" w:type="dxa"/>
            <w:vAlign w:val="center"/>
          </w:tcPr>
          <w:p w14:paraId="7CB317DB" w14:textId="77777777" w:rsidR="007F25C1" w:rsidRPr="00986950" w:rsidRDefault="007F25C1" w:rsidP="007F25C1">
            <w:pPr>
              <w:spacing w:after="0" w:line="240" w:lineRule="auto"/>
              <w:jc w:val="center"/>
            </w:pPr>
            <w:r w:rsidRPr="00986950">
              <w:rPr>
                <w:rFonts w:cs="Arial"/>
                <w:color w:val="000000"/>
                <w:sz w:val="16"/>
                <w:szCs w:val="16"/>
              </w:rPr>
              <w:t>36,0</w:t>
            </w:r>
          </w:p>
        </w:tc>
        <w:tc>
          <w:tcPr>
            <w:tcW w:w="567" w:type="dxa"/>
            <w:vAlign w:val="center"/>
          </w:tcPr>
          <w:p w14:paraId="7DA72065"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29,3</w:t>
            </w:r>
          </w:p>
        </w:tc>
        <w:tc>
          <w:tcPr>
            <w:tcW w:w="567" w:type="dxa"/>
            <w:vAlign w:val="center"/>
          </w:tcPr>
          <w:p w14:paraId="5657A520" w14:textId="29E2B810" w:rsidR="007F25C1" w:rsidRPr="00986950" w:rsidRDefault="007F25C1" w:rsidP="007F25C1">
            <w:pPr>
              <w:spacing w:after="0" w:line="240" w:lineRule="auto"/>
              <w:jc w:val="center"/>
              <w:rPr>
                <w:rFonts w:cs="Arial"/>
                <w:color w:val="000000"/>
                <w:sz w:val="16"/>
                <w:szCs w:val="16"/>
              </w:rPr>
            </w:pPr>
            <w:r>
              <w:rPr>
                <w:rFonts w:cs="Arial"/>
                <w:color w:val="000000"/>
                <w:sz w:val="16"/>
                <w:szCs w:val="16"/>
              </w:rPr>
              <w:t>34,9</w:t>
            </w:r>
          </w:p>
        </w:tc>
      </w:tr>
      <w:tr w:rsidR="007F25C1" w:rsidRPr="00986950" w14:paraId="32A89A74" w14:textId="7B66AD77" w:rsidTr="00245F95">
        <w:trPr>
          <w:trHeight w:val="300"/>
        </w:trPr>
        <w:tc>
          <w:tcPr>
            <w:tcW w:w="3401" w:type="dxa"/>
            <w:tcBorders>
              <w:top w:val="nil"/>
              <w:left w:val="nil"/>
              <w:bottom w:val="nil"/>
              <w:right w:val="single" w:sz="4" w:space="0" w:color="auto"/>
            </w:tcBorders>
            <w:shd w:val="clear" w:color="auto" w:fill="auto"/>
            <w:vAlign w:val="center"/>
            <w:hideMark/>
          </w:tcPr>
          <w:p w14:paraId="0B4328D7"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F – Stavebnictví</w:t>
            </w:r>
          </w:p>
        </w:tc>
        <w:tc>
          <w:tcPr>
            <w:tcW w:w="567" w:type="dxa"/>
            <w:tcBorders>
              <w:top w:val="nil"/>
              <w:left w:val="nil"/>
              <w:bottom w:val="nil"/>
              <w:right w:val="nil"/>
            </w:tcBorders>
            <w:shd w:val="clear" w:color="auto" w:fill="auto"/>
            <w:noWrap/>
            <w:vAlign w:val="center"/>
            <w:hideMark/>
          </w:tcPr>
          <w:p w14:paraId="69E6894F"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57,1</w:t>
            </w:r>
          </w:p>
        </w:tc>
        <w:tc>
          <w:tcPr>
            <w:tcW w:w="567" w:type="dxa"/>
            <w:tcBorders>
              <w:top w:val="nil"/>
              <w:left w:val="nil"/>
              <w:bottom w:val="nil"/>
              <w:right w:val="nil"/>
            </w:tcBorders>
            <w:shd w:val="clear" w:color="auto" w:fill="auto"/>
            <w:noWrap/>
            <w:vAlign w:val="center"/>
            <w:hideMark/>
          </w:tcPr>
          <w:p w14:paraId="4C2E78E9"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59,3</w:t>
            </w:r>
          </w:p>
        </w:tc>
        <w:tc>
          <w:tcPr>
            <w:tcW w:w="567" w:type="dxa"/>
            <w:tcBorders>
              <w:top w:val="nil"/>
              <w:left w:val="nil"/>
              <w:bottom w:val="nil"/>
              <w:right w:val="nil"/>
            </w:tcBorders>
            <w:shd w:val="clear" w:color="auto" w:fill="auto"/>
            <w:noWrap/>
            <w:vAlign w:val="center"/>
            <w:hideMark/>
          </w:tcPr>
          <w:p w14:paraId="2DE15AFD"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53,8</w:t>
            </w:r>
          </w:p>
        </w:tc>
        <w:tc>
          <w:tcPr>
            <w:tcW w:w="567" w:type="dxa"/>
            <w:tcBorders>
              <w:top w:val="nil"/>
              <w:left w:val="nil"/>
              <w:bottom w:val="nil"/>
              <w:right w:val="nil"/>
            </w:tcBorders>
            <w:shd w:val="clear" w:color="auto" w:fill="auto"/>
            <w:noWrap/>
            <w:vAlign w:val="center"/>
            <w:hideMark/>
          </w:tcPr>
          <w:p w14:paraId="396C554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54,6</w:t>
            </w:r>
          </w:p>
        </w:tc>
        <w:tc>
          <w:tcPr>
            <w:tcW w:w="567" w:type="dxa"/>
            <w:tcBorders>
              <w:top w:val="nil"/>
              <w:left w:val="nil"/>
              <w:bottom w:val="nil"/>
              <w:right w:val="nil"/>
            </w:tcBorders>
            <w:shd w:val="clear" w:color="auto" w:fill="auto"/>
            <w:noWrap/>
            <w:vAlign w:val="center"/>
            <w:hideMark/>
          </w:tcPr>
          <w:p w14:paraId="0C11706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53,9</w:t>
            </w:r>
          </w:p>
        </w:tc>
        <w:tc>
          <w:tcPr>
            <w:tcW w:w="567" w:type="dxa"/>
            <w:tcBorders>
              <w:top w:val="nil"/>
              <w:left w:val="nil"/>
              <w:bottom w:val="nil"/>
              <w:right w:val="nil"/>
            </w:tcBorders>
            <w:shd w:val="clear" w:color="auto" w:fill="auto"/>
            <w:noWrap/>
            <w:vAlign w:val="center"/>
            <w:hideMark/>
          </w:tcPr>
          <w:p w14:paraId="1412A5F8"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52,1</w:t>
            </w:r>
          </w:p>
        </w:tc>
        <w:tc>
          <w:tcPr>
            <w:tcW w:w="567" w:type="dxa"/>
            <w:tcBorders>
              <w:top w:val="nil"/>
              <w:left w:val="nil"/>
              <w:bottom w:val="nil"/>
              <w:right w:val="nil"/>
            </w:tcBorders>
            <w:shd w:val="clear" w:color="auto" w:fill="auto"/>
            <w:noWrap/>
            <w:vAlign w:val="center"/>
            <w:hideMark/>
          </w:tcPr>
          <w:p w14:paraId="2A75E08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52,0</w:t>
            </w:r>
          </w:p>
        </w:tc>
        <w:tc>
          <w:tcPr>
            <w:tcW w:w="567" w:type="dxa"/>
            <w:tcBorders>
              <w:top w:val="nil"/>
              <w:left w:val="nil"/>
              <w:bottom w:val="nil"/>
              <w:right w:val="nil"/>
            </w:tcBorders>
            <w:shd w:val="clear" w:color="auto" w:fill="auto"/>
            <w:noWrap/>
            <w:vAlign w:val="center"/>
            <w:hideMark/>
          </w:tcPr>
          <w:p w14:paraId="073469AD"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45,9</w:t>
            </w:r>
          </w:p>
        </w:tc>
        <w:tc>
          <w:tcPr>
            <w:tcW w:w="567" w:type="dxa"/>
            <w:vAlign w:val="center"/>
          </w:tcPr>
          <w:p w14:paraId="00C6CD45" w14:textId="77777777" w:rsidR="007F25C1" w:rsidRPr="00986950" w:rsidRDefault="007F25C1" w:rsidP="007F25C1">
            <w:pPr>
              <w:spacing w:after="0" w:line="240" w:lineRule="auto"/>
              <w:jc w:val="center"/>
            </w:pPr>
            <w:r w:rsidRPr="00986950">
              <w:rPr>
                <w:rFonts w:cs="Arial"/>
                <w:color w:val="000000"/>
                <w:sz w:val="16"/>
                <w:szCs w:val="16"/>
              </w:rPr>
              <w:t>39,7</w:t>
            </w:r>
          </w:p>
        </w:tc>
        <w:tc>
          <w:tcPr>
            <w:tcW w:w="567" w:type="dxa"/>
            <w:vAlign w:val="center"/>
          </w:tcPr>
          <w:p w14:paraId="65BD851D"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33,9</w:t>
            </w:r>
          </w:p>
        </w:tc>
        <w:tc>
          <w:tcPr>
            <w:tcW w:w="567" w:type="dxa"/>
            <w:vAlign w:val="center"/>
          </w:tcPr>
          <w:p w14:paraId="2D199D33" w14:textId="79BC127A" w:rsidR="007F25C1" w:rsidRPr="00986950" w:rsidRDefault="007F25C1" w:rsidP="007F25C1">
            <w:pPr>
              <w:spacing w:after="0" w:line="240" w:lineRule="auto"/>
              <w:jc w:val="center"/>
              <w:rPr>
                <w:rFonts w:cs="Arial"/>
                <w:color w:val="000000"/>
                <w:sz w:val="16"/>
                <w:szCs w:val="16"/>
              </w:rPr>
            </w:pPr>
            <w:r>
              <w:rPr>
                <w:rFonts w:cs="Arial"/>
                <w:color w:val="000000"/>
                <w:sz w:val="16"/>
                <w:szCs w:val="16"/>
              </w:rPr>
              <w:t>41,7</w:t>
            </w:r>
          </w:p>
        </w:tc>
      </w:tr>
      <w:tr w:rsidR="007F25C1" w:rsidRPr="00986950" w14:paraId="0271F520" w14:textId="4AB087D1" w:rsidTr="00245F95">
        <w:trPr>
          <w:trHeight w:val="480"/>
        </w:trPr>
        <w:tc>
          <w:tcPr>
            <w:tcW w:w="3401" w:type="dxa"/>
            <w:tcBorders>
              <w:top w:val="nil"/>
              <w:left w:val="nil"/>
              <w:bottom w:val="nil"/>
              <w:right w:val="single" w:sz="4" w:space="0" w:color="auto"/>
            </w:tcBorders>
            <w:shd w:val="clear" w:color="auto" w:fill="auto"/>
            <w:vAlign w:val="center"/>
            <w:hideMark/>
          </w:tcPr>
          <w:p w14:paraId="093A2F2F"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 xml:space="preserve">G – Velkoobchod a maloobchod; </w:t>
            </w:r>
            <w:r w:rsidRPr="00986950">
              <w:rPr>
                <w:rFonts w:cs="Arial"/>
                <w:color w:val="000000"/>
                <w:sz w:val="16"/>
                <w:szCs w:val="16"/>
              </w:rPr>
              <w:br/>
              <w:t xml:space="preserve">          opravy a údržba motorových vozidel</w:t>
            </w:r>
          </w:p>
        </w:tc>
        <w:tc>
          <w:tcPr>
            <w:tcW w:w="567" w:type="dxa"/>
            <w:tcBorders>
              <w:top w:val="nil"/>
              <w:left w:val="nil"/>
              <w:bottom w:val="nil"/>
              <w:right w:val="nil"/>
            </w:tcBorders>
            <w:shd w:val="clear" w:color="auto" w:fill="auto"/>
            <w:noWrap/>
            <w:vAlign w:val="center"/>
            <w:hideMark/>
          </w:tcPr>
          <w:p w14:paraId="2220943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48,7</w:t>
            </w:r>
          </w:p>
        </w:tc>
        <w:tc>
          <w:tcPr>
            <w:tcW w:w="567" w:type="dxa"/>
            <w:tcBorders>
              <w:top w:val="nil"/>
              <w:left w:val="nil"/>
              <w:bottom w:val="nil"/>
              <w:right w:val="nil"/>
            </w:tcBorders>
            <w:shd w:val="clear" w:color="auto" w:fill="auto"/>
            <w:noWrap/>
            <w:vAlign w:val="center"/>
            <w:hideMark/>
          </w:tcPr>
          <w:p w14:paraId="56E23CBF"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50,3</w:t>
            </w:r>
          </w:p>
        </w:tc>
        <w:tc>
          <w:tcPr>
            <w:tcW w:w="567" w:type="dxa"/>
            <w:tcBorders>
              <w:top w:val="nil"/>
              <w:left w:val="nil"/>
              <w:bottom w:val="nil"/>
              <w:right w:val="nil"/>
            </w:tcBorders>
            <w:shd w:val="clear" w:color="auto" w:fill="auto"/>
            <w:noWrap/>
            <w:vAlign w:val="center"/>
            <w:hideMark/>
          </w:tcPr>
          <w:p w14:paraId="40414B85"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46,7</w:t>
            </w:r>
          </w:p>
        </w:tc>
        <w:tc>
          <w:tcPr>
            <w:tcW w:w="567" w:type="dxa"/>
            <w:tcBorders>
              <w:top w:val="nil"/>
              <w:left w:val="nil"/>
              <w:bottom w:val="nil"/>
              <w:right w:val="nil"/>
            </w:tcBorders>
            <w:shd w:val="clear" w:color="auto" w:fill="auto"/>
            <w:noWrap/>
            <w:vAlign w:val="center"/>
            <w:hideMark/>
          </w:tcPr>
          <w:p w14:paraId="23FB08E1"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44,9</w:t>
            </w:r>
          </w:p>
        </w:tc>
        <w:tc>
          <w:tcPr>
            <w:tcW w:w="567" w:type="dxa"/>
            <w:tcBorders>
              <w:top w:val="nil"/>
              <w:left w:val="nil"/>
              <w:bottom w:val="nil"/>
              <w:right w:val="nil"/>
            </w:tcBorders>
            <w:shd w:val="clear" w:color="auto" w:fill="auto"/>
            <w:noWrap/>
            <w:vAlign w:val="center"/>
            <w:hideMark/>
          </w:tcPr>
          <w:p w14:paraId="7090783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44,8</w:t>
            </w:r>
          </w:p>
        </w:tc>
        <w:tc>
          <w:tcPr>
            <w:tcW w:w="567" w:type="dxa"/>
            <w:tcBorders>
              <w:top w:val="nil"/>
              <w:left w:val="nil"/>
              <w:bottom w:val="nil"/>
              <w:right w:val="nil"/>
            </w:tcBorders>
            <w:shd w:val="clear" w:color="auto" w:fill="auto"/>
            <w:noWrap/>
            <w:vAlign w:val="center"/>
            <w:hideMark/>
          </w:tcPr>
          <w:p w14:paraId="716136C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44,2</w:t>
            </w:r>
          </w:p>
        </w:tc>
        <w:tc>
          <w:tcPr>
            <w:tcW w:w="567" w:type="dxa"/>
            <w:tcBorders>
              <w:top w:val="nil"/>
              <w:left w:val="nil"/>
              <w:bottom w:val="nil"/>
              <w:right w:val="nil"/>
            </w:tcBorders>
            <w:shd w:val="clear" w:color="auto" w:fill="auto"/>
            <w:noWrap/>
            <w:vAlign w:val="center"/>
            <w:hideMark/>
          </w:tcPr>
          <w:p w14:paraId="397ED40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44,6</w:t>
            </w:r>
          </w:p>
        </w:tc>
        <w:tc>
          <w:tcPr>
            <w:tcW w:w="567" w:type="dxa"/>
            <w:tcBorders>
              <w:top w:val="nil"/>
              <w:left w:val="nil"/>
              <w:bottom w:val="nil"/>
              <w:right w:val="nil"/>
            </w:tcBorders>
            <w:shd w:val="clear" w:color="auto" w:fill="auto"/>
            <w:noWrap/>
            <w:vAlign w:val="center"/>
            <w:hideMark/>
          </w:tcPr>
          <w:p w14:paraId="519997E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41,8</w:t>
            </w:r>
          </w:p>
        </w:tc>
        <w:tc>
          <w:tcPr>
            <w:tcW w:w="567" w:type="dxa"/>
            <w:vAlign w:val="center"/>
          </w:tcPr>
          <w:p w14:paraId="0C65D7C2" w14:textId="77777777" w:rsidR="007F25C1" w:rsidRPr="00986950" w:rsidRDefault="007F25C1" w:rsidP="007F25C1">
            <w:pPr>
              <w:spacing w:after="0" w:line="240" w:lineRule="auto"/>
              <w:jc w:val="center"/>
            </w:pPr>
            <w:r w:rsidRPr="00986950">
              <w:rPr>
                <w:rFonts w:cs="Arial"/>
                <w:color w:val="000000"/>
                <w:sz w:val="16"/>
                <w:szCs w:val="16"/>
              </w:rPr>
              <w:t>36,5</w:t>
            </w:r>
          </w:p>
        </w:tc>
        <w:tc>
          <w:tcPr>
            <w:tcW w:w="567" w:type="dxa"/>
            <w:vAlign w:val="center"/>
          </w:tcPr>
          <w:p w14:paraId="3A12E898"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27,4</w:t>
            </w:r>
          </w:p>
        </w:tc>
        <w:tc>
          <w:tcPr>
            <w:tcW w:w="567" w:type="dxa"/>
            <w:vAlign w:val="center"/>
          </w:tcPr>
          <w:p w14:paraId="7157320B" w14:textId="3F1DDC44" w:rsidR="007F25C1" w:rsidRPr="00986950" w:rsidRDefault="007F25C1" w:rsidP="007F25C1">
            <w:pPr>
              <w:spacing w:after="0" w:line="240" w:lineRule="auto"/>
              <w:jc w:val="center"/>
              <w:rPr>
                <w:rFonts w:cs="Arial"/>
                <w:color w:val="000000"/>
                <w:sz w:val="16"/>
                <w:szCs w:val="16"/>
              </w:rPr>
            </w:pPr>
            <w:r>
              <w:rPr>
                <w:rFonts w:cs="Arial"/>
                <w:color w:val="000000"/>
                <w:sz w:val="16"/>
                <w:szCs w:val="16"/>
              </w:rPr>
              <w:t>33,5</w:t>
            </w:r>
          </w:p>
        </w:tc>
      </w:tr>
      <w:tr w:rsidR="007F25C1" w:rsidRPr="00986950" w14:paraId="0C5E3F7E" w14:textId="3927B706" w:rsidTr="00245F95">
        <w:trPr>
          <w:trHeight w:val="300"/>
        </w:trPr>
        <w:tc>
          <w:tcPr>
            <w:tcW w:w="3401" w:type="dxa"/>
            <w:tcBorders>
              <w:top w:val="nil"/>
              <w:left w:val="nil"/>
              <w:bottom w:val="nil"/>
              <w:right w:val="single" w:sz="4" w:space="0" w:color="auto"/>
            </w:tcBorders>
            <w:shd w:val="clear" w:color="auto" w:fill="auto"/>
            <w:vAlign w:val="center"/>
            <w:hideMark/>
          </w:tcPr>
          <w:p w14:paraId="68D5814C"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H – Doprava a skladování</w:t>
            </w:r>
          </w:p>
        </w:tc>
        <w:tc>
          <w:tcPr>
            <w:tcW w:w="567" w:type="dxa"/>
            <w:tcBorders>
              <w:top w:val="nil"/>
              <w:left w:val="nil"/>
              <w:bottom w:val="nil"/>
              <w:right w:val="nil"/>
            </w:tcBorders>
            <w:shd w:val="clear" w:color="auto" w:fill="auto"/>
            <w:noWrap/>
            <w:vAlign w:val="center"/>
            <w:hideMark/>
          </w:tcPr>
          <w:p w14:paraId="3ED6088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50,0</w:t>
            </w:r>
          </w:p>
        </w:tc>
        <w:tc>
          <w:tcPr>
            <w:tcW w:w="567" w:type="dxa"/>
            <w:tcBorders>
              <w:top w:val="nil"/>
              <w:left w:val="nil"/>
              <w:bottom w:val="nil"/>
              <w:right w:val="nil"/>
            </w:tcBorders>
            <w:shd w:val="clear" w:color="auto" w:fill="auto"/>
            <w:noWrap/>
            <w:vAlign w:val="center"/>
            <w:hideMark/>
          </w:tcPr>
          <w:p w14:paraId="341287A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50,9</w:t>
            </w:r>
          </w:p>
        </w:tc>
        <w:tc>
          <w:tcPr>
            <w:tcW w:w="567" w:type="dxa"/>
            <w:tcBorders>
              <w:top w:val="nil"/>
              <w:left w:val="nil"/>
              <w:bottom w:val="nil"/>
              <w:right w:val="nil"/>
            </w:tcBorders>
            <w:shd w:val="clear" w:color="auto" w:fill="auto"/>
            <w:noWrap/>
            <w:vAlign w:val="center"/>
            <w:hideMark/>
          </w:tcPr>
          <w:p w14:paraId="45EACC4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45,8</w:t>
            </w:r>
          </w:p>
        </w:tc>
        <w:tc>
          <w:tcPr>
            <w:tcW w:w="567" w:type="dxa"/>
            <w:tcBorders>
              <w:top w:val="nil"/>
              <w:left w:val="nil"/>
              <w:bottom w:val="nil"/>
              <w:right w:val="nil"/>
            </w:tcBorders>
            <w:shd w:val="clear" w:color="auto" w:fill="auto"/>
            <w:noWrap/>
            <w:vAlign w:val="center"/>
            <w:hideMark/>
          </w:tcPr>
          <w:p w14:paraId="5BAB01D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45,9</w:t>
            </w:r>
          </w:p>
        </w:tc>
        <w:tc>
          <w:tcPr>
            <w:tcW w:w="567" w:type="dxa"/>
            <w:tcBorders>
              <w:top w:val="nil"/>
              <w:left w:val="nil"/>
              <w:bottom w:val="nil"/>
              <w:right w:val="nil"/>
            </w:tcBorders>
            <w:shd w:val="clear" w:color="auto" w:fill="auto"/>
            <w:noWrap/>
            <w:vAlign w:val="center"/>
            <w:hideMark/>
          </w:tcPr>
          <w:p w14:paraId="4A71F38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44,2</w:t>
            </w:r>
          </w:p>
        </w:tc>
        <w:tc>
          <w:tcPr>
            <w:tcW w:w="567" w:type="dxa"/>
            <w:tcBorders>
              <w:top w:val="nil"/>
              <w:left w:val="nil"/>
              <w:bottom w:val="nil"/>
              <w:right w:val="nil"/>
            </w:tcBorders>
            <w:shd w:val="clear" w:color="auto" w:fill="auto"/>
            <w:noWrap/>
            <w:vAlign w:val="center"/>
            <w:hideMark/>
          </w:tcPr>
          <w:p w14:paraId="1098C097"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44,2</w:t>
            </w:r>
          </w:p>
        </w:tc>
        <w:tc>
          <w:tcPr>
            <w:tcW w:w="567" w:type="dxa"/>
            <w:tcBorders>
              <w:top w:val="nil"/>
              <w:left w:val="nil"/>
              <w:bottom w:val="nil"/>
              <w:right w:val="nil"/>
            </w:tcBorders>
            <w:shd w:val="clear" w:color="auto" w:fill="auto"/>
            <w:noWrap/>
            <w:vAlign w:val="center"/>
            <w:hideMark/>
          </w:tcPr>
          <w:p w14:paraId="4F2110F5"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44,7</w:t>
            </w:r>
          </w:p>
        </w:tc>
        <w:tc>
          <w:tcPr>
            <w:tcW w:w="567" w:type="dxa"/>
            <w:tcBorders>
              <w:top w:val="nil"/>
              <w:left w:val="nil"/>
              <w:bottom w:val="nil"/>
              <w:right w:val="nil"/>
            </w:tcBorders>
            <w:shd w:val="clear" w:color="auto" w:fill="auto"/>
            <w:noWrap/>
            <w:vAlign w:val="center"/>
            <w:hideMark/>
          </w:tcPr>
          <w:p w14:paraId="4294785F"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42,6</w:t>
            </w:r>
          </w:p>
        </w:tc>
        <w:tc>
          <w:tcPr>
            <w:tcW w:w="567" w:type="dxa"/>
            <w:vAlign w:val="center"/>
          </w:tcPr>
          <w:p w14:paraId="54DAA788" w14:textId="77777777" w:rsidR="007F25C1" w:rsidRPr="00986950" w:rsidRDefault="007F25C1" w:rsidP="007F25C1">
            <w:pPr>
              <w:spacing w:after="0" w:line="240" w:lineRule="auto"/>
              <w:jc w:val="center"/>
            </w:pPr>
            <w:r w:rsidRPr="00986950">
              <w:rPr>
                <w:rFonts w:cs="Arial"/>
                <w:color w:val="000000"/>
                <w:sz w:val="16"/>
                <w:szCs w:val="16"/>
              </w:rPr>
              <w:t>36,7</w:t>
            </w:r>
          </w:p>
        </w:tc>
        <w:tc>
          <w:tcPr>
            <w:tcW w:w="567" w:type="dxa"/>
            <w:vAlign w:val="center"/>
          </w:tcPr>
          <w:p w14:paraId="6359F02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29,5</w:t>
            </w:r>
          </w:p>
        </w:tc>
        <w:tc>
          <w:tcPr>
            <w:tcW w:w="567" w:type="dxa"/>
            <w:vAlign w:val="center"/>
          </w:tcPr>
          <w:p w14:paraId="43A531BA" w14:textId="7797DF9C" w:rsidR="007F25C1" w:rsidRPr="00986950" w:rsidRDefault="007F25C1" w:rsidP="007F25C1">
            <w:pPr>
              <w:spacing w:after="0" w:line="240" w:lineRule="auto"/>
              <w:jc w:val="center"/>
              <w:rPr>
                <w:rFonts w:cs="Arial"/>
                <w:color w:val="000000"/>
                <w:sz w:val="16"/>
                <w:szCs w:val="16"/>
              </w:rPr>
            </w:pPr>
            <w:r>
              <w:rPr>
                <w:rFonts w:cs="Arial"/>
                <w:color w:val="000000"/>
                <w:sz w:val="16"/>
                <w:szCs w:val="16"/>
              </w:rPr>
              <w:t>35,2</w:t>
            </w:r>
          </w:p>
        </w:tc>
      </w:tr>
      <w:tr w:rsidR="007F25C1" w:rsidRPr="00986950" w14:paraId="3AF94E16" w14:textId="33719087" w:rsidTr="00245F95">
        <w:trPr>
          <w:trHeight w:val="300"/>
        </w:trPr>
        <w:tc>
          <w:tcPr>
            <w:tcW w:w="3401" w:type="dxa"/>
            <w:tcBorders>
              <w:top w:val="nil"/>
              <w:left w:val="nil"/>
              <w:bottom w:val="nil"/>
              <w:right w:val="single" w:sz="4" w:space="0" w:color="auto"/>
            </w:tcBorders>
            <w:shd w:val="clear" w:color="auto" w:fill="auto"/>
            <w:vAlign w:val="center"/>
            <w:hideMark/>
          </w:tcPr>
          <w:p w14:paraId="16B670E9"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I – Ubytování, stravování a pohostinství</w:t>
            </w:r>
          </w:p>
        </w:tc>
        <w:tc>
          <w:tcPr>
            <w:tcW w:w="567" w:type="dxa"/>
            <w:tcBorders>
              <w:top w:val="nil"/>
              <w:left w:val="nil"/>
              <w:bottom w:val="nil"/>
              <w:right w:val="nil"/>
            </w:tcBorders>
            <w:shd w:val="clear" w:color="auto" w:fill="auto"/>
            <w:noWrap/>
            <w:vAlign w:val="center"/>
            <w:hideMark/>
          </w:tcPr>
          <w:p w14:paraId="22ABADD7"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57,5</w:t>
            </w:r>
          </w:p>
        </w:tc>
        <w:tc>
          <w:tcPr>
            <w:tcW w:w="567" w:type="dxa"/>
            <w:tcBorders>
              <w:top w:val="nil"/>
              <w:left w:val="nil"/>
              <w:bottom w:val="nil"/>
              <w:right w:val="nil"/>
            </w:tcBorders>
            <w:shd w:val="clear" w:color="auto" w:fill="auto"/>
            <w:noWrap/>
            <w:vAlign w:val="center"/>
            <w:hideMark/>
          </w:tcPr>
          <w:p w14:paraId="2F38E10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58,7</w:t>
            </w:r>
          </w:p>
        </w:tc>
        <w:tc>
          <w:tcPr>
            <w:tcW w:w="567" w:type="dxa"/>
            <w:tcBorders>
              <w:top w:val="nil"/>
              <w:left w:val="nil"/>
              <w:bottom w:val="nil"/>
              <w:right w:val="nil"/>
            </w:tcBorders>
            <w:shd w:val="clear" w:color="auto" w:fill="auto"/>
            <w:noWrap/>
            <w:vAlign w:val="center"/>
            <w:hideMark/>
          </w:tcPr>
          <w:p w14:paraId="341EA8A8"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55,0</w:t>
            </w:r>
          </w:p>
        </w:tc>
        <w:tc>
          <w:tcPr>
            <w:tcW w:w="567" w:type="dxa"/>
            <w:tcBorders>
              <w:top w:val="nil"/>
              <w:left w:val="nil"/>
              <w:bottom w:val="nil"/>
              <w:right w:val="nil"/>
            </w:tcBorders>
            <w:shd w:val="clear" w:color="auto" w:fill="auto"/>
            <w:noWrap/>
            <w:vAlign w:val="center"/>
            <w:hideMark/>
          </w:tcPr>
          <w:p w14:paraId="17391551"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54,5</w:t>
            </w:r>
          </w:p>
        </w:tc>
        <w:tc>
          <w:tcPr>
            <w:tcW w:w="567" w:type="dxa"/>
            <w:tcBorders>
              <w:top w:val="nil"/>
              <w:left w:val="nil"/>
              <w:bottom w:val="nil"/>
              <w:right w:val="nil"/>
            </w:tcBorders>
            <w:shd w:val="clear" w:color="auto" w:fill="auto"/>
            <w:noWrap/>
            <w:vAlign w:val="center"/>
            <w:hideMark/>
          </w:tcPr>
          <w:p w14:paraId="03F38791"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54,7</w:t>
            </w:r>
          </w:p>
        </w:tc>
        <w:tc>
          <w:tcPr>
            <w:tcW w:w="567" w:type="dxa"/>
            <w:tcBorders>
              <w:top w:val="nil"/>
              <w:left w:val="nil"/>
              <w:bottom w:val="nil"/>
              <w:right w:val="nil"/>
            </w:tcBorders>
            <w:shd w:val="clear" w:color="auto" w:fill="auto"/>
            <w:noWrap/>
            <w:vAlign w:val="center"/>
            <w:hideMark/>
          </w:tcPr>
          <w:p w14:paraId="30A46F9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53,8</w:t>
            </w:r>
          </w:p>
        </w:tc>
        <w:tc>
          <w:tcPr>
            <w:tcW w:w="567" w:type="dxa"/>
            <w:tcBorders>
              <w:top w:val="nil"/>
              <w:left w:val="nil"/>
              <w:bottom w:val="nil"/>
              <w:right w:val="nil"/>
            </w:tcBorders>
            <w:shd w:val="clear" w:color="auto" w:fill="auto"/>
            <w:noWrap/>
            <w:vAlign w:val="center"/>
            <w:hideMark/>
          </w:tcPr>
          <w:p w14:paraId="2F58AF65"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54,4</w:t>
            </w:r>
          </w:p>
        </w:tc>
        <w:tc>
          <w:tcPr>
            <w:tcW w:w="567" w:type="dxa"/>
            <w:tcBorders>
              <w:top w:val="nil"/>
              <w:left w:val="nil"/>
              <w:bottom w:val="nil"/>
              <w:right w:val="nil"/>
            </w:tcBorders>
            <w:shd w:val="clear" w:color="auto" w:fill="auto"/>
            <w:noWrap/>
            <w:vAlign w:val="center"/>
            <w:hideMark/>
          </w:tcPr>
          <w:p w14:paraId="784D857D"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57,1</w:t>
            </w:r>
          </w:p>
        </w:tc>
        <w:tc>
          <w:tcPr>
            <w:tcW w:w="567" w:type="dxa"/>
            <w:vAlign w:val="center"/>
          </w:tcPr>
          <w:p w14:paraId="5106F768" w14:textId="77777777" w:rsidR="007F25C1" w:rsidRPr="00986950" w:rsidRDefault="007F25C1" w:rsidP="007F25C1">
            <w:pPr>
              <w:spacing w:after="0" w:line="240" w:lineRule="auto"/>
              <w:jc w:val="center"/>
            </w:pPr>
            <w:r w:rsidRPr="00986950">
              <w:rPr>
                <w:rFonts w:cs="Arial"/>
                <w:color w:val="000000"/>
                <w:sz w:val="16"/>
                <w:szCs w:val="16"/>
              </w:rPr>
              <w:t>48,1</w:t>
            </w:r>
          </w:p>
        </w:tc>
        <w:tc>
          <w:tcPr>
            <w:tcW w:w="567" w:type="dxa"/>
            <w:vAlign w:val="center"/>
          </w:tcPr>
          <w:p w14:paraId="134E394F"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36,0</w:t>
            </w:r>
          </w:p>
        </w:tc>
        <w:tc>
          <w:tcPr>
            <w:tcW w:w="567" w:type="dxa"/>
            <w:vAlign w:val="center"/>
          </w:tcPr>
          <w:p w14:paraId="26C24A5C" w14:textId="186A6BBF" w:rsidR="007F25C1" w:rsidRPr="00986950" w:rsidRDefault="007F25C1" w:rsidP="007F25C1">
            <w:pPr>
              <w:spacing w:after="0" w:line="240" w:lineRule="auto"/>
              <w:jc w:val="center"/>
              <w:rPr>
                <w:rFonts w:cs="Arial"/>
                <w:color w:val="000000"/>
                <w:sz w:val="16"/>
                <w:szCs w:val="16"/>
              </w:rPr>
            </w:pPr>
            <w:r>
              <w:rPr>
                <w:rFonts w:cs="Arial"/>
                <w:color w:val="000000"/>
                <w:sz w:val="16"/>
                <w:szCs w:val="16"/>
              </w:rPr>
              <w:t>42,8</w:t>
            </w:r>
          </w:p>
        </w:tc>
      </w:tr>
      <w:tr w:rsidR="007F25C1" w:rsidRPr="00986950" w14:paraId="0A5EDD7B" w14:textId="06AB718F" w:rsidTr="00245F95">
        <w:trPr>
          <w:trHeight w:val="300"/>
        </w:trPr>
        <w:tc>
          <w:tcPr>
            <w:tcW w:w="3401" w:type="dxa"/>
            <w:tcBorders>
              <w:top w:val="nil"/>
              <w:left w:val="nil"/>
              <w:bottom w:val="nil"/>
              <w:right w:val="single" w:sz="4" w:space="0" w:color="auto"/>
            </w:tcBorders>
            <w:shd w:val="clear" w:color="auto" w:fill="auto"/>
            <w:vAlign w:val="center"/>
            <w:hideMark/>
          </w:tcPr>
          <w:p w14:paraId="0935794A"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J – Informační a komunikační činnosti</w:t>
            </w:r>
          </w:p>
        </w:tc>
        <w:tc>
          <w:tcPr>
            <w:tcW w:w="567" w:type="dxa"/>
            <w:tcBorders>
              <w:top w:val="nil"/>
              <w:left w:val="nil"/>
              <w:bottom w:val="nil"/>
              <w:right w:val="nil"/>
            </w:tcBorders>
            <w:shd w:val="clear" w:color="auto" w:fill="auto"/>
            <w:noWrap/>
            <w:vAlign w:val="center"/>
            <w:hideMark/>
          </w:tcPr>
          <w:p w14:paraId="74CFF7D4"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25,7</w:t>
            </w:r>
          </w:p>
        </w:tc>
        <w:tc>
          <w:tcPr>
            <w:tcW w:w="567" w:type="dxa"/>
            <w:tcBorders>
              <w:top w:val="nil"/>
              <w:left w:val="nil"/>
              <w:bottom w:val="nil"/>
              <w:right w:val="nil"/>
            </w:tcBorders>
            <w:shd w:val="clear" w:color="auto" w:fill="auto"/>
            <w:noWrap/>
            <w:vAlign w:val="center"/>
            <w:hideMark/>
          </w:tcPr>
          <w:p w14:paraId="696367DD"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27,8</w:t>
            </w:r>
          </w:p>
        </w:tc>
        <w:tc>
          <w:tcPr>
            <w:tcW w:w="567" w:type="dxa"/>
            <w:tcBorders>
              <w:top w:val="nil"/>
              <w:left w:val="nil"/>
              <w:bottom w:val="nil"/>
              <w:right w:val="nil"/>
            </w:tcBorders>
            <w:shd w:val="clear" w:color="auto" w:fill="auto"/>
            <w:noWrap/>
            <w:vAlign w:val="center"/>
            <w:hideMark/>
          </w:tcPr>
          <w:p w14:paraId="2594803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27,5</w:t>
            </w:r>
          </w:p>
        </w:tc>
        <w:tc>
          <w:tcPr>
            <w:tcW w:w="567" w:type="dxa"/>
            <w:tcBorders>
              <w:top w:val="nil"/>
              <w:left w:val="nil"/>
              <w:bottom w:val="nil"/>
              <w:right w:val="nil"/>
            </w:tcBorders>
            <w:shd w:val="clear" w:color="auto" w:fill="auto"/>
            <w:noWrap/>
            <w:vAlign w:val="center"/>
            <w:hideMark/>
          </w:tcPr>
          <w:p w14:paraId="4D06E21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26,0</w:t>
            </w:r>
          </w:p>
        </w:tc>
        <w:tc>
          <w:tcPr>
            <w:tcW w:w="567" w:type="dxa"/>
            <w:tcBorders>
              <w:top w:val="nil"/>
              <w:left w:val="nil"/>
              <w:bottom w:val="nil"/>
              <w:right w:val="nil"/>
            </w:tcBorders>
            <w:shd w:val="clear" w:color="auto" w:fill="auto"/>
            <w:noWrap/>
            <w:vAlign w:val="center"/>
            <w:hideMark/>
          </w:tcPr>
          <w:p w14:paraId="1C1D7E94"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26,2</w:t>
            </w:r>
          </w:p>
        </w:tc>
        <w:tc>
          <w:tcPr>
            <w:tcW w:w="567" w:type="dxa"/>
            <w:tcBorders>
              <w:top w:val="nil"/>
              <w:left w:val="nil"/>
              <w:bottom w:val="nil"/>
              <w:right w:val="nil"/>
            </w:tcBorders>
            <w:shd w:val="clear" w:color="auto" w:fill="auto"/>
            <w:noWrap/>
            <w:vAlign w:val="center"/>
            <w:hideMark/>
          </w:tcPr>
          <w:p w14:paraId="328DB9E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26,4</w:t>
            </w:r>
          </w:p>
        </w:tc>
        <w:tc>
          <w:tcPr>
            <w:tcW w:w="567" w:type="dxa"/>
            <w:tcBorders>
              <w:top w:val="nil"/>
              <w:left w:val="nil"/>
              <w:bottom w:val="nil"/>
              <w:right w:val="nil"/>
            </w:tcBorders>
            <w:shd w:val="clear" w:color="auto" w:fill="auto"/>
            <w:noWrap/>
            <w:vAlign w:val="center"/>
            <w:hideMark/>
          </w:tcPr>
          <w:p w14:paraId="022186FF"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25,4</w:t>
            </w:r>
          </w:p>
        </w:tc>
        <w:tc>
          <w:tcPr>
            <w:tcW w:w="567" w:type="dxa"/>
            <w:tcBorders>
              <w:top w:val="nil"/>
              <w:left w:val="nil"/>
              <w:bottom w:val="nil"/>
              <w:right w:val="nil"/>
            </w:tcBorders>
            <w:shd w:val="clear" w:color="auto" w:fill="auto"/>
            <w:noWrap/>
            <w:vAlign w:val="center"/>
            <w:hideMark/>
          </w:tcPr>
          <w:p w14:paraId="5B44A154"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26,3</w:t>
            </w:r>
          </w:p>
        </w:tc>
        <w:tc>
          <w:tcPr>
            <w:tcW w:w="567" w:type="dxa"/>
            <w:vAlign w:val="center"/>
          </w:tcPr>
          <w:p w14:paraId="72EDF24D" w14:textId="77777777" w:rsidR="007F25C1" w:rsidRPr="00986950" w:rsidRDefault="007F25C1" w:rsidP="007F25C1">
            <w:pPr>
              <w:spacing w:after="0" w:line="240" w:lineRule="auto"/>
              <w:jc w:val="center"/>
            </w:pPr>
            <w:r w:rsidRPr="00986950">
              <w:rPr>
                <w:rFonts w:cs="Arial"/>
                <w:color w:val="000000"/>
                <w:sz w:val="16"/>
                <w:szCs w:val="16"/>
              </w:rPr>
              <w:t>23,3</w:t>
            </w:r>
          </w:p>
        </w:tc>
        <w:tc>
          <w:tcPr>
            <w:tcW w:w="567" w:type="dxa"/>
            <w:vAlign w:val="center"/>
          </w:tcPr>
          <w:p w14:paraId="2D755C3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16,8</w:t>
            </w:r>
          </w:p>
        </w:tc>
        <w:tc>
          <w:tcPr>
            <w:tcW w:w="567" w:type="dxa"/>
            <w:vAlign w:val="center"/>
          </w:tcPr>
          <w:p w14:paraId="7A302F05" w14:textId="45B42C78" w:rsidR="007F25C1" w:rsidRPr="00986950" w:rsidRDefault="007F25C1" w:rsidP="007F25C1">
            <w:pPr>
              <w:spacing w:after="0" w:line="240" w:lineRule="auto"/>
              <w:jc w:val="center"/>
              <w:rPr>
                <w:rFonts w:cs="Arial"/>
                <w:color w:val="000000"/>
                <w:sz w:val="16"/>
                <w:szCs w:val="16"/>
              </w:rPr>
            </w:pPr>
            <w:r>
              <w:rPr>
                <w:rFonts w:cs="Arial"/>
                <w:color w:val="000000"/>
                <w:sz w:val="16"/>
                <w:szCs w:val="16"/>
              </w:rPr>
              <w:t>18,3</w:t>
            </w:r>
          </w:p>
        </w:tc>
      </w:tr>
      <w:tr w:rsidR="007F25C1" w:rsidRPr="00986950" w14:paraId="36A7EE01" w14:textId="2588DC3D" w:rsidTr="00245F95">
        <w:trPr>
          <w:trHeight w:val="300"/>
        </w:trPr>
        <w:tc>
          <w:tcPr>
            <w:tcW w:w="3401" w:type="dxa"/>
            <w:tcBorders>
              <w:top w:val="nil"/>
              <w:left w:val="nil"/>
              <w:bottom w:val="nil"/>
              <w:right w:val="single" w:sz="4" w:space="0" w:color="auto"/>
            </w:tcBorders>
            <w:shd w:val="clear" w:color="auto" w:fill="auto"/>
            <w:vAlign w:val="center"/>
            <w:hideMark/>
          </w:tcPr>
          <w:p w14:paraId="74638010"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K – Peněžnictví a pojišťovnictví</w:t>
            </w:r>
          </w:p>
        </w:tc>
        <w:tc>
          <w:tcPr>
            <w:tcW w:w="567" w:type="dxa"/>
            <w:tcBorders>
              <w:top w:val="nil"/>
              <w:left w:val="nil"/>
              <w:bottom w:val="nil"/>
              <w:right w:val="nil"/>
            </w:tcBorders>
            <w:shd w:val="clear" w:color="auto" w:fill="auto"/>
            <w:noWrap/>
            <w:vAlign w:val="center"/>
            <w:hideMark/>
          </w:tcPr>
          <w:p w14:paraId="0D555CA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31,2</w:t>
            </w:r>
          </w:p>
        </w:tc>
        <w:tc>
          <w:tcPr>
            <w:tcW w:w="567" w:type="dxa"/>
            <w:tcBorders>
              <w:top w:val="nil"/>
              <w:left w:val="nil"/>
              <w:bottom w:val="nil"/>
              <w:right w:val="nil"/>
            </w:tcBorders>
            <w:shd w:val="clear" w:color="auto" w:fill="auto"/>
            <w:noWrap/>
            <w:vAlign w:val="center"/>
            <w:hideMark/>
          </w:tcPr>
          <w:p w14:paraId="1ECFA3D9"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34,3</w:t>
            </w:r>
          </w:p>
        </w:tc>
        <w:tc>
          <w:tcPr>
            <w:tcW w:w="567" w:type="dxa"/>
            <w:tcBorders>
              <w:top w:val="nil"/>
              <w:left w:val="nil"/>
              <w:bottom w:val="nil"/>
              <w:right w:val="nil"/>
            </w:tcBorders>
            <w:shd w:val="clear" w:color="auto" w:fill="auto"/>
            <w:noWrap/>
            <w:vAlign w:val="center"/>
            <w:hideMark/>
          </w:tcPr>
          <w:p w14:paraId="1ECD6C0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33,1</w:t>
            </w:r>
          </w:p>
        </w:tc>
        <w:tc>
          <w:tcPr>
            <w:tcW w:w="567" w:type="dxa"/>
            <w:tcBorders>
              <w:top w:val="nil"/>
              <w:left w:val="nil"/>
              <w:bottom w:val="nil"/>
              <w:right w:val="nil"/>
            </w:tcBorders>
            <w:shd w:val="clear" w:color="auto" w:fill="auto"/>
            <w:noWrap/>
            <w:vAlign w:val="center"/>
            <w:hideMark/>
          </w:tcPr>
          <w:p w14:paraId="49B5811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32,4</w:t>
            </w:r>
          </w:p>
        </w:tc>
        <w:tc>
          <w:tcPr>
            <w:tcW w:w="567" w:type="dxa"/>
            <w:tcBorders>
              <w:top w:val="nil"/>
              <w:left w:val="nil"/>
              <w:bottom w:val="nil"/>
              <w:right w:val="nil"/>
            </w:tcBorders>
            <w:shd w:val="clear" w:color="auto" w:fill="auto"/>
            <w:noWrap/>
            <w:vAlign w:val="center"/>
            <w:hideMark/>
          </w:tcPr>
          <w:p w14:paraId="532511B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33,8</w:t>
            </w:r>
          </w:p>
        </w:tc>
        <w:tc>
          <w:tcPr>
            <w:tcW w:w="567" w:type="dxa"/>
            <w:tcBorders>
              <w:top w:val="nil"/>
              <w:left w:val="nil"/>
              <w:bottom w:val="nil"/>
              <w:right w:val="nil"/>
            </w:tcBorders>
            <w:shd w:val="clear" w:color="auto" w:fill="auto"/>
            <w:noWrap/>
            <w:vAlign w:val="center"/>
            <w:hideMark/>
          </w:tcPr>
          <w:p w14:paraId="50255739"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31,8</w:t>
            </w:r>
          </w:p>
        </w:tc>
        <w:tc>
          <w:tcPr>
            <w:tcW w:w="567" w:type="dxa"/>
            <w:tcBorders>
              <w:top w:val="nil"/>
              <w:left w:val="nil"/>
              <w:bottom w:val="nil"/>
              <w:right w:val="nil"/>
            </w:tcBorders>
            <w:shd w:val="clear" w:color="auto" w:fill="auto"/>
            <w:noWrap/>
            <w:vAlign w:val="center"/>
            <w:hideMark/>
          </w:tcPr>
          <w:p w14:paraId="438FF2F5"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31,7</w:t>
            </w:r>
          </w:p>
        </w:tc>
        <w:tc>
          <w:tcPr>
            <w:tcW w:w="567" w:type="dxa"/>
            <w:tcBorders>
              <w:top w:val="nil"/>
              <w:left w:val="nil"/>
              <w:bottom w:val="nil"/>
              <w:right w:val="nil"/>
            </w:tcBorders>
            <w:shd w:val="clear" w:color="auto" w:fill="auto"/>
            <w:noWrap/>
            <w:vAlign w:val="center"/>
            <w:hideMark/>
          </w:tcPr>
          <w:p w14:paraId="0468854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33,0</w:t>
            </w:r>
          </w:p>
        </w:tc>
        <w:tc>
          <w:tcPr>
            <w:tcW w:w="567" w:type="dxa"/>
            <w:vAlign w:val="center"/>
          </w:tcPr>
          <w:p w14:paraId="38CD102A" w14:textId="77777777" w:rsidR="007F25C1" w:rsidRPr="00986950" w:rsidRDefault="007F25C1" w:rsidP="007F25C1">
            <w:pPr>
              <w:spacing w:after="0" w:line="240" w:lineRule="auto"/>
              <w:jc w:val="center"/>
            </w:pPr>
            <w:r w:rsidRPr="00986950">
              <w:rPr>
                <w:rFonts w:cs="Arial"/>
                <w:color w:val="000000"/>
                <w:sz w:val="16"/>
                <w:szCs w:val="16"/>
              </w:rPr>
              <w:t>30,3</w:t>
            </w:r>
          </w:p>
        </w:tc>
        <w:tc>
          <w:tcPr>
            <w:tcW w:w="567" w:type="dxa"/>
            <w:vAlign w:val="center"/>
          </w:tcPr>
          <w:p w14:paraId="2DF1F745"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21,0</w:t>
            </w:r>
          </w:p>
        </w:tc>
        <w:tc>
          <w:tcPr>
            <w:tcW w:w="567" w:type="dxa"/>
            <w:vAlign w:val="center"/>
          </w:tcPr>
          <w:p w14:paraId="0E75C8BC" w14:textId="2C1AC645" w:rsidR="007F25C1" w:rsidRPr="00986950" w:rsidRDefault="007F25C1" w:rsidP="007F25C1">
            <w:pPr>
              <w:spacing w:after="0" w:line="240" w:lineRule="auto"/>
              <w:jc w:val="center"/>
              <w:rPr>
                <w:rFonts w:cs="Arial"/>
                <w:color w:val="000000"/>
                <w:sz w:val="16"/>
                <w:szCs w:val="16"/>
              </w:rPr>
            </w:pPr>
            <w:r>
              <w:rPr>
                <w:rFonts w:cs="Arial"/>
                <w:color w:val="000000"/>
                <w:sz w:val="16"/>
                <w:szCs w:val="16"/>
              </w:rPr>
              <w:t>22,4</w:t>
            </w:r>
          </w:p>
        </w:tc>
      </w:tr>
      <w:tr w:rsidR="007F25C1" w:rsidRPr="00986950" w14:paraId="5944B7ED" w14:textId="57A28D17" w:rsidTr="00245F95">
        <w:trPr>
          <w:trHeight w:val="300"/>
        </w:trPr>
        <w:tc>
          <w:tcPr>
            <w:tcW w:w="3401" w:type="dxa"/>
            <w:tcBorders>
              <w:top w:val="nil"/>
              <w:left w:val="nil"/>
              <w:bottom w:val="nil"/>
              <w:right w:val="single" w:sz="4" w:space="0" w:color="auto"/>
            </w:tcBorders>
            <w:shd w:val="clear" w:color="auto" w:fill="auto"/>
            <w:vAlign w:val="center"/>
            <w:hideMark/>
          </w:tcPr>
          <w:p w14:paraId="63627155"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L – Činnosti v oblasti nemovitostí</w:t>
            </w:r>
          </w:p>
        </w:tc>
        <w:tc>
          <w:tcPr>
            <w:tcW w:w="567" w:type="dxa"/>
            <w:tcBorders>
              <w:top w:val="nil"/>
              <w:left w:val="nil"/>
              <w:bottom w:val="nil"/>
              <w:right w:val="nil"/>
            </w:tcBorders>
            <w:shd w:val="clear" w:color="auto" w:fill="auto"/>
            <w:noWrap/>
            <w:vAlign w:val="center"/>
            <w:hideMark/>
          </w:tcPr>
          <w:p w14:paraId="4452DCCF"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54,4</w:t>
            </w:r>
          </w:p>
        </w:tc>
        <w:tc>
          <w:tcPr>
            <w:tcW w:w="567" w:type="dxa"/>
            <w:tcBorders>
              <w:top w:val="nil"/>
              <w:left w:val="nil"/>
              <w:bottom w:val="nil"/>
              <w:right w:val="nil"/>
            </w:tcBorders>
            <w:shd w:val="clear" w:color="auto" w:fill="auto"/>
            <w:noWrap/>
            <w:vAlign w:val="center"/>
            <w:hideMark/>
          </w:tcPr>
          <w:p w14:paraId="39EDCD7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56,3</w:t>
            </w:r>
          </w:p>
        </w:tc>
        <w:tc>
          <w:tcPr>
            <w:tcW w:w="567" w:type="dxa"/>
            <w:tcBorders>
              <w:top w:val="nil"/>
              <w:left w:val="nil"/>
              <w:bottom w:val="nil"/>
              <w:right w:val="nil"/>
            </w:tcBorders>
            <w:shd w:val="clear" w:color="auto" w:fill="auto"/>
            <w:noWrap/>
            <w:vAlign w:val="center"/>
            <w:hideMark/>
          </w:tcPr>
          <w:p w14:paraId="72EF0C2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52,0</w:t>
            </w:r>
          </w:p>
        </w:tc>
        <w:tc>
          <w:tcPr>
            <w:tcW w:w="567" w:type="dxa"/>
            <w:tcBorders>
              <w:top w:val="nil"/>
              <w:left w:val="nil"/>
              <w:bottom w:val="nil"/>
              <w:right w:val="nil"/>
            </w:tcBorders>
            <w:shd w:val="clear" w:color="auto" w:fill="auto"/>
            <w:noWrap/>
            <w:vAlign w:val="center"/>
            <w:hideMark/>
          </w:tcPr>
          <w:p w14:paraId="57B2963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52,5</w:t>
            </w:r>
          </w:p>
        </w:tc>
        <w:tc>
          <w:tcPr>
            <w:tcW w:w="567" w:type="dxa"/>
            <w:tcBorders>
              <w:top w:val="nil"/>
              <w:left w:val="nil"/>
              <w:bottom w:val="nil"/>
              <w:right w:val="nil"/>
            </w:tcBorders>
            <w:shd w:val="clear" w:color="auto" w:fill="auto"/>
            <w:noWrap/>
            <w:vAlign w:val="center"/>
            <w:hideMark/>
          </w:tcPr>
          <w:p w14:paraId="793A095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53,6</w:t>
            </w:r>
          </w:p>
        </w:tc>
        <w:tc>
          <w:tcPr>
            <w:tcW w:w="567" w:type="dxa"/>
            <w:tcBorders>
              <w:top w:val="nil"/>
              <w:left w:val="nil"/>
              <w:bottom w:val="nil"/>
              <w:right w:val="nil"/>
            </w:tcBorders>
            <w:shd w:val="clear" w:color="auto" w:fill="auto"/>
            <w:noWrap/>
            <w:vAlign w:val="center"/>
            <w:hideMark/>
          </w:tcPr>
          <w:p w14:paraId="4285E38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51,1</w:t>
            </w:r>
          </w:p>
        </w:tc>
        <w:tc>
          <w:tcPr>
            <w:tcW w:w="567" w:type="dxa"/>
            <w:tcBorders>
              <w:top w:val="nil"/>
              <w:left w:val="nil"/>
              <w:bottom w:val="nil"/>
              <w:right w:val="nil"/>
            </w:tcBorders>
            <w:shd w:val="clear" w:color="auto" w:fill="auto"/>
            <w:noWrap/>
            <w:vAlign w:val="center"/>
            <w:hideMark/>
          </w:tcPr>
          <w:p w14:paraId="25770C29"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50,8</w:t>
            </w:r>
          </w:p>
        </w:tc>
        <w:tc>
          <w:tcPr>
            <w:tcW w:w="567" w:type="dxa"/>
            <w:tcBorders>
              <w:top w:val="nil"/>
              <w:left w:val="nil"/>
              <w:bottom w:val="nil"/>
              <w:right w:val="nil"/>
            </w:tcBorders>
            <w:shd w:val="clear" w:color="auto" w:fill="auto"/>
            <w:noWrap/>
            <w:vAlign w:val="center"/>
            <w:hideMark/>
          </w:tcPr>
          <w:p w14:paraId="631A515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46,7</w:t>
            </w:r>
          </w:p>
        </w:tc>
        <w:tc>
          <w:tcPr>
            <w:tcW w:w="567" w:type="dxa"/>
            <w:vAlign w:val="center"/>
          </w:tcPr>
          <w:p w14:paraId="03B06023" w14:textId="77777777" w:rsidR="007F25C1" w:rsidRPr="00986950" w:rsidRDefault="007F25C1" w:rsidP="007F25C1">
            <w:pPr>
              <w:spacing w:after="0" w:line="240" w:lineRule="auto"/>
              <w:jc w:val="center"/>
            </w:pPr>
            <w:r w:rsidRPr="00986950">
              <w:rPr>
                <w:rFonts w:cs="Arial"/>
                <w:color w:val="000000"/>
                <w:sz w:val="16"/>
                <w:szCs w:val="16"/>
              </w:rPr>
              <w:t>39,4</w:t>
            </w:r>
          </w:p>
        </w:tc>
        <w:tc>
          <w:tcPr>
            <w:tcW w:w="567" w:type="dxa"/>
            <w:vAlign w:val="center"/>
          </w:tcPr>
          <w:p w14:paraId="2064E227"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31,3</w:t>
            </w:r>
          </w:p>
        </w:tc>
        <w:tc>
          <w:tcPr>
            <w:tcW w:w="567" w:type="dxa"/>
            <w:vAlign w:val="center"/>
          </w:tcPr>
          <w:p w14:paraId="120B9F6C" w14:textId="1A351445" w:rsidR="007F25C1" w:rsidRPr="00986950" w:rsidRDefault="007F25C1" w:rsidP="007F25C1">
            <w:pPr>
              <w:spacing w:after="0" w:line="240" w:lineRule="auto"/>
              <w:jc w:val="center"/>
              <w:rPr>
                <w:rFonts w:cs="Arial"/>
                <w:color w:val="000000"/>
                <w:sz w:val="16"/>
                <w:szCs w:val="16"/>
              </w:rPr>
            </w:pPr>
            <w:r>
              <w:rPr>
                <w:rFonts w:cs="Arial"/>
                <w:color w:val="000000"/>
                <w:sz w:val="16"/>
                <w:szCs w:val="16"/>
              </w:rPr>
              <w:t>37,8</w:t>
            </w:r>
          </w:p>
        </w:tc>
      </w:tr>
      <w:tr w:rsidR="007F25C1" w:rsidRPr="00986950" w14:paraId="086989BA" w14:textId="62EFB392" w:rsidTr="00245F95">
        <w:trPr>
          <w:trHeight w:val="300"/>
        </w:trPr>
        <w:tc>
          <w:tcPr>
            <w:tcW w:w="3401" w:type="dxa"/>
            <w:tcBorders>
              <w:top w:val="nil"/>
              <w:left w:val="nil"/>
              <w:bottom w:val="nil"/>
              <w:right w:val="single" w:sz="4" w:space="0" w:color="auto"/>
            </w:tcBorders>
            <w:shd w:val="clear" w:color="auto" w:fill="auto"/>
            <w:vAlign w:val="center"/>
            <w:hideMark/>
          </w:tcPr>
          <w:p w14:paraId="3C50DD0F"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M – Profesní, vědecké a technické činnosti</w:t>
            </w:r>
          </w:p>
        </w:tc>
        <w:tc>
          <w:tcPr>
            <w:tcW w:w="567" w:type="dxa"/>
            <w:tcBorders>
              <w:top w:val="nil"/>
              <w:left w:val="nil"/>
              <w:bottom w:val="nil"/>
              <w:right w:val="nil"/>
            </w:tcBorders>
            <w:shd w:val="clear" w:color="auto" w:fill="auto"/>
            <w:noWrap/>
            <w:vAlign w:val="center"/>
            <w:hideMark/>
          </w:tcPr>
          <w:p w14:paraId="1DA8D14D"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38,9</w:t>
            </w:r>
          </w:p>
        </w:tc>
        <w:tc>
          <w:tcPr>
            <w:tcW w:w="567" w:type="dxa"/>
            <w:tcBorders>
              <w:top w:val="nil"/>
              <w:left w:val="nil"/>
              <w:bottom w:val="nil"/>
              <w:right w:val="nil"/>
            </w:tcBorders>
            <w:shd w:val="clear" w:color="auto" w:fill="auto"/>
            <w:noWrap/>
            <w:vAlign w:val="center"/>
            <w:hideMark/>
          </w:tcPr>
          <w:p w14:paraId="7072337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40,9</w:t>
            </w:r>
          </w:p>
        </w:tc>
        <w:tc>
          <w:tcPr>
            <w:tcW w:w="567" w:type="dxa"/>
            <w:tcBorders>
              <w:top w:val="nil"/>
              <w:left w:val="nil"/>
              <w:bottom w:val="nil"/>
              <w:right w:val="nil"/>
            </w:tcBorders>
            <w:shd w:val="clear" w:color="auto" w:fill="auto"/>
            <w:noWrap/>
            <w:vAlign w:val="center"/>
            <w:hideMark/>
          </w:tcPr>
          <w:p w14:paraId="682C3FE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38,8</w:t>
            </w:r>
          </w:p>
        </w:tc>
        <w:tc>
          <w:tcPr>
            <w:tcW w:w="567" w:type="dxa"/>
            <w:tcBorders>
              <w:top w:val="nil"/>
              <w:left w:val="nil"/>
              <w:bottom w:val="nil"/>
              <w:right w:val="nil"/>
            </w:tcBorders>
            <w:shd w:val="clear" w:color="auto" w:fill="auto"/>
            <w:noWrap/>
            <w:vAlign w:val="center"/>
            <w:hideMark/>
          </w:tcPr>
          <w:p w14:paraId="049D6B3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38,7</w:t>
            </w:r>
          </w:p>
        </w:tc>
        <w:tc>
          <w:tcPr>
            <w:tcW w:w="567" w:type="dxa"/>
            <w:tcBorders>
              <w:top w:val="nil"/>
              <w:left w:val="nil"/>
              <w:bottom w:val="nil"/>
              <w:right w:val="nil"/>
            </w:tcBorders>
            <w:shd w:val="clear" w:color="auto" w:fill="auto"/>
            <w:noWrap/>
            <w:vAlign w:val="center"/>
            <w:hideMark/>
          </w:tcPr>
          <w:p w14:paraId="26263FE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39,2</w:t>
            </w:r>
          </w:p>
        </w:tc>
        <w:tc>
          <w:tcPr>
            <w:tcW w:w="567" w:type="dxa"/>
            <w:tcBorders>
              <w:top w:val="nil"/>
              <w:left w:val="nil"/>
              <w:bottom w:val="nil"/>
              <w:right w:val="nil"/>
            </w:tcBorders>
            <w:shd w:val="clear" w:color="auto" w:fill="auto"/>
            <w:noWrap/>
            <w:vAlign w:val="center"/>
            <w:hideMark/>
          </w:tcPr>
          <w:p w14:paraId="246F03A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39,6</w:t>
            </w:r>
          </w:p>
        </w:tc>
        <w:tc>
          <w:tcPr>
            <w:tcW w:w="567" w:type="dxa"/>
            <w:tcBorders>
              <w:top w:val="nil"/>
              <w:left w:val="nil"/>
              <w:bottom w:val="nil"/>
              <w:right w:val="nil"/>
            </w:tcBorders>
            <w:shd w:val="clear" w:color="auto" w:fill="auto"/>
            <w:noWrap/>
            <w:vAlign w:val="center"/>
            <w:hideMark/>
          </w:tcPr>
          <w:p w14:paraId="51EBB2A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39,2</w:t>
            </w:r>
          </w:p>
        </w:tc>
        <w:tc>
          <w:tcPr>
            <w:tcW w:w="567" w:type="dxa"/>
            <w:tcBorders>
              <w:top w:val="nil"/>
              <w:left w:val="nil"/>
              <w:bottom w:val="nil"/>
              <w:right w:val="nil"/>
            </w:tcBorders>
            <w:shd w:val="clear" w:color="auto" w:fill="auto"/>
            <w:noWrap/>
            <w:vAlign w:val="center"/>
            <w:hideMark/>
          </w:tcPr>
          <w:p w14:paraId="5A315EBF"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36,9</w:t>
            </w:r>
          </w:p>
        </w:tc>
        <w:tc>
          <w:tcPr>
            <w:tcW w:w="567" w:type="dxa"/>
            <w:vAlign w:val="center"/>
          </w:tcPr>
          <w:p w14:paraId="330CBA6D" w14:textId="77777777" w:rsidR="007F25C1" w:rsidRPr="00986950" w:rsidRDefault="007F25C1" w:rsidP="007F25C1">
            <w:pPr>
              <w:spacing w:after="0" w:line="240" w:lineRule="auto"/>
              <w:jc w:val="center"/>
            </w:pPr>
            <w:r w:rsidRPr="00986950">
              <w:rPr>
                <w:rFonts w:cs="Arial"/>
                <w:color w:val="000000"/>
                <w:sz w:val="16"/>
                <w:szCs w:val="16"/>
              </w:rPr>
              <w:t>32,1</w:t>
            </w:r>
          </w:p>
        </w:tc>
        <w:tc>
          <w:tcPr>
            <w:tcW w:w="567" w:type="dxa"/>
            <w:vAlign w:val="center"/>
          </w:tcPr>
          <w:p w14:paraId="0A58B6CD"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23,2</w:t>
            </w:r>
          </w:p>
        </w:tc>
        <w:tc>
          <w:tcPr>
            <w:tcW w:w="567" w:type="dxa"/>
            <w:vAlign w:val="center"/>
          </w:tcPr>
          <w:p w14:paraId="20C8D0DE" w14:textId="01574E52" w:rsidR="007F25C1" w:rsidRPr="00986950" w:rsidRDefault="007F25C1" w:rsidP="007F25C1">
            <w:pPr>
              <w:spacing w:after="0" w:line="240" w:lineRule="auto"/>
              <w:jc w:val="center"/>
              <w:rPr>
                <w:rFonts w:cs="Arial"/>
                <w:color w:val="000000"/>
                <w:sz w:val="16"/>
                <w:szCs w:val="16"/>
              </w:rPr>
            </w:pPr>
            <w:r>
              <w:rPr>
                <w:rFonts w:cs="Arial"/>
                <w:color w:val="000000"/>
                <w:sz w:val="16"/>
                <w:szCs w:val="16"/>
              </w:rPr>
              <w:t>27,7</w:t>
            </w:r>
          </w:p>
        </w:tc>
      </w:tr>
      <w:tr w:rsidR="007F25C1" w:rsidRPr="00986950" w14:paraId="70D83BF4" w14:textId="53018C8B" w:rsidTr="00245F95">
        <w:trPr>
          <w:trHeight w:val="300"/>
        </w:trPr>
        <w:tc>
          <w:tcPr>
            <w:tcW w:w="3401" w:type="dxa"/>
            <w:tcBorders>
              <w:top w:val="nil"/>
              <w:left w:val="nil"/>
              <w:bottom w:val="nil"/>
              <w:right w:val="single" w:sz="4" w:space="0" w:color="auto"/>
            </w:tcBorders>
            <w:shd w:val="clear" w:color="auto" w:fill="auto"/>
            <w:vAlign w:val="center"/>
            <w:hideMark/>
          </w:tcPr>
          <w:p w14:paraId="53D56156"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N – Administrativní a podpůrné činnosti</w:t>
            </w:r>
          </w:p>
        </w:tc>
        <w:tc>
          <w:tcPr>
            <w:tcW w:w="567" w:type="dxa"/>
            <w:tcBorders>
              <w:top w:val="nil"/>
              <w:left w:val="nil"/>
              <w:bottom w:val="nil"/>
              <w:right w:val="nil"/>
            </w:tcBorders>
            <w:shd w:val="clear" w:color="auto" w:fill="auto"/>
            <w:noWrap/>
            <w:vAlign w:val="center"/>
            <w:hideMark/>
          </w:tcPr>
          <w:p w14:paraId="0166D4B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41,7</w:t>
            </w:r>
          </w:p>
        </w:tc>
        <w:tc>
          <w:tcPr>
            <w:tcW w:w="567" w:type="dxa"/>
            <w:tcBorders>
              <w:top w:val="nil"/>
              <w:left w:val="nil"/>
              <w:bottom w:val="nil"/>
              <w:right w:val="nil"/>
            </w:tcBorders>
            <w:shd w:val="clear" w:color="auto" w:fill="auto"/>
            <w:noWrap/>
            <w:vAlign w:val="center"/>
            <w:hideMark/>
          </w:tcPr>
          <w:p w14:paraId="60FC2CFA"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41,3</w:t>
            </w:r>
          </w:p>
        </w:tc>
        <w:tc>
          <w:tcPr>
            <w:tcW w:w="567" w:type="dxa"/>
            <w:tcBorders>
              <w:top w:val="nil"/>
              <w:left w:val="nil"/>
              <w:bottom w:val="nil"/>
              <w:right w:val="nil"/>
            </w:tcBorders>
            <w:shd w:val="clear" w:color="auto" w:fill="auto"/>
            <w:noWrap/>
            <w:vAlign w:val="center"/>
            <w:hideMark/>
          </w:tcPr>
          <w:p w14:paraId="4556564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38,5</w:t>
            </w:r>
          </w:p>
        </w:tc>
        <w:tc>
          <w:tcPr>
            <w:tcW w:w="567" w:type="dxa"/>
            <w:tcBorders>
              <w:top w:val="nil"/>
              <w:left w:val="nil"/>
              <w:bottom w:val="nil"/>
              <w:right w:val="nil"/>
            </w:tcBorders>
            <w:shd w:val="clear" w:color="auto" w:fill="auto"/>
            <w:noWrap/>
            <w:vAlign w:val="center"/>
            <w:hideMark/>
          </w:tcPr>
          <w:p w14:paraId="1C37BBF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38,2</w:t>
            </w:r>
          </w:p>
        </w:tc>
        <w:tc>
          <w:tcPr>
            <w:tcW w:w="567" w:type="dxa"/>
            <w:tcBorders>
              <w:top w:val="nil"/>
              <w:left w:val="nil"/>
              <w:bottom w:val="nil"/>
              <w:right w:val="nil"/>
            </w:tcBorders>
            <w:shd w:val="clear" w:color="auto" w:fill="auto"/>
            <w:noWrap/>
            <w:vAlign w:val="center"/>
            <w:hideMark/>
          </w:tcPr>
          <w:p w14:paraId="213340C9"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39,2</w:t>
            </w:r>
          </w:p>
        </w:tc>
        <w:tc>
          <w:tcPr>
            <w:tcW w:w="567" w:type="dxa"/>
            <w:tcBorders>
              <w:top w:val="nil"/>
              <w:left w:val="nil"/>
              <w:bottom w:val="nil"/>
              <w:right w:val="nil"/>
            </w:tcBorders>
            <w:shd w:val="clear" w:color="auto" w:fill="auto"/>
            <w:noWrap/>
            <w:vAlign w:val="center"/>
            <w:hideMark/>
          </w:tcPr>
          <w:p w14:paraId="4649262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40,5</w:t>
            </w:r>
          </w:p>
        </w:tc>
        <w:tc>
          <w:tcPr>
            <w:tcW w:w="567" w:type="dxa"/>
            <w:tcBorders>
              <w:top w:val="nil"/>
              <w:left w:val="nil"/>
              <w:bottom w:val="nil"/>
              <w:right w:val="nil"/>
            </w:tcBorders>
            <w:shd w:val="clear" w:color="auto" w:fill="auto"/>
            <w:noWrap/>
            <w:vAlign w:val="center"/>
            <w:hideMark/>
          </w:tcPr>
          <w:p w14:paraId="7F4881E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42,8</w:t>
            </w:r>
          </w:p>
        </w:tc>
        <w:tc>
          <w:tcPr>
            <w:tcW w:w="567" w:type="dxa"/>
            <w:tcBorders>
              <w:top w:val="nil"/>
              <w:left w:val="nil"/>
              <w:bottom w:val="nil"/>
              <w:right w:val="nil"/>
            </w:tcBorders>
            <w:shd w:val="clear" w:color="auto" w:fill="auto"/>
            <w:noWrap/>
            <w:vAlign w:val="center"/>
            <w:hideMark/>
          </w:tcPr>
          <w:p w14:paraId="1BAD34F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43,6</w:t>
            </w:r>
          </w:p>
        </w:tc>
        <w:tc>
          <w:tcPr>
            <w:tcW w:w="567" w:type="dxa"/>
            <w:vAlign w:val="center"/>
          </w:tcPr>
          <w:p w14:paraId="5ED4E547" w14:textId="77777777" w:rsidR="007F25C1" w:rsidRPr="00986950" w:rsidRDefault="007F25C1" w:rsidP="007F25C1">
            <w:pPr>
              <w:spacing w:after="0" w:line="240" w:lineRule="auto"/>
              <w:jc w:val="center"/>
            </w:pPr>
            <w:r w:rsidRPr="00986950">
              <w:rPr>
                <w:rFonts w:cs="Arial"/>
                <w:color w:val="000000"/>
                <w:sz w:val="16"/>
                <w:szCs w:val="16"/>
              </w:rPr>
              <w:t>38,0</w:t>
            </w:r>
          </w:p>
        </w:tc>
        <w:tc>
          <w:tcPr>
            <w:tcW w:w="567" w:type="dxa"/>
            <w:vAlign w:val="center"/>
          </w:tcPr>
          <w:p w14:paraId="286CCBE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32,1</w:t>
            </w:r>
          </w:p>
        </w:tc>
        <w:tc>
          <w:tcPr>
            <w:tcW w:w="567" w:type="dxa"/>
            <w:vAlign w:val="center"/>
          </w:tcPr>
          <w:p w14:paraId="7D799DAA" w14:textId="0D645C8F" w:rsidR="007F25C1" w:rsidRPr="00986950" w:rsidRDefault="007F25C1" w:rsidP="007F25C1">
            <w:pPr>
              <w:spacing w:after="0" w:line="240" w:lineRule="auto"/>
              <w:jc w:val="center"/>
              <w:rPr>
                <w:rFonts w:cs="Arial"/>
                <w:color w:val="000000"/>
                <w:sz w:val="16"/>
                <w:szCs w:val="16"/>
              </w:rPr>
            </w:pPr>
            <w:r>
              <w:rPr>
                <w:rFonts w:cs="Arial"/>
                <w:color w:val="000000"/>
                <w:sz w:val="16"/>
                <w:szCs w:val="16"/>
              </w:rPr>
              <w:t>35,0</w:t>
            </w:r>
          </w:p>
        </w:tc>
      </w:tr>
      <w:tr w:rsidR="007F25C1" w:rsidRPr="00986950" w14:paraId="0F06145C" w14:textId="3DA2758C" w:rsidTr="00245F95">
        <w:trPr>
          <w:trHeight w:val="480"/>
        </w:trPr>
        <w:tc>
          <w:tcPr>
            <w:tcW w:w="3401" w:type="dxa"/>
            <w:tcBorders>
              <w:top w:val="nil"/>
              <w:left w:val="nil"/>
              <w:bottom w:val="nil"/>
              <w:right w:val="single" w:sz="4" w:space="0" w:color="auto"/>
            </w:tcBorders>
            <w:shd w:val="clear" w:color="auto" w:fill="auto"/>
            <w:vAlign w:val="center"/>
            <w:hideMark/>
          </w:tcPr>
          <w:p w14:paraId="3280FF52"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 xml:space="preserve">O – Veřejná správa a obrana; </w:t>
            </w:r>
            <w:r w:rsidRPr="00986950">
              <w:rPr>
                <w:rFonts w:cs="Arial"/>
                <w:color w:val="000000"/>
                <w:sz w:val="16"/>
                <w:szCs w:val="16"/>
              </w:rPr>
              <w:br/>
              <w:t xml:space="preserve">           povinné sociální zabezpečení</w:t>
            </w:r>
          </w:p>
        </w:tc>
        <w:tc>
          <w:tcPr>
            <w:tcW w:w="567" w:type="dxa"/>
            <w:tcBorders>
              <w:top w:val="nil"/>
              <w:left w:val="nil"/>
              <w:bottom w:val="nil"/>
              <w:right w:val="nil"/>
            </w:tcBorders>
            <w:shd w:val="clear" w:color="auto" w:fill="auto"/>
            <w:noWrap/>
            <w:vAlign w:val="center"/>
            <w:hideMark/>
          </w:tcPr>
          <w:p w14:paraId="503B003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34,8</w:t>
            </w:r>
          </w:p>
        </w:tc>
        <w:tc>
          <w:tcPr>
            <w:tcW w:w="567" w:type="dxa"/>
            <w:tcBorders>
              <w:top w:val="nil"/>
              <w:left w:val="nil"/>
              <w:bottom w:val="nil"/>
              <w:right w:val="nil"/>
            </w:tcBorders>
            <w:shd w:val="clear" w:color="auto" w:fill="auto"/>
            <w:noWrap/>
            <w:vAlign w:val="center"/>
            <w:hideMark/>
          </w:tcPr>
          <w:p w14:paraId="0284C967"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38,0</w:t>
            </w:r>
          </w:p>
        </w:tc>
        <w:tc>
          <w:tcPr>
            <w:tcW w:w="567" w:type="dxa"/>
            <w:tcBorders>
              <w:top w:val="nil"/>
              <w:left w:val="nil"/>
              <w:bottom w:val="nil"/>
              <w:right w:val="nil"/>
            </w:tcBorders>
            <w:shd w:val="clear" w:color="auto" w:fill="auto"/>
            <w:noWrap/>
            <w:vAlign w:val="center"/>
            <w:hideMark/>
          </w:tcPr>
          <w:p w14:paraId="3B2F327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35,9</w:t>
            </w:r>
          </w:p>
        </w:tc>
        <w:tc>
          <w:tcPr>
            <w:tcW w:w="567" w:type="dxa"/>
            <w:tcBorders>
              <w:top w:val="nil"/>
              <w:left w:val="nil"/>
              <w:bottom w:val="nil"/>
              <w:right w:val="nil"/>
            </w:tcBorders>
            <w:shd w:val="clear" w:color="auto" w:fill="auto"/>
            <w:noWrap/>
            <w:vAlign w:val="center"/>
            <w:hideMark/>
          </w:tcPr>
          <w:p w14:paraId="1CAF9BA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37,2</w:t>
            </w:r>
          </w:p>
        </w:tc>
        <w:tc>
          <w:tcPr>
            <w:tcW w:w="567" w:type="dxa"/>
            <w:tcBorders>
              <w:top w:val="nil"/>
              <w:left w:val="nil"/>
              <w:bottom w:val="nil"/>
              <w:right w:val="nil"/>
            </w:tcBorders>
            <w:shd w:val="clear" w:color="auto" w:fill="auto"/>
            <w:noWrap/>
            <w:vAlign w:val="center"/>
            <w:hideMark/>
          </w:tcPr>
          <w:p w14:paraId="17F25A44"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36,2</w:t>
            </w:r>
          </w:p>
        </w:tc>
        <w:tc>
          <w:tcPr>
            <w:tcW w:w="567" w:type="dxa"/>
            <w:tcBorders>
              <w:top w:val="nil"/>
              <w:left w:val="nil"/>
              <w:bottom w:val="nil"/>
              <w:right w:val="nil"/>
            </w:tcBorders>
            <w:shd w:val="clear" w:color="auto" w:fill="auto"/>
            <w:noWrap/>
            <w:vAlign w:val="center"/>
            <w:hideMark/>
          </w:tcPr>
          <w:p w14:paraId="477D8FF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34,9</w:t>
            </w:r>
          </w:p>
        </w:tc>
        <w:tc>
          <w:tcPr>
            <w:tcW w:w="567" w:type="dxa"/>
            <w:tcBorders>
              <w:top w:val="nil"/>
              <w:left w:val="nil"/>
              <w:bottom w:val="nil"/>
              <w:right w:val="nil"/>
            </w:tcBorders>
            <w:shd w:val="clear" w:color="auto" w:fill="auto"/>
            <w:noWrap/>
            <w:vAlign w:val="center"/>
            <w:hideMark/>
          </w:tcPr>
          <w:p w14:paraId="37089F1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35,1</w:t>
            </w:r>
          </w:p>
        </w:tc>
        <w:tc>
          <w:tcPr>
            <w:tcW w:w="567" w:type="dxa"/>
            <w:tcBorders>
              <w:top w:val="nil"/>
              <w:left w:val="nil"/>
              <w:bottom w:val="nil"/>
              <w:right w:val="nil"/>
            </w:tcBorders>
            <w:shd w:val="clear" w:color="auto" w:fill="auto"/>
            <w:noWrap/>
            <w:vAlign w:val="center"/>
            <w:hideMark/>
          </w:tcPr>
          <w:p w14:paraId="60CD181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31,5</w:t>
            </w:r>
          </w:p>
        </w:tc>
        <w:tc>
          <w:tcPr>
            <w:tcW w:w="567" w:type="dxa"/>
            <w:vAlign w:val="center"/>
          </w:tcPr>
          <w:p w14:paraId="372119AB" w14:textId="77777777" w:rsidR="007F25C1" w:rsidRPr="00986950" w:rsidRDefault="007F25C1" w:rsidP="007F25C1">
            <w:pPr>
              <w:spacing w:after="0" w:line="240" w:lineRule="auto"/>
              <w:jc w:val="center"/>
            </w:pPr>
            <w:r w:rsidRPr="00986950">
              <w:rPr>
                <w:rFonts w:cs="Arial"/>
                <w:color w:val="000000"/>
                <w:sz w:val="16"/>
                <w:szCs w:val="16"/>
              </w:rPr>
              <w:t>28,7</w:t>
            </w:r>
          </w:p>
        </w:tc>
        <w:tc>
          <w:tcPr>
            <w:tcW w:w="567" w:type="dxa"/>
            <w:vAlign w:val="center"/>
          </w:tcPr>
          <w:p w14:paraId="0BE298A1"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20,7</w:t>
            </w:r>
          </w:p>
        </w:tc>
        <w:tc>
          <w:tcPr>
            <w:tcW w:w="567" w:type="dxa"/>
            <w:vAlign w:val="center"/>
          </w:tcPr>
          <w:p w14:paraId="1C846031" w14:textId="5E3F9957" w:rsidR="007F25C1" w:rsidRPr="00986950" w:rsidRDefault="007F25C1" w:rsidP="007F25C1">
            <w:pPr>
              <w:spacing w:after="0" w:line="240" w:lineRule="auto"/>
              <w:jc w:val="center"/>
              <w:rPr>
                <w:rFonts w:cs="Arial"/>
                <w:color w:val="000000"/>
                <w:sz w:val="16"/>
                <w:szCs w:val="16"/>
              </w:rPr>
            </w:pPr>
            <w:r>
              <w:rPr>
                <w:rFonts w:cs="Arial"/>
                <w:color w:val="000000"/>
                <w:sz w:val="16"/>
                <w:szCs w:val="16"/>
              </w:rPr>
              <w:t>24,8</w:t>
            </w:r>
          </w:p>
        </w:tc>
      </w:tr>
      <w:tr w:rsidR="007F25C1" w:rsidRPr="00986950" w14:paraId="29140617" w14:textId="1D6AF399" w:rsidTr="00245F95">
        <w:trPr>
          <w:trHeight w:val="300"/>
        </w:trPr>
        <w:tc>
          <w:tcPr>
            <w:tcW w:w="3401" w:type="dxa"/>
            <w:tcBorders>
              <w:top w:val="nil"/>
              <w:left w:val="nil"/>
              <w:bottom w:val="nil"/>
              <w:right w:val="single" w:sz="4" w:space="0" w:color="auto"/>
            </w:tcBorders>
            <w:shd w:val="clear" w:color="auto" w:fill="auto"/>
            <w:vAlign w:val="center"/>
            <w:hideMark/>
          </w:tcPr>
          <w:p w14:paraId="7747C5EA"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P – Vzdělávání</w:t>
            </w:r>
          </w:p>
        </w:tc>
        <w:tc>
          <w:tcPr>
            <w:tcW w:w="567" w:type="dxa"/>
            <w:tcBorders>
              <w:top w:val="nil"/>
              <w:left w:val="nil"/>
              <w:bottom w:val="nil"/>
              <w:right w:val="nil"/>
            </w:tcBorders>
            <w:shd w:val="clear" w:color="auto" w:fill="auto"/>
            <w:noWrap/>
            <w:vAlign w:val="center"/>
            <w:hideMark/>
          </w:tcPr>
          <w:p w14:paraId="3C9C863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33,6</w:t>
            </w:r>
          </w:p>
        </w:tc>
        <w:tc>
          <w:tcPr>
            <w:tcW w:w="567" w:type="dxa"/>
            <w:tcBorders>
              <w:top w:val="nil"/>
              <w:left w:val="nil"/>
              <w:bottom w:val="nil"/>
              <w:right w:val="nil"/>
            </w:tcBorders>
            <w:shd w:val="clear" w:color="auto" w:fill="auto"/>
            <w:noWrap/>
            <w:vAlign w:val="center"/>
            <w:hideMark/>
          </w:tcPr>
          <w:p w14:paraId="5BD58D8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35,6</w:t>
            </w:r>
          </w:p>
        </w:tc>
        <w:tc>
          <w:tcPr>
            <w:tcW w:w="567" w:type="dxa"/>
            <w:tcBorders>
              <w:top w:val="nil"/>
              <w:left w:val="nil"/>
              <w:bottom w:val="nil"/>
              <w:right w:val="nil"/>
            </w:tcBorders>
            <w:shd w:val="clear" w:color="auto" w:fill="auto"/>
            <w:noWrap/>
            <w:vAlign w:val="center"/>
            <w:hideMark/>
          </w:tcPr>
          <w:p w14:paraId="2AA41C16"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32,6</w:t>
            </w:r>
          </w:p>
        </w:tc>
        <w:tc>
          <w:tcPr>
            <w:tcW w:w="567" w:type="dxa"/>
            <w:tcBorders>
              <w:top w:val="nil"/>
              <w:left w:val="nil"/>
              <w:bottom w:val="nil"/>
              <w:right w:val="nil"/>
            </w:tcBorders>
            <w:shd w:val="clear" w:color="auto" w:fill="auto"/>
            <w:noWrap/>
            <w:vAlign w:val="center"/>
            <w:hideMark/>
          </w:tcPr>
          <w:p w14:paraId="74D644D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33,3</w:t>
            </w:r>
          </w:p>
        </w:tc>
        <w:tc>
          <w:tcPr>
            <w:tcW w:w="567" w:type="dxa"/>
            <w:tcBorders>
              <w:top w:val="nil"/>
              <w:left w:val="nil"/>
              <w:bottom w:val="nil"/>
              <w:right w:val="nil"/>
            </w:tcBorders>
            <w:shd w:val="clear" w:color="auto" w:fill="auto"/>
            <w:noWrap/>
            <w:vAlign w:val="center"/>
            <w:hideMark/>
          </w:tcPr>
          <w:p w14:paraId="5B1CE06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32,2</w:t>
            </w:r>
          </w:p>
        </w:tc>
        <w:tc>
          <w:tcPr>
            <w:tcW w:w="567" w:type="dxa"/>
            <w:tcBorders>
              <w:top w:val="nil"/>
              <w:left w:val="nil"/>
              <w:bottom w:val="nil"/>
              <w:right w:val="nil"/>
            </w:tcBorders>
            <w:shd w:val="clear" w:color="auto" w:fill="auto"/>
            <w:noWrap/>
            <w:vAlign w:val="center"/>
            <w:hideMark/>
          </w:tcPr>
          <w:p w14:paraId="7DDA7F19"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30,5</w:t>
            </w:r>
          </w:p>
        </w:tc>
        <w:tc>
          <w:tcPr>
            <w:tcW w:w="567" w:type="dxa"/>
            <w:tcBorders>
              <w:top w:val="nil"/>
              <w:left w:val="nil"/>
              <w:bottom w:val="nil"/>
              <w:right w:val="nil"/>
            </w:tcBorders>
            <w:shd w:val="clear" w:color="auto" w:fill="auto"/>
            <w:noWrap/>
            <w:vAlign w:val="center"/>
            <w:hideMark/>
          </w:tcPr>
          <w:p w14:paraId="424AE98D"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31,2</w:t>
            </w:r>
          </w:p>
        </w:tc>
        <w:tc>
          <w:tcPr>
            <w:tcW w:w="567" w:type="dxa"/>
            <w:tcBorders>
              <w:top w:val="nil"/>
              <w:left w:val="nil"/>
              <w:bottom w:val="nil"/>
              <w:right w:val="nil"/>
            </w:tcBorders>
            <w:shd w:val="clear" w:color="auto" w:fill="auto"/>
            <w:noWrap/>
            <w:vAlign w:val="center"/>
            <w:hideMark/>
          </w:tcPr>
          <w:p w14:paraId="4EEEAFA5"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27,9</w:t>
            </w:r>
          </w:p>
        </w:tc>
        <w:tc>
          <w:tcPr>
            <w:tcW w:w="567" w:type="dxa"/>
            <w:vAlign w:val="center"/>
          </w:tcPr>
          <w:p w14:paraId="35D53C96" w14:textId="77777777" w:rsidR="007F25C1" w:rsidRPr="00986950" w:rsidRDefault="007F25C1" w:rsidP="007F25C1">
            <w:pPr>
              <w:spacing w:after="0" w:line="240" w:lineRule="auto"/>
              <w:jc w:val="center"/>
            </w:pPr>
            <w:r w:rsidRPr="00986950">
              <w:rPr>
                <w:rFonts w:cs="Arial"/>
                <w:color w:val="000000"/>
                <w:sz w:val="16"/>
                <w:szCs w:val="16"/>
              </w:rPr>
              <w:t>24,0</w:t>
            </w:r>
          </w:p>
        </w:tc>
        <w:tc>
          <w:tcPr>
            <w:tcW w:w="567" w:type="dxa"/>
            <w:vAlign w:val="center"/>
          </w:tcPr>
          <w:p w14:paraId="508212B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16,9</w:t>
            </w:r>
          </w:p>
        </w:tc>
        <w:tc>
          <w:tcPr>
            <w:tcW w:w="567" w:type="dxa"/>
            <w:vAlign w:val="center"/>
          </w:tcPr>
          <w:p w14:paraId="2B0FE61C" w14:textId="48EA7735" w:rsidR="007F25C1" w:rsidRPr="00986950" w:rsidRDefault="007F25C1" w:rsidP="007F25C1">
            <w:pPr>
              <w:spacing w:after="0" w:line="240" w:lineRule="auto"/>
              <w:jc w:val="center"/>
              <w:rPr>
                <w:rFonts w:cs="Arial"/>
                <w:color w:val="000000"/>
                <w:sz w:val="16"/>
                <w:szCs w:val="16"/>
              </w:rPr>
            </w:pPr>
            <w:r>
              <w:rPr>
                <w:rFonts w:cs="Arial"/>
                <w:color w:val="000000"/>
                <w:sz w:val="16"/>
                <w:szCs w:val="16"/>
              </w:rPr>
              <w:t>19,9</w:t>
            </w:r>
          </w:p>
        </w:tc>
      </w:tr>
      <w:tr w:rsidR="007F25C1" w:rsidRPr="00986950" w14:paraId="580FF185" w14:textId="1BFB9C7C" w:rsidTr="00245F95">
        <w:trPr>
          <w:trHeight w:val="300"/>
        </w:trPr>
        <w:tc>
          <w:tcPr>
            <w:tcW w:w="3401" w:type="dxa"/>
            <w:tcBorders>
              <w:top w:val="nil"/>
              <w:left w:val="nil"/>
              <w:bottom w:val="nil"/>
              <w:right w:val="single" w:sz="4" w:space="0" w:color="auto"/>
            </w:tcBorders>
            <w:shd w:val="clear" w:color="auto" w:fill="auto"/>
            <w:vAlign w:val="center"/>
            <w:hideMark/>
          </w:tcPr>
          <w:p w14:paraId="003A6884"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Q – Zdravotní a sociální péče</w:t>
            </w:r>
          </w:p>
        </w:tc>
        <w:tc>
          <w:tcPr>
            <w:tcW w:w="567" w:type="dxa"/>
            <w:tcBorders>
              <w:top w:val="nil"/>
              <w:left w:val="nil"/>
              <w:bottom w:val="nil"/>
              <w:right w:val="nil"/>
            </w:tcBorders>
            <w:shd w:val="clear" w:color="auto" w:fill="auto"/>
            <w:noWrap/>
            <w:vAlign w:val="center"/>
            <w:hideMark/>
          </w:tcPr>
          <w:p w14:paraId="2C59C9F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48,9</w:t>
            </w:r>
          </w:p>
        </w:tc>
        <w:tc>
          <w:tcPr>
            <w:tcW w:w="567" w:type="dxa"/>
            <w:tcBorders>
              <w:top w:val="nil"/>
              <w:left w:val="nil"/>
              <w:bottom w:val="nil"/>
              <w:right w:val="nil"/>
            </w:tcBorders>
            <w:shd w:val="clear" w:color="auto" w:fill="auto"/>
            <w:noWrap/>
            <w:vAlign w:val="center"/>
            <w:hideMark/>
          </w:tcPr>
          <w:p w14:paraId="0BA4CD1D"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51,7</w:t>
            </w:r>
          </w:p>
        </w:tc>
        <w:tc>
          <w:tcPr>
            <w:tcW w:w="567" w:type="dxa"/>
            <w:tcBorders>
              <w:top w:val="nil"/>
              <w:left w:val="nil"/>
              <w:bottom w:val="nil"/>
              <w:right w:val="nil"/>
            </w:tcBorders>
            <w:shd w:val="clear" w:color="auto" w:fill="auto"/>
            <w:noWrap/>
            <w:vAlign w:val="center"/>
            <w:hideMark/>
          </w:tcPr>
          <w:p w14:paraId="4C5D8B9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48,1</w:t>
            </w:r>
          </w:p>
        </w:tc>
        <w:tc>
          <w:tcPr>
            <w:tcW w:w="567" w:type="dxa"/>
            <w:tcBorders>
              <w:top w:val="nil"/>
              <w:left w:val="nil"/>
              <w:bottom w:val="nil"/>
              <w:right w:val="nil"/>
            </w:tcBorders>
            <w:shd w:val="clear" w:color="auto" w:fill="auto"/>
            <w:noWrap/>
            <w:vAlign w:val="center"/>
            <w:hideMark/>
          </w:tcPr>
          <w:p w14:paraId="3BC18A6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48,8</w:t>
            </w:r>
          </w:p>
        </w:tc>
        <w:tc>
          <w:tcPr>
            <w:tcW w:w="567" w:type="dxa"/>
            <w:tcBorders>
              <w:top w:val="nil"/>
              <w:left w:val="nil"/>
              <w:bottom w:val="nil"/>
              <w:right w:val="nil"/>
            </w:tcBorders>
            <w:shd w:val="clear" w:color="auto" w:fill="auto"/>
            <w:noWrap/>
            <w:vAlign w:val="center"/>
            <w:hideMark/>
          </w:tcPr>
          <w:p w14:paraId="0AE6999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48,0</w:t>
            </w:r>
          </w:p>
        </w:tc>
        <w:tc>
          <w:tcPr>
            <w:tcW w:w="567" w:type="dxa"/>
            <w:tcBorders>
              <w:top w:val="nil"/>
              <w:left w:val="nil"/>
              <w:bottom w:val="nil"/>
              <w:right w:val="nil"/>
            </w:tcBorders>
            <w:shd w:val="clear" w:color="auto" w:fill="auto"/>
            <w:noWrap/>
            <w:vAlign w:val="center"/>
            <w:hideMark/>
          </w:tcPr>
          <w:p w14:paraId="4B9FBE8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46,0</w:t>
            </w:r>
          </w:p>
        </w:tc>
        <w:tc>
          <w:tcPr>
            <w:tcW w:w="567" w:type="dxa"/>
            <w:tcBorders>
              <w:top w:val="nil"/>
              <w:left w:val="nil"/>
              <w:bottom w:val="nil"/>
              <w:right w:val="nil"/>
            </w:tcBorders>
            <w:shd w:val="clear" w:color="auto" w:fill="auto"/>
            <w:noWrap/>
            <w:vAlign w:val="center"/>
            <w:hideMark/>
          </w:tcPr>
          <w:p w14:paraId="4A5C239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46,3</w:t>
            </w:r>
          </w:p>
        </w:tc>
        <w:tc>
          <w:tcPr>
            <w:tcW w:w="567" w:type="dxa"/>
            <w:tcBorders>
              <w:top w:val="nil"/>
              <w:left w:val="nil"/>
              <w:bottom w:val="nil"/>
              <w:right w:val="nil"/>
            </w:tcBorders>
            <w:shd w:val="clear" w:color="auto" w:fill="auto"/>
            <w:noWrap/>
            <w:vAlign w:val="center"/>
            <w:hideMark/>
          </w:tcPr>
          <w:p w14:paraId="4BCF4C8C"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36,0</w:t>
            </w:r>
          </w:p>
        </w:tc>
        <w:tc>
          <w:tcPr>
            <w:tcW w:w="567" w:type="dxa"/>
            <w:vAlign w:val="center"/>
          </w:tcPr>
          <w:p w14:paraId="6AB88321" w14:textId="77777777" w:rsidR="007F25C1" w:rsidRPr="00986950" w:rsidRDefault="007F25C1" w:rsidP="007F25C1">
            <w:pPr>
              <w:spacing w:after="0" w:line="240" w:lineRule="auto"/>
              <w:jc w:val="center"/>
            </w:pPr>
            <w:r w:rsidRPr="00986950">
              <w:rPr>
                <w:rFonts w:cs="Arial"/>
                <w:color w:val="000000"/>
                <w:sz w:val="16"/>
                <w:szCs w:val="16"/>
              </w:rPr>
              <w:t>37,5</w:t>
            </w:r>
          </w:p>
        </w:tc>
        <w:tc>
          <w:tcPr>
            <w:tcW w:w="567" w:type="dxa"/>
            <w:vAlign w:val="center"/>
          </w:tcPr>
          <w:p w14:paraId="438B74E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27,0</w:t>
            </w:r>
          </w:p>
        </w:tc>
        <w:tc>
          <w:tcPr>
            <w:tcW w:w="567" w:type="dxa"/>
            <w:vAlign w:val="center"/>
          </w:tcPr>
          <w:p w14:paraId="1EAF127F" w14:textId="65EC1141" w:rsidR="007F25C1" w:rsidRPr="00986950" w:rsidRDefault="007F25C1" w:rsidP="007F25C1">
            <w:pPr>
              <w:spacing w:after="0" w:line="240" w:lineRule="auto"/>
              <w:jc w:val="center"/>
              <w:rPr>
                <w:rFonts w:cs="Arial"/>
                <w:color w:val="000000"/>
                <w:sz w:val="16"/>
                <w:szCs w:val="16"/>
              </w:rPr>
            </w:pPr>
            <w:r>
              <w:rPr>
                <w:rFonts w:cs="Arial"/>
                <w:color w:val="000000"/>
                <w:sz w:val="16"/>
                <w:szCs w:val="16"/>
              </w:rPr>
              <w:t>32,2</w:t>
            </w:r>
          </w:p>
        </w:tc>
      </w:tr>
      <w:tr w:rsidR="007F25C1" w:rsidRPr="00986950" w14:paraId="7393BD62" w14:textId="3D65569F" w:rsidTr="00245F95">
        <w:trPr>
          <w:trHeight w:val="300"/>
        </w:trPr>
        <w:tc>
          <w:tcPr>
            <w:tcW w:w="3401" w:type="dxa"/>
            <w:tcBorders>
              <w:top w:val="nil"/>
              <w:left w:val="nil"/>
              <w:bottom w:val="nil"/>
              <w:right w:val="single" w:sz="4" w:space="0" w:color="auto"/>
            </w:tcBorders>
            <w:shd w:val="clear" w:color="auto" w:fill="auto"/>
            <w:vAlign w:val="center"/>
            <w:hideMark/>
          </w:tcPr>
          <w:p w14:paraId="76B158F9"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R – Kulturní, zábavní a rekreační činnosti</w:t>
            </w:r>
          </w:p>
        </w:tc>
        <w:tc>
          <w:tcPr>
            <w:tcW w:w="567" w:type="dxa"/>
            <w:tcBorders>
              <w:top w:val="nil"/>
              <w:left w:val="nil"/>
              <w:bottom w:val="nil"/>
              <w:right w:val="nil"/>
            </w:tcBorders>
            <w:shd w:val="clear" w:color="auto" w:fill="auto"/>
            <w:noWrap/>
            <w:vAlign w:val="center"/>
            <w:hideMark/>
          </w:tcPr>
          <w:p w14:paraId="3BCE09C8"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42,7</w:t>
            </w:r>
          </w:p>
        </w:tc>
        <w:tc>
          <w:tcPr>
            <w:tcW w:w="567" w:type="dxa"/>
            <w:tcBorders>
              <w:top w:val="nil"/>
              <w:left w:val="nil"/>
              <w:bottom w:val="nil"/>
              <w:right w:val="nil"/>
            </w:tcBorders>
            <w:shd w:val="clear" w:color="auto" w:fill="auto"/>
            <w:noWrap/>
            <w:vAlign w:val="center"/>
            <w:hideMark/>
          </w:tcPr>
          <w:p w14:paraId="6A59FF97"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44,2</w:t>
            </w:r>
          </w:p>
        </w:tc>
        <w:tc>
          <w:tcPr>
            <w:tcW w:w="567" w:type="dxa"/>
            <w:tcBorders>
              <w:top w:val="nil"/>
              <w:left w:val="nil"/>
              <w:bottom w:val="nil"/>
              <w:right w:val="nil"/>
            </w:tcBorders>
            <w:shd w:val="clear" w:color="auto" w:fill="auto"/>
            <w:noWrap/>
            <w:vAlign w:val="center"/>
            <w:hideMark/>
          </w:tcPr>
          <w:p w14:paraId="19AF3E11"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41,3</w:t>
            </w:r>
          </w:p>
        </w:tc>
        <w:tc>
          <w:tcPr>
            <w:tcW w:w="567" w:type="dxa"/>
            <w:tcBorders>
              <w:top w:val="nil"/>
              <w:left w:val="nil"/>
              <w:bottom w:val="nil"/>
              <w:right w:val="nil"/>
            </w:tcBorders>
            <w:shd w:val="clear" w:color="auto" w:fill="auto"/>
            <w:noWrap/>
            <w:vAlign w:val="center"/>
            <w:hideMark/>
          </w:tcPr>
          <w:p w14:paraId="72ECCF77"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41,9</w:t>
            </w:r>
          </w:p>
        </w:tc>
        <w:tc>
          <w:tcPr>
            <w:tcW w:w="567" w:type="dxa"/>
            <w:tcBorders>
              <w:top w:val="nil"/>
              <w:left w:val="nil"/>
              <w:bottom w:val="nil"/>
              <w:right w:val="nil"/>
            </w:tcBorders>
            <w:shd w:val="clear" w:color="auto" w:fill="auto"/>
            <w:noWrap/>
            <w:vAlign w:val="center"/>
            <w:hideMark/>
          </w:tcPr>
          <w:p w14:paraId="01DFF867"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42,8</w:t>
            </w:r>
          </w:p>
        </w:tc>
        <w:tc>
          <w:tcPr>
            <w:tcW w:w="567" w:type="dxa"/>
            <w:tcBorders>
              <w:top w:val="nil"/>
              <w:left w:val="nil"/>
              <w:bottom w:val="nil"/>
              <w:right w:val="nil"/>
            </w:tcBorders>
            <w:shd w:val="clear" w:color="auto" w:fill="auto"/>
            <w:noWrap/>
            <w:vAlign w:val="center"/>
            <w:hideMark/>
          </w:tcPr>
          <w:p w14:paraId="084937C0"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41,1</w:t>
            </w:r>
          </w:p>
        </w:tc>
        <w:tc>
          <w:tcPr>
            <w:tcW w:w="567" w:type="dxa"/>
            <w:tcBorders>
              <w:top w:val="nil"/>
              <w:left w:val="nil"/>
              <w:bottom w:val="nil"/>
              <w:right w:val="nil"/>
            </w:tcBorders>
            <w:shd w:val="clear" w:color="auto" w:fill="auto"/>
            <w:noWrap/>
            <w:vAlign w:val="center"/>
            <w:hideMark/>
          </w:tcPr>
          <w:p w14:paraId="7BEC7A4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40,3</w:t>
            </w:r>
          </w:p>
        </w:tc>
        <w:tc>
          <w:tcPr>
            <w:tcW w:w="567" w:type="dxa"/>
            <w:tcBorders>
              <w:top w:val="nil"/>
              <w:left w:val="nil"/>
              <w:bottom w:val="nil"/>
              <w:right w:val="nil"/>
            </w:tcBorders>
            <w:shd w:val="clear" w:color="auto" w:fill="auto"/>
            <w:noWrap/>
            <w:vAlign w:val="center"/>
            <w:hideMark/>
          </w:tcPr>
          <w:p w14:paraId="3A1C934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39,5</w:t>
            </w:r>
          </w:p>
        </w:tc>
        <w:tc>
          <w:tcPr>
            <w:tcW w:w="567" w:type="dxa"/>
            <w:vAlign w:val="center"/>
          </w:tcPr>
          <w:p w14:paraId="754A3DFD" w14:textId="77777777" w:rsidR="007F25C1" w:rsidRPr="00986950" w:rsidRDefault="007F25C1" w:rsidP="007F25C1">
            <w:pPr>
              <w:spacing w:after="0" w:line="240" w:lineRule="auto"/>
              <w:jc w:val="center"/>
            </w:pPr>
            <w:r w:rsidRPr="00986950">
              <w:rPr>
                <w:rFonts w:cs="Arial"/>
                <w:color w:val="000000"/>
                <w:sz w:val="16"/>
                <w:szCs w:val="16"/>
              </w:rPr>
              <w:t>33,9</w:t>
            </w:r>
          </w:p>
        </w:tc>
        <w:tc>
          <w:tcPr>
            <w:tcW w:w="567" w:type="dxa"/>
            <w:vAlign w:val="center"/>
          </w:tcPr>
          <w:p w14:paraId="3C390C25"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23,9</w:t>
            </w:r>
          </w:p>
        </w:tc>
        <w:tc>
          <w:tcPr>
            <w:tcW w:w="567" w:type="dxa"/>
            <w:vAlign w:val="center"/>
          </w:tcPr>
          <w:p w14:paraId="73B8EC59" w14:textId="2C5EE51F" w:rsidR="007F25C1" w:rsidRPr="00986950" w:rsidRDefault="007F25C1" w:rsidP="007F25C1">
            <w:pPr>
              <w:spacing w:after="0" w:line="240" w:lineRule="auto"/>
              <w:jc w:val="center"/>
              <w:rPr>
                <w:rFonts w:cs="Arial"/>
                <w:color w:val="000000"/>
                <w:sz w:val="16"/>
                <w:szCs w:val="16"/>
              </w:rPr>
            </w:pPr>
            <w:r>
              <w:rPr>
                <w:rFonts w:cs="Arial"/>
                <w:color w:val="000000"/>
                <w:sz w:val="16"/>
                <w:szCs w:val="16"/>
              </w:rPr>
              <w:t>29,6</w:t>
            </w:r>
          </w:p>
        </w:tc>
      </w:tr>
      <w:tr w:rsidR="007F25C1" w:rsidRPr="00986950" w14:paraId="0C47D8D1" w14:textId="18500354" w:rsidTr="00245F95">
        <w:trPr>
          <w:trHeight w:val="300"/>
        </w:trPr>
        <w:tc>
          <w:tcPr>
            <w:tcW w:w="3401" w:type="dxa"/>
            <w:tcBorders>
              <w:top w:val="nil"/>
              <w:left w:val="nil"/>
              <w:bottom w:val="nil"/>
              <w:right w:val="single" w:sz="4" w:space="0" w:color="auto"/>
            </w:tcBorders>
            <w:shd w:val="clear" w:color="auto" w:fill="auto"/>
            <w:vAlign w:val="center"/>
            <w:hideMark/>
          </w:tcPr>
          <w:p w14:paraId="05D53F8F" w14:textId="77777777" w:rsidR="007F25C1" w:rsidRPr="00986950" w:rsidRDefault="007F25C1" w:rsidP="007F25C1">
            <w:pPr>
              <w:spacing w:after="0" w:line="240" w:lineRule="auto"/>
              <w:ind w:firstLineChars="100" w:firstLine="160"/>
              <w:rPr>
                <w:rFonts w:cs="Arial"/>
                <w:color w:val="000000"/>
                <w:sz w:val="16"/>
                <w:szCs w:val="16"/>
              </w:rPr>
            </w:pPr>
            <w:r w:rsidRPr="00986950">
              <w:rPr>
                <w:rFonts w:cs="Arial"/>
                <w:color w:val="000000"/>
                <w:sz w:val="16"/>
                <w:szCs w:val="16"/>
              </w:rPr>
              <w:t>S – Ostatní činnosti</w:t>
            </w:r>
          </w:p>
        </w:tc>
        <w:tc>
          <w:tcPr>
            <w:tcW w:w="567" w:type="dxa"/>
            <w:tcBorders>
              <w:top w:val="nil"/>
              <w:left w:val="nil"/>
              <w:bottom w:val="nil"/>
              <w:right w:val="nil"/>
            </w:tcBorders>
            <w:shd w:val="clear" w:color="auto" w:fill="auto"/>
            <w:noWrap/>
            <w:vAlign w:val="center"/>
            <w:hideMark/>
          </w:tcPr>
          <w:p w14:paraId="09EDB735"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48,3</w:t>
            </w:r>
          </w:p>
        </w:tc>
        <w:tc>
          <w:tcPr>
            <w:tcW w:w="567" w:type="dxa"/>
            <w:tcBorders>
              <w:top w:val="nil"/>
              <w:left w:val="nil"/>
              <w:bottom w:val="nil"/>
              <w:right w:val="nil"/>
            </w:tcBorders>
            <w:shd w:val="clear" w:color="auto" w:fill="auto"/>
            <w:noWrap/>
            <w:vAlign w:val="center"/>
            <w:hideMark/>
          </w:tcPr>
          <w:p w14:paraId="7F9A2712"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49,6</w:t>
            </w:r>
          </w:p>
        </w:tc>
        <w:tc>
          <w:tcPr>
            <w:tcW w:w="567" w:type="dxa"/>
            <w:tcBorders>
              <w:top w:val="nil"/>
              <w:left w:val="nil"/>
              <w:bottom w:val="nil"/>
              <w:right w:val="nil"/>
            </w:tcBorders>
            <w:shd w:val="clear" w:color="auto" w:fill="auto"/>
            <w:noWrap/>
            <w:vAlign w:val="center"/>
            <w:hideMark/>
          </w:tcPr>
          <w:p w14:paraId="57D9CDEE"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48,1</w:t>
            </w:r>
          </w:p>
        </w:tc>
        <w:tc>
          <w:tcPr>
            <w:tcW w:w="567" w:type="dxa"/>
            <w:tcBorders>
              <w:top w:val="nil"/>
              <w:left w:val="nil"/>
              <w:bottom w:val="nil"/>
              <w:right w:val="nil"/>
            </w:tcBorders>
            <w:shd w:val="clear" w:color="auto" w:fill="auto"/>
            <w:noWrap/>
            <w:vAlign w:val="center"/>
            <w:hideMark/>
          </w:tcPr>
          <w:p w14:paraId="59BE0EFB"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48,9</w:t>
            </w:r>
          </w:p>
        </w:tc>
        <w:tc>
          <w:tcPr>
            <w:tcW w:w="567" w:type="dxa"/>
            <w:tcBorders>
              <w:top w:val="nil"/>
              <w:left w:val="nil"/>
              <w:bottom w:val="nil"/>
              <w:right w:val="nil"/>
            </w:tcBorders>
            <w:shd w:val="clear" w:color="auto" w:fill="auto"/>
            <w:noWrap/>
            <w:vAlign w:val="center"/>
            <w:hideMark/>
          </w:tcPr>
          <w:p w14:paraId="6B51A61F"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46,9</w:t>
            </w:r>
          </w:p>
        </w:tc>
        <w:tc>
          <w:tcPr>
            <w:tcW w:w="567" w:type="dxa"/>
            <w:tcBorders>
              <w:top w:val="nil"/>
              <w:left w:val="nil"/>
              <w:bottom w:val="nil"/>
              <w:right w:val="nil"/>
            </w:tcBorders>
            <w:shd w:val="clear" w:color="auto" w:fill="auto"/>
            <w:noWrap/>
            <w:vAlign w:val="center"/>
            <w:hideMark/>
          </w:tcPr>
          <w:p w14:paraId="365EE587"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45,8</w:t>
            </w:r>
          </w:p>
        </w:tc>
        <w:tc>
          <w:tcPr>
            <w:tcW w:w="567" w:type="dxa"/>
            <w:tcBorders>
              <w:top w:val="nil"/>
              <w:left w:val="nil"/>
              <w:bottom w:val="nil"/>
              <w:right w:val="nil"/>
            </w:tcBorders>
            <w:shd w:val="clear" w:color="auto" w:fill="auto"/>
            <w:noWrap/>
            <w:vAlign w:val="center"/>
            <w:hideMark/>
          </w:tcPr>
          <w:p w14:paraId="71984607"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46,3</w:t>
            </w:r>
          </w:p>
        </w:tc>
        <w:tc>
          <w:tcPr>
            <w:tcW w:w="567" w:type="dxa"/>
            <w:tcBorders>
              <w:top w:val="nil"/>
              <w:left w:val="nil"/>
              <w:bottom w:val="nil"/>
              <w:right w:val="nil"/>
            </w:tcBorders>
            <w:shd w:val="clear" w:color="auto" w:fill="auto"/>
            <w:noWrap/>
            <w:vAlign w:val="center"/>
            <w:hideMark/>
          </w:tcPr>
          <w:p w14:paraId="79C38083"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42,8</w:t>
            </w:r>
          </w:p>
        </w:tc>
        <w:tc>
          <w:tcPr>
            <w:tcW w:w="567" w:type="dxa"/>
            <w:vAlign w:val="center"/>
          </w:tcPr>
          <w:p w14:paraId="5C261919" w14:textId="77777777" w:rsidR="007F25C1" w:rsidRPr="00986950" w:rsidRDefault="007F25C1" w:rsidP="007F25C1">
            <w:pPr>
              <w:spacing w:after="0" w:line="240" w:lineRule="auto"/>
              <w:jc w:val="center"/>
            </w:pPr>
            <w:r w:rsidRPr="00986950">
              <w:rPr>
                <w:rFonts w:cs="Arial"/>
                <w:color w:val="000000"/>
                <w:sz w:val="16"/>
                <w:szCs w:val="16"/>
              </w:rPr>
              <w:t>38,4</w:t>
            </w:r>
          </w:p>
        </w:tc>
        <w:tc>
          <w:tcPr>
            <w:tcW w:w="567" w:type="dxa"/>
            <w:vAlign w:val="center"/>
          </w:tcPr>
          <w:p w14:paraId="3C9DC97F" w14:textId="77777777" w:rsidR="007F25C1" w:rsidRPr="00986950" w:rsidRDefault="007F25C1" w:rsidP="007F25C1">
            <w:pPr>
              <w:spacing w:after="0" w:line="240" w:lineRule="auto"/>
              <w:jc w:val="center"/>
              <w:rPr>
                <w:rFonts w:cs="Arial"/>
                <w:color w:val="000000"/>
                <w:sz w:val="16"/>
                <w:szCs w:val="16"/>
              </w:rPr>
            </w:pPr>
            <w:r w:rsidRPr="00986950">
              <w:rPr>
                <w:rFonts w:cs="Arial"/>
                <w:color w:val="000000"/>
                <w:sz w:val="16"/>
                <w:szCs w:val="16"/>
              </w:rPr>
              <w:t>29,4</w:t>
            </w:r>
          </w:p>
        </w:tc>
        <w:tc>
          <w:tcPr>
            <w:tcW w:w="567" w:type="dxa"/>
            <w:vAlign w:val="center"/>
          </w:tcPr>
          <w:p w14:paraId="509C5DB2" w14:textId="4F88AF6D" w:rsidR="007F25C1" w:rsidRPr="00986950" w:rsidRDefault="007F25C1" w:rsidP="007F25C1">
            <w:pPr>
              <w:spacing w:after="0" w:line="240" w:lineRule="auto"/>
              <w:jc w:val="center"/>
              <w:rPr>
                <w:rFonts w:cs="Arial"/>
                <w:color w:val="000000"/>
                <w:sz w:val="16"/>
                <w:szCs w:val="16"/>
              </w:rPr>
            </w:pPr>
            <w:r>
              <w:rPr>
                <w:rFonts w:cs="Arial"/>
                <w:color w:val="000000"/>
                <w:sz w:val="16"/>
                <w:szCs w:val="16"/>
              </w:rPr>
              <w:t>37,7</w:t>
            </w:r>
          </w:p>
        </w:tc>
      </w:tr>
    </w:tbl>
    <w:p w14:paraId="758D0DF6" w14:textId="77777777" w:rsidR="007F25C1" w:rsidRDefault="007F25C1" w:rsidP="007F25C1">
      <w:pPr>
        <w:spacing w:before="120" w:after="120" w:line="240" w:lineRule="auto"/>
        <w:jc w:val="both"/>
        <w:rPr>
          <w:rFonts w:cs="Arial"/>
          <w:color w:val="000000"/>
          <w:sz w:val="16"/>
          <w:szCs w:val="16"/>
        </w:rPr>
      </w:pPr>
      <w:r>
        <w:rPr>
          <w:rFonts w:cs="Arial"/>
          <w:color w:val="000000"/>
          <w:sz w:val="16"/>
          <w:szCs w:val="16"/>
        </w:rPr>
        <w:t>* Údaje za rok 2022 nejsou srovnatelné s údaji za ostatní roky.</w:t>
      </w:r>
    </w:p>
    <w:p w14:paraId="5C594BD3" w14:textId="77777777" w:rsidR="007F25C1" w:rsidRPr="00986950" w:rsidRDefault="007F25C1" w:rsidP="007F25C1">
      <w:pPr>
        <w:spacing w:before="120" w:after="120"/>
        <w:rPr>
          <w:sz w:val="16"/>
        </w:rPr>
      </w:pPr>
      <w:r w:rsidRPr="00986950">
        <w:rPr>
          <w:sz w:val="16"/>
        </w:rPr>
        <w:t>Zdroj: ČSÚ</w:t>
      </w:r>
    </w:p>
    <w:p w14:paraId="76437753" w14:textId="79C40D4F" w:rsidR="00CF44C1" w:rsidRDefault="00CF44C1">
      <w:pPr>
        <w:spacing w:after="0" w:line="240" w:lineRule="auto"/>
      </w:pPr>
    </w:p>
    <w:p w14:paraId="32EAD834" w14:textId="1714EC5A" w:rsidR="007F25C1" w:rsidRPr="007F25C1" w:rsidRDefault="007F25C1" w:rsidP="007F25C1">
      <w:pPr>
        <w:spacing w:after="0" w:line="240" w:lineRule="auto"/>
        <w:jc w:val="both"/>
        <w:rPr>
          <w:rFonts w:cs="Arial"/>
          <w:b/>
          <w:bCs/>
          <w:color w:val="000000"/>
          <w:szCs w:val="20"/>
        </w:rPr>
      </w:pPr>
      <w:r w:rsidRPr="007F25C1">
        <w:rPr>
          <w:rFonts w:cs="Arial"/>
          <w:b/>
          <w:bCs/>
          <w:color w:val="000000"/>
          <w:szCs w:val="20"/>
        </w:rPr>
        <w:t>Graf 2.1</w:t>
      </w:r>
      <w:r>
        <w:rPr>
          <w:rFonts w:cs="Arial"/>
          <w:b/>
          <w:bCs/>
          <w:color w:val="000000"/>
          <w:szCs w:val="20"/>
        </w:rPr>
        <w:t>0</w:t>
      </w:r>
      <w:r w:rsidRPr="007F25C1">
        <w:rPr>
          <w:rFonts w:cs="Arial"/>
          <w:b/>
          <w:bCs/>
          <w:color w:val="000000"/>
          <w:szCs w:val="20"/>
        </w:rPr>
        <w:t>: Průměrná délka trvání dočasné pracovní neschopnosti podle velikosti podniku a příčiny, 2023</w:t>
      </w:r>
    </w:p>
    <w:p w14:paraId="14036F4D" w14:textId="0287220D" w:rsidR="005F17A0" w:rsidRDefault="007F25C1" w:rsidP="00D744C7">
      <w:pPr>
        <w:spacing w:before="120" w:after="120"/>
        <w:jc w:val="both"/>
        <w:rPr>
          <w:b/>
        </w:rPr>
      </w:pPr>
      <w:r>
        <w:rPr>
          <w:noProof/>
        </w:rPr>
        <w:drawing>
          <wp:inline distT="0" distB="0" distL="0" distR="0" wp14:anchorId="1CEB5983" wp14:editId="05AA0DCC">
            <wp:extent cx="6162675" cy="2905125"/>
            <wp:effectExtent l="0" t="0" r="9525" b="9525"/>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65A82D1" w14:textId="77777777" w:rsidR="007F25C1" w:rsidRPr="00986950" w:rsidRDefault="007F25C1" w:rsidP="007F25C1">
      <w:pPr>
        <w:spacing w:before="120" w:after="120"/>
        <w:rPr>
          <w:sz w:val="16"/>
        </w:rPr>
      </w:pPr>
      <w:r w:rsidRPr="00986950">
        <w:rPr>
          <w:sz w:val="16"/>
        </w:rPr>
        <w:t>Zdroj: ČSÚ</w:t>
      </w:r>
    </w:p>
    <w:p w14:paraId="0034EEA1" w14:textId="24895AED" w:rsidR="00245F95" w:rsidRPr="00245F95" w:rsidRDefault="00245F95" w:rsidP="00245F95">
      <w:pPr>
        <w:pStyle w:val="Nadpis4"/>
        <w:rPr>
          <w:sz w:val="24"/>
        </w:rPr>
      </w:pPr>
      <w:bookmarkStart w:id="12" w:name="_Toc54262802"/>
      <w:bookmarkStart w:id="13" w:name="_Toc149295404"/>
      <w:bookmarkStart w:id="14" w:name="_Toc167965227"/>
      <w:r>
        <w:rPr>
          <w:sz w:val="24"/>
        </w:rPr>
        <w:lastRenderedPageBreak/>
        <w:t xml:space="preserve">4.2.3 </w:t>
      </w:r>
      <w:r w:rsidRPr="00245F95">
        <w:rPr>
          <w:sz w:val="24"/>
        </w:rPr>
        <w:t>Průměrné procento dočasné pracovní neschopnosti a průměrný denní stav dočasně práce neschopných</w:t>
      </w:r>
      <w:bookmarkEnd w:id="12"/>
      <w:bookmarkEnd w:id="13"/>
      <w:bookmarkEnd w:id="14"/>
    </w:p>
    <w:p w14:paraId="09B33703" w14:textId="77777777" w:rsidR="00245F95" w:rsidRPr="004876D0" w:rsidRDefault="00245F95" w:rsidP="00245F95">
      <w:pPr>
        <w:spacing w:after="120"/>
        <w:jc w:val="both"/>
      </w:pPr>
      <w:r w:rsidRPr="004876D0">
        <w:t xml:space="preserve">Nejkomplexnějším ukazatelem statistiky pracovní neschopnosti pro nemoc a úraz je </w:t>
      </w:r>
      <w:r w:rsidRPr="004876D0">
        <w:rPr>
          <w:b/>
        </w:rPr>
        <w:t>průměrné procento dočasné pracovní neschopnosti</w:t>
      </w:r>
      <w:r w:rsidRPr="004876D0">
        <w:t xml:space="preserve">. Zohledňuje jak celkový počet případů pracovní neschopnosti (jak často lidé do pracovní neschopnosti nastupují), tak i průměrné trvání jednoho případu pracovní neschopnosti (jak dlouho v pracovní neschopnosti setrvávají). Statistiky pak doplňuje ještě další ukazatel – </w:t>
      </w:r>
      <w:r w:rsidRPr="004876D0">
        <w:rPr>
          <w:b/>
        </w:rPr>
        <w:t>průměrný denní stav dočasně práce neschopných</w:t>
      </w:r>
      <w:r w:rsidRPr="004876D0">
        <w:t>, který říká, kolik osob průměrně denně chybělo na pracovišti v důsledku dočasné pracovní neschopnosti pro nemoc a úraz.</w:t>
      </w:r>
    </w:p>
    <w:p w14:paraId="3B521B20" w14:textId="77777777" w:rsidR="00245F95" w:rsidRPr="004876D0" w:rsidRDefault="00245F95" w:rsidP="00245F95">
      <w:pPr>
        <w:pStyle w:val="Box1"/>
        <w:ind w:left="0"/>
        <w:jc w:val="both"/>
        <w:rPr>
          <w:i/>
        </w:rPr>
      </w:pPr>
      <w:r w:rsidRPr="004876D0">
        <w:rPr>
          <w:b/>
          <w:i/>
        </w:rPr>
        <w:t xml:space="preserve">Průměrné procento dočasné pracovní neschopnosti </w:t>
      </w:r>
      <w:r w:rsidRPr="004876D0">
        <w:rPr>
          <w:i/>
        </w:rPr>
        <w:t xml:space="preserve">– ukazatel udává, kolik ze 100 nemocensky pojištěných je průměrně každý den v pracovní neschopnosti pro nemoc či úraz. </w:t>
      </w:r>
    </w:p>
    <w:p w14:paraId="57E762D8" w14:textId="77777777" w:rsidR="00245F95" w:rsidRPr="004876D0" w:rsidRDefault="00245F95" w:rsidP="00245F95">
      <w:pPr>
        <w:pStyle w:val="Box1"/>
        <w:ind w:left="0"/>
        <w:jc w:val="both"/>
        <w:rPr>
          <w:i/>
          <w:u w:val="single"/>
        </w:rPr>
      </w:pPr>
      <w:r w:rsidRPr="004876D0">
        <w:rPr>
          <w:i/>
          <w:u w:val="single"/>
        </w:rPr>
        <w:t>Způsob výpočtu:</w:t>
      </w:r>
    </w:p>
    <w:p w14:paraId="62C7ED48" w14:textId="77777777" w:rsidR="00245F95" w:rsidRPr="004876D0" w:rsidRDefault="00245F95" w:rsidP="00245F95">
      <w:pPr>
        <w:pStyle w:val="Box1"/>
        <w:spacing w:before="120" w:after="120"/>
        <w:ind w:left="0"/>
        <w:contextualSpacing w:val="0"/>
        <w:jc w:val="both"/>
        <w:rPr>
          <w:i/>
        </w:rPr>
      </w:pPr>
      <w:r w:rsidRPr="004876D0">
        <w:rPr>
          <w:i/>
        </w:rPr>
        <w:t>Průměrné procento dočasné pracovní neschopnosti = počet kalendářních dnů dočasné pracovní neschopnosti x 100 / (průměrný počet osob nemocensky pojištěných x počet kalendářních dnů ve sledovaném období).</w:t>
      </w:r>
    </w:p>
    <w:p w14:paraId="2AE6C3D1" w14:textId="39F2C5E2" w:rsidR="00245F95" w:rsidRPr="004876D0" w:rsidRDefault="00245F95" w:rsidP="00245F95">
      <w:pPr>
        <w:pStyle w:val="Box1"/>
        <w:ind w:left="0"/>
        <w:jc w:val="both"/>
        <w:rPr>
          <w:i/>
        </w:rPr>
      </w:pPr>
      <w:r w:rsidRPr="004876D0">
        <w:rPr>
          <w:b/>
          <w:i/>
        </w:rPr>
        <w:t xml:space="preserve">Průměrný denní stav dočasně práce neschopných </w:t>
      </w:r>
      <w:r w:rsidRPr="004876D0">
        <w:rPr>
          <w:i/>
        </w:rPr>
        <w:t>– ukazatel vyjadřuje počet nemocensky pojištěných, kteří byli ve sledovaném období (</w:t>
      </w:r>
      <w:r w:rsidR="00DD5A0D">
        <w:rPr>
          <w:i/>
        </w:rPr>
        <w:t>roce</w:t>
      </w:r>
      <w:r w:rsidRPr="004876D0">
        <w:rPr>
          <w:i/>
        </w:rPr>
        <w:t xml:space="preserve">) denně nepřítomni v práci z důvodů pracovní neschopnosti. </w:t>
      </w:r>
    </w:p>
    <w:p w14:paraId="71F2E88A" w14:textId="77777777" w:rsidR="00245F95" w:rsidRPr="004876D0" w:rsidRDefault="00245F95" w:rsidP="00245F95">
      <w:pPr>
        <w:pStyle w:val="Box1"/>
        <w:ind w:left="0"/>
        <w:jc w:val="both"/>
        <w:rPr>
          <w:i/>
          <w:u w:val="single"/>
        </w:rPr>
      </w:pPr>
      <w:r w:rsidRPr="004876D0">
        <w:rPr>
          <w:i/>
          <w:u w:val="single"/>
        </w:rPr>
        <w:t>Způsob výpočtu:</w:t>
      </w:r>
    </w:p>
    <w:p w14:paraId="0ECFD824" w14:textId="77777777" w:rsidR="00245F95" w:rsidRPr="004876D0" w:rsidRDefault="00245F95" w:rsidP="00245F95">
      <w:pPr>
        <w:pStyle w:val="Box1"/>
        <w:spacing w:before="120" w:after="120"/>
        <w:ind w:left="0"/>
        <w:contextualSpacing w:val="0"/>
        <w:jc w:val="both"/>
        <w:rPr>
          <w:i/>
        </w:rPr>
      </w:pPr>
      <w:r w:rsidRPr="004876D0">
        <w:rPr>
          <w:i/>
        </w:rPr>
        <w:t>Průměrný denní stav dočasně práce neschopných = počet kalendářních dnů dočasné pracovní neschopnosti / počet kalendářních dnů ve sledovaném období.</w:t>
      </w:r>
    </w:p>
    <w:p w14:paraId="56A3A708" w14:textId="449B3B14" w:rsidR="00C609FE" w:rsidRDefault="00245F95" w:rsidP="00245F95">
      <w:pPr>
        <w:spacing w:before="120" w:after="120"/>
        <w:jc w:val="both"/>
      </w:pPr>
      <w:r w:rsidRPr="00251BF8">
        <w:t xml:space="preserve">Hodnota ukazatele </w:t>
      </w:r>
      <w:r w:rsidRPr="00251BF8">
        <w:rPr>
          <w:b/>
        </w:rPr>
        <w:t>průměrné procento dočasné pracovní neschopnosti</w:t>
      </w:r>
      <w:r w:rsidRPr="00251BF8">
        <w:t xml:space="preserve"> měla od </w:t>
      </w:r>
      <w:r w:rsidR="001526AD" w:rsidRPr="00251BF8">
        <w:t>roku 2012 rostoucí tendenci, ačkoliv v roce 2021 byla patrná meziroční stagnace na 5,5 %. V roce 2022 oproti roku předchozímu poklesla</w:t>
      </w:r>
      <w:r w:rsidRPr="00251BF8">
        <w:t xml:space="preserve"> </w:t>
      </w:r>
      <w:r w:rsidR="001526AD" w:rsidRPr="00251BF8">
        <w:t xml:space="preserve">na 5,3 %. Pokles pokračoval i v roce 2023, kdy </w:t>
      </w:r>
      <w:r w:rsidR="00452914" w:rsidRPr="00251BF8">
        <w:t>ukazatel dosáhl 4,6 %, tedy došlo k návratu na podobnou</w:t>
      </w:r>
      <w:r w:rsidRPr="00251BF8">
        <w:t xml:space="preserve"> hodnotu jako v </w:t>
      </w:r>
      <w:r w:rsidR="00452914" w:rsidRPr="00251BF8">
        <w:t>roce</w:t>
      </w:r>
      <w:r w:rsidRPr="00251BF8">
        <w:t xml:space="preserve"> 2019. Průměrné procento dočasné pracovní neschopnosti je dlouhodobě vyšší u žen, u kterých v </w:t>
      </w:r>
      <w:r w:rsidR="00452914" w:rsidRPr="00251BF8">
        <w:t>roce 2023 činilo 4,9</w:t>
      </w:r>
      <w:r w:rsidRPr="00251BF8">
        <w:t xml:space="preserve"> %, zatímco pro muže 4,</w:t>
      </w:r>
      <w:r w:rsidR="00452914" w:rsidRPr="00251BF8">
        <w:t>2</w:t>
      </w:r>
      <w:r w:rsidRPr="00251BF8">
        <w:t> %.</w:t>
      </w:r>
    </w:p>
    <w:p w14:paraId="15320A51" w14:textId="1477134E" w:rsidR="007F25C1" w:rsidRDefault="00452914" w:rsidP="00B920BC">
      <w:pPr>
        <w:spacing w:after="0" w:line="240" w:lineRule="auto"/>
        <w:jc w:val="both"/>
        <w:rPr>
          <w:b/>
        </w:rPr>
      </w:pPr>
      <w:r w:rsidRPr="00452914">
        <w:rPr>
          <w:rFonts w:cs="Arial"/>
          <w:b/>
          <w:bCs/>
          <w:color w:val="000000"/>
          <w:szCs w:val="20"/>
        </w:rPr>
        <w:t>Graf 2.1</w:t>
      </w:r>
      <w:r>
        <w:rPr>
          <w:rFonts w:cs="Arial"/>
          <w:b/>
          <w:bCs/>
          <w:color w:val="000000"/>
          <w:szCs w:val="20"/>
        </w:rPr>
        <w:t>1</w:t>
      </w:r>
      <w:r w:rsidRPr="00452914">
        <w:rPr>
          <w:rFonts w:cs="Arial"/>
          <w:b/>
          <w:bCs/>
          <w:color w:val="000000"/>
          <w:szCs w:val="20"/>
        </w:rPr>
        <w:t>: Průměrné procento dočasné pracovní neschopnosti podle odvětví (sekce CZ-NACE), 2023</w:t>
      </w:r>
      <w:r>
        <w:rPr>
          <w:noProof/>
        </w:rPr>
        <w:drawing>
          <wp:inline distT="0" distB="0" distL="0" distR="0" wp14:anchorId="3BF12F74" wp14:editId="6D5664A4">
            <wp:extent cx="6105525" cy="4238625"/>
            <wp:effectExtent l="0" t="0" r="9525" b="952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E247EB" w14:textId="77777777" w:rsidR="00452914" w:rsidRPr="00986950" w:rsidRDefault="00452914" w:rsidP="00452914">
      <w:pPr>
        <w:spacing w:before="120" w:after="120"/>
        <w:rPr>
          <w:sz w:val="16"/>
        </w:rPr>
      </w:pPr>
      <w:r w:rsidRPr="00986950">
        <w:rPr>
          <w:sz w:val="16"/>
        </w:rPr>
        <w:t>Zdroj: ČSÚ</w:t>
      </w:r>
    </w:p>
    <w:p w14:paraId="028F5F21" w14:textId="6B449CF9" w:rsidR="00C609FE" w:rsidRDefault="00452914" w:rsidP="00452914">
      <w:pPr>
        <w:spacing w:before="120" w:after="120"/>
        <w:jc w:val="both"/>
        <w:rPr>
          <w:rFonts w:cs="Arial"/>
          <w:color w:val="000000"/>
          <w:szCs w:val="16"/>
        </w:rPr>
      </w:pPr>
      <w:r w:rsidRPr="00251BF8">
        <w:rPr>
          <w:rFonts w:cs="Arial"/>
          <w:color w:val="000000"/>
          <w:szCs w:val="16"/>
        </w:rPr>
        <w:lastRenderedPageBreak/>
        <w:t xml:space="preserve">Nejvyšší průměrné procento dočasné pracovní neschopnosti </w:t>
      </w:r>
      <w:r w:rsidRPr="00251BF8">
        <w:rPr>
          <w:rFonts w:cs="Arial"/>
          <w:b/>
          <w:color w:val="000000"/>
          <w:szCs w:val="16"/>
        </w:rPr>
        <w:t>z hlediska odvětvové činnosti</w:t>
      </w:r>
      <w:r w:rsidRPr="00251BF8">
        <w:rPr>
          <w:rFonts w:cs="Arial"/>
          <w:color w:val="000000"/>
          <w:szCs w:val="16"/>
        </w:rPr>
        <w:t xml:space="preserve"> bylo zaznamenáno v odvětví Zpracovatelský průmysl (6,1 %) s nejvyšším počtem případů pracovní neschopnosti na 100 pojištěnců. Jinými slovy, 6 % pojištěnců pracujících v této sekci bylo denně v pracovní neschopnosti. Odvětvími s více než 5% podílem osob dočasně práce neschopných denně byla Těžba a dobývání (5,7 %), Zásobování vodou; činnosti související s odpady a sanacemi, stejně jako Administrativní a podpůrné činnosti (obě sekce shodně 5,4 %) a Zemědělství, lesnictví, rybářství (5,2 %). Naopak nejméně pracovníků v pracovní neschopnosti ze 100 pojištěnců bylo denně evidováno v odvětví Informační a komunikační činnosti (1,5), Peněžnictví a pojišťovnictví (2,1) a Profesní, vědecké a technické činnosti (2,2). Podrobněji viz graf 2.11 a tabulka 2.</w:t>
      </w:r>
      <w:r w:rsidR="00DD5A0D" w:rsidRPr="00251BF8">
        <w:rPr>
          <w:rFonts w:cs="Arial"/>
          <w:color w:val="000000"/>
          <w:szCs w:val="16"/>
        </w:rPr>
        <w:t>6</w:t>
      </w:r>
      <w:r w:rsidRPr="00251BF8">
        <w:rPr>
          <w:rFonts w:cs="Arial"/>
          <w:color w:val="000000"/>
          <w:szCs w:val="16"/>
        </w:rPr>
        <w:t>.</w:t>
      </w:r>
    </w:p>
    <w:p w14:paraId="5AFE0DF7" w14:textId="452F7866" w:rsidR="00407F89" w:rsidRDefault="00B920BC" w:rsidP="00452914">
      <w:pPr>
        <w:spacing w:before="120" w:after="120"/>
        <w:jc w:val="both"/>
        <w:rPr>
          <w:rFonts w:cs="Arial"/>
          <w:color w:val="000000"/>
          <w:szCs w:val="16"/>
        </w:rPr>
      </w:pPr>
      <w:r>
        <w:rPr>
          <w:rFonts w:cs="Arial"/>
          <w:color w:val="000000"/>
          <w:szCs w:val="16"/>
        </w:rPr>
        <w:t>Ve většině odvětvových sekcích průměrné procento dočasné pracovní neschopnosti oproti roku 2019 pokleslo. Nejvíce v sekci Peněžnictví a pojišťovnictví (o 0,6</w:t>
      </w:r>
      <w:r w:rsidR="00D05A05">
        <w:rPr>
          <w:rFonts w:cs="Arial"/>
          <w:color w:val="000000"/>
          <w:szCs w:val="16"/>
        </w:rPr>
        <w:t xml:space="preserve"> p. b.</w:t>
      </w:r>
      <w:r>
        <w:rPr>
          <w:rFonts w:cs="Arial"/>
          <w:color w:val="000000"/>
          <w:szCs w:val="16"/>
        </w:rPr>
        <w:t xml:space="preserve">). Nárůst mezi 0,2–0,4 </w:t>
      </w:r>
      <w:r w:rsidR="00D05A05">
        <w:rPr>
          <w:rFonts w:cs="Arial"/>
          <w:color w:val="000000"/>
          <w:szCs w:val="16"/>
        </w:rPr>
        <w:t>p. b.</w:t>
      </w:r>
      <w:r>
        <w:rPr>
          <w:rFonts w:cs="Arial"/>
          <w:color w:val="000000"/>
          <w:szCs w:val="16"/>
        </w:rPr>
        <w:t xml:space="preserve"> byl patrný v sekcích Zdravotní a</w:t>
      </w:r>
      <w:r w:rsidR="00957C5B">
        <w:rPr>
          <w:rFonts w:cs="Arial"/>
          <w:color w:val="000000"/>
          <w:szCs w:val="16"/>
        </w:rPr>
        <w:t> </w:t>
      </w:r>
      <w:r>
        <w:rPr>
          <w:rFonts w:cs="Arial"/>
          <w:color w:val="000000"/>
          <w:szCs w:val="16"/>
        </w:rPr>
        <w:t>sociální péče, Veřejná správa a obrana; povinné sociální zabezpečení a Vzdělávání. Naopak při srovnání s rokem 2013 lze vidět nárůst ve všech sekcích vyjma Informačních a komunikačních činností a</w:t>
      </w:r>
      <w:r w:rsidR="00CD736F">
        <w:rPr>
          <w:rFonts w:cs="Arial"/>
          <w:color w:val="000000"/>
          <w:szCs w:val="16"/>
        </w:rPr>
        <w:t> </w:t>
      </w:r>
      <w:r>
        <w:rPr>
          <w:rFonts w:cs="Arial"/>
          <w:color w:val="000000"/>
          <w:szCs w:val="16"/>
        </w:rPr>
        <w:t xml:space="preserve">Peněžnictví a pojišťovnictví. Hodnota průměrného procenta dočasné pracovní neschopnosti </w:t>
      </w:r>
      <w:r w:rsidR="00D05A05">
        <w:rPr>
          <w:rFonts w:cs="Arial"/>
          <w:color w:val="000000"/>
          <w:szCs w:val="16"/>
        </w:rPr>
        <w:t xml:space="preserve">za tu dobu nejvíce vzrostla </w:t>
      </w:r>
      <w:r>
        <w:rPr>
          <w:rFonts w:cs="Arial"/>
          <w:color w:val="000000"/>
          <w:szCs w:val="16"/>
        </w:rPr>
        <w:t xml:space="preserve">v sekci E </w:t>
      </w:r>
      <w:r w:rsidR="00957C5B">
        <w:rPr>
          <w:rFonts w:cs="Arial"/>
          <w:color w:val="000000"/>
          <w:szCs w:val="16"/>
        </w:rPr>
        <w:t xml:space="preserve">– </w:t>
      </w:r>
      <w:r>
        <w:rPr>
          <w:rFonts w:cs="Arial"/>
          <w:color w:val="000000"/>
          <w:szCs w:val="16"/>
        </w:rPr>
        <w:t>Zásobování vodou; činnosti související s odpady a sanacemi (+1,7 p. b.) a ve Zpracovatelském průmyslu (+1,5</w:t>
      </w:r>
      <w:r w:rsidR="00D264DA">
        <w:rPr>
          <w:rFonts w:cs="Arial"/>
          <w:color w:val="000000"/>
          <w:szCs w:val="16"/>
        </w:rPr>
        <w:t> p. b</w:t>
      </w:r>
      <w:r>
        <w:rPr>
          <w:rFonts w:cs="Arial"/>
          <w:color w:val="000000"/>
          <w:szCs w:val="16"/>
        </w:rPr>
        <w:t>.</w:t>
      </w:r>
      <w:r w:rsidR="00D264DA">
        <w:rPr>
          <w:rFonts w:cs="Arial"/>
          <w:color w:val="000000"/>
          <w:szCs w:val="16"/>
        </w:rPr>
        <w:t>).</w:t>
      </w:r>
    </w:p>
    <w:p w14:paraId="6D730D52" w14:textId="78CE9E20" w:rsidR="00C609FE" w:rsidRDefault="00C609FE">
      <w:pPr>
        <w:spacing w:after="0" w:line="240" w:lineRule="auto"/>
        <w:rPr>
          <w:rFonts w:cs="Arial"/>
          <w:color w:val="000000"/>
          <w:szCs w:val="16"/>
        </w:rPr>
      </w:pPr>
    </w:p>
    <w:p w14:paraId="1954C4DE" w14:textId="4BBC365A" w:rsidR="00452914" w:rsidRPr="00452914" w:rsidRDefault="00DD5A0D" w:rsidP="00452914">
      <w:pPr>
        <w:spacing w:after="0" w:line="240" w:lineRule="auto"/>
        <w:jc w:val="both"/>
        <w:rPr>
          <w:rFonts w:cs="Arial"/>
          <w:b/>
          <w:bCs/>
          <w:color w:val="000000"/>
          <w:szCs w:val="20"/>
        </w:rPr>
      </w:pPr>
      <w:r>
        <w:rPr>
          <w:rFonts w:cs="Arial"/>
          <w:b/>
          <w:bCs/>
          <w:color w:val="000000"/>
          <w:szCs w:val="20"/>
        </w:rPr>
        <w:t>Tab. 2.6</w:t>
      </w:r>
      <w:r w:rsidR="00452914" w:rsidRPr="00452914">
        <w:rPr>
          <w:rFonts w:cs="Arial"/>
          <w:b/>
          <w:bCs/>
          <w:color w:val="000000"/>
          <w:szCs w:val="20"/>
        </w:rPr>
        <w:t xml:space="preserve">: Průměrné procento dočasné pracovní neschopnosti podle odvětví (sekce CZ-NACE), </w:t>
      </w:r>
      <w:r w:rsidR="002C474B">
        <w:rPr>
          <w:rFonts w:cs="Arial"/>
          <w:b/>
          <w:bCs/>
          <w:color w:val="000000"/>
          <w:szCs w:val="20"/>
        </w:rPr>
        <w:br/>
      </w:r>
      <w:r w:rsidR="00452914" w:rsidRPr="00452914">
        <w:rPr>
          <w:rFonts w:cs="Arial"/>
          <w:b/>
          <w:bCs/>
          <w:color w:val="000000"/>
          <w:szCs w:val="20"/>
        </w:rPr>
        <w:t>2013–2023</w:t>
      </w:r>
    </w:p>
    <w:tbl>
      <w:tblPr>
        <w:tblW w:w="9638" w:type="dxa"/>
        <w:tblCellMar>
          <w:left w:w="70" w:type="dxa"/>
          <w:right w:w="70" w:type="dxa"/>
        </w:tblCellMar>
        <w:tblLook w:val="04A0" w:firstRow="1" w:lastRow="0" w:firstColumn="1" w:lastColumn="0" w:noHBand="0" w:noVBand="1"/>
      </w:tblPr>
      <w:tblGrid>
        <w:gridCol w:w="3401"/>
        <w:gridCol w:w="567"/>
        <w:gridCol w:w="567"/>
        <w:gridCol w:w="567"/>
        <w:gridCol w:w="567"/>
        <w:gridCol w:w="567"/>
        <w:gridCol w:w="567"/>
        <w:gridCol w:w="567"/>
        <w:gridCol w:w="567"/>
        <w:gridCol w:w="567"/>
        <w:gridCol w:w="567"/>
        <w:gridCol w:w="567"/>
      </w:tblGrid>
      <w:tr w:rsidR="00452914" w:rsidRPr="000F2639" w14:paraId="477308A7" w14:textId="1B8503FA" w:rsidTr="00C609FE">
        <w:trPr>
          <w:trHeight w:val="300"/>
        </w:trPr>
        <w:tc>
          <w:tcPr>
            <w:tcW w:w="3401" w:type="dxa"/>
            <w:tcBorders>
              <w:top w:val="single" w:sz="4" w:space="0" w:color="auto"/>
              <w:left w:val="nil"/>
              <w:bottom w:val="single" w:sz="4" w:space="0" w:color="auto"/>
              <w:right w:val="single" w:sz="4" w:space="0" w:color="auto"/>
            </w:tcBorders>
            <w:shd w:val="clear" w:color="000000" w:fill="F5DADD"/>
            <w:vAlign w:val="center"/>
            <w:hideMark/>
          </w:tcPr>
          <w:p w14:paraId="47F3B57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Sekce CZ-NACE</w:t>
            </w:r>
          </w:p>
        </w:tc>
        <w:tc>
          <w:tcPr>
            <w:tcW w:w="567" w:type="dxa"/>
            <w:tcBorders>
              <w:top w:val="single" w:sz="4" w:space="0" w:color="auto"/>
              <w:left w:val="nil"/>
              <w:bottom w:val="single" w:sz="4" w:space="0" w:color="auto"/>
              <w:right w:val="nil"/>
            </w:tcBorders>
            <w:shd w:val="clear" w:color="000000" w:fill="F5DADD"/>
            <w:noWrap/>
            <w:vAlign w:val="center"/>
            <w:hideMark/>
          </w:tcPr>
          <w:p w14:paraId="080CC8B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2013</w:t>
            </w:r>
          </w:p>
        </w:tc>
        <w:tc>
          <w:tcPr>
            <w:tcW w:w="567" w:type="dxa"/>
            <w:tcBorders>
              <w:top w:val="single" w:sz="4" w:space="0" w:color="auto"/>
              <w:left w:val="nil"/>
              <w:bottom w:val="single" w:sz="4" w:space="0" w:color="auto"/>
              <w:right w:val="nil"/>
            </w:tcBorders>
            <w:shd w:val="clear" w:color="000000" w:fill="F5DADD"/>
            <w:noWrap/>
            <w:vAlign w:val="center"/>
            <w:hideMark/>
          </w:tcPr>
          <w:p w14:paraId="6D7D500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2014</w:t>
            </w:r>
          </w:p>
        </w:tc>
        <w:tc>
          <w:tcPr>
            <w:tcW w:w="567" w:type="dxa"/>
            <w:tcBorders>
              <w:top w:val="single" w:sz="4" w:space="0" w:color="auto"/>
              <w:left w:val="nil"/>
              <w:bottom w:val="single" w:sz="4" w:space="0" w:color="auto"/>
              <w:right w:val="nil"/>
            </w:tcBorders>
            <w:shd w:val="clear" w:color="000000" w:fill="F5DADD"/>
            <w:noWrap/>
            <w:vAlign w:val="center"/>
            <w:hideMark/>
          </w:tcPr>
          <w:p w14:paraId="7B73E8D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2015</w:t>
            </w:r>
          </w:p>
        </w:tc>
        <w:tc>
          <w:tcPr>
            <w:tcW w:w="567" w:type="dxa"/>
            <w:tcBorders>
              <w:top w:val="single" w:sz="4" w:space="0" w:color="auto"/>
              <w:left w:val="nil"/>
              <w:bottom w:val="single" w:sz="4" w:space="0" w:color="auto"/>
              <w:right w:val="nil"/>
            </w:tcBorders>
            <w:shd w:val="clear" w:color="000000" w:fill="F5DADD"/>
            <w:noWrap/>
            <w:vAlign w:val="center"/>
            <w:hideMark/>
          </w:tcPr>
          <w:p w14:paraId="28B796D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2016</w:t>
            </w:r>
          </w:p>
        </w:tc>
        <w:tc>
          <w:tcPr>
            <w:tcW w:w="567" w:type="dxa"/>
            <w:tcBorders>
              <w:top w:val="single" w:sz="4" w:space="0" w:color="auto"/>
              <w:left w:val="nil"/>
              <w:bottom w:val="single" w:sz="4" w:space="0" w:color="auto"/>
              <w:right w:val="nil"/>
            </w:tcBorders>
            <w:shd w:val="clear" w:color="000000" w:fill="F5DADD"/>
            <w:noWrap/>
            <w:vAlign w:val="center"/>
            <w:hideMark/>
          </w:tcPr>
          <w:p w14:paraId="26223B6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2017</w:t>
            </w:r>
          </w:p>
        </w:tc>
        <w:tc>
          <w:tcPr>
            <w:tcW w:w="567" w:type="dxa"/>
            <w:tcBorders>
              <w:top w:val="single" w:sz="4" w:space="0" w:color="auto"/>
              <w:left w:val="nil"/>
              <w:bottom w:val="single" w:sz="4" w:space="0" w:color="auto"/>
              <w:right w:val="nil"/>
            </w:tcBorders>
            <w:shd w:val="clear" w:color="000000" w:fill="F5DADD"/>
            <w:noWrap/>
            <w:vAlign w:val="center"/>
            <w:hideMark/>
          </w:tcPr>
          <w:p w14:paraId="0A4E9A7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2018</w:t>
            </w:r>
          </w:p>
        </w:tc>
        <w:tc>
          <w:tcPr>
            <w:tcW w:w="567" w:type="dxa"/>
            <w:tcBorders>
              <w:top w:val="single" w:sz="4" w:space="0" w:color="auto"/>
              <w:left w:val="nil"/>
              <w:bottom w:val="single" w:sz="4" w:space="0" w:color="auto"/>
              <w:right w:val="nil"/>
            </w:tcBorders>
            <w:shd w:val="clear" w:color="000000" w:fill="F5DADD"/>
            <w:noWrap/>
            <w:vAlign w:val="center"/>
            <w:hideMark/>
          </w:tcPr>
          <w:p w14:paraId="0488A73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2019</w:t>
            </w:r>
          </w:p>
        </w:tc>
        <w:tc>
          <w:tcPr>
            <w:tcW w:w="567" w:type="dxa"/>
            <w:tcBorders>
              <w:top w:val="single" w:sz="4" w:space="0" w:color="auto"/>
              <w:left w:val="nil"/>
              <w:bottom w:val="single" w:sz="4" w:space="0" w:color="auto"/>
              <w:right w:val="nil"/>
            </w:tcBorders>
            <w:shd w:val="clear" w:color="000000" w:fill="F5DADD"/>
            <w:noWrap/>
            <w:vAlign w:val="center"/>
            <w:hideMark/>
          </w:tcPr>
          <w:p w14:paraId="0983B69C"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2020</w:t>
            </w:r>
          </w:p>
        </w:tc>
        <w:tc>
          <w:tcPr>
            <w:tcW w:w="567" w:type="dxa"/>
            <w:tcBorders>
              <w:top w:val="single" w:sz="4" w:space="0" w:color="auto"/>
              <w:bottom w:val="single" w:sz="4" w:space="0" w:color="auto"/>
            </w:tcBorders>
            <w:shd w:val="clear" w:color="auto" w:fill="F5DADD"/>
            <w:vAlign w:val="center"/>
          </w:tcPr>
          <w:p w14:paraId="1D01390B" w14:textId="77777777" w:rsidR="00452914" w:rsidRPr="000F2639" w:rsidRDefault="00452914" w:rsidP="00452914">
            <w:pPr>
              <w:spacing w:after="0" w:line="240" w:lineRule="auto"/>
              <w:jc w:val="center"/>
            </w:pPr>
            <w:r w:rsidRPr="000F2639">
              <w:rPr>
                <w:rFonts w:cs="Arial"/>
                <w:color w:val="000000"/>
                <w:sz w:val="16"/>
                <w:szCs w:val="16"/>
              </w:rPr>
              <w:t>2021</w:t>
            </w:r>
          </w:p>
        </w:tc>
        <w:tc>
          <w:tcPr>
            <w:tcW w:w="567" w:type="dxa"/>
            <w:tcBorders>
              <w:top w:val="single" w:sz="4" w:space="0" w:color="auto"/>
              <w:bottom w:val="single" w:sz="4" w:space="0" w:color="auto"/>
            </w:tcBorders>
            <w:shd w:val="clear" w:color="auto" w:fill="F5DADD"/>
            <w:vAlign w:val="center"/>
          </w:tcPr>
          <w:p w14:paraId="52F62194" w14:textId="3BDB7D32"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2022</w:t>
            </w:r>
            <w:r>
              <w:rPr>
                <w:rFonts w:cs="Arial"/>
                <w:color w:val="000000"/>
                <w:sz w:val="16"/>
                <w:szCs w:val="16"/>
              </w:rPr>
              <w:t>*</w:t>
            </w:r>
          </w:p>
        </w:tc>
        <w:tc>
          <w:tcPr>
            <w:tcW w:w="567" w:type="dxa"/>
            <w:tcBorders>
              <w:top w:val="single" w:sz="4" w:space="0" w:color="auto"/>
              <w:bottom w:val="single" w:sz="4" w:space="0" w:color="auto"/>
            </w:tcBorders>
            <w:shd w:val="clear" w:color="auto" w:fill="F5DADD"/>
            <w:vAlign w:val="center"/>
          </w:tcPr>
          <w:p w14:paraId="58F6463D" w14:textId="6D51AA55" w:rsidR="00452914" w:rsidRPr="000F2639" w:rsidRDefault="00452914" w:rsidP="00452914">
            <w:pPr>
              <w:spacing w:after="0" w:line="240" w:lineRule="auto"/>
              <w:jc w:val="center"/>
              <w:rPr>
                <w:rFonts w:cs="Arial"/>
                <w:color w:val="000000"/>
                <w:sz w:val="16"/>
                <w:szCs w:val="16"/>
              </w:rPr>
            </w:pPr>
            <w:r>
              <w:rPr>
                <w:rFonts w:cs="Arial"/>
                <w:color w:val="000000"/>
                <w:sz w:val="16"/>
                <w:szCs w:val="16"/>
              </w:rPr>
              <w:t>2023</w:t>
            </w:r>
          </w:p>
        </w:tc>
      </w:tr>
      <w:tr w:rsidR="00452914" w:rsidRPr="000F2639" w14:paraId="05CD96AB" w14:textId="7AF189BE" w:rsidTr="00C609FE">
        <w:trPr>
          <w:trHeight w:val="300"/>
        </w:trPr>
        <w:tc>
          <w:tcPr>
            <w:tcW w:w="3401" w:type="dxa"/>
            <w:tcBorders>
              <w:top w:val="nil"/>
              <w:left w:val="nil"/>
              <w:bottom w:val="nil"/>
              <w:right w:val="single" w:sz="4" w:space="0" w:color="auto"/>
            </w:tcBorders>
            <w:shd w:val="clear" w:color="auto" w:fill="auto"/>
            <w:vAlign w:val="center"/>
            <w:hideMark/>
          </w:tcPr>
          <w:p w14:paraId="231FB900" w14:textId="77777777" w:rsidR="00452914" w:rsidRPr="000F2639" w:rsidRDefault="00452914" w:rsidP="00452914">
            <w:pPr>
              <w:spacing w:after="0" w:line="240" w:lineRule="auto"/>
              <w:rPr>
                <w:rFonts w:cs="Arial"/>
                <w:b/>
                <w:bCs/>
                <w:color w:val="000000"/>
                <w:sz w:val="16"/>
                <w:szCs w:val="16"/>
              </w:rPr>
            </w:pPr>
            <w:r w:rsidRPr="000F2639">
              <w:rPr>
                <w:rFonts w:cs="Arial"/>
                <w:b/>
                <w:bCs/>
                <w:color w:val="000000"/>
                <w:sz w:val="16"/>
                <w:szCs w:val="16"/>
              </w:rPr>
              <w:t>Celkem</w:t>
            </w:r>
          </w:p>
        </w:tc>
        <w:tc>
          <w:tcPr>
            <w:tcW w:w="567" w:type="dxa"/>
            <w:tcBorders>
              <w:top w:val="nil"/>
              <w:left w:val="nil"/>
              <w:bottom w:val="nil"/>
              <w:right w:val="nil"/>
            </w:tcBorders>
            <w:shd w:val="clear" w:color="auto" w:fill="auto"/>
            <w:noWrap/>
            <w:vAlign w:val="center"/>
            <w:hideMark/>
          </w:tcPr>
          <w:p w14:paraId="58DF5593" w14:textId="77777777" w:rsidR="00452914" w:rsidRPr="000F2639" w:rsidRDefault="00452914" w:rsidP="00452914">
            <w:pPr>
              <w:spacing w:after="0" w:line="240" w:lineRule="auto"/>
              <w:jc w:val="center"/>
              <w:rPr>
                <w:rFonts w:cs="Arial"/>
                <w:b/>
                <w:bCs/>
                <w:color w:val="000000"/>
                <w:sz w:val="16"/>
                <w:szCs w:val="16"/>
              </w:rPr>
            </w:pPr>
            <w:r w:rsidRPr="000F2639">
              <w:rPr>
                <w:rFonts w:cs="Arial"/>
                <w:b/>
                <w:bCs/>
                <w:color w:val="000000"/>
                <w:sz w:val="16"/>
                <w:szCs w:val="16"/>
              </w:rPr>
              <w:t>3,6</w:t>
            </w:r>
          </w:p>
        </w:tc>
        <w:tc>
          <w:tcPr>
            <w:tcW w:w="567" w:type="dxa"/>
            <w:tcBorders>
              <w:top w:val="nil"/>
              <w:left w:val="nil"/>
              <w:bottom w:val="nil"/>
              <w:right w:val="nil"/>
            </w:tcBorders>
            <w:shd w:val="clear" w:color="auto" w:fill="auto"/>
            <w:noWrap/>
            <w:vAlign w:val="center"/>
            <w:hideMark/>
          </w:tcPr>
          <w:p w14:paraId="0AE2DC2C" w14:textId="77777777" w:rsidR="00452914" w:rsidRPr="000F2639" w:rsidRDefault="00452914" w:rsidP="00452914">
            <w:pPr>
              <w:spacing w:after="0" w:line="240" w:lineRule="auto"/>
              <w:jc w:val="center"/>
              <w:rPr>
                <w:rFonts w:cs="Arial"/>
                <w:b/>
                <w:bCs/>
                <w:color w:val="000000"/>
                <w:sz w:val="16"/>
                <w:szCs w:val="16"/>
              </w:rPr>
            </w:pPr>
            <w:r w:rsidRPr="000F2639">
              <w:rPr>
                <w:rFonts w:cs="Arial"/>
                <w:b/>
                <w:bCs/>
                <w:color w:val="000000"/>
                <w:sz w:val="16"/>
                <w:szCs w:val="16"/>
              </w:rPr>
              <w:t>3,7</w:t>
            </w:r>
          </w:p>
        </w:tc>
        <w:tc>
          <w:tcPr>
            <w:tcW w:w="567" w:type="dxa"/>
            <w:tcBorders>
              <w:top w:val="nil"/>
              <w:left w:val="nil"/>
              <w:bottom w:val="nil"/>
              <w:right w:val="nil"/>
            </w:tcBorders>
            <w:shd w:val="clear" w:color="auto" w:fill="auto"/>
            <w:noWrap/>
            <w:vAlign w:val="center"/>
            <w:hideMark/>
          </w:tcPr>
          <w:p w14:paraId="3C252973" w14:textId="77777777" w:rsidR="00452914" w:rsidRPr="000F2639" w:rsidRDefault="00452914" w:rsidP="00452914">
            <w:pPr>
              <w:spacing w:after="0" w:line="240" w:lineRule="auto"/>
              <w:jc w:val="center"/>
              <w:rPr>
                <w:rFonts w:cs="Arial"/>
                <w:b/>
                <w:bCs/>
                <w:color w:val="000000"/>
                <w:sz w:val="16"/>
                <w:szCs w:val="16"/>
              </w:rPr>
            </w:pPr>
            <w:r w:rsidRPr="000F2639">
              <w:rPr>
                <w:rFonts w:cs="Arial"/>
                <w:b/>
                <w:bCs/>
                <w:color w:val="000000"/>
                <w:sz w:val="16"/>
                <w:szCs w:val="16"/>
              </w:rPr>
              <w:t>4,1</w:t>
            </w:r>
          </w:p>
        </w:tc>
        <w:tc>
          <w:tcPr>
            <w:tcW w:w="567" w:type="dxa"/>
            <w:tcBorders>
              <w:top w:val="nil"/>
              <w:left w:val="nil"/>
              <w:bottom w:val="nil"/>
              <w:right w:val="nil"/>
            </w:tcBorders>
            <w:shd w:val="clear" w:color="auto" w:fill="auto"/>
            <w:noWrap/>
            <w:vAlign w:val="center"/>
            <w:hideMark/>
          </w:tcPr>
          <w:p w14:paraId="78B3F3B8" w14:textId="77777777" w:rsidR="00452914" w:rsidRPr="000F2639" w:rsidRDefault="00452914" w:rsidP="00452914">
            <w:pPr>
              <w:spacing w:after="0" w:line="240" w:lineRule="auto"/>
              <w:jc w:val="center"/>
              <w:rPr>
                <w:rFonts w:cs="Arial"/>
                <w:b/>
                <w:bCs/>
                <w:color w:val="000000"/>
                <w:sz w:val="16"/>
                <w:szCs w:val="16"/>
              </w:rPr>
            </w:pPr>
            <w:r w:rsidRPr="000F2639">
              <w:rPr>
                <w:rFonts w:cs="Arial"/>
                <w:b/>
                <w:bCs/>
                <w:color w:val="000000"/>
                <w:sz w:val="16"/>
                <w:szCs w:val="16"/>
              </w:rPr>
              <w:t>4,2</w:t>
            </w:r>
          </w:p>
        </w:tc>
        <w:tc>
          <w:tcPr>
            <w:tcW w:w="567" w:type="dxa"/>
            <w:tcBorders>
              <w:top w:val="nil"/>
              <w:left w:val="nil"/>
              <w:bottom w:val="nil"/>
              <w:right w:val="nil"/>
            </w:tcBorders>
            <w:shd w:val="clear" w:color="auto" w:fill="auto"/>
            <w:noWrap/>
            <w:vAlign w:val="center"/>
            <w:hideMark/>
          </w:tcPr>
          <w:p w14:paraId="2A99DCF8" w14:textId="77777777" w:rsidR="00452914" w:rsidRPr="000F2639" w:rsidRDefault="00452914" w:rsidP="00452914">
            <w:pPr>
              <w:spacing w:after="0" w:line="240" w:lineRule="auto"/>
              <w:jc w:val="center"/>
              <w:rPr>
                <w:rFonts w:cs="Arial"/>
                <w:b/>
                <w:bCs/>
                <w:color w:val="000000"/>
                <w:sz w:val="16"/>
                <w:szCs w:val="16"/>
              </w:rPr>
            </w:pPr>
            <w:r w:rsidRPr="000F2639">
              <w:rPr>
                <w:rFonts w:cs="Arial"/>
                <w:b/>
                <w:bCs/>
                <w:color w:val="000000"/>
                <w:sz w:val="16"/>
                <w:szCs w:val="16"/>
              </w:rPr>
              <w:t>4,3</w:t>
            </w:r>
          </w:p>
        </w:tc>
        <w:tc>
          <w:tcPr>
            <w:tcW w:w="567" w:type="dxa"/>
            <w:tcBorders>
              <w:top w:val="nil"/>
              <w:left w:val="nil"/>
              <w:bottom w:val="nil"/>
              <w:right w:val="nil"/>
            </w:tcBorders>
            <w:shd w:val="clear" w:color="auto" w:fill="auto"/>
            <w:noWrap/>
            <w:vAlign w:val="center"/>
            <w:hideMark/>
          </w:tcPr>
          <w:p w14:paraId="6BBEEB23" w14:textId="77777777" w:rsidR="00452914" w:rsidRPr="000F2639" w:rsidRDefault="00452914" w:rsidP="00452914">
            <w:pPr>
              <w:spacing w:after="0" w:line="240" w:lineRule="auto"/>
              <w:jc w:val="center"/>
              <w:rPr>
                <w:rFonts w:cs="Arial"/>
                <w:b/>
                <w:bCs/>
                <w:color w:val="000000"/>
                <w:sz w:val="16"/>
                <w:szCs w:val="16"/>
              </w:rPr>
            </w:pPr>
            <w:r w:rsidRPr="000F2639">
              <w:rPr>
                <w:rFonts w:cs="Arial"/>
                <w:b/>
                <w:bCs/>
                <w:color w:val="000000"/>
                <w:sz w:val="16"/>
                <w:szCs w:val="16"/>
              </w:rPr>
              <w:t>4,5</w:t>
            </w:r>
          </w:p>
        </w:tc>
        <w:tc>
          <w:tcPr>
            <w:tcW w:w="567" w:type="dxa"/>
            <w:tcBorders>
              <w:top w:val="nil"/>
              <w:left w:val="nil"/>
              <w:bottom w:val="nil"/>
              <w:right w:val="nil"/>
            </w:tcBorders>
            <w:shd w:val="clear" w:color="auto" w:fill="auto"/>
            <w:noWrap/>
            <w:vAlign w:val="center"/>
            <w:hideMark/>
          </w:tcPr>
          <w:p w14:paraId="164F7DC7" w14:textId="77777777" w:rsidR="00452914" w:rsidRPr="000F2639" w:rsidRDefault="00452914" w:rsidP="00452914">
            <w:pPr>
              <w:spacing w:after="0" w:line="240" w:lineRule="auto"/>
              <w:jc w:val="center"/>
              <w:rPr>
                <w:rFonts w:cs="Arial"/>
                <w:b/>
                <w:bCs/>
                <w:color w:val="000000"/>
                <w:sz w:val="16"/>
                <w:szCs w:val="16"/>
              </w:rPr>
            </w:pPr>
            <w:r w:rsidRPr="000F2639">
              <w:rPr>
                <w:rFonts w:cs="Arial"/>
                <w:b/>
                <w:bCs/>
                <w:color w:val="000000"/>
                <w:sz w:val="16"/>
                <w:szCs w:val="16"/>
              </w:rPr>
              <w:t>4,7</w:t>
            </w:r>
          </w:p>
        </w:tc>
        <w:tc>
          <w:tcPr>
            <w:tcW w:w="567" w:type="dxa"/>
            <w:tcBorders>
              <w:top w:val="nil"/>
              <w:left w:val="nil"/>
              <w:bottom w:val="nil"/>
              <w:right w:val="nil"/>
            </w:tcBorders>
            <w:shd w:val="clear" w:color="auto" w:fill="auto"/>
            <w:noWrap/>
            <w:vAlign w:val="center"/>
            <w:hideMark/>
          </w:tcPr>
          <w:p w14:paraId="0298E9AD" w14:textId="77777777" w:rsidR="00452914" w:rsidRPr="000F2639" w:rsidRDefault="00452914" w:rsidP="00452914">
            <w:pPr>
              <w:spacing w:after="0" w:line="240" w:lineRule="auto"/>
              <w:jc w:val="center"/>
              <w:rPr>
                <w:rFonts w:cs="Arial"/>
                <w:b/>
                <w:bCs/>
                <w:color w:val="000000"/>
                <w:sz w:val="16"/>
                <w:szCs w:val="16"/>
              </w:rPr>
            </w:pPr>
            <w:r w:rsidRPr="000F2639">
              <w:rPr>
                <w:rFonts w:cs="Arial"/>
                <w:b/>
                <w:bCs/>
                <w:color w:val="000000"/>
                <w:sz w:val="16"/>
                <w:szCs w:val="16"/>
              </w:rPr>
              <w:t>5,5</w:t>
            </w:r>
          </w:p>
        </w:tc>
        <w:tc>
          <w:tcPr>
            <w:tcW w:w="567" w:type="dxa"/>
            <w:tcBorders>
              <w:top w:val="single" w:sz="4" w:space="0" w:color="auto"/>
            </w:tcBorders>
            <w:vAlign w:val="center"/>
          </w:tcPr>
          <w:p w14:paraId="3F495608" w14:textId="77777777" w:rsidR="00452914" w:rsidRPr="000F2639" w:rsidRDefault="00452914" w:rsidP="00452914">
            <w:pPr>
              <w:spacing w:after="0" w:line="240" w:lineRule="auto"/>
              <w:jc w:val="center"/>
            </w:pPr>
            <w:r w:rsidRPr="000F2639">
              <w:rPr>
                <w:rFonts w:cs="Arial"/>
                <w:b/>
                <w:bCs/>
                <w:color w:val="000000"/>
                <w:sz w:val="16"/>
                <w:szCs w:val="16"/>
              </w:rPr>
              <w:t>5,5</w:t>
            </w:r>
          </w:p>
        </w:tc>
        <w:tc>
          <w:tcPr>
            <w:tcW w:w="567" w:type="dxa"/>
            <w:tcBorders>
              <w:top w:val="single" w:sz="4" w:space="0" w:color="auto"/>
            </w:tcBorders>
            <w:vAlign w:val="center"/>
          </w:tcPr>
          <w:p w14:paraId="7B7655FC" w14:textId="77777777" w:rsidR="00452914" w:rsidRPr="000F2639" w:rsidRDefault="00452914" w:rsidP="00452914">
            <w:pPr>
              <w:spacing w:after="0" w:line="240" w:lineRule="auto"/>
              <w:jc w:val="center"/>
              <w:rPr>
                <w:rFonts w:cs="Arial"/>
                <w:b/>
                <w:bCs/>
                <w:color w:val="000000"/>
                <w:sz w:val="16"/>
                <w:szCs w:val="16"/>
              </w:rPr>
            </w:pPr>
            <w:r>
              <w:rPr>
                <w:rFonts w:cs="Arial"/>
                <w:b/>
                <w:bCs/>
                <w:color w:val="000000"/>
                <w:sz w:val="16"/>
                <w:szCs w:val="16"/>
              </w:rPr>
              <w:t>5,3</w:t>
            </w:r>
          </w:p>
        </w:tc>
        <w:tc>
          <w:tcPr>
            <w:tcW w:w="567" w:type="dxa"/>
            <w:tcBorders>
              <w:top w:val="single" w:sz="4" w:space="0" w:color="auto"/>
            </w:tcBorders>
            <w:vAlign w:val="center"/>
          </w:tcPr>
          <w:p w14:paraId="1F3E3A55" w14:textId="71006228" w:rsidR="00452914" w:rsidRDefault="00452914" w:rsidP="00452914">
            <w:pPr>
              <w:spacing w:after="0" w:line="240" w:lineRule="auto"/>
              <w:jc w:val="center"/>
              <w:rPr>
                <w:rFonts w:cs="Arial"/>
                <w:b/>
                <w:bCs/>
                <w:color w:val="000000"/>
                <w:sz w:val="16"/>
                <w:szCs w:val="16"/>
              </w:rPr>
            </w:pPr>
            <w:r>
              <w:rPr>
                <w:rFonts w:cs="Arial"/>
                <w:b/>
                <w:bCs/>
                <w:color w:val="000000"/>
                <w:sz w:val="16"/>
                <w:szCs w:val="16"/>
              </w:rPr>
              <w:t>4,6</w:t>
            </w:r>
          </w:p>
        </w:tc>
      </w:tr>
      <w:tr w:rsidR="00452914" w:rsidRPr="000F2639" w14:paraId="21016721" w14:textId="31508F8B" w:rsidTr="00C609FE">
        <w:trPr>
          <w:trHeight w:val="300"/>
        </w:trPr>
        <w:tc>
          <w:tcPr>
            <w:tcW w:w="3401" w:type="dxa"/>
            <w:tcBorders>
              <w:top w:val="nil"/>
              <w:left w:val="nil"/>
              <w:bottom w:val="nil"/>
              <w:right w:val="single" w:sz="4" w:space="0" w:color="auto"/>
            </w:tcBorders>
            <w:shd w:val="clear" w:color="auto" w:fill="auto"/>
            <w:vAlign w:val="center"/>
            <w:hideMark/>
          </w:tcPr>
          <w:p w14:paraId="3B19C3D0"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A – Zemědělství, lesnictví a rybářství</w:t>
            </w:r>
          </w:p>
        </w:tc>
        <w:tc>
          <w:tcPr>
            <w:tcW w:w="567" w:type="dxa"/>
            <w:tcBorders>
              <w:top w:val="nil"/>
              <w:left w:val="nil"/>
              <w:bottom w:val="nil"/>
              <w:right w:val="nil"/>
            </w:tcBorders>
            <w:shd w:val="clear" w:color="auto" w:fill="auto"/>
            <w:noWrap/>
            <w:vAlign w:val="center"/>
            <w:hideMark/>
          </w:tcPr>
          <w:p w14:paraId="6862F71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4,4</w:t>
            </w:r>
          </w:p>
        </w:tc>
        <w:tc>
          <w:tcPr>
            <w:tcW w:w="567" w:type="dxa"/>
            <w:tcBorders>
              <w:top w:val="nil"/>
              <w:left w:val="nil"/>
              <w:bottom w:val="nil"/>
              <w:right w:val="nil"/>
            </w:tcBorders>
            <w:shd w:val="clear" w:color="auto" w:fill="auto"/>
            <w:noWrap/>
            <w:vAlign w:val="center"/>
            <w:hideMark/>
          </w:tcPr>
          <w:p w14:paraId="37AF364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4,4</w:t>
            </w:r>
          </w:p>
        </w:tc>
        <w:tc>
          <w:tcPr>
            <w:tcW w:w="567" w:type="dxa"/>
            <w:tcBorders>
              <w:top w:val="nil"/>
              <w:left w:val="nil"/>
              <w:bottom w:val="nil"/>
              <w:right w:val="nil"/>
            </w:tcBorders>
            <w:shd w:val="clear" w:color="auto" w:fill="auto"/>
            <w:noWrap/>
            <w:vAlign w:val="center"/>
            <w:hideMark/>
          </w:tcPr>
          <w:p w14:paraId="57C22FB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4,8</w:t>
            </w:r>
          </w:p>
        </w:tc>
        <w:tc>
          <w:tcPr>
            <w:tcW w:w="567" w:type="dxa"/>
            <w:tcBorders>
              <w:top w:val="nil"/>
              <w:left w:val="nil"/>
              <w:bottom w:val="nil"/>
              <w:right w:val="nil"/>
            </w:tcBorders>
            <w:shd w:val="clear" w:color="auto" w:fill="auto"/>
            <w:noWrap/>
            <w:vAlign w:val="center"/>
            <w:hideMark/>
          </w:tcPr>
          <w:p w14:paraId="4FAD44D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5,0</w:t>
            </w:r>
          </w:p>
        </w:tc>
        <w:tc>
          <w:tcPr>
            <w:tcW w:w="567" w:type="dxa"/>
            <w:tcBorders>
              <w:top w:val="nil"/>
              <w:left w:val="nil"/>
              <w:bottom w:val="nil"/>
              <w:right w:val="nil"/>
            </w:tcBorders>
            <w:shd w:val="clear" w:color="auto" w:fill="auto"/>
            <w:noWrap/>
            <w:vAlign w:val="center"/>
            <w:hideMark/>
          </w:tcPr>
          <w:p w14:paraId="4537B3C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5,1</w:t>
            </w:r>
          </w:p>
        </w:tc>
        <w:tc>
          <w:tcPr>
            <w:tcW w:w="567" w:type="dxa"/>
            <w:tcBorders>
              <w:top w:val="nil"/>
              <w:left w:val="nil"/>
              <w:bottom w:val="nil"/>
              <w:right w:val="nil"/>
            </w:tcBorders>
            <w:shd w:val="clear" w:color="auto" w:fill="auto"/>
            <w:noWrap/>
            <w:vAlign w:val="center"/>
            <w:hideMark/>
          </w:tcPr>
          <w:p w14:paraId="04F84C1C"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5,3</w:t>
            </w:r>
          </w:p>
        </w:tc>
        <w:tc>
          <w:tcPr>
            <w:tcW w:w="567" w:type="dxa"/>
            <w:tcBorders>
              <w:top w:val="nil"/>
              <w:left w:val="nil"/>
              <w:bottom w:val="nil"/>
              <w:right w:val="nil"/>
            </w:tcBorders>
            <w:shd w:val="clear" w:color="auto" w:fill="auto"/>
            <w:noWrap/>
            <w:vAlign w:val="center"/>
            <w:hideMark/>
          </w:tcPr>
          <w:p w14:paraId="448C82D9"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5,4</w:t>
            </w:r>
          </w:p>
        </w:tc>
        <w:tc>
          <w:tcPr>
            <w:tcW w:w="567" w:type="dxa"/>
            <w:tcBorders>
              <w:top w:val="nil"/>
              <w:left w:val="nil"/>
              <w:bottom w:val="nil"/>
              <w:right w:val="nil"/>
            </w:tcBorders>
            <w:shd w:val="clear" w:color="auto" w:fill="auto"/>
            <w:noWrap/>
            <w:vAlign w:val="center"/>
            <w:hideMark/>
          </w:tcPr>
          <w:p w14:paraId="5D848CE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5,8</w:t>
            </w:r>
          </w:p>
        </w:tc>
        <w:tc>
          <w:tcPr>
            <w:tcW w:w="567" w:type="dxa"/>
            <w:vAlign w:val="center"/>
          </w:tcPr>
          <w:p w14:paraId="411E8476" w14:textId="77777777" w:rsidR="00452914" w:rsidRPr="000F2639" w:rsidRDefault="00452914" w:rsidP="00452914">
            <w:pPr>
              <w:spacing w:after="0" w:line="240" w:lineRule="auto"/>
              <w:jc w:val="center"/>
            </w:pPr>
            <w:r w:rsidRPr="000F2639">
              <w:rPr>
                <w:rFonts w:cs="Arial"/>
                <w:color w:val="000000"/>
                <w:sz w:val="16"/>
                <w:szCs w:val="16"/>
              </w:rPr>
              <w:t>6,3</w:t>
            </w:r>
          </w:p>
        </w:tc>
        <w:tc>
          <w:tcPr>
            <w:tcW w:w="567" w:type="dxa"/>
            <w:vAlign w:val="center"/>
          </w:tcPr>
          <w:p w14:paraId="4ACC7716"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5,9</w:t>
            </w:r>
          </w:p>
        </w:tc>
        <w:tc>
          <w:tcPr>
            <w:tcW w:w="567" w:type="dxa"/>
            <w:vAlign w:val="center"/>
          </w:tcPr>
          <w:p w14:paraId="7A9F97F7" w14:textId="36C28C4C" w:rsidR="00452914" w:rsidRDefault="00452914" w:rsidP="00452914">
            <w:pPr>
              <w:spacing w:after="0" w:line="240" w:lineRule="auto"/>
              <w:jc w:val="center"/>
              <w:rPr>
                <w:rFonts w:cs="Arial"/>
                <w:color w:val="000000"/>
                <w:sz w:val="16"/>
                <w:szCs w:val="16"/>
              </w:rPr>
            </w:pPr>
            <w:r>
              <w:rPr>
                <w:rFonts w:cs="Arial"/>
                <w:color w:val="000000"/>
                <w:sz w:val="16"/>
                <w:szCs w:val="16"/>
              </w:rPr>
              <w:t>5,2</w:t>
            </w:r>
          </w:p>
        </w:tc>
      </w:tr>
      <w:tr w:rsidR="00452914" w:rsidRPr="000F2639" w14:paraId="6A792CAE" w14:textId="5795E214" w:rsidTr="00C609FE">
        <w:trPr>
          <w:trHeight w:val="300"/>
        </w:trPr>
        <w:tc>
          <w:tcPr>
            <w:tcW w:w="3401" w:type="dxa"/>
            <w:tcBorders>
              <w:top w:val="nil"/>
              <w:left w:val="nil"/>
              <w:bottom w:val="nil"/>
              <w:right w:val="single" w:sz="4" w:space="0" w:color="auto"/>
            </w:tcBorders>
            <w:shd w:val="clear" w:color="auto" w:fill="auto"/>
            <w:vAlign w:val="center"/>
            <w:hideMark/>
          </w:tcPr>
          <w:p w14:paraId="4DDE1230"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B – Těžba a dobývání</w:t>
            </w:r>
          </w:p>
        </w:tc>
        <w:tc>
          <w:tcPr>
            <w:tcW w:w="567" w:type="dxa"/>
            <w:tcBorders>
              <w:top w:val="nil"/>
              <w:left w:val="nil"/>
              <w:bottom w:val="nil"/>
              <w:right w:val="nil"/>
            </w:tcBorders>
            <w:shd w:val="clear" w:color="auto" w:fill="auto"/>
            <w:noWrap/>
            <w:vAlign w:val="center"/>
            <w:hideMark/>
          </w:tcPr>
          <w:p w14:paraId="6F73D8C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4,8</w:t>
            </w:r>
          </w:p>
        </w:tc>
        <w:tc>
          <w:tcPr>
            <w:tcW w:w="567" w:type="dxa"/>
            <w:tcBorders>
              <w:top w:val="nil"/>
              <w:left w:val="nil"/>
              <w:bottom w:val="nil"/>
              <w:right w:val="nil"/>
            </w:tcBorders>
            <w:shd w:val="clear" w:color="auto" w:fill="auto"/>
            <w:noWrap/>
            <w:vAlign w:val="center"/>
            <w:hideMark/>
          </w:tcPr>
          <w:p w14:paraId="4A50BA9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4,7</w:t>
            </w:r>
          </w:p>
        </w:tc>
        <w:tc>
          <w:tcPr>
            <w:tcW w:w="567" w:type="dxa"/>
            <w:tcBorders>
              <w:top w:val="nil"/>
              <w:left w:val="nil"/>
              <w:bottom w:val="nil"/>
              <w:right w:val="nil"/>
            </w:tcBorders>
            <w:shd w:val="clear" w:color="auto" w:fill="auto"/>
            <w:noWrap/>
            <w:vAlign w:val="center"/>
            <w:hideMark/>
          </w:tcPr>
          <w:p w14:paraId="1612FA6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4,9</w:t>
            </w:r>
          </w:p>
        </w:tc>
        <w:tc>
          <w:tcPr>
            <w:tcW w:w="567" w:type="dxa"/>
            <w:tcBorders>
              <w:top w:val="nil"/>
              <w:left w:val="nil"/>
              <w:bottom w:val="nil"/>
              <w:right w:val="nil"/>
            </w:tcBorders>
            <w:shd w:val="clear" w:color="auto" w:fill="auto"/>
            <w:noWrap/>
            <w:vAlign w:val="center"/>
            <w:hideMark/>
          </w:tcPr>
          <w:p w14:paraId="711D79E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5,8</w:t>
            </w:r>
          </w:p>
        </w:tc>
        <w:tc>
          <w:tcPr>
            <w:tcW w:w="567" w:type="dxa"/>
            <w:tcBorders>
              <w:top w:val="nil"/>
              <w:left w:val="nil"/>
              <w:bottom w:val="nil"/>
              <w:right w:val="nil"/>
            </w:tcBorders>
            <w:shd w:val="clear" w:color="auto" w:fill="auto"/>
            <w:noWrap/>
            <w:vAlign w:val="center"/>
            <w:hideMark/>
          </w:tcPr>
          <w:p w14:paraId="12DA0150"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6,0</w:t>
            </w:r>
          </w:p>
        </w:tc>
        <w:tc>
          <w:tcPr>
            <w:tcW w:w="567" w:type="dxa"/>
            <w:tcBorders>
              <w:top w:val="nil"/>
              <w:left w:val="nil"/>
              <w:bottom w:val="nil"/>
              <w:right w:val="nil"/>
            </w:tcBorders>
            <w:shd w:val="clear" w:color="auto" w:fill="auto"/>
            <w:noWrap/>
            <w:vAlign w:val="center"/>
            <w:hideMark/>
          </w:tcPr>
          <w:p w14:paraId="507119A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5,6</w:t>
            </w:r>
          </w:p>
        </w:tc>
        <w:tc>
          <w:tcPr>
            <w:tcW w:w="567" w:type="dxa"/>
            <w:tcBorders>
              <w:top w:val="nil"/>
              <w:left w:val="nil"/>
              <w:bottom w:val="nil"/>
              <w:right w:val="nil"/>
            </w:tcBorders>
            <w:shd w:val="clear" w:color="auto" w:fill="auto"/>
            <w:noWrap/>
            <w:vAlign w:val="center"/>
            <w:hideMark/>
          </w:tcPr>
          <w:p w14:paraId="1DF2E3D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6,0</w:t>
            </w:r>
          </w:p>
        </w:tc>
        <w:tc>
          <w:tcPr>
            <w:tcW w:w="567" w:type="dxa"/>
            <w:tcBorders>
              <w:top w:val="nil"/>
              <w:left w:val="nil"/>
              <w:bottom w:val="nil"/>
              <w:right w:val="nil"/>
            </w:tcBorders>
            <w:shd w:val="clear" w:color="auto" w:fill="auto"/>
            <w:noWrap/>
            <w:vAlign w:val="center"/>
            <w:hideMark/>
          </w:tcPr>
          <w:p w14:paraId="0A1C128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7,9</w:t>
            </w:r>
          </w:p>
        </w:tc>
        <w:tc>
          <w:tcPr>
            <w:tcW w:w="567" w:type="dxa"/>
            <w:vAlign w:val="center"/>
          </w:tcPr>
          <w:p w14:paraId="71FF1024" w14:textId="77777777" w:rsidR="00452914" w:rsidRPr="000F2639" w:rsidRDefault="00452914" w:rsidP="00452914">
            <w:pPr>
              <w:spacing w:after="0" w:line="240" w:lineRule="auto"/>
              <w:jc w:val="center"/>
            </w:pPr>
            <w:r w:rsidRPr="000F2639">
              <w:rPr>
                <w:rFonts w:cs="Arial"/>
                <w:color w:val="000000"/>
                <w:sz w:val="16"/>
                <w:szCs w:val="16"/>
              </w:rPr>
              <w:t>7,9</w:t>
            </w:r>
          </w:p>
        </w:tc>
        <w:tc>
          <w:tcPr>
            <w:tcW w:w="567" w:type="dxa"/>
            <w:vAlign w:val="center"/>
          </w:tcPr>
          <w:p w14:paraId="611B2C23"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6,6</w:t>
            </w:r>
          </w:p>
        </w:tc>
        <w:tc>
          <w:tcPr>
            <w:tcW w:w="567" w:type="dxa"/>
            <w:vAlign w:val="center"/>
          </w:tcPr>
          <w:p w14:paraId="2C0F0324" w14:textId="608D0B83" w:rsidR="00452914" w:rsidRDefault="00452914" w:rsidP="00452914">
            <w:pPr>
              <w:spacing w:after="0" w:line="240" w:lineRule="auto"/>
              <w:jc w:val="center"/>
              <w:rPr>
                <w:rFonts w:cs="Arial"/>
                <w:color w:val="000000"/>
                <w:sz w:val="16"/>
                <w:szCs w:val="16"/>
              </w:rPr>
            </w:pPr>
            <w:r>
              <w:rPr>
                <w:rFonts w:cs="Arial"/>
                <w:color w:val="000000"/>
                <w:sz w:val="16"/>
                <w:szCs w:val="16"/>
              </w:rPr>
              <w:t>5,7</w:t>
            </w:r>
          </w:p>
        </w:tc>
      </w:tr>
      <w:tr w:rsidR="00452914" w:rsidRPr="000F2639" w14:paraId="5DEABBE7" w14:textId="56F848CE" w:rsidTr="00C609FE">
        <w:trPr>
          <w:trHeight w:val="300"/>
        </w:trPr>
        <w:tc>
          <w:tcPr>
            <w:tcW w:w="3401" w:type="dxa"/>
            <w:tcBorders>
              <w:top w:val="nil"/>
              <w:left w:val="nil"/>
              <w:bottom w:val="nil"/>
              <w:right w:val="single" w:sz="4" w:space="0" w:color="auto"/>
            </w:tcBorders>
            <w:shd w:val="clear" w:color="auto" w:fill="auto"/>
            <w:vAlign w:val="center"/>
            <w:hideMark/>
          </w:tcPr>
          <w:p w14:paraId="45B3F39D"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C – Zpracovatelský průmysl</w:t>
            </w:r>
          </w:p>
        </w:tc>
        <w:tc>
          <w:tcPr>
            <w:tcW w:w="567" w:type="dxa"/>
            <w:tcBorders>
              <w:top w:val="nil"/>
              <w:left w:val="nil"/>
              <w:bottom w:val="nil"/>
              <w:right w:val="nil"/>
            </w:tcBorders>
            <w:shd w:val="clear" w:color="auto" w:fill="auto"/>
            <w:noWrap/>
            <w:vAlign w:val="center"/>
            <w:hideMark/>
          </w:tcPr>
          <w:p w14:paraId="41A073A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4,5</w:t>
            </w:r>
          </w:p>
        </w:tc>
        <w:tc>
          <w:tcPr>
            <w:tcW w:w="567" w:type="dxa"/>
            <w:tcBorders>
              <w:top w:val="nil"/>
              <w:left w:val="nil"/>
              <w:bottom w:val="nil"/>
              <w:right w:val="nil"/>
            </w:tcBorders>
            <w:shd w:val="clear" w:color="auto" w:fill="auto"/>
            <w:noWrap/>
            <w:vAlign w:val="center"/>
            <w:hideMark/>
          </w:tcPr>
          <w:p w14:paraId="43821D72"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4,6</w:t>
            </w:r>
          </w:p>
        </w:tc>
        <w:tc>
          <w:tcPr>
            <w:tcW w:w="567" w:type="dxa"/>
            <w:tcBorders>
              <w:top w:val="nil"/>
              <w:left w:val="nil"/>
              <w:bottom w:val="nil"/>
              <w:right w:val="nil"/>
            </w:tcBorders>
            <w:shd w:val="clear" w:color="auto" w:fill="auto"/>
            <w:noWrap/>
            <w:vAlign w:val="center"/>
            <w:hideMark/>
          </w:tcPr>
          <w:p w14:paraId="71B06C5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5,1</w:t>
            </w:r>
          </w:p>
        </w:tc>
        <w:tc>
          <w:tcPr>
            <w:tcW w:w="567" w:type="dxa"/>
            <w:tcBorders>
              <w:top w:val="nil"/>
              <w:left w:val="nil"/>
              <w:bottom w:val="nil"/>
              <w:right w:val="nil"/>
            </w:tcBorders>
            <w:shd w:val="clear" w:color="auto" w:fill="auto"/>
            <w:noWrap/>
            <w:vAlign w:val="center"/>
            <w:hideMark/>
          </w:tcPr>
          <w:p w14:paraId="18391BD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5,5</w:t>
            </w:r>
          </w:p>
        </w:tc>
        <w:tc>
          <w:tcPr>
            <w:tcW w:w="567" w:type="dxa"/>
            <w:tcBorders>
              <w:top w:val="nil"/>
              <w:left w:val="nil"/>
              <w:bottom w:val="nil"/>
              <w:right w:val="nil"/>
            </w:tcBorders>
            <w:shd w:val="clear" w:color="auto" w:fill="auto"/>
            <w:noWrap/>
            <w:vAlign w:val="center"/>
            <w:hideMark/>
          </w:tcPr>
          <w:p w14:paraId="61EE305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5,5</w:t>
            </w:r>
          </w:p>
        </w:tc>
        <w:tc>
          <w:tcPr>
            <w:tcW w:w="567" w:type="dxa"/>
            <w:tcBorders>
              <w:top w:val="nil"/>
              <w:left w:val="nil"/>
              <w:bottom w:val="nil"/>
              <w:right w:val="nil"/>
            </w:tcBorders>
            <w:shd w:val="clear" w:color="auto" w:fill="auto"/>
            <w:noWrap/>
            <w:vAlign w:val="center"/>
            <w:hideMark/>
          </w:tcPr>
          <w:p w14:paraId="09C26C8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5,9</w:t>
            </w:r>
          </w:p>
        </w:tc>
        <w:tc>
          <w:tcPr>
            <w:tcW w:w="567" w:type="dxa"/>
            <w:tcBorders>
              <w:top w:val="nil"/>
              <w:left w:val="nil"/>
              <w:bottom w:val="nil"/>
              <w:right w:val="nil"/>
            </w:tcBorders>
            <w:shd w:val="clear" w:color="auto" w:fill="auto"/>
            <w:noWrap/>
            <w:vAlign w:val="center"/>
            <w:hideMark/>
          </w:tcPr>
          <w:p w14:paraId="02C948F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6,2</w:t>
            </w:r>
          </w:p>
        </w:tc>
        <w:tc>
          <w:tcPr>
            <w:tcW w:w="567" w:type="dxa"/>
            <w:tcBorders>
              <w:top w:val="nil"/>
              <w:left w:val="nil"/>
              <w:bottom w:val="nil"/>
              <w:right w:val="nil"/>
            </w:tcBorders>
            <w:shd w:val="clear" w:color="auto" w:fill="auto"/>
            <w:noWrap/>
            <w:vAlign w:val="center"/>
            <w:hideMark/>
          </w:tcPr>
          <w:p w14:paraId="7F01C74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7,3</w:t>
            </w:r>
          </w:p>
        </w:tc>
        <w:tc>
          <w:tcPr>
            <w:tcW w:w="567" w:type="dxa"/>
            <w:vAlign w:val="center"/>
          </w:tcPr>
          <w:p w14:paraId="02461569" w14:textId="77777777" w:rsidR="00452914" w:rsidRPr="000F2639" w:rsidRDefault="00452914" w:rsidP="00452914">
            <w:pPr>
              <w:spacing w:after="0" w:line="240" w:lineRule="auto"/>
              <w:jc w:val="center"/>
            </w:pPr>
            <w:r w:rsidRPr="000F2639">
              <w:rPr>
                <w:rFonts w:cs="Arial"/>
                <w:color w:val="000000"/>
                <w:sz w:val="16"/>
                <w:szCs w:val="16"/>
              </w:rPr>
              <w:t>7,4</w:t>
            </w:r>
          </w:p>
        </w:tc>
        <w:tc>
          <w:tcPr>
            <w:tcW w:w="567" w:type="dxa"/>
            <w:vAlign w:val="center"/>
          </w:tcPr>
          <w:p w14:paraId="55B00CDF"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6,9</w:t>
            </w:r>
          </w:p>
        </w:tc>
        <w:tc>
          <w:tcPr>
            <w:tcW w:w="567" w:type="dxa"/>
            <w:vAlign w:val="center"/>
          </w:tcPr>
          <w:p w14:paraId="0E0DE0AE" w14:textId="1DFF7A82" w:rsidR="00452914" w:rsidRDefault="00452914" w:rsidP="00452914">
            <w:pPr>
              <w:spacing w:after="0" w:line="240" w:lineRule="auto"/>
              <w:jc w:val="center"/>
              <w:rPr>
                <w:rFonts w:cs="Arial"/>
                <w:color w:val="000000"/>
                <w:sz w:val="16"/>
                <w:szCs w:val="16"/>
              </w:rPr>
            </w:pPr>
            <w:r>
              <w:rPr>
                <w:rFonts w:cs="Arial"/>
                <w:color w:val="000000"/>
                <w:sz w:val="16"/>
                <w:szCs w:val="16"/>
              </w:rPr>
              <w:t>6,1</w:t>
            </w:r>
          </w:p>
        </w:tc>
      </w:tr>
      <w:tr w:rsidR="00452914" w:rsidRPr="000F2639" w14:paraId="28BC243B" w14:textId="45711E85" w:rsidTr="00C609FE">
        <w:trPr>
          <w:trHeight w:val="480"/>
        </w:trPr>
        <w:tc>
          <w:tcPr>
            <w:tcW w:w="3401" w:type="dxa"/>
            <w:tcBorders>
              <w:top w:val="nil"/>
              <w:left w:val="nil"/>
              <w:bottom w:val="nil"/>
              <w:right w:val="single" w:sz="4" w:space="0" w:color="auto"/>
            </w:tcBorders>
            <w:shd w:val="clear" w:color="auto" w:fill="auto"/>
            <w:vAlign w:val="center"/>
            <w:hideMark/>
          </w:tcPr>
          <w:p w14:paraId="11376530"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 xml:space="preserve">D – Výroba a rozvod elektřiny, plynu, tepla    </w:t>
            </w:r>
          </w:p>
          <w:p w14:paraId="153194DE"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 xml:space="preserve">      a klimatizovaného vzduchu</w:t>
            </w:r>
          </w:p>
        </w:tc>
        <w:tc>
          <w:tcPr>
            <w:tcW w:w="567" w:type="dxa"/>
            <w:tcBorders>
              <w:top w:val="nil"/>
              <w:left w:val="nil"/>
              <w:bottom w:val="nil"/>
              <w:right w:val="nil"/>
            </w:tcBorders>
            <w:shd w:val="clear" w:color="auto" w:fill="auto"/>
            <w:noWrap/>
            <w:vAlign w:val="center"/>
            <w:hideMark/>
          </w:tcPr>
          <w:p w14:paraId="792D392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2,1</w:t>
            </w:r>
          </w:p>
        </w:tc>
        <w:tc>
          <w:tcPr>
            <w:tcW w:w="567" w:type="dxa"/>
            <w:tcBorders>
              <w:top w:val="nil"/>
              <w:left w:val="nil"/>
              <w:bottom w:val="nil"/>
              <w:right w:val="nil"/>
            </w:tcBorders>
            <w:shd w:val="clear" w:color="auto" w:fill="auto"/>
            <w:noWrap/>
            <w:vAlign w:val="center"/>
            <w:hideMark/>
          </w:tcPr>
          <w:p w14:paraId="56F5965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2,2</w:t>
            </w:r>
          </w:p>
        </w:tc>
        <w:tc>
          <w:tcPr>
            <w:tcW w:w="567" w:type="dxa"/>
            <w:tcBorders>
              <w:top w:val="nil"/>
              <w:left w:val="nil"/>
              <w:bottom w:val="nil"/>
              <w:right w:val="nil"/>
            </w:tcBorders>
            <w:shd w:val="clear" w:color="auto" w:fill="auto"/>
            <w:noWrap/>
            <w:vAlign w:val="center"/>
            <w:hideMark/>
          </w:tcPr>
          <w:p w14:paraId="269511B9"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2,5</w:t>
            </w:r>
          </w:p>
        </w:tc>
        <w:tc>
          <w:tcPr>
            <w:tcW w:w="567" w:type="dxa"/>
            <w:tcBorders>
              <w:top w:val="nil"/>
              <w:left w:val="nil"/>
              <w:bottom w:val="nil"/>
              <w:right w:val="nil"/>
            </w:tcBorders>
            <w:shd w:val="clear" w:color="auto" w:fill="auto"/>
            <w:noWrap/>
            <w:vAlign w:val="center"/>
            <w:hideMark/>
          </w:tcPr>
          <w:p w14:paraId="3FD5ADB0"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2,7</w:t>
            </w:r>
          </w:p>
        </w:tc>
        <w:tc>
          <w:tcPr>
            <w:tcW w:w="567" w:type="dxa"/>
            <w:tcBorders>
              <w:top w:val="nil"/>
              <w:left w:val="nil"/>
              <w:bottom w:val="nil"/>
              <w:right w:val="nil"/>
            </w:tcBorders>
            <w:shd w:val="clear" w:color="auto" w:fill="auto"/>
            <w:noWrap/>
            <w:vAlign w:val="center"/>
            <w:hideMark/>
          </w:tcPr>
          <w:p w14:paraId="03751DB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2,8</w:t>
            </w:r>
          </w:p>
        </w:tc>
        <w:tc>
          <w:tcPr>
            <w:tcW w:w="567" w:type="dxa"/>
            <w:tcBorders>
              <w:top w:val="nil"/>
              <w:left w:val="nil"/>
              <w:bottom w:val="nil"/>
              <w:right w:val="nil"/>
            </w:tcBorders>
            <w:shd w:val="clear" w:color="auto" w:fill="auto"/>
            <w:noWrap/>
            <w:vAlign w:val="center"/>
            <w:hideMark/>
          </w:tcPr>
          <w:p w14:paraId="3F01DB1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2,9</w:t>
            </w:r>
          </w:p>
        </w:tc>
        <w:tc>
          <w:tcPr>
            <w:tcW w:w="567" w:type="dxa"/>
            <w:tcBorders>
              <w:top w:val="nil"/>
              <w:left w:val="nil"/>
              <w:bottom w:val="nil"/>
              <w:right w:val="nil"/>
            </w:tcBorders>
            <w:shd w:val="clear" w:color="auto" w:fill="auto"/>
            <w:noWrap/>
            <w:vAlign w:val="center"/>
            <w:hideMark/>
          </w:tcPr>
          <w:p w14:paraId="453E9A2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3,1</w:t>
            </w:r>
          </w:p>
        </w:tc>
        <w:tc>
          <w:tcPr>
            <w:tcW w:w="567" w:type="dxa"/>
            <w:tcBorders>
              <w:top w:val="nil"/>
              <w:left w:val="nil"/>
              <w:bottom w:val="nil"/>
              <w:right w:val="nil"/>
            </w:tcBorders>
            <w:shd w:val="clear" w:color="auto" w:fill="auto"/>
            <w:noWrap/>
            <w:vAlign w:val="center"/>
            <w:hideMark/>
          </w:tcPr>
          <w:p w14:paraId="0DACCF1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3,3</w:t>
            </w:r>
          </w:p>
        </w:tc>
        <w:tc>
          <w:tcPr>
            <w:tcW w:w="567" w:type="dxa"/>
            <w:vAlign w:val="center"/>
          </w:tcPr>
          <w:p w14:paraId="39918809" w14:textId="77777777" w:rsidR="00452914" w:rsidRPr="000F2639" w:rsidRDefault="00452914" w:rsidP="00452914">
            <w:pPr>
              <w:spacing w:after="0" w:line="240" w:lineRule="auto"/>
              <w:jc w:val="center"/>
            </w:pPr>
            <w:r w:rsidRPr="000F2639">
              <w:rPr>
                <w:rFonts w:cs="Arial"/>
                <w:color w:val="000000"/>
                <w:sz w:val="16"/>
                <w:szCs w:val="16"/>
              </w:rPr>
              <w:t>3,6</w:t>
            </w:r>
          </w:p>
        </w:tc>
        <w:tc>
          <w:tcPr>
            <w:tcW w:w="567" w:type="dxa"/>
            <w:vAlign w:val="center"/>
          </w:tcPr>
          <w:p w14:paraId="1F1CA394"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3,4</w:t>
            </w:r>
          </w:p>
        </w:tc>
        <w:tc>
          <w:tcPr>
            <w:tcW w:w="567" w:type="dxa"/>
            <w:vAlign w:val="center"/>
          </w:tcPr>
          <w:p w14:paraId="1FACADB5" w14:textId="6D0B7F80" w:rsidR="00452914" w:rsidRDefault="00452914" w:rsidP="00452914">
            <w:pPr>
              <w:spacing w:after="0" w:line="240" w:lineRule="auto"/>
              <w:jc w:val="center"/>
              <w:rPr>
                <w:rFonts w:cs="Arial"/>
                <w:color w:val="000000"/>
                <w:sz w:val="16"/>
                <w:szCs w:val="16"/>
              </w:rPr>
            </w:pPr>
            <w:r>
              <w:rPr>
                <w:rFonts w:cs="Arial"/>
                <w:color w:val="000000"/>
                <w:sz w:val="16"/>
                <w:szCs w:val="16"/>
              </w:rPr>
              <w:t>2,9</w:t>
            </w:r>
          </w:p>
        </w:tc>
      </w:tr>
      <w:tr w:rsidR="00452914" w:rsidRPr="000F2639" w14:paraId="0B261802" w14:textId="3E90C6FB" w:rsidTr="00C609FE">
        <w:trPr>
          <w:trHeight w:val="480"/>
        </w:trPr>
        <w:tc>
          <w:tcPr>
            <w:tcW w:w="3401" w:type="dxa"/>
            <w:tcBorders>
              <w:top w:val="nil"/>
              <w:left w:val="nil"/>
              <w:bottom w:val="nil"/>
              <w:right w:val="single" w:sz="4" w:space="0" w:color="auto"/>
            </w:tcBorders>
            <w:shd w:val="clear" w:color="auto" w:fill="auto"/>
            <w:vAlign w:val="center"/>
            <w:hideMark/>
          </w:tcPr>
          <w:p w14:paraId="54C6BF81"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 xml:space="preserve">E – Zásobování vodou; činnosti </w:t>
            </w:r>
            <w:r w:rsidRPr="000F2639">
              <w:rPr>
                <w:rFonts w:cs="Arial"/>
                <w:color w:val="000000"/>
                <w:sz w:val="16"/>
                <w:szCs w:val="16"/>
              </w:rPr>
              <w:br/>
              <w:t xml:space="preserve">          související s odpady a sanacemi</w:t>
            </w:r>
          </w:p>
        </w:tc>
        <w:tc>
          <w:tcPr>
            <w:tcW w:w="567" w:type="dxa"/>
            <w:tcBorders>
              <w:top w:val="nil"/>
              <w:left w:val="nil"/>
              <w:bottom w:val="nil"/>
              <w:right w:val="nil"/>
            </w:tcBorders>
            <w:shd w:val="clear" w:color="auto" w:fill="auto"/>
            <w:noWrap/>
            <w:vAlign w:val="center"/>
            <w:hideMark/>
          </w:tcPr>
          <w:p w14:paraId="07964542"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3,7</w:t>
            </w:r>
          </w:p>
        </w:tc>
        <w:tc>
          <w:tcPr>
            <w:tcW w:w="567" w:type="dxa"/>
            <w:tcBorders>
              <w:top w:val="nil"/>
              <w:left w:val="nil"/>
              <w:bottom w:val="nil"/>
              <w:right w:val="nil"/>
            </w:tcBorders>
            <w:shd w:val="clear" w:color="auto" w:fill="auto"/>
            <w:noWrap/>
            <w:vAlign w:val="center"/>
            <w:hideMark/>
          </w:tcPr>
          <w:p w14:paraId="2AEBA65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3,9</w:t>
            </w:r>
          </w:p>
        </w:tc>
        <w:tc>
          <w:tcPr>
            <w:tcW w:w="567" w:type="dxa"/>
            <w:tcBorders>
              <w:top w:val="nil"/>
              <w:left w:val="nil"/>
              <w:bottom w:val="nil"/>
              <w:right w:val="nil"/>
            </w:tcBorders>
            <w:shd w:val="clear" w:color="auto" w:fill="auto"/>
            <w:noWrap/>
            <w:vAlign w:val="center"/>
            <w:hideMark/>
          </w:tcPr>
          <w:p w14:paraId="2D59BF6F"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4,3</w:t>
            </w:r>
          </w:p>
        </w:tc>
        <w:tc>
          <w:tcPr>
            <w:tcW w:w="567" w:type="dxa"/>
            <w:tcBorders>
              <w:top w:val="nil"/>
              <w:left w:val="nil"/>
              <w:bottom w:val="nil"/>
              <w:right w:val="nil"/>
            </w:tcBorders>
            <w:shd w:val="clear" w:color="auto" w:fill="auto"/>
            <w:noWrap/>
            <w:vAlign w:val="center"/>
            <w:hideMark/>
          </w:tcPr>
          <w:p w14:paraId="6711DF03"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4,4</w:t>
            </w:r>
          </w:p>
        </w:tc>
        <w:tc>
          <w:tcPr>
            <w:tcW w:w="567" w:type="dxa"/>
            <w:tcBorders>
              <w:top w:val="nil"/>
              <w:left w:val="nil"/>
              <w:bottom w:val="nil"/>
              <w:right w:val="nil"/>
            </w:tcBorders>
            <w:shd w:val="clear" w:color="auto" w:fill="auto"/>
            <w:noWrap/>
            <w:vAlign w:val="center"/>
            <w:hideMark/>
          </w:tcPr>
          <w:p w14:paraId="33A56030"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4,6</w:t>
            </w:r>
          </w:p>
        </w:tc>
        <w:tc>
          <w:tcPr>
            <w:tcW w:w="567" w:type="dxa"/>
            <w:tcBorders>
              <w:top w:val="nil"/>
              <w:left w:val="nil"/>
              <w:bottom w:val="nil"/>
              <w:right w:val="nil"/>
            </w:tcBorders>
            <w:shd w:val="clear" w:color="auto" w:fill="auto"/>
            <w:noWrap/>
            <w:vAlign w:val="center"/>
            <w:hideMark/>
          </w:tcPr>
          <w:p w14:paraId="6A67F31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4,9</w:t>
            </w:r>
          </w:p>
        </w:tc>
        <w:tc>
          <w:tcPr>
            <w:tcW w:w="567" w:type="dxa"/>
            <w:tcBorders>
              <w:top w:val="nil"/>
              <w:left w:val="nil"/>
              <w:bottom w:val="nil"/>
              <w:right w:val="nil"/>
            </w:tcBorders>
            <w:shd w:val="clear" w:color="auto" w:fill="auto"/>
            <w:noWrap/>
            <w:vAlign w:val="center"/>
            <w:hideMark/>
          </w:tcPr>
          <w:p w14:paraId="30E4C70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5,2</w:t>
            </w:r>
          </w:p>
        </w:tc>
        <w:tc>
          <w:tcPr>
            <w:tcW w:w="567" w:type="dxa"/>
            <w:tcBorders>
              <w:top w:val="nil"/>
              <w:left w:val="nil"/>
              <w:bottom w:val="nil"/>
              <w:right w:val="nil"/>
            </w:tcBorders>
            <w:shd w:val="clear" w:color="auto" w:fill="auto"/>
            <w:noWrap/>
            <w:vAlign w:val="center"/>
            <w:hideMark/>
          </w:tcPr>
          <w:p w14:paraId="53B3B73F"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5,9</w:t>
            </w:r>
          </w:p>
        </w:tc>
        <w:tc>
          <w:tcPr>
            <w:tcW w:w="567" w:type="dxa"/>
            <w:vAlign w:val="center"/>
          </w:tcPr>
          <w:p w14:paraId="3089E113" w14:textId="53441794" w:rsidR="00452914" w:rsidRPr="000F2639" w:rsidRDefault="00452914" w:rsidP="00452914">
            <w:pPr>
              <w:spacing w:after="0" w:line="240" w:lineRule="auto"/>
              <w:jc w:val="center"/>
            </w:pPr>
            <w:r w:rsidRPr="000F2639">
              <w:rPr>
                <w:rFonts w:cs="Arial"/>
                <w:color w:val="000000"/>
                <w:sz w:val="16"/>
                <w:szCs w:val="16"/>
              </w:rPr>
              <w:t>6,5</w:t>
            </w:r>
          </w:p>
        </w:tc>
        <w:tc>
          <w:tcPr>
            <w:tcW w:w="567" w:type="dxa"/>
            <w:vAlign w:val="center"/>
          </w:tcPr>
          <w:p w14:paraId="348C730A"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6,1</w:t>
            </w:r>
          </w:p>
        </w:tc>
        <w:tc>
          <w:tcPr>
            <w:tcW w:w="567" w:type="dxa"/>
            <w:vAlign w:val="center"/>
          </w:tcPr>
          <w:p w14:paraId="532E56EF" w14:textId="6D274D21" w:rsidR="00452914" w:rsidRDefault="00452914" w:rsidP="00452914">
            <w:pPr>
              <w:spacing w:after="0" w:line="240" w:lineRule="auto"/>
              <w:jc w:val="center"/>
              <w:rPr>
                <w:rFonts w:cs="Arial"/>
                <w:color w:val="000000"/>
                <w:sz w:val="16"/>
                <w:szCs w:val="16"/>
              </w:rPr>
            </w:pPr>
            <w:r>
              <w:rPr>
                <w:rFonts w:cs="Arial"/>
                <w:color w:val="000000"/>
                <w:sz w:val="16"/>
                <w:szCs w:val="16"/>
              </w:rPr>
              <w:t>5,4</w:t>
            </w:r>
          </w:p>
        </w:tc>
      </w:tr>
      <w:tr w:rsidR="00452914" w:rsidRPr="000F2639" w14:paraId="2DE3B36A" w14:textId="33CA012A" w:rsidTr="00C609FE">
        <w:trPr>
          <w:trHeight w:val="300"/>
        </w:trPr>
        <w:tc>
          <w:tcPr>
            <w:tcW w:w="3401" w:type="dxa"/>
            <w:tcBorders>
              <w:top w:val="nil"/>
              <w:left w:val="nil"/>
              <w:bottom w:val="nil"/>
              <w:right w:val="single" w:sz="4" w:space="0" w:color="auto"/>
            </w:tcBorders>
            <w:shd w:val="clear" w:color="auto" w:fill="auto"/>
            <w:vAlign w:val="center"/>
            <w:hideMark/>
          </w:tcPr>
          <w:p w14:paraId="4F73C23E"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F – Stavebnictví</w:t>
            </w:r>
          </w:p>
        </w:tc>
        <w:tc>
          <w:tcPr>
            <w:tcW w:w="567" w:type="dxa"/>
            <w:tcBorders>
              <w:top w:val="nil"/>
              <w:left w:val="nil"/>
              <w:bottom w:val="nil"/>
              <w:right w:val="nil"/>
            </w:tcBorders>
            <w:shd w:val="clear" w:color="auto" w:fill="auto"/>
            <w:noWrap/>
            <w:vAlign w:val="center"/>
            <w:hideMark/>
          </w:tcPr>
          <w:p w14:paraId="5255FF0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4,5</w:t>
            </w:r>
          </w:p>
        </w:tc>
        <w:tc>
          <w:tcPr>
            <w:tcW w:w="567" w:type="dxa"/>
            <w:tcBorders>
              <w:top w:val="nil"/>
              <w:left w:val="nil"/>
              <w:bottom w:val="nil"/>
              <w:right w:val="nil"/>
            </w:tcBorders>
            <w:shd w:val="clear" w:color="auto" w:fill="auto"/>
            <w:noWrap/>
            <w:vAlign w:val="center"/>
            <w:hideMark/>
          </w:tcPr>
          <w:p w14:paraId="48266FC9"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4,4</w:t>
            </w:r>
          </w:p>
        </w:tc>
        <w:tc>
          <w:tcPr>
            <w:tcW w:w="567" w:type="dxa"/>
            <w:tcBorders>
              <w:top w:val="nil"/>
              <w:left w:val="nil"/>
              <w:bottom w:val="nil"/>
              <w:right w:val="nil"/>
            </w:tcBorders>
            <w:shd w:val="clear" w:color="auto" w:fill="auto"/>
            <w:noWrap/>
            <w:vAlign w:val="center"/>
            <w:hideMark/>
          </w:tcPr>
          <w:p w14:paraId="059B589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4,6</w:t>
            </w:r>
          </w:p>
        </w:tc>
        <w:tc>
          <w:tcPr>
            <w:tcW w:w="567" w:type="dxa"/>
            <w:tcBorders>
              <w:top w:val="nil"/>
              <w:left w:val="nil"/>
              <w:bottom w:val="nil"/>
              <w:right w:val="nil"/>
            </w:tcBorders>
            <w:shd w:val="clear" w:color="auto" w:fill="auto"/>
            <w:noWrap/>
            <w:vAlign w:val="center"/>
            <w:hideMark/>
          </w:tcPr>
          <w:p w14:paraId="33A2B29C"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4,7</w:t>
            </w:r>
          </w:p>
        </w:tc>
        <w:tc>
          <w:tcPr>
            <w:tcW w:w="567" w:type="dxa"/>
            <w:tcBorders>
              <w:top w:val="nil"/>
              <w:left w:val="nil"/>
              <w:bottom w:val="nil"/>
              <w:right w:val="nil"/>
            </w:tcBorders>
            <w:shd w:val="clear" w:color="auto" w:fill="auto"/>
            <w:noWrap/>
            <w:vAlign w:val="center"/>
            <w:hideMark/>
          </w:tcPr>
          <w:p w14:paraId="03AADA0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4,7</w:t>
            </w:r>
          </w:p>
        </w:tc>
        <w:tc>
          <w:tcPr>
            <w:tcW w:w="567" w:type="dxa"/>
            <w:tcBorders>
              <w:top w:val="nil"/>
              <w:left w:val="nil"/>
              <w:bottom w:val="nil"/>
              <w:right w:val="nil"/>
            </w:tcBorders>
            <w:shd w:val="clear" w:color="auto" w:fill="auto"/>
            <w:noWrap/>
            <w:vAlign w:val="center"/>
            <w:hideMark/>
          </w:tcPr>
          <w:p w14:paraId="4C7AD95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4,7</w:t>
            </w:r>
          </w:p>
        </w:tc>
        <w:tc>
          <w:tcPr>
            <w:tcW w:w="567" w:type="dxa"/>
            <w:tcBorders>
              <w:top w:val="nil"/>
              <w:left w:val="nil"/>
              <w:bottom w:val="nil"/>
              <w:right w:val="nil"/>
            </w:tcBorders>
            <w:shd w:val="clear" w:color="auto" w:fill="auto"/>
            <w:noWrap/>
            <w:vAlign w:val="center"/>
            <w:hideMark/>
          </w:tcPr>
          <w:p w14:paraId="1FF1C60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4,8</w:t>
            </w:r>
          </w:p>
        </w:tc>
        <w:tc>
          <w:tcPr>
            <w:tcW w:w="567" w:type="dxa"/>
            <w:tcBorders>
              <w:top w:val="nil"/>
              <w:left w:val="nil"/>
              <w:bottom w:val="nil"/>
              <w:right w:val="nil"/>
            </w:tcBorders>
            <w:shd w:val="clear" w:color="auto" w:fill="auto"/>
            <w:noWrap/>
            <w:vAlign w:val="center"/>
            <w:hideMark/>
          </w:tcPr>
          <w:p w14:paraId="19472DC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5,5</w:t>
            </w:r>
          </w:p>
        </w:tc>
        <w:tc>
          <w:tcPr>
            <w:tcW w:w="567" w:type="dxa"/>
            <w:vAlign w:val="center"/>
          </w:tcPr>
          <w:p w14:paraId="5AB3CAFD" w14:textId="77777777" w:rsidR="00452914" w:rsidRPr="000F2639" w:rsidRDefault="00452914" w:rsidP="00452914">
            <w:pPr>
              <w:spacing w:after="0" w:line="240" w:lineRule="auto"/>
              <w:jc w:val="center"/>
            </w:pPr>
            <w:r w:rsidRPr="000F2639">
              <w:rPr>
                <w:rFonts w:cs="Arial"/>
                <w:color w:val="000000"/>
                <w:sz w:val="16"/>
                <w:szCs w:val="16"/>
              </w:rPr>
              <w:t>5,7</w:t>
            </w:r>
          </w:p>
        </w:tc>
        <w:tc>
          <w:tcPr>
            <w:tcW w:w="567" w:type="dxa"/>
            <w:vAlign w:val="center"/>
          </w:tcPr>
          <w:p w14:paraId="3E7F1F61"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5,2</w:t>
            </w:r>
          </w:p>
        </w:tc>
        <w:tc>
          <w:tcPr>
            <w:tcW w:w="567" w:type="dxa"/>
            <w:vAlign w:val="center"/>
          </w:tcPr>
          <w:p w14:paraId="679B8923" w14:textId="17C6E01B" w:rsidR="00452914" w:rsidRDefault="00452914" w:rsidP="00452914">
            <w:pPr>
              <w:spacing w:after="0" w:line="240" w:lineRule="auto"/>
              <w:jc w:val="center"/>
              <w:rPr>
                <w:rFonts w:cs="Arial"/>
                <w:color w:val="000000"/>
                <w:sz w:val="16"/>
                <w:szCs w:val="16"/>
              </w:rPr>
            </w:pPr>
            <w:r>
              <w:rPr>
                <w:rFonts w:cs="Arial"/>
                <w:color w:val="000000"/>
                <w:sz w:val="16"/>
                <w:szCs w:val="16"/>
              </w:rPr>
              <w:t>4,7</w:t>
            </w:r>
          </w:p>
        </w:tc>
      </w:tr>
      <w:tr w:rsidR="00452914" w:rsidRPr="000F2639" w14:paraId="6E0355CC" w14:textId="54E8FE99" w:rsidTr="00C609FE">
        <w:trPr>
          <w:trHeight w:val="480"/>
        </w:trPr>
        <w:tc>
          <w:tcPr>
            <w:tcW w:w="3401" w:type="dxa"/>
            <w:tcBorders>
              <w:top w:val="nil"/>
              <w:left w:val="nil"/>
              <w:bottom w:val="nil"/>
              <w:right w:val="single" w:sz="4" w:space="0" w:color="auto"/>
            </w:tcBorders>
            <w:shd w:val="clear" w:color="auto" w:fill="auto"/>
            <w:vAlign w:val="center"/>
            <w:hideMark/>
          </w:tcPr>
          <w:p w14:paraId="1366C7EC"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 xml:space="preserve">G – Velkoobchod a maloobchod; </w:t>
            </w:r>
            <w:r w:rsidRPr="000F2639">
              <w:rPr>
                <w:rFonts w:cs="Arial"/>
                <w:color w:val="000000"/>
                <w:sz w:val="16"/>
                <w:szCs w:val="16"/>
              </w:rPr>
              <w:br/>
              <w:t xml:space="preserve">          opravy a údržba motorových vozidel</w:t>
            </w:r>
          </w:p>
        </w:tc>
        <w:tc>
          <w:tcPr>
            <w:tcW w:w="567" w:type="dxa"/>
            <w:tcBorders>
              <w:top w:val="nil"/>
              <w:left w:val="nil"/>
              <w:bottom w:val="nil"/>
              <w:right w:val="nil"/>
            </w:tcBorders>
            <w:shd w:val="clear" w:color="auto" w:fill="auto"/>
            <w:noWrap/>
            <w:vAlign w:val="center"/>
            <w:hideMark/>
          </w:tcPr>
          <w:p w14:paraId="32EADE1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3,6</w:t>
            </w:r>
          </w:p>
        </w:tc>
        <w:tc>
          <w:tcPr>
            <w:tcW w:w="567" w:type="dxa"/>
            <w:tcBorders>
              <w:top w:val="nil"/>
              <w:left w:val="nil"/>
              <w:bottom w:val="nil"/>
              <w:right w:val="nil"/>
            </w:tcBorders>
            <w:shd w:val="clear" w:color="auto" w:fill="auto"/>
            <w:noWrap/>
            <w:vAlign w:val="center"/>
            <w:hideMark/>
          </w:tcPr>
          <w:p w14:paraId="7756B0B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3,6</w:t>
            </w:r>
          </w:p>
        </w:tc>
        <w:tc>
          <w:tcPr>
            <w:tcW w:w="567" w:type="dxa"/>
            <w:tcBorders>
              <w:top w:val="nil"/>
              <w:left w:val="nil"/>
              <w:bottom w:val="nil"/>
              <w:right w:val="nil"/>
            </w:tcBorders>
            <w:shd w:val="clear" w:color="auto" w:fill="auto"/>
            <w:noWrap/>
            <w:vAlign w:val="center"/>
            <w:hideMark/>
          </w:tcPr>
          <w:p w14:paraId="53C5EAD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3,9</w:t>
            </w:r>
          </w:p>
        </w:tc>
        <w:tc>
          <w:tcPr>
            <w:tcW w:w="567" w:type="dxa"/>
            <w:tcBorders>
              <w:top w:val="nil"/>
              <w:left w:val="nil"/>
              <w:bottom w:val="nil"/>
              <w:right w:val="nil"/>
            </w:tcBorders>
            <w:shd w:val="clear" w:color="auto" w:fill="auto"/>
            <w:noWrap/>
            <w:vAlign w:val="center"/>
            <w:hideMark/>
          </w:tcPr>
          <w:p w14:paraId="6AD01BB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4,1</w:t>
            </w:r>
          </w:p>
        </w:tc>
        <w:tc>
          <w:tcPr>
            <w:tcW w:w="567" w:type="dxa"/>
            <w:tcBorders>
              <w:top w:val="nil"/>
              <w:left w:val="nil"/>
              <w:bottom w:val="nil"/>
              <w:right w:val="nil"/>
            </w:tcBorders>
            <w:shd w:val="clear" w:color="auto" w:fill="auto"/>
            <w:noWrap/>
            <w:vAlign w:val="center"/>
            <w:hideMark/>
          </w:tcPr>
          <w:p w14:paraId="4CC3355C"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4,2</w:t>
            </w:r>
          </w:p>
        </w:tc>
        <w:tc>
          <w:tcPr>
            <w:tcW w:w="567" w:type="dxa"/>
            <w:tcBorders>
              <w:top w:val="nil"/>
              <w:left w:val="nil"/>
              <w:bottom w:val="nil"/>
              <w:right w:val="nil"/>
            </w:tcBorders>
            <w:shd w:val="clear" w:color="auto" w:fill="auto"/>
            <w:noWrap/>
            <w:vAlign w:val="center"/>
            <w:hideMark/>
          </w:tcPr>
          <w:p w14:paraId="77E2DF2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4,6</w:t>
            </w:r>
          </w:p>
        </w:tc>
        <w:tc>
          <w:tcPr>
            <w:tcW w:w="567" w:type="dxa"/>
            <w:tcBorders>
              <w:top w:val="nil"/>
              <w:left w:val="nil"/>
              <w:bottom w:val="nil"/>
              <w:right w:val="nil"/>
            </w:tcBorders>
            <w:shd w:val="clear" w:color="auto" w:fill="auto"/>
            <w:noWrap/>
            <w:vAlign w:val="center"/>
            <w:hideMark/>
          </w:tcPr>
          <w:p w14:paraId="559838C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4,9</w:t>
            </w:r>
          </w:p>
        </w:tc>
        <w:tc>
          <w:tcPr>
            <w:tcW w:w="567" w:type="dxa"/>
            <w:tcBorders>
              <w:top w:val="nil"/>
              <w:left w:val="nil"/>
              <w:bottom w:val="nil"/>
              <w:right w:val="nil"/>
            </w:tcBorders>
            <w:shd w:val="clear" w:color="auto" w:fill="auto"/>
            <w:noWrap/>
            <w:vAlign w:val="center"/>
            <w:hideMark/>
          </w:tcPr>
          <w:p w14:paraId="4BC81C10"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5,7</w:t>
            </w:r>
          </w:p>
        </w:tc>
        <w:tc>
          <w:tcPr>
            <w:tcW w:w="567" w:type="dxa"/>
            <w:vAlign w:val="center"/>
          </w:tcPr>
          <w:p w14:paraId="56E97ADC" w14:textId="77777777" w:rsidR="00452914" w:rsidRPr="000F2639" w:rsidRDefault="00452914" w:rsidP="00452914">
            <w:pPr>
              <w:spacing w:after="0" w:line="240" w:lineRule="auto"/>
              <w:jc w:val="center"/>
            </w:pPr>
            <w:r w:rsidRPr="000F2639">
              <w:rPr>
                <w:rFonts w:cs="Arial"/>
                <w:color w:val="000000"/>
                <w:sz w:val="16"/>
                <w:szCs w:val="16"/>
              </w:rPr>
              <w:t>5,7</w:t>
            </w:r>
          </w:p>
        </w:tc>
        <w:tc>
          <w:tcPr>
            <w:tcW w:w="567" w:type="dxa"/>
            <w:vAlign w:val="center"/>
          </w:tcPr>
          <w:p w14:paraId="561B3D16"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5,4</w:t>
            </w:r>
          </w:p>
        </w:tc>
        <w:tc>
          <w:tcPr>
            <w:tcW w:w="567" w:type="dxa"/>
            <w:vAlign w:val="center"/>
          </w:tcPr>
          <w:p w14:paraId="097C093B" w14:textId="43901BB0" w:rsidR="00452914" w:rsidRDefault="00452914" w:rsidP="00452914">
            <w:pPr>
              <w:spacing w:after="0" w:line="240" w:lineRule="auto"/>
              <w:jc w:val="center"/>
              <w:rPr>
                <w:rFonts w:cs="Arial"/>
                <w:color w:val="000000"/>
                <w:sz w:val="16"/>
                <w:szCs w:val="16"/>
              </w:rPr>
            </w:pPr>
            <w:r>
              <w:rPr>
                <w:rFonts w:cs="Arial"/>
                <w:color w:val="000000"/>
                <w:sz w:val="16"/>
                <w:szCs w:val="16"/>
              </w:rPr>
              <w:t>4,7</w:t>
            </w:r>
          </w:p>
        </w:tc>
      </w:tr>
      <w:tr w:rsidR="00452914" w:rsidRPr="000F2639" w14:paraId="6B0941B8" w14:textId="767AC125" w:rsidTr="00C609FE">
        <w:trPr>
          <w:trHeight w:val="300"/>
        </w:trPr>
        <w:tc>
          <w:tcPr>
            <w:tcW w:w="3401" w:type="dxa"/>
            <w:tcBorders>
              <w:top w:val="nil"/>
              <w:left w:val="nil"/>
              <w:bottom w:val="nil"/>
              <w:right w:val="single" w:sz="4" w:space="0" w:color="auto"/>
            </w:tcBorders>
            <w:shd w:val="clear" w:color="auto" w:fill="auto"/>
            <w:vAlign w:val="center"/>
            <w:hideMark/>
          </w:tcPr>
          <w:p w14:paraId="10FF6707"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H – Doprava a skladování</w:t>
            </w:r>
          </w:p>
        </w:tc>
        <w:tc>
          <w:tcPr>
            <w:tcW w:w="567" w:type="dxa"/>
            <w:tcBorders>
              <w:top w:val="nil"/>
              <w:left w:val="nil"/>
              <w:bottom w:val="nil"/>
              <w:right w:val="nil"/>
            </w:tcBorders>
            <w:shd w:val="clear" w:color="auto" w:fill="auto"/>
            <w:noWrap/>
            <w:vAlign w:val="center"/>
            <w:hideMark/>
          </w:tcPr>
          <w:p w14:paraId="3A1F307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3,8</w:t>
            </w:r>
          </w:p>
        </w:tc>
        <w:tc>
          <w:tcPr>
            <w:tcW w:w="567" w:type="dxa"/>
            <w:tcBorders>
              <w:top w:val="nil"/>
              <w:left w:val="nil"/>
              <w:bottom w:val="nil"/>
              <w:right w:val="nil"/>
            </w:tcBorders>
            <w:shd w:val="clear" w:color="auto" w:fill="auto"/>
            <w:noWrap/>
            <w:vAlign w:val="center"/>
            <w:hideMark/>
          </w:tcPr>
          <w:p w14:paraId="599404CC"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3,8</w:t>
            </w:r>
          </w:p>
        </w:tc>
        <w:tc>
          <w:tcPr>
            <w:tcW w:w="567" w:type="dxa"/>
            <w:tcBorders>
              <w:top w:val="nil"/>
              <w:left w:val="nil"/>
              <w:bottom w:val="nil"/>
              <w:right w:val="nil"/>
            </w:tcBorders>
            <w:shd w:val="clear" w:color="auto" w:fill="auto"/>
            <w:noWrap/>
            <w:vAlign w:val="center"/>
            <w:hideMark/>
          </w:tcPr>
          <w:p w14:paraId="1E88FAB3"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4,1</w:t>
            </w:r>
          </w:p>
        </w:tc>
        <w:tc>
          <w:tcPr>
            <w:tcW w:w="567" w:type="dxa"/>
            <w:tcBorders>
              <w:top w:val="nil"/>
              <w:left w:val="nil"/>
              <w:bottom w:val="nil"/>
              <w:right w:val="nil"/>
            </w:tcBorders>
            <w:shd w:val="clear" w:color="auto" w:fill="auto"/>
            <w:noWrap/>
            <w:vAlign w:val="center"/>
            <w:hideMark/>
          </w:tcPr>
          <w:p w14:paraId="080670C9"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4,2</w:t>
            </w:r>
          </w:p>
        </w:tc>
        <w:tc>
          <w:tcPr>
            <w:tcW w:w="567" w:type="dxa"/>
            <w:tcBorders>
              <w:top w:val="nil"/>
              <w:left w:val="nil"/>
              <w:bottom w:val="nil"/>
              <w:right w:val="nil"/>
            </w:tcBorders>
            <w:shd w:val="clear" w:color="auto" w:fill="auto"/>
            <w:noWrap/>
            <w:vAlign w:val="center"/>
            <w:hideMark/>
          </w:tcPr>
          <w:p w14:paraId="7A2174A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4,4</w:t>
            </w:r>
          </w:p>
        </w:tc>
        <w:tc>
          <w:tcPr>
            <w:tcW w:w="567" w:type="dxa"/>
            <w:tcBorders>
              <w:top w:val="nil"/>
              <w:left w:val="nil"/>
              <w:bottom w:val="nil"/>
              <w:right w:val="nil"/>
            </w:tcBorders>
            <w:shd w:val="clear" w:color="auto" w:fill="auto"/>
            <w:noWrap/>
            <w:vAlign w:val="center"/>
            <w:hideMark/>
          </w:tcPr>
          <w:p w14:paraId="70844BB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4,8</w:t>
            </w:r>
          </w:p>
        </w:tc>
        <w:tc>
          <w:tcPr>
            <w:tcW w:w="567" w:type="dxa"/>
            <w:tcBorders>
              <w:top w:val="nil"/>
              <w:left w:val="nil"/>
              <w:bottom w:val="nil"/>
              <w:right w:val="nil"/>
            </w:tcBorders>
            <w:shd w:val="clear" w:color="auto" w:fill="auto"/>
            <w:noWrap/>
            <w:vAlign w:val="center"/>
            <w:hideMark/>
          </w:tcPr>
          <w:p w14:paraId="1E5A3FE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4,9</w:t>
            </w:r>
          </w:p>
        </w:tc>
        <w:tc>
          <w:tcPr>
            <w:tcW w:w="567" w:type="dxa"/>
            <w:tcBorders>
              <w:top w:val="nil"/>
              <w:left w:val="nil"/>
              <w:bottom w:val="nil"/>
              <w:right w:val="nil"/>
            </w:tcBorders>
            <w:shd w:val="clear" w:color="auto" w:fill="auto"/>
            <w:noWrap/>
            <w:vAlign w:val="center"/>
            <w:hideMark/>
          </w:tcPr>
          <w:p w14:paraId="0751EA8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5,8</w:t>
            </w:r>
          </w:p>
        </w:tc>
        <w:tc>
          <w:tcPr>
            <w:tcW w:w="567" w:type="dxa"/>
            <w:vAlign w:val="center"/>
          </w:tcPr>
          <w:p w14:paraId="6C9E97E0" w14:textId="77777777" w:rsidR="00452914" w:rsidRPr="000F2639" w:rsidRDefault="00452914" w:rsidP="00452914">
            <w:pPr>
              <w:spacing w:after="0" w:line="240" w:lineRule="auto"/>
              <w:jc w:val="center"/>
            </w:pPr>
            <w:r w:rsidRPr="000F2639">
              <w:rPr>
                <w:rFonts w:cs="Arial"/>
                <w:color w:val="000000"/>
                <w:sz w:val="16"/>
                <w:szCs w:val="16"/>
              </w:rPr>
              <w:t>6,1</w:t>
            </w:r>
          </w:p>
        </w:tc>
        <w:tc>
          <w:tcPr>
            <w:tcW w:w="567" w:type="dxa"/>
            <w:vAlign w:val="center"/>
          </w:tcPr>
          <w:p w14:paraId="1B3568FC"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5,6</w:t>
            </w:r>
          </w:p>
        </w:tc>
        <w:tc>
          <w:tcPr>
            <w:tcW w:w="567" w:type="dxa"/>
            <w:vAlign w:val="center"/>
          </w:tcPr>
          <w:p w14:paraId="5E50A8CB" w14:textId="0A830B67" w:rsidR="00452914" w:rsidRDefault="00452914" w:rsidP="00452914">
            <w:pPr>
              <w:spacing w:after="0" w:line="240" w:lineRule="auto"/>
              <w:jc w:val="center"/>
              <w:rPr>
                <w:rFonts w:cs="Arial"/>
                <w:color w:val="000000"/>
                <w:sz w:val="16"/>
                <w:szCs w:val="16"/>
              </w:rPr>
            </w:pPr>
            <w:r>
              <w:rPr>
                <w:rFonts w:cs="Arial"/>
                <w:color w:val="000000"/>
                <w:sz w:val="16"/>
                <w:szCs w:val="16"/>
              </w:rPr>
              <w:t>4,9</w:t>
            </w:r>
          </w:p>
        </w:tc>
      </w:tr>
      <w:tr w:rsidR="00452914" w:rsidRPr="000F2639" w14:paraId="4480588B" w14:textId="5768536E" w:rsidTr="00C609FE">
        <w:trPr>
          <w:trHeight w:val="300"/>
        </w:trPr>
        <w:tc>
          <w:tcPr>
            <w:tcW w:w="3401" w:type="dxa"/>
            <w:tcBorders>
              <w:top w:val="nil"/>
              <w:left w:val="nil"/>
              <w:bottom w:val="nil"/>
              <w:right w:val="single" w:sz="4" w:space="0" w:color="auto"/>
            </w:tcBorders>
            <w:shd w:val="clear" w:color="auto" w:fill="auto"/>
            <w:vAlign w:val="center"/>
            <w:hideMark/>
          </w:tcPr>
          <w:p w14:paraId="5D2B1632"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I – Ubytování, stravování a pohostinství</w:t>
            </w:r>
          </w:p>
        </w:tc>
        <w:tc>
          <w:tcPr>
            <w:tcW w:w="567" w:type="dxa"/>
            <w:tcBorders>
              <w:top w:val="nil"/>
              <w:left w:val="nil"/>
              <w:bottom w:val="nil"/>
              <w:right w:val="nil"/>
            </w:tcBorders>
            <w:shd w:val="clear" w:color="auto" w:fill="auto"/>
            <w:noWrap/>
            <w:vAlign w:val="center"/>
            <w:hideMark/>
          </w:tcPr>
          <w:p w14:paraId="574B2DC2"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3,7</w:t>
            </w:r>
          </w:p>
        </w:tc>
        <w:tc>
          <w:tcPr>
            <w:tcW w:w="567" w:type="dxa"/>
            <w:tcBorders>
              <w:top w:val="nil"/>
              <w:left w:val="nil"/>
              <w:bottom w:val="nil"/>
              <w:right w:val="nil"/>
            </w:tcBorders>
            <w:shd w:val="clear" w:color="auto" w:fill="auto"/>
            <w:noWrap/>
            <w:vAlign w:val="center"/>
            <w:hideMark/>
          </w:tcPr>
          <w:p w14:paraId="7A2749A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3,8</w:t>
            </w:r>
          </w:p>
        </w:tc>
        <w:tc>
          <w:tcPr>
            <w:tcW w:w="567" w:type="dxa"/>
            <w:tcBorders>
              <w:top w:val="nil"/>
              <w:left w:val="nil"/>
              <w:bottom w:val="nil"/>
              <w:right w:val="nil"/>
            </w:tcBorders>
            <w:shd w:val="clear" w:color="auto" w:fill="auto"/>
            <w:noWrap/>
            <w:vAlign w:val="center"/>
            <w:hideMark/>
          </w:tcPr>
          <w:p w14:paraId="5041BE99"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4,1</w:t>
            </w:r>
          </w:p>
        </w:tc>
        <w:tc>
          <w:tcPr>
            <w:tcW w:w="567" w:type="dxa"/>
            <w:tcBorders>
              <w:top w:val="nil"/>
              <w:left w:val="nil"/>
              <w:bottom w:val="nil"/>
              <w:right w:val="nil"/>
            </w:tcBorders>
            <w:shd w:val="clear" w:color="auto" w:fill="auto"/>
            <w:noWrap/>
            <w:vAlign w:val="center"/>
            <w:hideMark/>
          </w:tcPr>
          <w:p w14:paraId="0539C422"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4,2</w:t>
            </w:r>
          </w:p>
        </w:tc>
        <w:tc>
          <w:tcPr>
            <w:tcW w:w="567" w:type="dxa"/>
            <w:tcBorders>
              <w:top w:val="nil"/>
              <w:left w:val="nil"/>
              <w:bottom w:val="nil"/>
              <w:right w:val="nil"/>
            </w:tcBorders>
            <w:shd w:val="clear" w:color="auto" w:fill="auto"/>
            <w:noWrap/>
            <w:vAlign w:val="center"/>
            <w:hideMark/>
          </w:tcPr>
          <w:p w14:paraId="142609F2"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4,2</w:t>
            </w:r>
          </w:p>
        </w:tc>
        <w:tc>
          <w:tcPr>
            <w:tcW w:w="567" w:type="dxa"/>
            <w:tcBorders>
              <w:top w:val="nil"/>
              <w:left w:val="nil"/>
              <w:bottom w:val="nil"/>
              <w:right w:val="nil"/>
            </w:tcBorders>
            <w:shd w:val="clear" w:color="auto" w:fill="auto"/>
            <w:noWrap/>
            <w:vAlign w:val="center"/>
            <w:hideMark/>
          </w:tcPr>
          <w:p w14:paraId="1258483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4,4</w:t>
            </w:r>
          </w:p>
        </w:tc>
        <w:tc>
          <w:tcPr>
            <w:tcW w:w="567" w:type="dxa"/>
            <w:tcBorders>
              <w:top w:val="nil"/>
              <w:left w:val="nil"/>
              <w:bottom w:val="nil"/>
              <w:right w:val="nil"/>
            </w:tcBorders>
            <w:shd w:val="clear" w:color="auto" w:fill="auto"/>
            <w:noWrap/>
            <w:vAlign w:val="center"/>
            <w:hideMark/>
          </w:tcPr>
          <w:p w14:paraId="5FD7C59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4,6</w:t>
            </w:r>
          </w:p>
        </w:tc>
        <w:tc>
          <w:tcPr>
            <w:tcW w:w="567" w:type="dxa"/>
            <w:tcBorders>
              <w:top w:val="nil"/>
              <w:left w:val="nil"/>
              <w:bottom w:val="nil"/>
              <w:right w:val="nil"/>
            </w:tcBorders>
            <w:shd w:val="clear" w:color="auto" w:fill="auto"/>
            <w:noWrap/>
            <w:vAlign w:val="center"/>
            <w:hideMark/>
          </w:tcPr>
          <w:p w14:paraId="73C3261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6,5</w:t>
            </w:r>
          </w:p>
        </w:tc>
        <w:tc>
          <w:tcPr>
            <w:tcW w:w="567" w:type="dxa"/>
            <w:vAlign w:val="center"/>
          </w:tcPr>
          <w:p w14:paraId="209A0998" w14:textId="77777777" w:rsidR="00452914" w:rsidRPr="000F2639" w:rsidRDefault="00452914" w:rsidP="00452914">
            <w:pPr>
              <w:spacing w:after="0" w:line="240" w:lineRule="auto"/>
              <w:jc w:val="center"/>
            </w:pPr>
            <w:r w:rsidRPr="000F2639">
              <w:rPr>
                <w:rFonts w:cs="Arial"/>
                <w:color w:val="000000"/>
                <w:sz w:val="16"/>
                <w:szCs w:val="16"/>
              </w:rPr>
              <w:t>5,2</w:t>
            </w:r>
          </w:p>
        </w:tc>
        <w:tc>
          <w:tcPr>
            <w:tcW w:w="567" w:type="dxa"/>
            <w:vAlign w:val="center"/>
          </w:tcPr>
          <w:p w14:paraId="506EC4CA"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5,1</w:t>
            </w:r>
          </w:p>
        </w:tc>
        <w:tc>
          <w:tcPr>
            <w:tcW w:w="567" w:type="dxa"/>
            <w:vAlign w:val="center"/>
          </w:tcPr>
          <w:p w14:paraId="58557B13" w14:textId="60592770" w:rsidR="00452914" w:rsidRDefault="00452914" w:rsidP="00452914">
            <w:pPr>
              <w:spacing w:after="0" w:line="240" w:lineRule="auto"/>
              <w:jc w:val="center"/>
              <w:rPr>
                <w:rFonts w:cs="Arial"/>
                <w:color w:val="000000"/>
                <w:sz w:val="16"/>
                <w:szCs w:val="16"/>
              </w:rPr>
            </w:pPr>
            <w:r>
              <w:rPr>
                <w:rFonts w:cs="Arial"/>
                <w:color w:val="000000"/>
                <w:sz w:val="16"/>
                <w:szCs w:val="16"/>
              </w:rPr>
              <w:t>4,5</w:t>
            </w:r>
          </w:p>
        </w:tc>
      </w:tr>
      <w:tr w:rsidR="00452914" w:rsidRPr="000F2639" w14:paraId="6DE938FC" w14:textId="625F791E" w:rsidTr="00C609FE">
        <w:trPr>
          <w:trHeight w:val="300"/>
        </w:trPr>
        <w:tc>
          <w:tcPr>
            <w:tcW w:w="3401" w:type="dxa"/>
            <w:tcBorders>
              <w:top w:val="nil"/>
              <w:left w:val="nil"/>
              <w:bottom w:val="nil"/>
              <w:right w:val="single" w:sz="4" w:space="0" w:color="auto"/>
            </w:tcBorders>
            <w:shd w:val="clear" w:color="auto" w:fill="auto"/>
            <w:vAlign w:val="center"/>
            <w:hideMark/>
          </w:tcPr>
          <w:p w14:paraId="0AD19A33"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J – Informační a komunikační činnosti</w:t>
            </w:r>
          </w:p>
        </w:tc>
        <w:tc>
          <w:tcPr>
            <w:tcW w:w="567" w:type="dxa"/>
            <w:tcBorders>
              <w:top w:val="nil"/>
              <w:left w:val="nil"/>
              <w:bottom w:val="nil"/>
              <w:right w:val="nil"/>
            </w:tcBorders>
            <w:shd w:val="clear" w:color="auto" w:fill="auto"/>
            <w:noWrap/>
            <w:vAlign w:val="center"/>
            <w:hideMark/>
          </w:tcPr>
          <w:p w14:paraId="1BD8A21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1,6</w:t>
            </w:r>
          </w:p>
        </w:tc>
        <w:tc>
          <w:tcPr>
            <w:tcW w:w="567" w:type="dxa"/>
            <w:tcBorders>
              <w:top w:val="nil"/>
              <w:left w:val="nil"/>
              <w:bottom w:val="nil"/>
              <w:right w:val="nil"/>
            </w:tcBorders>
            <w:shd w:val="clear" w:color="auto" w:fill="auto"/>
            <w:noWrap/>
            <w:vAlign w:val="center"/>
            <w:hideMark/>
          </w:tcPr>
          <w:p w14:paraId="60CFEA6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1,7</w:t>
            </w:r>
          </w:p>
        </w:tc>
        <w:tc>
          <w:tcPr>
            <w:tcW w:w="567" w:type="dxa"/>
            <w:tcBorders>
              <w:top w:val="nil"/>
              <w:left w:val="nil"/>
              <w:bottom w:val="nil"/>
              <w:right w:val="nil"/>
            </w:tcBorders>
            <w:shd w:val="clear" w:color="auto" w:fill="auto"/>
            <w:noWrap/>
            <w:vAlign w:val="center"/>
            <w:hideMark/>
          </w:tcPr>
          <w:p w14:paraId="23616B22"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1,7</w:t>
            </w:r>
          </w:p>
        </w:tc>
        <w:tc>
          <w:tcPr>
            <w:tcW w:w="567" w:type="dxa"/>
            <w:tcBorders>
              <w:top w:val="nil"/>
              <w:left w:val="nil"/>
              <w:bottom w:val="nil"/>
              <w:right w:val="nil"/>
            </w:tcBorders>
            <w:shd w:val="clear" w:color="auto" w:fill="auto"/>
            <w:noWrap/>
            <w:vAlign w:val="center"/>
            <w:hideMark/>
          </w:tcPr>
          <w:p w14:paraId="6B57C3C7"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1,7</w:t>
            </w:r>
          </w:p>
        </w:tc>
        <w:tc>
          <w:tcPr>
            <w:tcW w:w="567" w:type="dxa"/>
            <w:tcBorders>
              <w:top w:val="nil"/>
              <w:left w:val="nil"/>
              <w:bottom w:val="nil"/>
              <w:right w:val="nil"/>
            </w:tcBorders>
            <w:shd w:val="clear" w:color="auto" w:fill="auto"/>
            <w:noWrap/>
            <w:vAlign w:val="center"/>
            <w:hideMark/>
          </w:tcPr>
          <w:p w14:paraId="20FE8DA0"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1,8</w:t>
            </w:r>
          </w:p>
        </w:tc>
        <w:tc>
          <w:tcPr>
            <w:tcW w:w="567" w:type="dxa"/>
            <w:tcBorders>
              <w:top w:val="nil"/>
              <w:left w:val="nil"/>
              <w:bottom w:val="nil"/>
              <w:right w:val="nil"/>
            </w:tcBorders>
            <w:shd w:val="clear" w:color="auto" w:fill="auto"/>
            <w:noWrap/>
            <w:vAlign w:val="center"/>
            <w:hideMark/>
          </w:tcPr>
          <w:p w14:paraId="608BEEF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1,9</w:t>
            </w:r>
          </w:p>
        </w:tc>
        <w:tc>
          <w:tcPr>
            <w:tcW w:w="567" w:type="dxa"/>
            <w:tcBorders>
              <w:top w:val="nil"/>
              <w:left w:val="nil"/>
              <w:bottom w:val="nil"/>
              <w:right w:val="nil"/>
            </w:tcBorders>
            <w:shd w:val="clear" w:color="auto" w:fill="auto"/>
            <w:noWrap/>
            <w:vAlign w:val="center"/>
            <w:hideMark/>
          </w:tcPr>
          <w:p w14:paraId="735C652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1,9</w:t>
            </w:r>
          </w:p>
        </w:tc>
        <w:tc>
          <w:tcPr>
            <w:tcW w:w="567" w:type="dxa"/>
            <w:tcBorders>
              <w:top w:val="nil"/>
              <w:left w:val="nil"/>
              <w:bottom w:val="nil"/>
              <w:right w:val="nil"/>
            </w:tcBorders>
            <w:shd w:val="clear" w:color="auto" w:fill="auto"/>
            <w:noWrap/>
            <w:vAlign w:val="center"/>
            <w:hideMark/>
          </w:tcPr>
          <w:p w14:paraId="3AA0A18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1,9</w:t>
            </w:r>
          </w:p>
        </w:tc>
        <w:tc>
          <w:tcPr>
            <w:tcW w:w="567" w:type="dxa"/>
            <w:vAlign w:val="center"/>
          </w:tcPr>
          <w:p w14:paraId="3F622365" w14:textId="77777777" w:rsidR="00452914" w:rsidRPr="000F2639" w:rsidRDefault="00452914" w:rsidP="00452914">
            <w:pPr>
              <w:spacing w:after="0" w:line="240" w:lineRule="auto"/>
              <w:jc w:val="center"/>
            </w:pPr>
            <w:r w:rsidRPr="000F2639">
              <w:rPr>
                <w:rFonts w:cs="Arial"/>
                <w:color w:val="000000"/>
                <w:sz w:val="16"/>
                <w:szCs w:val="16"/>
              </w:rPr>
              <w:t>1,8</w:t>
            </w:r>
          </w:p>
        </w:tc>
        <w:tc>
          <w:tcPr>
            <w:tcW w:w="567" w:type="dxa"/>
            <w:vAlign w:val="center"/>
          </w:tcPr>
          <w:p w14:paraId="32F4A1A0"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1,8</w:t>
            </w:r>
          </w:p>
        </w:tc>
        <w:tc>
          <w:tcPr>
            <w:tcW w:w="567" w:type="dxa"/>
            <w:vAlign w:val="center"/>
          </w:tcPr>
          <w:p w14:paraId="03B65F5A" w14:textId="574AD64B" w:rsidR="00452914" w:rsidRDefault="00452914" w:rsidP="00452914">
            <w:pPr>
              <w:spacing w:after="0" w:line="240" w:lineRule="auto"/>
              <w:jc w:val="center"/>
              <w:rPr>
                <w:rFonts w:cs="Arial"/>
                <w:color w:val="000000"/>
                <w:sz w:val="16"/>
                <w:szCs w:val="16"/>
              </w:rPr>
            </w:pPr>
            <w:r>
              <w:rPr>
                <w:rFonts w:cs="Arial"/>
                <w:color w:val="000000"/>
                <w:sz w:val="16"/>
                <w:szCs w:val="16"/>
              </w:rPr>
              <w:t>1,5</w:t>
            </w:r>
          </w:p>
        </w:tc>
      </w:tr>
      <w:tr w:rsidR="00452914" w:rsidRPr="000F2639" w14:paraId="1B517ACD" w14:textId="06749EF2" w:rsidTr="00C609FE">
        <w:trPr>
          <w:trHeight w:val="300"/>
        </w:trPr>
        <w:tc>
          <w:tcPr>
            <w:tcW w:w="3401" w:type="dxa"/>
            <w:tcBorders>
              <w:top w:val="nil"/>
              <w:left w:val="nil"/>
              <w:bottom w:val="nil"/>
              <w:right w:val="single" w:sz="4" w:space="0" w:color="auto"/>
            </w:tcBorders>
            <w:shd w:val="clear" w:color="auto" w:fill="auto"/>
            <w:vAlign w:val="center"/>
            <w:hideMark/>
          </w:tcPr>
          <w:p w14:paraId="273C0ECA"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K – Peněžnictví a pojišťovnictví</w:t>
            </w:r>
          </w:p>
        </w:tc>
        <w:tc>
          <w:tcPr>
            <w:tcW w:w="567" w:type="dxa"/>
            <w:tcBorders>
              <w:top w:val="nil"/>
              <w:left w:val="nil"/>
              <w:bottom w:val="nil"/>
              <w:right w:val="nil"/>
            </w:tcBorders>
            <w:shd w:val="clear" w:color="auto" w:fill="auto"/>
            <w:noWrap/>
            <w:vAlign w:val="center"/>
            <w:hideMark/>
          </w:tcPr>
          <w:p w14:paraId="73334747"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2,3</w:t>
            </w:r>
          </w:p>
        </w:tc>
        <w:tc>
          <w:tcPr>
            <w:tcW w:w="567" w:type="dxa"/>
            <w:tcBorders>
              <w:top w:val="nil"/>
              <w:left w:val="nil"/>
              <w:bottom w:val="nil"/>
              <w:right w:val="nil"/>
            </w:tcBorders>
            <w:shd w:val="clear" w:color="auto" w:fill="auto"/>
            <w:noWrap/>
            <w:vAlign w:val="center"/>
            <w:hideMark/>
          </w:tcPr>
          <w:p w14:paraId="1142670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2,4</w:t>
            </w:r>
          </w:p>
        </w:tc>
        <w:tc>
          <w:tcPr>
            <w:tcW w:w="567" w:type="dxa"/>
            <w:tcBorders>
              <w:top w:val="nil"/>
              <w:left w:val="nil"/>
              <w:bottom w:val="nil"/>
              <w:right w:val="nil"/>
            </w:tcBorders>
            <w:shd w:val="clear" w:color="auto" w:fill="auto"/>
            <w:noWrap/>
            <w:vAlign w:val="center"/>
            <w:hideMark/>
          </w:tcPr>
          <w:p w14:paraId="3B784C1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2,6</w:t>
            </w:r>
          </w:p>
        </w:tc>
        <w:tc>
          <w:tcPr>
            <w:tcW w:w="567" w:type="dxa"/>
            <w:tcBorders>
              <w:top w:val="nil"/>
              <w:left w:val="nil"/>
              <w:bottom w:val="nil"/>
              <w:right w:val="nil"/>
            </w:tcBorders>
            <w:shd w:val="clear" w:color="auto" w:fill="auto"/>
            <w:noWrap/>
            <w:vAlign w:val="center"/>
            <w:hideMark/>
          </w:tcPr>
          <w:p w14:paraId="110BFD8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2,5</w:t>
            </w:r>
          </w:p>
        </w:tc>
        <w:tc>
          <w:tcPr>
            <w:tcW w:w="567" w:type="dxa"/>
            <w:tcBorders>
              <w:top w:val="nil"/>
              <w:left w:val="nil"/>
              <w:bottom w:val="nil"/>
              <w:right w:val="nil"/>
            </w:tcBorders>
            <w:shd w:val="clear" w:color="auto" w:fill="auto"/>
            <w:noWrap/>
            <w:vAlign w:val="center"/>
            <w:hideMark/>
          </w:tcPr>
          <w:p w14:paraId="140AD2F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2,5</w:t>
            </w:r>
          </w:p>
        </w:tc>
        <w:tc>
          <w:tcPr>
            <w:tcW w:w="567" w:type="dxa"/>
            <w:tcBorders>
              <w:top w:val="nil"/>
              <w:left w:val="nil"/>
              <w:bottom w:val="nil"/>
              <w:right w:val="nil"/>
            </w:tcBorders>
            <w:shd w:val="clear" w:color="auto" w:fill="auto"/>
            <w:noWrap/>
            <w:vAlign w:val="center"/>
            <w:hideMark/>
          </w:tcPr>
          <w:p w14:paraId="7E4CA8F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2,6</w:t>
            </w:r>
          </w:p>
        </w:tc>
        <w:tc>
          <w:tcPr>
            <w:tcW w:w="567" w:type="dxa"/>
            <w:tcBorders>
              <w:top w:val="nil"/>
              <w:left w:val="nil"/>
              <w:bottom w:val="nil"/>
              <w:right w:val="nil"/>
            </w:tcBorders>
            <w:shd w:val="clear" w:color="auto" w:fill="auto"/>
            <w:noWrap/>
            <w:vAlign w:val="center"/>
            <w:hideMark/>
          </w:tcPr>
          <w:p w14:paraId="5DFB1E5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2,7</w:t>
            </w:r>
          </w:p>
        </w:tc>
        <w:tc>
          <w:tcPr>
            <w:tcW w:w="567" w:type="dxa"/>
            <w:tcBorders>
              <w:top w:val="nil"/>
              <w:left w:val="nil"/>
              <w:bottom w:val="nil"/>
              <w:right w:val="nil"/>
            </w:tcBorders>
            <w:shd w:val="clear" w:color="auto" w:fill="auto"/>
            <w:noWrap/>
            <w:vAlign w:val="center"/>
            <w:hideMark/>
          </w:tcPr>
          <w:p w14:paraId="05C8C1C3"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2,7</w:t>
            </w:r>
          </w:p>
        </w:tc>
        <w:tc>
          <w:tcPr>
            <w:tcW w:w="567" w:type="dxa"/>
            <w:vAlign w:val="center"/>
          </w:tcPr>
          <w:p w14:paraId="01BDFF81" w14:textId="77777777" w:rsidR="00452914" w:rsidRPr="000F2639" w:rsidRDefault="00452914" w:rsidP="00452914">
            <w:pPr>
              <w:spacing w:after="0" w:line="240" w:lineRule="auto"/>
              <w:jc w:val="center"/>
            </w:pPr>
            <w:r w:rsidRPr="000F2639">
              <w:rPr>
                <w:rFonts w:cs="Arial"/>
                <w:color w:val="000000"/>
                <w:sz w:val="16"/>
                <w:szCs w:val="16"/>
              </w:rPr>
              <w:t>2,6</w:t>
            </w:r>
          </w:p>
        </w:tc>
        <w:tc>
          <w:tcPr>
            <w:tcW w:w="567" w:type="dxa"/>
            <w:vAlign w:val="center"/>
          </w:tcPr>
          <w:p w14:paraId="70FFAB09"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2,4</w:t>
            </w:r>
          </w:p>
        </w:tc>
        <w:tc>
          <w:tcPr>
            <w:tcW w:w="567" w:type="dxa"/>
            <w:vAlign w:val="center"/>
          </w:tcPr>
          <w:p w14:paraId="43025393" w14:textId="6D0BD695" w:rsidR="00452914" w:rsidRDefault="00452914" w:rsidP="00452914">
            <w:pPr>
              <w:spacing w:after="0" w:line="240" w:lineRule="auto"/>
              <w:jc w:val="center"/>
              <w:rPr>
                <w:rFonts w:cs="Arial"/>
                <w:color w:val="000000"/>
                <w:sz w:val="16"/>
                <w:szCs w:val="16"/>
              </w:rPr>
            </w:pPr>
            <w:r>
              <w:rPr>
                <w:rFonts w:cs="Arial"/>
                <w:color w:val="000000"/>
                <w:sz w:val="16"/>
                <w:szCs w:val="16"/>
              </w:rPr>
              <w:t>2,1</w:t>
            </w:r>
          </w:p>
        </w:tc>
      </w:tr>
      <w:tr w:rsidR="00452914" w:rsidRPr="000F2639" w14:paraId="6C570C07" w14:textId="4B4D07F1" w:rsidTr="00C609FE">
        <w:trPr>
          <w:trHeight w:val="300"/>
        </w:trPr>
        <w:tc>
          <w:tcPr>
            <w:tcW w:w="3401" w:type="dxa"/>
            <w:tcBorders>
              <w:top w:val="nil"/>
              <w:left w:val="nil"/>
              <w:bottom w:val="nil"/>
              <w:right w:val="single" w:sz="4" w:space="0" w:color="auto"/>
            </w:tcBorders>
            <w:shd w:val="clear" w:color="auto" w:fill="auto"/>
            <w:vAlign w:val="center"/>
            <w:hideMark/>
          </w:tcPr>
          <w:p w14:paraId="1FE0BEB3"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L – Činnosti v oblasti nemovitostí</w:t>
            </w:r>
          </w:p>
        </w:tc>
        <w:tc>
          <w:tcPr>
            <w:tcW w:w="567" w:type="dxa"/>
            <w:tcBorders>
              <w:top w:val="nil"/>
              <w:left w:val="nil"/>
              <w:bottom w:val="nil"/>
              <w:right w:val="nil"/>
            </w:tcBorders>
            <w:shd w:val="clear" w:color="auto" w:fill="auto"/>
            <w:noWrap/>
            <w:vAlign w:val="center"/>
            <w:hideMark/>
          </w:tcPr>
          <w:p w14:paraId="0F933A9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2,2</w:t>
            </w:r>
          </w:p>
        </w:tc>
        <w:tc>
          <w:tcPr>
            <w:tcW w:w="567" w:type="dxa"/>
            <w:tcBorders>
              <w:top w:val="nil"/>
              <w:left w:val="nil"/>
              <w:bottom w:val="nil"/>
              <w:right w:val="nil"/>
            </w:tcBorders>
            <w:shd w:val="clear" w:color="auto" w:fill="auto"/>
            <w:noWrap/>
            <w:vAlign w:val="center"/>
            <w:hideMark/>
          </w:tcPr>
          <w:p w14:paraId="1E3AEB60"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2,2</w:t>
            </w:r>
          </w:p>
        </w:tc>
        <w:tc>
          <w:tcPr>
            <w:tcW w:w="567" w:type="dxa"/>
            <w:tcBorders>
              <w:top w:val="nil"/>
              <w:left w:val="nil"/>
              <w:bottom w:val="nil"/>
              <w:right w:val="nil"/>
            </w:tcBorders>
            <w:shd w:val="clear" w:color="auto" w:fill="auto"/>
            <w:noWrap/>
            <w:vAlign w:val="center"/>
            <w:hideMark/>
          </w:tcPr>
          <w:p w14:paraId="556490C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2,3</w:t>
            </w:r>
          </w:p>
        </w:tc>
        <w:tc>
          <w:tcPr>
            <w:tcW w:w="567" w:type="dxa"/>
            <w:tcBorders>
              <w:top w:val="nil"/>
              <w:left w:val="nil"/>
              <w:bottom w:val="nil"/>
              <w:right w:val="nil"/>
            </w:tcBorders>
            <w:shd w:val="clear" w:color="auto" w:fill="auto"/>
            <w:noWrap/>
            <w:vAlign w:val="center"/>
            <w:hideMark/>
          </w:tcPr>
          <w:p w14:paraId="0E12E00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2,4</w:t>
            </w:r>
          </w:p>
        </w:tc>
        <w:tc>
          <w:tcPr>
            <w:tcW w:w="567" w:type="dxa"/>
            <w:tcBorders>
              <w:top w:val="nil"/>
              <w:left w:val="nil"/>
              <w:bottom w:val="nil"/>
              <w:right w:val="nil"/>
            </w:tcBorders>
            <w:shd w:val="clear" w:color="auto" w:fill="auto"/>
            <w:noWrap/>
            <w:vAlign w:val="center"/>
            <w:hideMark/>
          </w:tcPr>
          <w:p w14:paraId="0529868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2,3</w:t>
            </w:r>
          </w:p>
        </w:tc>
        <w:tc>
          <w:tcPr>
            <w:tcW w:w="567" w:type="dxa"/>
            <w:tcBorders>
              <w:top w:val="nil"/>
              <w:left w:val="nil"/>
              <w:bottom w:val="nil"/>
              <w:right w:val="nil"/>
            </w:tcBorders>
            <w:shd w:val="clear" w:color="auto" w:fill="auto"/>
            <w:noWrap/>
            <w:vAlign w:val="center"/>
            <w:hideMark/>
          </w:tcPr>
          <w:p w14:paraId="251A8093"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2,4</w:t>
            </w:r>
          </w:p>
        </w:tc>
        <w:tc>
          <w:tcPr>
            <w:tcW w:w="567" w:type="dxa"/>
            <w:tcBorders>
              <w:top w:val="nil"/>
              <w:left w:val="nil"/>
              <w:bottom w:val="nil"/>
              <w:right w:val="nil"/>
            </w:tcBorders>
            <w:shd w:val="clear" w:color="auto" w:fill="auto"/>
            <w:noWrap/>
            <w:vAlign w:val="center"/>
            <w:hideMark/>
          </w:tcPr>
          <w:p w14:paraId="04C33C3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2,6</w:t>
            </w:r>
          </w:p>
        </w:tc>
        <w:tc>
          <w:tcPr>
            <w:tcW w:w="567" w:type="dxa"/>
            <w:tcBorders>
              <w:top w:val="nil"/>
              <w:left w:val="nil"/>
              <w:bottom w:val="nil"/>
              <w:right w:val="nil"/>
            </w:tcBorders>
            <w:shd w:val="clear" w:color="auto" w:fill="auto"/>
            <w:noWrap/>
            <w:vAlign w:val="center"/>
            <w:hideMark/>
          </w:tcPr>
          <w:p w14:paraId="50EA591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3,1</w:t>
            </w:r>
          </w:p>
        </w:tc>
        <w:tc>
          <w:tcPr>
            <w:tcW w:w="567" w:type="dxa"/>
            <w:vAlign w:val="center"/>
          </w:tcPr>
          <w:p w14:paraId="49685691" w14:textId="77777777" w:rsidR="00452914" w:rsidRPr="000F2639" w:rsidRDefault="00452914" w:rsidP="00452914">
            <w:pPr>
              <w:spacing w:after="0" w:line="240" w:lineRule="auto"/>
              <w:jc w:val="center"/>
            </w:pPr>
            <w:r w:rsidRPr="000F2639">
              <w:rPr>
                <w:rFonts w:cs="Arial"/>
                <w:color w:val="000000"/>
                <w:sz w:val="16"/>
                <w:szCs w:val="16"/>
              </w:rPr>
              <w:t>3,1</w:t>
            </w:r>
          </w:p>
        </w:tc>
        <w:tc>
          <w:tcPr>
            <w:tcW w:w="567" w:type="dxa"/>
            <w:vAlign w:val="center"/>
          </w:tcPr>
          <w:p w14:paraId="42CDCDA5"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3,0</w:t>
            </w:r>
          </w:p>
        </w:tc>
        <w:tc>
          <w:tcPr>
            <w:tcW w:w="567" w:type="dxa"/>
            <w:vAlign w:val="center"/>
          </w:tcPr>
          <w:p w14:paraId="653684B6" w14:textId="7A33FC13" w:rsidR="00452914" w:rsidRDefault="00452914" w:rsidP="00452914">
            <w:pPr>
              <w:spacing w:after="0" w:line="240" w:lineRule="auto"/>
              <w:jc w:val="center"/>
              <w:rPr>
                <w:rFonts w:cs="Arial"/>
                <w:color w:val="000000"/>
                <w:sz w:val="16"/>
                <w:szCs w:val="16"/>
              </w:rPr>
            </w:pPr>
            <w:r>
              <w:rPr>
                <w:rFonts w:cs="Arial"/>
                <w:color w:val="000000"/>
                <w:sz w:val="16"/>
                <w:szCs w:val="16"/>
              </w:rPr>
              <w:t>2,6</w:t>
            </w:r>
          </w:p>
        </w:tc>
      </w:tr>
      <w:tr w:rsidR="00452914" w:rsidRPr="000F2639" w14:paraId="759D1980" w14:textId="778E23FD" w:rsidTr="00C609FE">
        <w:trPr>
          <w:trHeight w:val="300"/>
        </w:trPr>
        <w:tc>
          <w:tcPr>
            <w:tcW w:w="3401" w:type="dxa"/>
            <w:tcBorders>
              <w:top w:val="nil"/>
              <w:left w:val="nil"/>
              <w:bottom w:val="nil"/>
              <w:right w:val="single" w:sz="4" w:space="0" w:color="auto"/>
            </w:tcBorders>
            <w:shd w:val="clear" w:color="auto" w:fill="auto"/>
            <w:vAlign w:val="center"/>
            <w:hideMark/>
          </w:tcPr>
          <w:p w14:paraId="6275679F"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M – Profesní, vědecké a technické činnosti</w:t>
            </w:r>
          </w:p>
        </w:tc>
        <w:tc>
          <w:tcPr>
            <w:tcW w:w="567" w:type="dxa"/>
            <w:tcBorders>
              <w:top w:val="nil"/>
              <w:left w:val="nil"/>
              <w:bottom w:val="nil"/>
              <w:right w:val="nil"/>
            </w:tcBorders>
            <w:shd w:val="clear" w:color="auto" w:fill="auto"/>
            <w:noWrap/>
            <w:vAlign w:val="center"/>
            <w:hideMark/>
          </w:tcPr>
          <w:p w14:paraId="3DB9997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2,1</w:t>
            </w:r>
          </w:p>
        </w:tc>
        <w:tc>
          <w:tcPr>
            <w:tcW w:w="567" w:type="dxa"/>
            <w:tcBorders>
              <w:top w:val="nil"/>
              <w:left w:val="nil"/>
              <w:bottom w:val="nil"/>
              <w:right w:val="nil"/>
            </w:tcBorders>
            <w:shd w:val="clear" w:color="auto" w:fill="auto"/>
            <w:noWrap/>
            <w:vAlign w:val="center"/>
            <w:hideMark/>
          </w:tcPr>
          <w:p w14:paraId="1441CC4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2,1</w:t>
            </w:r>
          </w:p>
        </w:tc>
        <w:tc>
          <w:tcPr>
            <w:tcW w:w="567" w:type="dxa"/>
            <w:tcBorders>
              <w:top w:val="nil"/>
              <w:left w:val="nil"/>
              <w:bottom w:val="nil"/>
              <w:right w:val="nil"/>
            </w:tcBorders>
            <w:shd w:val="clear" w:color="auto" w:fill="auto"/>
            <w:noWrap/>
            <w:vAlign w:val="center"/>
            <w:hideMark/>
          </w:tcPr>
          <w:p w14:paraId="3B470D19"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2,2</w:t>
            </w:r>
          </w:p>
        </w:tc>
        <w:tc>
          <w:tcPr>
            <w:tcW w:w="567" w:type="dxa"/>
            <w:tcBorders>
              <w:top w:val="nil"/>
              <w:left w:val="nil"/>
              <w:bottom w:val="nil"/>
              <w:right w:val="nil"/>
            </w:tcBorders>
            <w:shd w:val="clear" w:color="auto" w:fill="auto"/>
            <w:noWrap/>
            <w:vAlign w:val="center"/>
            <w:hideMark/>
          </w:tcPr>
          <w:p w14:paraId="2FCE463C"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2,3</w:t>
            </w:r>
          </w:p>
        </w:tc>
        <w:tc>
          <w:tcPr>
            <w:tcW w:w="567" w:type="dxa"/>
            <w:tcBorders>
              <w:top w:val="nil"/>
              <w:left w:val="nil"/>
              <w:bottom w:val="nil"/>
              <w:right w:val="nil"/>
            </w:tcBorders>
            <w:shd w:val="clear" w:color="auto" w:fill="auto"/>
            <w:noWrap/>
            <w:vAlign w:val="center"/>
            <w:hideMark/>
          </w:tcPr>
          <w:p w14:paraId="1769309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2,3</w:t>
            </w:r>
          </w:p>
        </w:tc>
        <w:tc>
          <w:tcPr>
            <w:tcW w:w="567" w:type="dxa"/>
            <w:tcBorders>
              <w:top w:val="nil"/>
              <w:left w:val="nil"/>
              <w:bottom w:val="nil"/>
              <w:right w:val="nil"/>
            </w:tcBorders>
            <w:shd w:val="clear" w:color="auto" w:fill="auto"/>
            <w:noWrap/>
            <w:vAlign w:val="center"/>
            <w:hideMark/>
          </w:tcPr>
          <w:p w14:paraId="3979943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2,4</w:t>
            </w:r>
          </w:p>
        </w:tc>
        <w:tc>
          <w:tcPr>
            <w:tcW w:w="567" w:type="dxa"/>
            <w:tcBorders>
              <w:top w:val="nil"/>
              <w:left w:val="nil"/>
              <w:bottom w:val="nil"/>
              <w:right w:val="nil"/>
            </w:tcBorders>
            <w:shd w:val="clear" w:color="auto" w:fill="auto"/>
            <w:noWrap/>
            <w:vAlign w:val="center"/>
            <w:hideMark/>
          </w:tcPr>
          <w:p w14:paraId="0838559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2,5</w:t>
            </w:r>
          </w:p>
        </w:tc>
        <w:tc>
          <w:tcPr>
            <w:tcW w:w="567" w:type="dxa"/>
            <w:tcBorders>
              <w:top w:val="nil"/>
              <w:left w:val="nil"/>
              <w:bottom w:val="nil"/>
              <w:right w:val="nil"/>
            </w:tcBorders>
            <w:shd w:val="clear" w:color="auto" w:fill="auto"/>
            <w:noWrap/>
            <w:vAlign w:val="center"/>
            <w:hideMark/>
          </w:tcPr>
          <w:p w14:paraId="7437E6C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2,8</w:t>
            </w:r>
          </w:p>
        </w:tc>
        <w:tc>
          <w:tcPr>
            <w:tcW w:w="567" w:type="dxa"/>
            <w:vAlign w:val="center"/>
          </w:tcPr>
          <w:p w14:paraId="1F9E5716" w14:textId="77777777" w:rsidR="00452914" w:rsidRPr="000F2639" w:rsidRDefault="00452914" w:rsidP="00452914">
            <w:pPr>
              <w:spacing w:after="0" w:line="240" w:lineRule="auto"/>
              <w:jc w:val="center"/>
            </w:pPr>
            <w:r w:rsidRPr="000F2639">
              <w:rPr>
                <w:rFonts w:cs="Arial"/>
                <w:color w:val="000000"/>
                <w:sz w:val="16"/>
                <w:szCs w:val="16"/>
              </w:rPr>
              <w:t>2,7</w:t>
            </w:r>
          </w:p>
        </w:tc>
        <w:tc>
          <w:tcPr>
            <w:tcW w:w="567" w:type="dxa"/>
            <w:vAlign w:val="center"/>
          </w:tcPr>
          <w:p w14:paraId="187FB05A"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2,5</w:t>
            </w:r>
          </w:p>
        </w:tc>
        <w:tc>
          <w:tcPr>
            <w:tcW w:w="567" w:type="dxa"/>
            <w:vAlign w:val="center"/>
          </w:tcPr>
          <w:p w14:paraId="23079401" w14:textId="375A5F1C" w:rsidR="00452914" w:rsidRDefault="00452914" w:rsidP="00452914">
            <w:pPr>
              <w:spacing w:after="0" w:line="240" w:lineRule="auto"/>
              <w:jc w:val="center"/>
              <w:rPr>
                <w:rFonts w:cs="Arial"/>
                <w:color w:val="000000"/>
                <w:sz w:val="16"/>
                <w:szCs w:val="16"/>
              </w:rPr>
            </w:pPr>
            <w:r>
              <w:rPr>
                <w:rFonts w:cs="Arial"/>
                <w:color w:val="000000"/>
                <w:sz w:val="16"/>
                <w:szCs w:val="16"/>
              </w:rPr>
              <w:t>2,2</w:t>
            </w:r>
          </w:p>
        </w:tc>
      </w:tr>
      <w:tr w:rsidR="00452914" w:rsidRPr="000F2639" w14:paraId="5EC493D6" w14:textId="74C59DD6" w:rsidTr="00C609FE">
        <w:trPr>
          <w:trHeight w:val="300"/>
        </w:trPr>
        <w:tc>
          <w:tcPr>
            <w:tcW w:w="3401" w:type="dxa"/>
            <w:tcBorders>
              <w:top w:val="nil"/>
              <w:left w:val="nil"/>
              <w:bottom w:val="nil"/>
              <w:right w:val="single" w:sz="4" w:space="0" w:color="auto"/>
            </w:tcBorders>
            <w:shd w:val="clear" w:color="auto" w:fill="auto"/>
            <w:vAlign w:val="center"/>
            <w:hideMark/>
          </w:tcPr>
          <w:p w14:paraId="26E8352B"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N – Administrativní a podpůrné činnosti</w:t>
            </w:r>
          </w:p>
        </w:tc>
        <w:tc>
          <w:tcPr>
            <w:tcW w:w="567" w:type="dxa"/>
            <w:tcBorders>
              <w:top w:val="nil"/>
              <w:left w:val="nil"/>
              <w:bottom w:val="nil"/>
              <w:right w:val="nil"/>
            </w:tcBorders>
            <w:shd w:val="clear" w:color="auto" w:fill="auto"/>
            <w:noWrap/>
            <w:vAlign w:val="center"/>
            <w:hideMark/>
          </w:tcPr>
          <w:p w14:paraId="52203A4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4,1</w:t>
            </w:r>
          </w:p>
        </w:tc>
        <w:tc>
          <w:tcPr>
            <w:tcW w:w="567" w:type="dxa"/>
            <w:tcBorders>
              <w:top w:val="nil"/>
              <w:left w:val="nil"/>
              <w:bottom w:val="nil"/>
              <w:right w:val="nil"/>
            </w:tcBorders>
            <w:shd w:val="clear" w:color="auto" w:fill="auto"/>
            <w:noWrap/>
            <w:vAlign w:val="center"/>
            <w:hideMark/>
          </w:tcPr>
          <w:p w14:paraId="3968D0AC"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4,6</w:t>
            </w:r>
          </w:p>
        </w:tc>
        <w:tc>
          <w:tcPr>
            <w:tcW w:w="567" w:type="dxa"/>
            <w:tcBorders>
              <w:top w:val="nil"/>
              <w:left w:val="nil"/>
              <w:bottom w:val="nil"/>
              <w:right w:val="nil"/>
            </w:tcBorders>
            <w:shd w:val="clear" w:color="auto" w:fill="auto"/>
            <w:noWrap/>
            <w:vAlign w:val="center"/>
            <w:hideMark/>
          </w:tcPr>
          <w:p w14:paraId="051A1B4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5,1</w:t>
            </w:r>
          </w:p>
        </w:tc>
        <w:tc>
          <w:tcPr>
            <w:tcW w:w="567" w:type="dxa"/>
            <w:tcBorders>
              <w:top w:val="nil"/>
              <w:left w:val="nil"/>
              <w:bottom w:val="nil"/>
              <w:right w:val="nil"/>
            </w:tcBorders>
            <w:shd w:val="clear" w:color="auto" w:fill="auto"/>
            <w:noWrap/>
            <w:vAlign w:val="center"/>
            <w:hideMark/>
          </w:tcPr>
          <w:p w14:paraId="5594F62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5,2</w:t>
            </w:r>
          </w:p>
        </w:tc>
        <w:tc>
          <w:tcPr>
            <w:tcW w:w="567" w:type="dxa"/>
            <w:tcBorders>
              <w:top w:val="nil"/>
              <w:left w:val="nil"/>
              <w:bottom w:val="nil"/>
              <w:right w:val="nil"/>
            </w:tcBorders>
            <w:shd w:val="clear" w:color="auto" w:fill="auto"/>
            <w:noWrap/>
            <w:vAlign w:val="center"/>
            <w:hideMark/>
          </w:tcPr>
          <w:p w14:paraId="4EB489C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5,2</w:t>
            </w:r>
          </w:p>
        </w:tc>
        <w:tc>
          <w:tcPr>
            <w:tcW w:w="567" w:type="dxa"/>
            <w:tcBorders>
              <w:top w:val="nil"/>
              <w:left w:val="nil"/>
              <w:bottom w:val="nil"/>
              <w:right w:val="nil"/>
            </w:tcBorders>
            <w:shd w:val="clear" w:color="auto" w:fill="auto"/>
            <w:noWrap/>
            <w:vAlign w:val="center"/>
            <w:hideMark/>
          </w:tcPr>
          <w:p w14:paraId="7F15FC3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5,4</w:t>
            </w:r>
          </w:p>
        </w:tc>
        <w:tc>
          <w:tcPr>
            <w:tcW w:w="567" w:type="dxa"/>
            <w:tcBorders>
              <w:top w:val="nil"/>
              <w:left w:val="nil"/>
              <w:bottom w:val="nil"/>
              <w:right w:val="nil"/>
            </w:tcBorders>
            <w:shd w:val="clear" w:color="auto" w:fill="auto"/>
            <w:noWrap/>
            <w:vAlign w:val="center"/>
            <w:hideMark/>
          </w:tcPr>
          <w:p w14:paraId="097AC0C7"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5,8</w:t>
            </w:r>
          </w:p>
        </w:tc>
        <w:tc>
          <w:tcPr>
            <w:tcW w:w="567" w:type="dxa"/>
            <w:tcBorders>
              <w:top w:val="nil"/>
              <w:left w:val="nil"/>
              <w:bottom w:val="nil"/>
              <w:right w:val="nil"/>
            </w:tcBorders>
            <w:shd w:val="clear" w:color="auto" w:fill="auto"/>
            <w:noWrap/>
            <w:vAlign w:val="center"/>
            <w:hideMark/>
          </w:tcPr>
          <w:p w14:paraId="45423549"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6,8</w:t>
            </w:r>
          </w:p>
        </w:tc>
        <w:tc>
          <w:tcPr>
            <w:tcW w:w="567" w:type="dxa"/>
            <w:vAlign w:val="center"/>
          </w:tcPr>
          <w:p w14:paraId="180304B1" w14:textId="77777777" w:rsidR="00452914" w:rsidRPr="000F2639" w:rsidRDefault="00452914" w:rsidP="00452914">
            <w:pPr>
              <w:spacing w:after="0" w:line="240" w:lineRule="auto"/>
              <w:jc w:val="center"/>
            </w:pPr>
            <w:r w:rsidRPr="000F2639">
              <w:rPr>
                <w:rFonts w:cs="Arial"/>
                <w:color w:val="000000"/>
                <w:sz w:val="16"/>
                <w:szCs w:val="16"/>
              </w:rPr>
              <w:t>6,9</w:t>
            </w:r>
          </w:p>
        </w:tc>
        <w:tc>
          <w:tcPr>
            <w:tcW w:w="567" w:type="dxa"/>
            <w:vAlign w:val="center"/>
          </w:tcPr>
          <w:p w14:paraId="46D7C59B"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6,2</w:t>
            </w:r>
          </w:p>
        </w:tc>
        <w:tc>
          <w:tcPr>
            <w:tcW w:w="567" w:type="dxa"/>
            <w:vAlign w:val="center"/>
          </w:tcPr>
          <w:p w14:paraId="5C4512C7" w14:textId="20FF98E7" w:rsidR="00452914" w:rsidRDefault="00452914" w:rsidP="00452914">
            <w:pPr>
              <w:spacing w:after="0" w:line="240" w:lineRule="auto"/>
              <w:jc w:val="center"/>
              <w:rPr>
                <w:rFonts w:cs="Arial"/>
                <w:color w:val="000000"/>
                <w:sz w:val="16"/>
                <w:szCs w:val="16"/>
              </w:rPr>
            </w:pPr>
            <w:r>
              <w:rPr>
                <w:rFonts w:cs="Arial"/>
                <w:color w:val="000000"/>
                <w:sz w:val="16"/>
                <w:szCs w:val="16"/>
              </w:rPr>
              <w:t>5,4</w:t>
            </w:r>
          </w:p>
        </w:tc>
      </w:tr>
      <w:tr w:rsidR="00452914" w:rsidRPr="000F2639" w14:paraId="1AAF3D50" w14:textId="60EE35D5" w:rsidTr="00C609FE">
        <w:trPr>
          <w:trHeight w:val="480"/>
        </w:trPr>
        <w:tc>
          <w:tcPr>
            <w:tcW w:w="3401" w:type="dxa"/>
            <w:tcBorders>
              <w:top w:val="nil"/>
              <w:left w:val="nil"/>
              <w:bottom w:val="nil"/>
              <w:right w:val="single" w:sz="4" w:space="0" w:color="auto"/>
            </w:tcBorders>
            <w:shd w:val="clear" w:color="auto" w:fill="auto"/>
            <w:vAlign w:val="center"/>
            <w:hideMark/>
          </w:tcPr>
          <w:p w14:paraId="3668725A"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 xml:space="preserve">O – Veřejná správa a obrana; </w:t>
            </w:r>
            <w:r w:rsidRPr="000F2639">
              <w:rPr>
                <w:rFonts w:cs="Arial"/>
                <w:color w:val="000000"/>
                <w:sz w:val="16"/>
                <w:szCs w:val="16"/>
              </w:rPr>
              <w:br/>
              <w:t xml:space="preserve">          povinné sociální zabezpečení</w:t>
            </w:r>
          </w:p>
        </w:tc>
        <w:tc>
          <w:tcPr>
            <w:tcW w:w="567" w:type="dxa"/>
            <w:tcBorders>
              <w:top w:val="nil"/>
              <w:left w:val="nil"/>
              <w:bottom w:val="nil"/>
              <w:right w:val="nil"/>
            </w:tcBorders>
            <w:shd w:val="clear" w:color="auto" w:fill="auto"/>
            <w:noWrap/>
            <w:vAlign w:val="center"/>
            <w:hideMark/>
          </w:tcPr>
          <w:p w14:paraId="3D7FC68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2,7</w:t>
            </w:r>
          </w:p>
        </w:tc>
        <w:tc>
          <w:tcPr>
            <w:tcW w:w="567" w:type="dxa"/>
            <w:tcBorders>
              <w:top w:val="nil"/>
              <w:left w:val="nil"/>
              <w:bottom w:val="nil"/>
              <w:right w:val="nil"/>
            </w:tcBorders>
            <w:shd w:val="clear" w:color="auto" w:fill="auto"/>
            <w:noWrap/>
            <w:vAlign w:val="center"/>
            <w:hideMark/>
          </w:tcPr>
          <w:p w14:paraId="69EF167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2,7</w:t>
            </w:r>
          </w:p>
        </w:tc>
        <w:tc>
          <w:tcPr>
            <w:tcW w:w="567" w:type="dxa"/>
            <w:tcBorders>
              <w:top w:val="nil"/>
              <w:left w:val="nil"/>
              <w:bottom w:val="nil"/>
              <w:right w:val="nil"/>
            </w:tcBorders>
            <w:shd w:val="clear" w:color="auto" w:fill="auto"/>
            <w:noWrap/>
            <w:vAlign w:val="center"/>
            <w:hideMark/>
          </w:tcPr>
          <w:p w14:paraId="143E61C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3,1</w:t>
            </w:r>
          </w:p>
        </w:tc>
        <w:tc>
          <w:tcPr>
            <w:tcW w:w="567" w:type="dxa"/>
            <w:tcBorders>
              <w:top w:val="nil"/>
              <w:left w:val="nil"/>
              <w:bottom w:val="nil"/>
              <w:right w:val="nil"/>
            </w:tcBorders>
            <w:shd w:val="clear" w:color="auto" w:fill="auto"/>
            <w:noWrap/>
            <w:vAlign w:val="center"/>
            <w:hideMark/>
          </w:tcPr>
          <w:p w14:paraId="383AA547"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3,1</w:t>
            </w:r>
          </w:p>
        </w:tc>
        <w:tc>
          <w:tcPr>
            <w:tcW w:w="567" w:type="dxa"/>
            <w:tcBorders>
              <w:top w:val="nil"/>
              <w:left w:val="nil"/>
              <w:bottom w:val="nil"/>
              <w:right w:val="nil"/>
            </w:tcBorders>
            <w:shd w:val="clear" w:color="auto" w:fill="auto"/>
            <w:noWrap/>
            <w:vAlign w:val="center"/>
            <w:hideMark/>
          </w:tcPr>
          <w:p w14:paraId="3CE36A49"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3,1</w:t>
            </w:r>
          </w:p>
        </w:tc>
        <w:tc>
          <w:tcPr>
            <w:tcW w:w="567" w:type="dxa"/>
            <w:tcBorders>
              <w:top w:val="nil"/>
              <w:left w:val="nil"/>
              <w:bottom w:val="nil"/>
              <w:right w:val="nil"/>
            </w:tcBorders>
            <w:shd w:val="clear" w:color="auto" w:fill="auto"/>
            <w:noWrap/>
            <w:vAlign w:val="center"/>
            <w:hideMark/>
          </w:tcPr>
          <w:p w14:paraId="7B71560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3,3</w:t>
            </w:r>
          </w:p>
        </w:tc>
        <w:tc>
          <w:tcPr>
            <w:tcW w:w="567" w:type="dxa"/>
            <w:tcBorders>
              <w:top w:val="nil"/>
              <w:left w:val="nil"/>
              <w:bottom w:val="nil"/>
              <w:right w:val="nil"/>
            </w:tcBorders>
            <w:shd w:val="clear" w:color="auto" w:fill="auto"/>
            <w:noWrap/>
            <w:vAlign w:val="center"/>
            <w:hideMark/>
          </w:tcPr>
          <w:p w14:paraId="45FE0669"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3,4</w:t>
            </w:r>
          </w:p>
        </w:tc>
        <w:tc>
          <w:tcPr>
            <w:tcW w:w="567" w:type="dxa"/>
            <w:tcBorders>
              <w:top w:val="nil"/>
              <w:left w:val="nil"/>
              <w:bottom w:val="nil"/>
              <w:right w:val="nil"/>
            </w:tcBorders>
            <w:shd w:val="clear" w:color="auto" w:fill="auto"/>
            <w:noWrap/>
            <w:vAlign w:val="center"/>
            <w:hideMark/>
          </w:tcPr>
          <w:p w14:paraId="3D48C91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3,9</w:t>
            </w:r>
          </w:p>
        </w:tc>
        <w:tc>
          <w:tcPr>
            <w:tcW w:w="567" w:type="dxa"/>
            <w:vAlign w:val="center"/>
          </w:tcPr>
          <w:p w14:paraId="2C56E36D" w14:textId="77777777" w:rsidR="00452914" w:rsidRPr="000F2639" w:rsidRDefault="00452914" w:rsidP="00452914">
            <w:pPr>
              <w:spacing w:after="0" w:line="240" w:lineRule="auto"/>
              <w:jc w:val="center"/>
            </w:pPr>
            <w:r w:rsidRPr="000F2639">
              <w:rPr>
                <w:rFonts w:cs="Arial"/>
                <w:color w:val="000000"/>
                <w:sz w:val="16"/>
                <w:szCs w:val="16"/>
              </w:rPr>
              <w:t>4,1</w:t>
            </w:r>
          </w:p>
        </w:tc>
        <w:tc>
          <w:tcPr>
            <w:tcW w:w="567" w:type="dxa"/>
            <w:vAlign w:val="center"/>
          </w:tcPr>
          <w:p w14:paraId="1C5F9A4D"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4,4</w:t>
            </w:r>
          </w:p>
        </w:tc>
        <w:tc>
          <w:tcPr>
            <w:tcW w:w="567" w:type="dxa"/>
            <w:vAlign w:val="center"/>
          </w:tcPr>
          <w:p w14:paraId="2D94088B" w14:textId="0899A6B2" w:rsidR="00452914" w:rsidRDefault="00452914" w:rsidP="00452914">
            <w:pPr>
              <w:spacing w:after="0" w:line="240" w:lineRule="auto"/>
              <w:jc w:val="center"/>
              <w:rPr>
                <w:rFonts w:cs="Arial"/>
                <w:color w:val="000000"/>
                <w:sz w:val="16"/>
                <w:szCs w:val="16"/>
              </w:rPr>
            </w:pPr>
            <w:r>
              <w:rPr>
                <w:rFonts w:cs="Arial"/>
                <w:color w:val="000000"/>
                <w:sz w:val="16"/>
                <w:szCs w:val="16"/>
              </w:rPr>
              <w:t>3,7</w:t>
            </w:r>
          </w:p>
        </w:tc>
      </w:tr>
      <w:tr w:rsidR="00452914" w:rsidRPr="000F2639" w14:paraId="3F2CAEE9" w14:textId="23188002" w:rsidTr="00C609FE">
        <w:trPr>
          <w:trHeight w:val="300"/>
        </w:trPr>
        <w:tc>
          <w:tcPr>
            <w:tcW w:w="3401" w:type="dxa"/>
            <w:tcBorders>
              <w:top w:val="nil"/>
              <w:left w:val="nil"/>
              <w:bottom w:val="nil"/>
              <w:right w:val="single" w:sz="4" w:space="0" w:color="auto"/>
            </w:tcBorders>
            <w:shd w:val="clear" w:color="auto" w:fill="auto"/>
            <w:vAlign w:val="center"/>
            <w:hideMark/>
          </w:tcPr>
          <w:p w14:paraId="4FCFE886"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P – Vzdělávání</w:t>
            </w:r>
          </w:p>
        </w:tc>
        <w:tc>
          <w:tcPr>
            <w:tcW w:w="567" w:type="dxa"/>
            <w:tcBorders>
              <w:top w:val="nil"/>
              <w:left w:val="nil"/>
              <w:bottom w:val="nil"/>
              <w:right w:val="nil"/>
            </w:tcBorders>
            <w:shd w:val="clear" w:color="auto" w:fill="auto"/>
            <w:noWrap/>
            <w:vAlign w:val="center"/>
            <w:hideMark/>
          </w:tcPr>
          <w:p w14:paraId="1A99F65C"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2,3</w:t>
            </w:r>
          </w:p>
        </w:tc>
        <w:tc>
          <w:tcPr>
            <w:tcW w:w="567" w:type="dxa"/>
            <w:tcBorders>
              <w:top w:val="nil"/>
              <w:left w:val="nil"/>
              <w:bottom w:val="nil"/>
              <w:right w:val="nil"/>
            </w:tcBorders>
            <w:shd w:val="clear" w:color="auto" w:fill="auto"/>
            <w:noWrap/>
            <w:vAlign w:val="center"/>
            <w:hideMark/>
          </w:tcPr>
          <w:p w14:paraId="1F8CF3E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2,4</w:t>
            </w:r>
          </w:p>
        </w:tc>
        <w:tc>
          <w:tcPr>
            <w:tcW w:w="567" w:type="dxa"/>
            <w:tcBorders>
              <w:top w:val="nil"/>
              <w:left w:val="nil"/>
              <w:bottom w:val="nil"/>
              <w:right w:val="nil"/>
            </w:tcBorders>
            <w:shd w:val="clear" w:color="auto" w:fill="auto"/>
            <w:noWrap/>
            <w:vAlign w:val="center"/>
            <w:hideMark/>
          </w:tcPr>
          <w:p w14:paraId="7D769007"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2,7</w:t>
            </w:r>
          </w:p>
        </w:tc>
        <w:tc>
          <w:tcPr>
            <w:tcW w:w="567" w:type="dxa"/>
            <w:tcBorders>
              <w:top w:val="nil"/>
              <w:left w:val="nil"/>
              <w:bottom w:val="nil"/>
              <w:right w:val="nil"/>
            </w:tcBorders>
            <w:shd w:val="clear" w:color="auto" w:fill="auto"/>
            <w:noWrap/>
            <w:vAlign w:val="center"/>
            <w:hideMark/>
          </w:tcPr>
          <w:p w14:paraId="488060F1"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2,8</w:t>
            </w:r>
          </w:p>
        </w:tc>
        <w:tc>
          <w:tcPr>
            <w:tcW w:w="567" w:type="dxa"/>
            <w:tcBorders>
              <w:top w:val="nil"/>
              <w:left w:val="nil"/>
              <w:bottom w:val="nil"/>
              <w:right w:val="nil"/>
            </w:tcBorders>
            <w:shd w:val="clear" w:color="auto" w:fill="auto"/>
            <w:noWrap/>
            <w:vAlign w:val="center"/>
            <w:hideMark/>
          </w:tcPr>
          <w:p w14:paraId="0013D5E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2,9</w:t>
            </w:r>
          </w:p>
        </w:tc>
        <w:tc>
          <w:tcPr>
            <w:tcW w:w="567" w:type="dxa"/>
            <w:tcBorders>
              <w:top w:val="nil"/>
              <w:left w:val="nil"/>
              <w:bottom w:val="nil"/>
              <w:right w:val="nil"/>
            </w:tcBorders>
            <w:shd w:val="clear" w:color="auto" w:fill="auto"/>
            <w:noWrap/>
            <w:vAlign w:val="center"/>
            <w:hideMark/>
          </w:tcPr>
          <w:p w14:paraId="14016B97"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3,0</w:t>
            </w:r>
          </w:p>
        </w:tc>
        <w:tc>
          <w:tcPr>
            <w:tcW w:w="567" w:type="dxa"/>
            <w:tcBorders>
              <w:top w:val="nil"/>
              <w:left w:val="nil"/>
              <w:bottom w:val="nil"/>
              <w:right w:val="nil"/>
            </w:tcBorders>
            <w:shd w:val="clear" w:color="auto" w:fill="auto"/>
            <w:noWrap/>
            <w:vAlign w:val="center"/>
            <w:hideMark/>
          </w:tcPr>
          <w:p w14:paraId="1589389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3,1</w:t>
            </w:r>
          </w:p>
        </w:tc>
        <w:tc>
          <w:tcPr>
            <w:tcW w:w="567" w:type="dxa"/>
            <w:tcBorders>
              <w:top w:val="nil"/>
              <w:left w:val="nil"/>
              <w:bottom w:val="nil"/>
              <w:right w:val="nil"/>
            </w:tcBorders>
            <w:shd w:val="clear" w:color="auto" w:fill="auto"/>
            <w:noWrap/>
            <w:vAlign w:val="center"/>
            <w:hideMark/>
          </w:tcPr>
          <w:p w14:paraId="4C4C5A27"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3,3</w:t>
            </w:r>
          </w:p>
        </w:tc>
        <w:tc>
          <w:tcPr>
            <w:tcW w:w="567" w:type="dxa"/>
            <w:vAlign w:val="center"/>
          </w:tcPr>
          <w:p w14:paraId="282B7064" w14:textId="77777777" w:rsidR="00452914" w:rsidRPr="000F2639" w:rsidRDefault="00452914" w:rsidP="00452914">
            <w:pPr>
              <w:spacing w:after="0" w:line="240" w:lineRule="auto"/>
              <w:jc w:val="center"/>
            </w:pPr>
            <w:r w:rsidRPr="000F2639">
              <w:rPr>
                <w:rFonts w:cs="Arial"/>
                <w:color w:val="000000"/>
                <w:sz w:val="16"/>
                <w:szCs w:val="16"/>
              </w:rPr>
              <w:t>3,7</w:t>
            </w:r>
          </w:p>
        </w:tc>
        <w:tc>
          <w:tcPr>
            <w:tcW w:w="567" w:type="dxa"/>
            <w:vAlign w:val="center"/>
          </w:tcPr>
          <w:p w14:paraId="25837503"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4,0</w:t>
            </w:r>
          </w:p>
        </w:tc>
        <w:tc>
          <w:tcPr>
            <w:tcW w:w="567" w:type="dxa"/>
            <w:vAlign w:val="center"/>
          </w:tcPr>
          <w:p w14:paraId="7DF39973" w14:textId="099CA6CD" w:rsidR="00452914" w:rsidRDefault="00452914" w:rsidP="00452914">
            <w:pPr>
              <w:spacing w:after="0" w:line="240" w:lineRule="auto"/>
              <w:jc w:val="center"/>
              <w:rPr>
                <w:rFonts w:cs="Arial"/>
                <w:color w:val="000000"/>
                <w:sz w:val="16"/>
                <w:szCs w:val="16"/>
              </w:rPr>
            </w:pPr>
            <w:r>
              <w:rPr>
                <w:rFonts w:cs="Arial"/>
                <w:color w:val="000000"/>
                <w:sz w:val="16"/>
                <w:szCs w:val="16"/>
              </w:rPr>
              <w:t>3,4</w:t>
            </w:r>
          </w:p>
        </w:tc>
      </w:tr>
      <w:tr w:rsidR="00452914" w:rsidRPr="000F2639" w14:paraId="6DC03C10" w14:textId="0552D0FC" w:rsidTr="00C609FE">
        <w:trPr>
          <w:trHeight w:val="300"/>
        </w:trPr>
        <w:tc>
          <w:tcPr>
            <w:tcW w:w="3401" w:type="dxa"/>
            <w:tcBorders>
              <w:top w:val="nil"/>
              <w:left w:val="nil"/>
              <w:bottom w:val="nil"/>
              <w:right w:val="single" w:sz="4" w:space="0" w:color="auto"/>
            </w:tcBorders>
            <w:shd w:val="clear" w:color="auto" w:fill="auto"/>
            <w:vAlign w:val="center"/>
            <w:hideMark/>
          </w:tcPr>
          <w:p w14:paraId="303EEAAD"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Q – Zdravotní a sociální péče</w:t>
            </w:r>
          </w:p>
        </w:tc>
        <w:tc>
          <w:tcPr>
            <w:tcW w:w="567" w:type="dxa"/>
            <w:tcBorders>
              <w:top w:val="nil"/>
              <w:left w:val="nil"/>
              <w:bottom w:val="nil"/>
              <w:right w:val="nil"/>
            </w:tcBorders>
            <w:shd w:val="clear" w:color="auto" w:fill="auto"/>
            <w:noWrap/>
            <w:vAlign w:val="center"/>
            <w:hideMark/>
          </w:tcPr>
          <w:p w14:paraId="20AF7D4E"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3,4</w:t>
            </w:r>
          </w:p>
        </w:tc>
        <w:tc>
          <w:tcPr>
            <w:tcW w:w="567" w:type="dxa"/>
            <w:tcBorders>
              <w:top w:val="nil"/>
              <w:left w:val="nil"/>
              <w:bottom w:val="nil"/>
              <w:right w:val="nil"/>
            </w:tcBorders>
            <w:shd w:val="clear" w:color="auto" w:fill="auto"/>
            <w:noWrap/>
            <w:vAlign w:val="center"/>
            <w:hideMark/>
          </w:tcPr>
          <w:p w14:paraId="0766E56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3,6</w:t>
            </w:r>
          </w:p>
        </w:tc>
        <w:tc>
          <w:tcPr>
            <w:tcW w:w="567" w:type="dxa"/>
            <w:tcBorders>
              <w:top w:val="nil"/>
              <w:left w:val="nil"/>
              <w:bottom w:val="nil"/>
              <w:right w:val="nil"/>
            </w:tcBorders>
            <w:shd w:val="clear" w:color="auto" w:fill="auto"/>
            <w:noWrap/>
            <w:vAlign w:val="center"/>
            <w:hideMark/>
          </w:tcPr>
          <w:p w14:paraId="117AEED2"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3,9</w:t>
            </w:r>
          </w:p>
        </w:tc>
        <w:tc>
          <w:tcPr>
            <w:tcW w:w="567" w:type="dxa"/>
            <w:tcBorders>
              <w:top w:val="nil"/>
              <w:left w:val="nil"/>
              <w:bottom w:val="nil"/>
              <w:right w:val="nil"/>
            </w:tcBorders>
            <w:shd w:val="clear" w:color="auto" w:fill="auto"/>
            <w:noWrap/>
            <w:vAlign w:val="center"/>
            <w:hideMark/>
          </w:tcPr>
          <w:p w14:paraId="34289853"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4,1</w:t>
            </w:r>
          </w:p>
        </w:tc>
        <w:tc>
          <w:tcPr>
            <w:tcW w:w="567" w:type="dxa"/>
            <w:tcBorders>
              <w:top w:val="nil"/>
              <w:left w:val="nil"/>
              <w:bottom w:val="nil"/>
              <w:right w:val="nil"/>
            </w:tcBorders>
            <w:shd w:val="clear" w:color="auto" w:fill="auto"/>
            <w:noWrap/>
            <w:vAlign w:val="center"/>
            <w:hideMark/>
          </w:tcPr>
          <w:p w14:paraId="14687E2C"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4,1</w:t>
            </w:r>
          </w:p>
        </w:tc>
        <w:tc>
          <w:tcPr>
            <w:tcW w:w="567" w:type="dxa"/>
            <w:tcBorders>
              <w:top w:val="nil"/>
              <w:left w:val="nil"/>
              <w:bottom w:val="nil"/>
              <w:right w:val="nil"/>
            </w:tcBorders>
            <w:shd w:val="clear" w:color="auto" w:fill="auto"/>
            <w:noWrap/>
            <w:vAlign w:val="center"/>
            <w:hideMark/>
          </w:tcPr>
          <w:p w14:paraId="07BD258B"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4,3</w:t>
            </w:r>
          </w:p>
        </w:tc>
        <w:tc>
          <w:tcPr>
            <w:tcW w:w="567" w:type="dxa"/>
            <w:tcBorders>
              <w:top w:val="nil"/>
              <w:left w:val="nil"/>
              <w:bottom w:val="nil"/>
              <w:right w:val="nil"/>
            </w:tcBorders>
            <w:shd w:val="clear" w:color="auto" w:fill="auto"/>
            <w:noWrap/>
            <w:vAlign w:val="center"/>
            <w:hideMark/>
          </w:tcPr>
          <w:p w14:paraId="7E560AE0"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4,5</w:t>
            </w:r>
          </w:p>
        </w:tc>
        <w:tc>
          <w:tcPr>
            <w:tcW w:w="567" w:type="dxa"/>
            <w:tcBorders>
              <w:top w:val="nil"/>
              <w:left w:val="nil"/>
              <w:bottom w:val="nil"/>
              <w:right w:val="nil"/>
            </w:tcBorders>
            <w:shd w:val="clear" w:color="auto" w:fill="auto"/>
            <w:noWrap/>
            <w:vAlign w:val="center"/>
            <w:hideMark/>
          </w:tcPr>
          <w:p w14:paraId="45EC3B38"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5,9</w:t>
            </w:r>
          </w:p>
        </w:tc>
        <w:tc>
          <w:tcPr>
            <w:tcW w:w="567" w:type="dxa"/>
            <w:vAlign w:val="center"/>
          </w:tcPr>
          <w:p w14:paraId="12A8B953" w14:textId="77777777" w:rsidR="00452914" w:rsidRPr="000F2639" w:rsidRDefault="00452914" w:rsidP="00452914">
            <w:pPr>
              <w:spacing w:after="0" w:line="240" w:lineRule="auto"/>
              <w:jc w:val="center"/>
            </w:pPr>
            <w:r w:rsidRPr="000F2639">
              <w:rPr>
                <w:rFonts w:cs="Arial"/>
                <w:color w:val="000000"/>
                <w:sz w:val="16"/>
                <w:szCs w:val="16"/>
              </w:rPr>
              <w:t>5,4</w:t>
            </w:r>
          </w:p>
        </w:tc>
        <w:tc>
          <w:tcPr>
            <w:tcW w:w="567" w:type="dxa"/>
            <w:vAlign w:val="center"/>
          </w:tcPr>
          <w:p w14:paraId="6DDA60CB"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5,3</w:t>
            </w:r>
          </w:p>
        </w:tc>
        <w:tc>
          <w:tcPr>
            <w:tcW w:w="567" w:type="dxa"/>
            <w:vAlign w:val="center"/>
          </w:tcPr>
          <w:p w14:paraId="5527FEEE" w14:textId="59B7B96C" w:rsidR="00452914" w:rsidRDefault="00452914" w:rsidP="00452914">
            <w:pPr>
              <w:spacing w:after="0" w:line="240" w:lineRule="auto"/>
              <w:jc w:val="center"/>
              <w:rPr>
                <w:rFonts w:cs="Arial"/>
                <w:color w:val="000000"/>
                <w:sz w:val="16"/>
                <w:szCs w:val="16"/>
              </w:rPr>
            </w:pPr>
            <w:r>
              <w:rPr>
                <w:rFonts w:cs="Arial"/>
                <w:color w:val="000000"/>
                <w:sz w:val="16"/>
                <w:szCs w:val="16"/>
              </w:rPr>
              <w:t>4,7</w:t>
            </w:r>
          </w:p>
        </w:tc>
      </w:tr>
      <w:tr w:rsidR="00452914" w:rsidRPr="000F2639" w14:paraId="13788F60" w14:textId="7A6BD0D1" w:rsidTr="00C609FE">
        <w:trPr>
          <w:trHeight w:val="300"/>
        </w:trPr>
        <w:tc>
          <w:tcPr>
            <w:tcW w:w="3401" w:type="dxa"/>
            <w:tcBorders>
              <w:top w:val="nil"/>
              <w:left w:val="nil"/>
              <w:bottom w:val="nil"/>
              <w:right w:val="single" w:sz="4" w:space="0" w:color="auto"/>
            </w:tcBorders>
            <w:shd w:val="clear" w:color="auto" w:fill="auto"/>
            <w:vAlign w:val="center"/>
            <w:hideMark/>
          </w:tcPr>
          <w:p w14:paraId="02CD1672"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R – Kulturní, zábavní a rekreační činnosti</w:t>
            </w:r>
          </w:p>
        </w:tc>
        <w:tc>
          <w:tcPr>
            <w:tcW w:w="567" w:type="dxa"/>
            <w:tcBorders>
              <w:top w:val="nil"/>
              <w:left w:val="nil"/>
              <w:bottom w:val="nil"/>
              <w:right w:val="nil"/>
            </w:tcBorders>
            <w:shd w:val="clear" w:color="auto" w:fill="auto"/>
            <w:noWrap/>
            <w:vAlign w:val="center"/>
            <w:hideMark/>
          </w:tcPr>
          <w:p w14:paraId="66A46E1F"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2,5</w:t>
            </w:r>
          </w:p>
        </w:tc>
        <w:tc>
          <w:tcPr>
            <w:tcW w:w="567" w:type="dxa"/>
            <w:tcBorders>
              <w:top w:val="nil"/>
              <w:left w:val="nil"/>
              <w:bottom w:val="nil"/>
              <w:right w:val="nil"/>
            </w:tcBorders>
            <w:shd w:val="clear" w:color="auto" w:fill="auto"/>
            <w:noWrap/>
            <w:vAlign w:val="center"/>
            <w:hideMark/>
          </w:tcPr>
          <w:p w14:paraId="4D218BF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2,5</w:t>
            </w:r>
          </w:p>
        </w:tc>
        <w:tc>
          <w:tcPr>
            <w:tcW w:w="567" w:type="dxa"/>
            <w:tcBorders>
              <w:top w:val="nil"/>
              <w:left w:val="nil"/>
              <w:bottom w:val="nil"/>
              <w:right w:val="nil"/>
            </w:tcBorders>
            <w:shd w:val="clear" w:color="auto" w:fill="auto"/>
            <w:noWrap/>
            <w:vAlign w:val="center"/>
            <w:hideMark/>
          </w:tcPr>
          <w:p w14:paraId="1B02F0A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2,7</w:t>
            </w:r>
          </w:p>
        </w:tc>
        <w:tc>
          <w:tcPr>
            <w:tcW w:w="567" w:type="dxa"/>
            <w:tcBorders>
              <w:top w:val="nil"/>
              <w:left w:val="nil"/>
              <w:bottom w:val="nil"/>
              <w:right w:val="nil"/>
            </w:tcBorders>
            <w:shd w:val="clear" w:color="auto" w:fill="auto"/>
            <w:noWrap/>
            <w:vAlign w:val="center"/>
            <w:hideMark/>
          </w:tcPr>
          <w:p w14:paraId="5AD7D8F0"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2,8</w:t>
            </w:r>
          </w:p>
        </w:tc>
        <w:tc>
          <w:tcPr>
            <w:tcW w:w="567" w:type="dxa"/>
            <w:tcBorders>
              <w:top w:val="nil"/>
              <w:left w:val="nil"/>
              <w:bottom w:val="nil"/>
              <w:right w:val="nil"/>
            </w:tcBorders>
            <w:shd w:val="clear" w:color="auto" w:fill="auto"/>
            <w:noWrap/>
            <w:vAlign w:val="center"/>
            <w:hideMark/>
          </w:tcPr>
          <w:p w14:paraId="25AA62F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2,9</w:t>
            </w:r>
          </w:p>
        </w:tc>
        <w:tc>
          <w:tcPr>
            <w:tcW w:w="567" w:type="dxa"/>
            <w:tcBorders>
              <w:top w:val="nil"/>
              <w:left w:val="nil"/>
              <w:bottom w:val="nil"/>
              <w:right w:val="nil"/>
            </w:tcBorders>
            <w:shd w:val="clear" w:color="auto" w:fill="auto"/>
            <w:noWrap/>
            <w:vAlign w:val="center"/>
            <w:hideMark/>
          </w:tcPr>
          <w:p w14:paraId="14A2F679"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3,0</w:t>
            </w:r>
          </w:p>
        </w:tc>
        <w:tc>
          <w:tcPr>
            <w:tcW w:w="567" w:type="dxa"/>
            <w:tcBorders>
              <w:top w:val="nil"/>
              <w:left w:val="nil"/>
              <w:bottom w:val="nil"/>
              <w:right w:val="nil"/>
            </w:tcBorders>
            <w:shd w:val="clear" w:color="auto" w:fill="auto"/>
            <w:noWrap/>
            <w:vAlign w:val="center"/>
            <w:hideMark/>
          </w:tcPr>
          <w:p w14:paraId="4AD62C8A"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3,1</w:t>
            </w:r>
          </w:p>
        </w:tc>
        <w:tc>
          <w:tcPr>
            <w:tcW w:w="567" w:type="dxa"/>
            <w:tcBorders>
              <w:top w:val="nil"/>
              <w:left w:val="nil"/>
              <w:bottom w:val="nil"/>
              <w:right w:val="nil"/>
            </w:tcBorders>
            <w:shd w:val="clear" w:color="auto" w:fill="auto"/>
            <w:noWrap/>
            <w:vAlign w:val="center"/>
            <w:hideMark/>
          </w:tcPr>
          <w:p w14:paraId="157786E6"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3,7</w:t>
            </w:r>
          </w:p>
        </w:tc>
        <w:tc>
          <w:tcPr>
            <w:tcW w:w="567" w:type="dxa"/>
            <w:vAlign w:val="center"/>
          </w:tcPr>
          <w:p w14:paraId="257ED416" w14:textId="77777777" w:rsidR="00452914" w:rsidRPr="000F2639" w:rsidRDefault="00452914" w:rsidP="00452914">
            <w:pPr>
              <w:spacing w:after="0" w:line="240" w:lineRule="auto"/>
              <w:jc w:val="center"/>
            </w:pPr>
            <w:r w:rsidRPr="000F2639">
              <w:rPr>
                <w:rFonts w:cs="Arial"/>
                <w:color w:val="000000"/>
                <w:sz w:val="16"/>
                <w:szCs w:val="16"/>
              </w:rPr>
              <w:t>3,4</w:t>
            </w:r>
          </w:p>
        </w:tc>
        <w:tc>
          <w:tcPr>
            <w:tcW w:w="567" w:type="dxa"/>
            <w:vAlign w:val="center"/>
          </w:tcPr>
          <w:p w14:paraId="0D9B221E"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3,7</w:t>
            </w:r>
          </w:p>
        </w:tc>
        <w:tc>
          <w:tcPr>
            <w:tcW w:w="567" w:type="dxa"/>
            <w:vAlign w:val="center"/>
          </w:tcPr>
          <w:p w14:paraId="1536D265" w14:textId="785151DA" w:rsidR="00452914" w:rsidRDefault="00452914" w:rsidP="00452914">
            <w:pPr>
              <w:spacing w:after="0" w:line="240" w:lineRule="auto"/>
              <w:jc w:val="center"/>
              <w:rPr>
                <w:rFonts w:cs="Arial"/>
                <w:color w:val="000000"/>
                <w:sz w:val="16"/>
                <w:szCs w:val="16"/>
              </w:rPr>
            </w:pPr>
            <w:r>
              <w:rPr>
                <w:rFonts w:cs="Arial"/>
                <w:color w:val="000000"/>
                <w:sz w:val="16"/>
                <w:szCs w:val="16"/>
              </w:rPr>
              <w:t>3,2</w:t>
            </w:r>
          </w:p>
        </w:tc>
      </w:tr>
      <w:tr w:rsidR="00452914" w:rsidRPr="000F2639" w14:paraId="63CBC10A" w14:textId="733238E4" w:rsidTr="00C609FE">
        <w:trPr>
          <w:trHeight w:val="300"/>
        </w:trPr>
        <w:tc>
          <w:tcPr>
            <w:tcW w:w="3401" w:type="dxa"/>
            <w:tcBorders>
              <w:top w:val="nil"/>
              <w:left w:val="nil"/>
              <w:bottom w:val="nil"/>
              <w:right w:val="single" w:sz="4" w:space="0" w:color="auto"/>
            </w:tcBorders>
            <w:shd w:val="clear" w:color="auto" w:fill="auto"/>
            <w:vAlign w:val="center"/>
            <w:hideMark/>
          </w:tcPr>
          <w:p w14:paraId="13210B60" w14:textId="77777777" w:rsidR="00452914" w:rsidRPr="000F2639" w:rsidRDefault="00452914" w:rsidP="00452914">
            <w:pPr>
              <w:spacing w:after="0" w:line="240" w:lineRule="auto"/>
              <w:ind w:firstLineChars="100" w:firstLine="160"/>
              <w:rPr>
                <w:rFonts w:cs="Arial"/>
                <w:color w:val="000000"/>
                <w:sz w:val="16"/>
                <w:szCs w:val="16"/>
              </w:rPr>
            </w:pPr>
            <w:r w:rsidRPr="000F2639">
              <w:rPr>
                <w:rFonts w:cs="Arial"/>
                <w:color w:val="000000"/>
                <w:sz w:val="16"/>
                <w:szCs w:val="16"/>
              </w:rPr>
              <w:t>S – Ostatní činnosti</w:t>
            </w:r>
          </w:p>
        </w:tc>
        <w:tc>
          <w:tcPr>
            <w:tcW w:w="567" w:type="dxa"/>
            <w:tcBorders>
              <w:top w:val="nil"/>
              <w:left w:val="nil"/>
              <w:bottom w:val="nil"/>
              <w:right w:val="nil"/>
            </w:tcBorders>
            <w:shd w:val="clear" w:color="auto" w:fill="auto"/>
            <w:noWrap/>
            <w:vAlign w:val="center"/>
            <w:hideMark/>
          </w:tcPr>
          <w:p w14:paraId="1C3F8197"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3,1</w:t>
            </w:r>
          </w:p>
        </w:tc>
        <w:tc>
          <w:tcPr>
            <w:tcW w:w="567" w:type="dxa"/>
            <w:tcBorders>
              <w:top w:val="nil"/>
              <w:left w:val="nil"/>
              <w:bottom w:val="nil"/>
              <w:right w:val="nil"/>
            </w:tcBorders>
            <w:shd w:val="clear" w:color="auto" w:fill="auto"/>
            <w:noWrap/>
            <w:vAlign w:val="center"/>
            <w:hideMark/>
          </w:tcPr>
          <w:p w14:paraId="4B5B2FD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3,2</w:t>
            </w:r>
          </w:p>
        </w:tc>
        <w:tc>
          <w:tcPr>
            <w:tcW w:w="567" w:type="dxa"/>
            <w:tcBorders>
              <w:top w:val="nil"/>
              <w:left w:val="nil"/>
              <w:bottom w:val="nil"/>
              <w:right w:val="nil"/>
            </w:tcBorders>
            <w:shd w:val="clear" w:color="auto" w:fill="auto"/>
            <w:noWrap/>
            <w:vAlign w:val="center"/>
            <w:hideMark/>
          </w:tcPr>
          <w:p w14:paraId="0446DE2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3,6</w:t>
            </w:r>
          </w:p>
        </w:tc>
        <w:tc>
          <w:tcPr>
            <w:tcW w:w="567" w:type="dxa"/>
            <w:tcBorders>
              <w:top w:val="nil"/>
              <w:left w:val="nil"/>
              <w:bottom w:val="nil"/>
              <w:right w:val="nil"/>
            </w:tcBorders>
            <w:shd w:val="clear" w:color="auto" w:fill="auto"/>
            <w:noWrap/>
            <w:vAlign w:val="center"/>
            <w:hideMark/>
          </w:tcPr>
          <w:p w14:paraId="2DC4C3CD"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3,8</w:t>
            </w:r>
          </w:p>
        </w:tc>
        <w:tc>
          <w:tcPr>
            <w:tcW w:w="567" w:type="dxa"/>
            <w:tcBorders>
              <w:top w:val="nil"/>
              <w:left w:val="nil"/>
              <w:bottom w:val="nil"/>
              <w:right w:val="nil"/>
            </w:tcBorders>
            <w:shd w:val="clear" w:color="auto" w:fill="auto"/>
            <w:noWrap/>
            <w:vAlign w:val="center"/>
            <w:hideMark/>
          </w:tcPr>
          <w:p w14:paraId="7098563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3,6</w:t>
            </w:r>
          </w:p>
        </w:tc>
        <w:tc>
          <w:tcPr>
            <w:tcW w:w="567" w:type="dxa"/>
            <w:tcBorders>
              <w:top w:val="nil"/>
              <w:left w:val="nil"/>
              <w:bottom w:val="nil"/>
              <w:right w:val="nil"/>
            </w:tcBorders>
            <w:shd w:val="clear" w:color="auto" w:fill="auto"/>
            <w:noWrap/>
            <w:vAlign w:val="center"/>
            <w:hideMark/>
          </w:tcPr>
          <w:p w14:paraId="1F2FF4B7"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3,8</w:t>
            </w:r>
          </w:p>
        </w:tc>
        <w:tc>
          <w:tcPr>
            <w:tcW w:w="567" w:type="dxa"/>
            <w:tcBorders>
              <w:top w:val="nil"/>
              <w:left w:val="nil"/>
              <w:bottom w:val="nil"/>
              <w:right w:val="nil"/>
            </w:tcBorders>
            <w:shd w:val="clear" w:color="auto" w:fill="auto"/>
            <w:noWrap/>
            <w:vAlign w:val="center"/>
            <w:hideMark/>
          </w:tcPr>
          <w:p w14:paraId="0DCBD2A5"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4,0</w:t>
            </w:r>
          </w:p>
        </w:tc>
        <w:tc>
          <w:tcPr>
            <w:tcW w:w="567" w:type="dxa"/>
            <w:tcBorders>
              <w:top w:val="nil"/>
              <w:left w:val="nil"/>
              <w:bottom w:val="nil"/>
              <w:right w:val="nil"/>
            </w:tcBorders>
            <w:shd w:val="clear" w:color="auto" w:fill="auto"/>
            <w:noWrap/>
            <w:vAlign w:val="center"/>
            <w:hideMark/>
          </w:tcPr>
          <w:p w14:paraId="5F5CC654" w14:textId="77777777" w:rsidR="00452914" w:rsidRPr="000F2639" w:rsidRDefault="00452914" w:rsidP="00452914">
            <w:pPr>
              <w:spacing w:after="0" w:line="240" w:lineRule="auto"/>
              <w:jc w:val="center"/>
              <w:rPr>
                <w:rFonts w:cs="Arial"/>
                <w:color w:val="000000"/>
                <w:sz w:val="16"/>
                <w:szCs w:val="16"/>
              </w:rPr>
            </w:pPr>
            <w:r w:rsidRPr="000F2639">
              <w:rPr>
                <w:rFonts w:cs="Arial"/>
                <w:color w:val="000000"/>
                <w:sz w:val="16"/>
                <w:szCs w:val="16"/>
              </w:rPr>
              <w:t>4,8</w:t>
            </w:r>
          </w:p>
        </w:tc>
        <w:tc>
          <w:tcPr>
            <w:tcW w:w="567" w:type="dxa"/>
            <w:vAlign w:val="center"/>
          </w:tcPr>
          <w:p w14:paraId="05315BD0" w14:textId="77777777" w:rsidR="00452914" w:rsidRPr="000F2639" w:rsidRDefault="00452914" w:rsidP="00452914">
            <w:pPr>
              <w:spacing w:after="0" w:line="240" w:lineRule="auto"/>
              <w:jc w:val="center"/>
            </w:pPr>
            <w:r w:rsidRPr="000F2639">
              <w:rPr>
                <w:rFonts w:cs="Arial"/>
                <w:color w:val="000000"/>
                <w:sz w:val="16"/>
                <w:szCs w:val="16"/>
              </w:rPr>
              <w:t>4,6</w:t>
            </w:r>
          </w:p>
        </w:tc>
        <w:tc>
          <w:tcPr>
            <w:tcW w:w="567" w:type="dxa"/>
            <w:vAlign w:val="center"/>
          </w:tcPr>
          <w:p w14:paraId="519BDF20" w14:textId="77777777" w:rsidR="00452914" w:rsidRPr="000F2639" w:rsidRDefault="00452914" w:rsidP="00452914">
            <w:pPr>
              <w:spacing w:after="0" w:line="240" w:lineRule="auto"/>
              <w:jc w:val="center"/>
              <w:rPr>
                <w:rFonts w:cs="Arial"/>
                <w:color w:val="000000"/>
                <w:sz w:val="16"/>
                <w:szCs w:val="16"/>
              </w:rPr>
            </w:pPr>
            <w:r>
              <w:rPr>
                <w:rFonts w:cs="Arial"/>
                <w:color w:val="000000"/>
                <w:sz w:val="16"/>
                <w:szCs w:val="16"/>
              </w:rPr>
              <w:t>4,5</w:t>
            </w:r>
          </w:p>
        </w:tc>
        <w:tc>
          <w:tcPr>
            <w:tcW w:w="567" w:type="dxa"/>
            <w:vAlign w:val="center"/>
          </w:tcPr>
          <w:p w14:paraId="68BD789D" w14:textId="62BE0E6E" w:rsidR="00452914" w:rsidRDefault="00452914" w:rsidP="00452914">
            <w:pPr>
              <w:spacing w:after="0" w:line="240" w:lineRule="auto"/>
              <w:jc w:val="center"/>
              <w:rPr>
                <w:rFonts w:cs="Arial"/>
                <w:color w:val="000000"/>
                <w:sz w:val="16"/>
                <w:szCs w:val="16"/>
              </w:rPr>
            </w:pPr>
            <w:r>
              <w:rPr>
                <w:rFonts w:cs="Arial"/>
                <w:color w:val="000000"/>
                <w:sz w:val="16"/>
                <w:szCs w:val="16"/>
              </w:rPr>
              <w:t>3,5</w:t>
            </w:r>
          </w:p>
        </w:tc>
      </w:tr>
    </w:tbl>
    <w:p w14:paraId="33A61B7A" w14:textId="77777777" w:rsidR="005D05AB" w:rsidRDefault="005D05AB" w:rsidP="005D05AB">
      <w:pPr>
        <w:spacing w:before="120" w:after="120" w:line="240" w:lineRule="auto"/>
        <w:jc w:val="both"/>
        <w:rPr>
          <w:rFonts w:cs="Arial"/>
          <w:color w:val="000000"/>
          <w:sz w:val="16"/>
          <w:szCs w:val="16"/>
        </w:rPr>
      </w:pPr>
      <w:r>
        <w:rPr>
          <w:rFonts w:cs="Arial"/>
          <w:color w:val="000000"/>
          <w:sz w:val="16"/>
          <w:szCs w:val="16"/>
        </w:rPr>
        <w:t>* Údaje za rok 2022 nejsou srovnatelné s údaji za ostatní roky.</w:t>
      </w:r>
    </w:p>
    <w:p w14:paraId="5A1C5972" w14:textId="77777777" w:rsidR="00452914" w:rsidRPr="000F2639" w:rsidRDefault="00452914" w:rsidP="00452914">
      <w:pPr>
        <w:spacing w:before="120" w:after="120"/>
        <w:rPr>
          <w:sz w:val="16"/>
        </w:rPr>
      </w:pPr>
      <w:r w:rsidRPr="000F2639">
        <w:rPr>
          <w:sz w:val="16"/>
        </w:rPr>
        <w:t>Zdroj: ČSÚ</w:t>
      </w:r>
    </w:p>
    <w:p w14:paraId="34D6AA7F" w14:textId="77777777" w:rsidR="005D05AB" w:rsidRPr="00251BF8" w:rsidRDefault="005D05AB" w:rsidP="005D05AB">
      <w:pPr>
        <w:spacing w:before="120" w:after="120"/>
        <w:jc w:val="both"/>
      </w:pPr>
      <w:r w:rsidRPr="00251BF8">
        <w:t xml:space="preserve">Obdobný ukazatel jako průměrné procento dočasné pracovní neschopnosti, avšak v absolutním vyjádření, představuje </w:t>
      </w:r>
      <w:r w:rsidRPr="00251BF8">
        <w:rPr>
          <w:b/>
        </w:rPr>
        <w:t>průměrný denní stav dočasně práce neschopných</w:t>
      </w:r>
      <w:r w:rsidRPr="00251BF8">
        <w:t>. Říká, kolik nemocensky pojištěných bylo v daném období v průměru denně nepřítomno v práci z důvodu pracovní neschopnosti pro nemoc a úraz.</w:t>
      </w:r>
    </w:p>
    <w:p w14:paraId="2A579751" w14:textId="3D1E7E6F" w:rsidR="005D05AB" w:rsidRPr="00251BF8" w:rsidRDefault="005D05AB" w:rsidP="005D05AB">
      <w:pPr>
        <w:spacing w:before="120" w:after="120"/>
        <w:jc w:val="both"/>
        <w:rPr>
          <w:noProof/>
        </w:rPr>
      </w:pPr>
      <w:r w:rsidRPr="00251BF8">
        <w:rPr>
          <w:rFonts w:cs="Arial"/>
          <w:color w:val="000000"/>
          <w:szCs w:val="16"/>
        </w:rPr>
        <w:lastRenderedPageBreak/>
        <w:t>V roce 2023 kvůli dočasné pracovní neschopnosti způsobené nemocí či úrazem denně chybělo na pracovištích 217 985 nemocensky pojištěných osob. Oproti roku 2019, kdy hodnota činila 222 479 pojištěnců, se jedná o 2% pokles (o 4,5 tis.). Naopak ve srovnání s rokem 2013 přibylo 58 tis. (tj. 36 %) dočasně práce neschopných denně. Na tomto nárůstu se podílely především neschopenky zapříčiněné nemocí (+50 tis.), o dvě pětiny však vzrostl i denní počet práce neschopných osob s mimopracovními úrazy (+7 tis.).</w:t>
      </w:r>
      <w:r w:rsidRPr="00251BF8">
        <w:rPr>
          <w:noProof/>
        </w:rPr>
        <w:t xml:space="preserve"> </w:t>
      </w:r>
      <w:r w:rsidRPr="00251BF8">
        <w:t>Vývoj hodnot ukazatele průměrný denní stav dočasně práce neschopných v posledních deseti letech je zřejmý z tabulky 2.</w:t>
      </w:r>
      <w:r w:rsidR="00DD5A0D" w:rsidRPr="00251BF8">
        <w:t>7</w:t>
      </w:r>
      <w:r w:rsidRPr="00251BF8">
        <w:t>.</w:t>
      </w:r>
    </w:p>
    <w:p w14:paraId="38658068" w14:textId="1170F80C" w:rsidR="00C609FE" w:rsidRDefault="005D05AB" w:rsidP="00D264DA">
      <w:pPr>
        <w:pStyle w:val="Textkomente"/>
        <w:spacing w:line="288" w:lineRule="auto"/>
        <w:jc w:val="both"/>
        <w:rPr>
          <w:rFonts w:cs="Arial"/>
          <w:color w:val="000000"/>
          <w:szCs w:val="16"/>
        </w:rPr>
      </w:pPr>
      <w:r w:rsidRPr="00251BF8">
        <w:rPr>
          <w:rFonts w:cs="Arial"/>
          <w:color w:val="000000"/>
          <w:szCs w:val="16"/>
        </w:rPr>
        <w:t>Pro nemoc bylo v roce 2023 průměrně denně v neschopnosti 185 929 pojištěnců, v důsledku pracovního úrazu 6 689 osob a následkem ostatních úrazů 25 367 nemocensky pojištěných.</w:t>
      </w:r>
      <w:r w:rsidR="00C609FE" w:rsidRPr="00251BF8">
        <w:rPr>
          <w:rFonts w:cs="Arial"/>
          <w:color w:val="000000"/>
          <w:szCs w:val="16"/>
        </w:rPr>
        <w:t xml:space="preserve"> Ve Zpracovatelském průmyslu chybělo denně pro pracovní neschopnost 71 tis. pojištěnců, v odvětví Velkoobchod a maloobchod, opra</w:t>
      </w:r>
      <w:r w:rsidR="00FF661E" w:rsidRPr="00251BF8">
        <w:rPr>
          <w:rFonts w:cs="Arial"/>
          <w:color w:val="000000"/>
          <w:szCs w:val="16"/>
        </w:rPr>
        <w:t>vy a údržba motorových vozidel 30</w:t>
      </w:r>
      <w:r w:rsidR="00C609FE" w:rsidRPr="00251BF8">
        <w:rPr>
          <w:rFonts w:cs="Arial"/>
          <w:color w:val="000000"/>
          <w:szCs w:val="16"/>
        </w:rPr>
        <w:t> tis. osob. Tyto hodnoty jsou značně ovlivněné velikostí odvětví.</w:t>
      </w:r>
    </w:p>
    <w:p w14:paraId="7E3B5538" w14:textId="4C2B81DE" w:rsidR="005D05AB" w:rsidRPr="005D05AB" w:rsidRDefault="00DD5A0D" w:rsidP="005D05AB">
      <w:pPr>
        <w:spacing w:after="0" w:line="240" w:lineRule="auto"/>
        <w:jc w:val="both"/>
        <w:rPr>
          <w:rFonts w:cs="Arial"/>
          <w:b/>
          <w:bCs/>
          <w:color w:val="000000"/>
          <w:szCs w:val="20"/>
        </w:rPr>
      </w:pPr>
      <w:r>
        <w:rPr>
          <w:rFonts w:cs="Arial"/>
          <w:b/>
          <w:bCs/>
          <w:color w:val="000000"/>
          <w:szCs w:val="20"/>
        </w:rPr>
        <w:t>Tab. 2.7</w:t>
      </w:r>
      <w:r w:rsidR="005D05AB" w:rsidRPr="005D05AB">
        <w:rPr>
          <w:rFonts w:cs="Arial"/>
          <w:b/>
          <w:bCs/>
          <w:color w:val="000000"/>
          <w:szCs w:val="20"/>
        </w:rPr>
        <w:t>: Průměrný denní stav dočasně práce neschopných, 2013–2023 (v tis.)</w:t>
      </w:r>
    </w:p>
    <w:tbl>
      <w:tblPr>
        <w:tblW w:w="9594" w:type="dxa"/>
        <w:tblCellMar>
          <w:left w:w="70" w:type="dxa"/>
          <w:right w:w="70" w:type="dxa"/>
        </w:tblCellMar>
        <w:tblLook w:val="04A0" w:firstRow="1" w:lastRow="0" w:firstColumn="1" w:lastColumn="0" w:noHBand="0" w:noVBand="1"/>
      </w:tblPr>
      <w:tblGrid>
        <w:gridCol w:w="737"/>
        <w:gridCol w:w="737"/>
        <w:gridCol w:w="736"/>
        <w:gridCol w:w="736"/>
        <w:gridCol w:w="737"/>
        <w:gridCol w:w="736"/>
        <w:gridCol w:w="736"/>
        <w:gridCol w:w="754"/>
        <w:gridCol w:w="737"/>
        <w:gridCol w:w="737"/>
        <w:gridCol w:w="737"/>
        <w:gridCol w:w="737"/>
        <w:gridCol w:w="737"/>
      </w:tblGrid>
      <w:tr w:rsidR="005D05AB" w:rsidRPr="00577417" w14:paraId="07B2C1A6" w14:textId="77777777" w:rsidTr="00C609FE">
        <w:trPr>
          <w:trHeight w:val="300"/>
        </w:trPr>
        <w:tc>
          <w:tcPr>
            <w:tcW w:w="737" w:type="dxa"/>
            <w:vMerge w:val="restart"/>
            <w:tcBorders>
              <w:top w:val="single" w:sz="4" w:space="0" w:color="auto"/>
              <w:left w:val="nil"/>
              <w:bottom w:val="single" w:sz="4" w:space="0" w:color="000000"/>
              <w:right w:val="nil"/>
            </w:tcBorders>
            <w:shd w:val="clear" w:color="000000" w:fill="F5DADD"/>
            <w:vAlign w:val="center"/>
            <w:hideMark/>
          </w:tcPr>
          <w:p w14:paraId="454149D1"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Rok</w:t>
            </w:r>
          </w:p>
        </w:tc>
        <w:tc>
          <w:tcPr>
            <w:tcW w:w="737" w:type="dxa"/>
            <w:vMerge w:val="restart"/>
            <w:tcBorders>
              <w:top w:val="single" w:sz="4" w:space="0" w:color="auto"/>
              <w:left w:val="single" w:sz="4" w:space="0" w:color="auto"/>
              <w:bottom w:val="single" w:sz="4" w:space="0" w:color="000000"/>
              <w:right w:val="nil"/>
            </w:tcBorders>
            <w:shd w:val="clear" w:color="000000" w:fill="F2DBDB"/>
            <w:vAlign w:val="center"/>
            <w:hideMark/>
          </w:tcPr>
          <w:p w14:paraId="74B9B628" w14:textId="77777777" w:rsidR="005D05AB" w:rsidRPr="00577417" w:rsidRDefault="005D05AB" w:rsidP="00C609FE">
            <w:pPr>
              <w:spacing w:after="0" w:line="240" w:lineRule="auto"/>
              <w:jc w:val="center"/>
              <w:rPr>
                <w:rFonts w:cs="Arial"/>
                <w:b/>
                <w:bCs/>
                <w:color w:val="000000"/>
                <w:sz w:val="16"/>
                <w:szCs w:val="16"/>
              </w:rPr>
            </w:pPr>
            <w:r w:rsidRPr="00577417">
              <w:rPr>
                <w:rFonts w:cs="Arial"/>
                <w:b/>
                <w:bCs/>
                <w:color w:val="000000"/>
                <w:sz w:val="16"/>
                <w:szCs w:val="16"/>
              </w:rPr>
              <w:t>Celkem</w:t>
            </w:r>
          </w:p>
        </w:tc>
        <w:tc>
          <w:tcPr>
            <w:tcW w:w="1472" w:type="dxa"/>
            <w:gridSpan w:val="2"/>
            <w:tcBorders>
              <w:top w:val="single" w:sz="4" w:space="0" w:color="auto"/>
              <w:left w:val="single" w:sz="4" w:space="0" w:color="auto"/>
              <w:bottom w:val="single" w:sz="4" w:space="0" w:color="auto"/>
              <w:right w:val="single" w:sz="4" w:space="0" w:color="auto"/>
            </w:tcBorders>
            <w:shd w:val="clear" w:color="000000" w:fill="F2DBDB"/>
            <w:vAlign w:val="center"/>
            <w:hideMark/>
          </w:tcPr>
          <w:p w14:paraId="138E1791"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podle pohlaví</w:t>
            </w:r>
          </w:p>
        </w:tc>
        <w:tc>
          <w:tcPr>
            <w:tcW w:w="737" w:type="dxa"/>
            <w:vMerge w:val="restart"/>
            <w:tcBorders>
              <w:top w:val="single" w:sz="4" w:space="0" w:color="auto"/>
              <w:left w:val="nil"/>
              <w:right w:val="nil"/>
            </w:tcBorders>
            <w:shd w:val="clear" w:color="000000" w:fill="F2DBDB"/>
            <w:vAlign w:val="center"/>
            <w:hideMark/>
          </w:tcPr>
          <w:p w14:paraId="4D2AD30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Pro nemoc</w:t>
            </w:r>
          </w:p>
        </w:tc>
        <w:tc>
          <w:tcPr>
            <w:tcW w:w="1472" w:type="dxa"/>
            <w:gridSpan w:val="2"/>
            <w:tcBorders>
              <w:top w:val="single" w:sz="4" w:space="0" w:color="auto"/>
              <w:left w:val="single" w:sz="4" w:space="0" w:color="auto"/>
              <w:bottom w:val="single" w:sz="4" w:space="0" w:color="auto"/>
              <w:right w:val="single" w:sz="4" w:space="0" w:color="auto"/>
            </w:tcBorders>
            <w:shd w:val="clear" w:color="000000" w:fill="F2DBDB"/>
            <w:vAlign w:val="center"/>
            <w:hideMark/>
          </w:tcPr>
          <w:p w14:paraId="7EEF1DC4"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podle pohlaví</w:t>
            </w:r>
          </w:p>
        </w:tc>
        <w:tc>
          <w:tcPr>
            <w:tcW w:w="754" w:type="dxa"/>
            <w:vMerge w:val="restart"/>
            <w:tcBorders>
              <w:top w:val="single" w:sz="4" w:space="0" w:color="auto"/>
              <w:left w:val="single" w:sz="4" w:space="0" w:color="auto"/>
              <w:right w:val="nil"/>
            </w:tcBorders>
            <w:shd w:val="clear" w:color="000000" w:fill="F2DBDB"/>
            <w:vAlign w:val="center"/>
            <w:hideMark/>
          </w:tcPr>
          <w:p w14:paraId="3655E11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Pro pracovní úrazy</w:t>
            </w:r>
          </w:p>
        </w:tc>
        <w:tc>
          <w:tcPr>
            <w:tcW w:w="1474" w:type="dxa"/>
            <w:gridSpan w:val="2"/>
            <w:tcBorders>
              <w:top w:val="single" w:sz="4" w:space="0" w:color="auto"/>
              <w:left w:val="single" w:sz="4" w:space="0" w:color="auto"/>
              <w:bottom w:val="single" w:sz="4" w:space="0" w:color="auto"/>
              <w:right w:val="single" w:sz="4" w:space="0" w:color="auto"/>
            </w:tcBorders>
            <w:shd w:val="clear" w:color="000000" w:fill="F2DBDB"/>
            <w:vAlign w:val="center"/>
            <w:hideMark/>
          </w:tcPr>
          <w:p w14:paraId="17A7FC34"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podle pohlaví</w:t>
            </w:r>
          </w:p>
        </w:tc>
        <w:tc>
          <w:tcPr>
            <w:tcW w:w="737" w:type="dxa"/>
            <w:vMerge w:val="restart"/>
            <w:tcBorders>
              <w:top w:val="single" w:sz="4" w:space="0" w:color="auto"/>
              <w:left w:val="nil"/>
              <w:right w:val="nil"/>
            </w:tcBorders>
            <w:shd w:val="clear" w:color="000000" w:fill="F2DBDB"/>
            <w:vAlign w:val="center"/>
            <w:hideMark/>
          </w:tcPr>
          <w:p w14:paraId="2283251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Pro ostatní úrazy</w:t>
            </w:r>
          </w:p>
        </w:tc>
        <w:tc>
          <w:tcPr>
            <w:tcW w:w="1474" w:type="dxa"/>
            <w:gridSpan w:val="2"/>
            <w:tcBorders>
              <w:top w:val="single" w:sz="4" w:space="0" w:color="auto"/>
              <w:left w:val="single" w:sz="4" w:space="0" w:color="auto"/>
              <w:bottom w:val="single" w:sz="4" w:space="0" w:color="auto"/>
            </w:tcBorders>
            <w:shd w:val="clear" w:color="000000" w:fill="F2DBDB"/>
            <w:vAlign w:val="center"/>
            <w:hideMark/>
          </w:tcPr>
          <w:p w14:paraId="1C33BBA7"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podle pohlaví</w:t>
            </w:r>
          </w:p>
        </w:tc>
      </w:tr>
      <w:tr w:rsidR="005D05AB" w:rsidRPr="00577417" w14:paraId="659162B2" w14:textId="77777777" w:rsidTr="00C609FE">
        <w:trPr>
          <w:trHeight w:val="390"/>
        </w:trPr>
        <w:tc>
          <w:tcPr>
            <w:tcW w:w="737" w:type="dxa"/>
            <w:vMerge/>
            <w:tcBorders>
              <w:top w:val="single" w:sz="4" w:space="0" w:color="auto"/>
              <w:left w:val="nil"/>
              <w:bottom w:val="single" w:sz="4" w:space="0" w:color="000000"/>
              <w:right w:val="nil"/>
            </w:tcBorders>
            <w:vAlign w:val="center"/>
            <w:hideMark/>
          </w:tcPr>
          <w:p w14:paraId="6FBBB7D2" w14:textId="77777777" w:rsidR="005D05AB" w:rsidRPr="00577417" w:rsidRDefault="005D05AB" w:rsidP="00C609FE">
            <w:pPr>
              <w:spacing w:after="0" w:line="240" w:lineRule="auto"/>
              <w:rPr>
                <w:rFonts w:cs="Arial"/>
                <w:color w:val="000000"/>
                <w:sz w:val="16"/>
                <w:szCs w:val="16"/>
              </w:rPr>
            </w:pPr>
          </w:p>
        </w:tc>
        <w:tc>
          <w:tcPr>
            <w:tcW w:w="737" w:type="dxa"/>
            <w:vMerge/>
            <w:tcBorders>
              <w:top w:val="single" w:sz="4" w:space="0" w:color="auto"/>
              <w:left w:val="single" w:sz="4" w:space="0" w:color="auto"/>
              <w:bottom w:val="single" w:sz="4" w:space="0" w:color="000000"/>
              <w:right w:val="nil"/>
            </w:tcBorders>
            <w:vAlign w:val="center"/>
            <w:hideMark/>
          </w:tcPr>
          <w:p w14:paraId="0F87EE2D" w14:textId="77777777" w:rsidR="005D05AB" w:rsidRPr="00577417" w:rsidRDefault="005D05AB" w:rsidP="00C609FE">
            <w:pPr>
              <w:spacing w:after="0" w:line="240" w:lineRule="auto"/>
              <w:rPr>
                <w:rFonts w:cs="Arial"/>
                <w:b/>
                <w:bCs/>
                <w:color w:val="000000"/>
                <w:sz w:val="16"/>
                <w:szCs w:val="16"/>
              </w:rPr>
            </w:pPr>
          </w:p>
        </w:tc>
        <w:tc>
          <w:tcPr>
            <w:tcW w:w="736" w:type="dxa"/>
            <w:tcBorders>
              <w:top w:val="nil"/>
              <w:left w:val="single" w:sz="4" w:space="0" w:color="auto"/>
              <w:bottom w:val="single" w:sz="4" w:space="0" w:color="auto"/>
              <w:right w:val="single" w:sz="4" w:space="0" w:color="auto"/>
            </w:tcBorders>
            <w:shd w:val="clear" w:color="000000" w:fill="F2DBDB"/>
            <w:vAlign w:val="center"/>
            <w:hideMark/>
          </w:tcPr>
          <w:p w14:paraId="6CC8E3A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muži</w:t>
            </w:r>
          </w:p>
        </w:tc>
        <w:tc>
          <w:tcPr>
            <w:tcW w:w="736" w:type="dxa"/>
            <w:tcBorders>
              <w:top w:val="nil"/>
              <w:left w:val="nil"/>
              <w:bottom w:val="single" w:sz="4" w:space="0" w:color="auto"/>
              <w:right w:val="single" w:sz="4" w:space="0" w:color="auto"/>
            </w:tcBorders>
            <w:shd w:val="clear" w:color="000000" w:fill="F2DBDB"/>
            <w:vAlign w:val="center"/>
            <w:hideMark/>
          </w:tcPr>
          <w:p w14:paraId="71D1629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ženy</w:t>
            </w:r>
          </w:p>
        </w:tc>
        <w:tc>
          <w:tcPr>
            <w:tcW w:w="737" w:type="dxa"/>
            <w:vMerge/>
            <w:tcBorders>
              <w:left w:val="nil"/>
              <w:bottom w:val="single" w:sz="4" w:space="0" w:color="000000"/>
              <w:right w:val="nil"/>
            </w:tcBorders>
            <w:vAlign w:val="center"/>
            <w:hideMark/>
          </w:tcPr>
          <w:p w14:paraId="08BF2ED1" w14:textId="77777777" w:rsidR="005D05AB" w:rsidRPr="00577417" w:rsidRDefault="005D05AB" w:rsidP="00C609FE">
            <w:pPr>
              <w:spacing w:after="0" w:line="240" w:lineRule="auto"/>
              <w:rPr>
                <w:rFonts w:cs="Arial"/>
                <w:color w:val="000000"/>
                <w:sz w:val="16"/>
                <w:szCs w:val="16"/>
              </w:rPr>
            </w:pPr>
          </w:p>
        </w:tc>
        <w:tc>
          <w:tcPr>
            <w:tcW w:w="736" w:type="dxa"/>
            <w:tcBorders>
              <w:top w:val="nil"/>
              <w:left w:val="single" w:sz="4" w:space="0" w:color="auto"/>
              <w:bottom w:val="single" w:sz="4" w:space="0" w:color="auto"/>
              <w:right w:val="single" w:sz="4" w:space="0" w:color="auto"/>
            </w:tcBorders>
            <w:shd w:val="clear" w:color="000000" w:fill="F2DBDB"/>
            <w:vAlign w:val="center"/>
            <w:hideMark/>
          </w:tcPr>
          <w:p w14:paraId="2973CF2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muži</w:t>
            </w:r>
          </w:p>
        </w:tc>
        <w:tc>
          <w:tcPr>
            <w:tcW w:w="736" w:type="dxa"/>
            <w:tcBorders>
              <w:top w:val="nil"/>
              <w:left w:val="nil"/>
              <w:bottom w:val="single" w:sz="4" w:space="0" w:color="auto"/>
              <w:right w:val="single" w:sz="4" w:space="0" w:color="auto"/>
            </w:tcBorders>
            <w:shd w:val="clear" w:color="000000" w:fill="F2DBDB"/>
            <w:vAlign w:val="center"/>
            <w:hideMark/>
          </w:tcPr>
          <w:p w14:paraId="5AE00DF2"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ženy</w:t>
            </w:r>
          </w:p>
        </w:tc>
        <w:tc>
          <w:tcPr>
            <w:tcW w:w="754" w:type="dxa"/>
            <w:vMerge/>
            <w:tcBorders>
              <w:left w:val="single" w:sz="4" w:space="0" w:color="auto"/>
              <w:bottom w:val="single" w:sz="4" w:space="0" w:color="000000"/>
              <w:right w:val="nil"/>
            </w:tcBorders>
            <w:vAlign w:val="center"/>
            <w:hideMark/>
          </w:tcPr>
          <w:p w14:paraId="6083EEE1" w14:textId="77777777" w:rsidR="005D05AB" w:rsidRPr="00577417" w:rsidRDefault="005D05AB" w:rsidP="00C609FE">
            <w:pPr>
              <w:spacing w:after="0" w:line="240" w:lineRule="auto"/>
              <w:rPr>
                <w:rFonts w:cs="Arial"/>
                <w:color w:val="000000"/>
                <w:sz w:val="16"/>
                <w:szCs w:val="16"/>
              </w:rPr>
            </w:pPr>
          </w:p>
        </w:tc>
        <w:tc>
          <w:tcPr>
            <w:tcW w:w="737" w:type="dxa"/>
            <w:tcBorders>
              <w:top w:val="nil"/>
              <w:left w:val="single" w:sz="4" w:space="0" w:color="auto"/>
              <w:bottom w:val="single" w:sz="4" w:space="0" w:color="auto"/>
              <w:right w:val="single" w:sz="4" w:space="0" w:color="auto"/>
            </w:tcBorders>
            <w:shd w:val="clear" w:color="000000" w:fill="F2DBDB"/>
            <w:vAlign w:val="center"/>
            <w:hideMark/>
          </w:tcPr>
          <w:p w14:paraId="40701224"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muži</w:t>
            </w:r>
          </w:p>
        </w:tc>
        <w:tc>
          <w:tcPr>
            <w:tcW w:w="737" w:type="dxa"/>
            <w:tcBorders>
              <w:top w:val="nil"/>
              <w:left w:val="nil"/>
              <w:bottom w:val="single" w:sz="4" w:space="0" w:color="auto"/>
              <w:right w:val="single" w:sz="4" w:space="0" w:color="auto"/>
            </w:tcBorders>
            <w:shd w:val="clear" w:color="000000" w:fill="F2DBDB"/>
            <w:vAlign w:val="center"/>
            <w:hideMark/>
          </w:tcPr>
          <w:p w14:paraId="2674D834"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ženy</w:t>
            </w:r>
          </w:p>
        </w:tc>
        <w:tc>
          <w:tcPr>
            <w:tcW w:w="737" w:type="dxa"/>
            <w:vMerge/>
            <w:tcBorders>
              <w:left w:val="nil"/>
              <w:bottom w:val="single" w:sz="4" w:space="0" w:color="000000"/>
              <w:right w:val="nil"/>
            </w:tcBorders>
            <w:vAlign w:val="center"/>
            <w:hideMark/>
          </w:tcPr>
          <w:p w14:paraId="6B9716A8" w14:textId="77777777" w:rsidR="005D05AB" w:rsidRPr="00577417" w:rsidRDefault="005D05AB" w:rsidP="00C609FE">
            <w:pPr>
              <w:spacing w:after="0" w:line="240" w:lineRule="auto"/>
              <w:rPr>
                <w:rFonts w:cs="Arial"/>
                <w:color w:val="000000"/>
                <w:sz w:val="16"/>
                <w:szCs w:val="16"/>
              </w:rPr>
            </w:pPr>
          </w:p>
        </w:tc>
        <w:tc>
          <w:tcPr>
            <w:tcW w:w="737" w:type="dxa"/>
            <w:tcBorders>
              <w:top w:val="nil"/>
              <w:left w:val="single" w:sz="4" w:space="0" w:color="auto"/>
              <w:bottom w:val="single" w:sz="4" w:space="0" w:color="auto"/>
              <w:right w:val="single" w:sz="4" w:space="0" w:color="auto"/>
            </w:tcBorders>
            <w:shd w:val="clear" w:color="000000" w:fill="F2DBDB"/>
            <w:vAlign w:val="center"/>
            <w:hideMark/>
          </w:tcPr>
          <w:p w14:paraId="1E4D2E15"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muži</w:t>
            </w:r>
          </w:p>
        </w:tc>
        <w:tc>
          <w:tcPr>
            <w:tcW w:w="737" w:type="dxa"/>
            <w:tcBorders>
              <w:top w:val="nil"/>
              <w:left w:val="nil"/>
              <w:bottom w:val="single" w:sz="4" w:space="0" w:color="auto"/>
              <w:right w:val="nil"/>
            </w:tcBorders>
            <w:shd w:val="clear" w:color="000000" w:fill="F2DBDB"/>
            <w:vAlign w:val="center"/>
            <w:hideMark/>
          </w:tcPr>
          <w:p w14:paraId="11EDA9A2"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ženy</w:t>
            </w:r>
          </w:p>
        </w:tc>
      </w:tr>
      <w:tr w:rsidR="005D05AB" w:rsidRPr="00577417" w14:paraId="35208578" w14:textId="77777777" w:rsidTr="00C609FE">
        <w:trPr>
          <w:trHeight w:val="300"/>
        </w:trPr>
        <w:tc>
          <w:tcPr>
            <w:tcW w:w="737" w:type="dxa"/>
            <w:tcBorders>
              <w:top w:val="nil"/>
              <w:left w:val="nil"/>
              <w:bottom w:val="nil"/>
              <w:right w:val="nil"/>
            </w:tcBorders>
            <w:shd w:val="clear" w:color="auto" w:fill="auto"/>
            <w:vAlign w:val="center"/>
            <w:hideMark/>
          </w:tcPr>
          <w:p w14:paraId="6BCAF1C9"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2013</w:t>
            </w:r>
          </w:p>
        </w:tc>
        <w:tc>
          <w:tcPr>
            <w:tcW w:w="737" w:type="dxa"/>
            <w:tcBorders>
              <w:top w:val="nil"/>
              <w:left w:val="single" w:sz="4" w:space="0" w:color="auto"/>
              <w:bottom w:val="nil"/>
              <w:right w:val="nil"/>
            </w:tcBorders>
            <w:shd w:val="clear" w:color="auto" w:fill="auto"/>
            <w:vAlign w:val="center"/>
            <w:hideMark/>
          </w:tcPr>
          <w:p w14:paraId="63AA9F7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160,5</w:t>
            </w:r>
          </w:p>
        </w:tc>
        <w:tc>
          <w:tcPr>
            <w:tcW w:w="736" w:type="dxa"/>
            <w:tcBorders>
              <w:top w:val="nil"/>
              <w:left w:val="nil"/>
              <w:bottom w:val="nil"/>
              <w:right w:val="nil"/>
            </w:tcBorders>
            <w:shd w:val="clear" w:color="auto" w:fill="auto"/>
            <w:vAlign w:val="center"/>
            <w:hideMark/>
          </w:tcPr>
          <w:p w14:paraId="23B52E71"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74,0</w:t>
            </w:r>
          </w:p>
        </w:tc>
        <w:tc>
          <w:tcPr>
            <w:tcW w:w="736" w:type="dxa"/>
            <w:tcBorders>
              <w:top w:val="nil"/>
              <w:left w:val="nil"/>
              <w:bottom w:val="nil"/>
              <w:right w:val="single" w:sz="4" w:space="0" w:color="auto"/>
            </w:tcBorders>
            <w:shd w:val="clear" w:color="auto" w:fill="auto"/>
            <w:vAlign w:val="center"/>
            <w:hideMark/>
          </w:tcPr>
          <w:p w14:paraId="78C36915"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86,5</w:t>
            </w:r>
          </w:p>
        </w:tc>
        <w:tc>
          <w:tcPr>
            <w:tcW w:w="737" w:type="dxa"/>
            <w:tcBorders>
              <w:top w:val="nil"/>
              <w:left w:val="nil"/>
              <w:bottom w:val="nil"/>
              <w:right w:val="nil"/>
            </w:tcBorders>
            <w:shd w:val="clear" w:color="auto" w:fill="auto"/>
            <w:vAlign w:val="center"/>
            <w:hideMark/>
          </w:tcPr>
          <w:p w14:paraId="7BA34821"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135,9</w:t>
            </w:r>
          </w:p>
        </w:tc>
        <w:tc>
          <w:tcPr>
            <w:tcW w:w="736" w:type="dxa"/>
            <w:tcBorders>
              <w:top w:val="nil"/>
              <w:left w:val="nil"/>
              <w:bottom w:val="nil"/>
              <w:right w:val="nil"/>
            </w:tcBorders>
            <w:shd w:val="clear" w:color="auto" w:fill="auto"/>
            <w:vAlign w:val="center"/>
            <w:hideMark/>
          </w:tcPr>
          <w:p w14:paraId="421323C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58,0</w:t>
            </w:r>
          </w:p>
        </w:tc>
        <w:tc>
          <w:tcPr>
            <w:tcW w:w="736" w:type="dxa"/>
            <w:tcBorders>
              <w:top w:val="nil"/>
              <w:left w:val="nil"/>
              <w:bottom w:val="nil"/>
              <w:right w:val="nil"/>
            </w:tcBorders>
            <w:shd w:val="clear" w:color="auto" w:fill="auto"/>
            <w:vAlign w:val="center"/>
            <w:hideMark/>
          </w:tcPr>
          <w:p w14:paraId="73508AF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77,9</w:t>
            </w:r>
          </w:p>
        </w:tc>
        <w:tc>
          <w:tcPr>
            <w:tcW w:w="754" w:type="dxa"/>
            <w:tcBorders>
              <w:top w:val="nil"/>
              <w:left w:val="single" w:sz="4" w:space="0" w:color="auto"/>
              <w:bottom w:val="nil"/>
              <w:right w:val="nil"/>
            </w:tcBorders>
            <w:shd w:val="clear" w:color="auto" w:fill="auto"/>
            <w:vAlign w:val="center"/>
            <w:hideMark/>
          </w:tcPr>
          <w:p w14:paraId="73F11C3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6,5</w:t>
            </w:r>
          </w:p>
        </w:tc>
        <w:tc>
          <w:tcPr>
            <w:tcW w:w="737" w:type="dxa"/>
            <w:tcBorders>
              <w:top w:val="nil"/>
              <w:left w:val="nil"/>
              <w:bottom w:val="nil"/>
              <w:right w:val="nil"/>
            </w:tcBorders>
            <w:shd w:val="clear" w:color="auto" w:fill="auto"/>
            <w:vAlign w:val="center"/>
            <w:hideMark/>
          </w:tcPr>
          <w:p w14:paraId="03D48A8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4,6</w:t>
            </w:r>
          </w:p>
        </w:tc>
        <w:tc>
          <w:tcPr>
            <w:tcW w:w="737" w:type="dxa"/>
            <w:tcBorders>
              <w:top w:val="nil"/>
              <w:left w:val="nil"/>
              <w:bottom w:val="nil"/>
              <w:right w:val="single" w:sz="4" w:space="0" w:color="auto"/>
            </w:tcBorders>
            <w:shd w:val="clear" w:color="auto" w:fill="auto"/>
            <w:vAlign w:val="center"/>
            <w:hideMark/>
          </w:tcPr>
          <w:p w14:paraId="0BD426F5"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1,9</w:t>
            </w:r>
          </w:p>
        </w:tc>
        <w:tc>
          <w:tcPr>
            <w:tcW w:w="737" w:type="dxa"/>
            <w:tcBorders>
              <w:top w:val="nil"/>
              <w:left w:val="nil"/>
              <w:bottom w:val="nil"/>
              <w:right w:val="nil"/>
            </w:tcBorders>
            <w:shd w:val="clear" w:color="auto" w:fill="auto"/>
            <w:vAlign w:val="center"/>
            <w:hideMark/>
          </w:tcPr>
          <w:p w14:paraId="64E72F69"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18,1</w:t>
            </w:r>
          </w:p>
        </w:tc>
        <w:tc>
          <w:tcPr>
            <w:tcW w:w="737" w:type="dxa"/>
            <w:tcBorders>
              <w:top w:val="nil"/>
              <w:left w:val="nil"/>
              <w:bottom w:val="nil"/>
              <w:right w:val="nil"/>
            </w:tcBorders>
            <w:shd w:val="clear" w:color="auto" w:fill="auto"/>
            <w:vAlign w:val="center"/>
            <w:hideMark/>
          </w:tcPr>
          <w:p w14:paraId="1412C802"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11,4</w:t>
            </w:r>
          </w:p>
        </w:tc>
        <w:tc>
          <w:tcPr>
            <w:tcW w:w="737" w:type="dxa"/>
            <w:tcBorders>
              <w:top w:val="nil"/>
              <w:left w:val="nil"/>
              <w:bottom w:val="nil"/>
              <w:right w:val="nil"/>
            </w:tcBorders>
            <w:shd w:val="clear" w:color="auto" w:fill="auto"/>
            <w:vAlign w:val="center"/>
            <w:hideMark/>
          </w:tcPr>
          <w:p w14:paraId="2F8FA7A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6,7</w:t>
            </w:r>
          </w:p>
        </w:tc>
      </w:tr>
      <w:tr w:rsidR="005D05AB" w:rsidRPr="00577417" w14:paraId="095713E8" w14:textId="77777777" w:rsidTr="00C609FE">
        <w:trPr>
          <w:trHeight w:val="300"/>
        </w:trPr>
        <w:tc>
          <w:tcPr>
            <w:tcW w:w="737" w:type="dxa"/>
            <w:tcBorders>
              <w:top w:val="nil"/>
              <w:left w:val="nil"/>
              <w:bottom w:val="nil"/>
              <w:right w:val="nil"/>
            </w:tcBorders>
            <w:shd w:val="clear" w:color="auto" w:fill="auto"/>
            <w:vAlign w:val="center"/>
            <w:hideMark/>
          </w:tcPr>
          <w:p w14:paraId="3BAD1C7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2014</w:t>
            </w:r>
          </w:p>
        </w:tc>
        <w:tc>
          <w:tcPr>
            <w:tcW w:w="737" w:type="dxa"/>
            <w:tcBorders>
              <w:top w:val="nil"/>
              <w:left w:val="single" w:sz="4" w:space="0" w:color="auto"/>
              <w:bottom w:val="nil"/>
              <w:right w:val="nil"/>
            </w:tcBorders>
            <w:shd w:val="clear" w:color="auto" w:fill="auto"/>
            <w:vAlign w:val="center"/>
            <w:hideMark/>
          </w:tcPr>
          <w:p w14:paraId="7B29F331"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165,0</w:t>
            </w:r>
          </w:p>
        </w:tc>
        <w:tc>
          <w:tcPr>
            <w:tcW w:w="736" w:type="dxa"/>
            <w:tcBorders>
              <w:top w:val="nil"/>
              <w:left w:val="nil"/>
              <w:bottom w:val="nil"/>
              <w:right w:val="nil"/>
            </w:tcBorders>
            <w:shd w:val="clear" w:color="auto" w:fill="auto"/>
            <w:vAlign w:val="center"/>
            <w:hideMark/>
          </w:tcPr>
          <w:p w14:paraId="1363A992"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75,1</w:t>
            </w:r>
          </w:p>
        </w:tc>
        <w:tc>
          <w:tcPr>
            <w:tcW w:w="736" w:type="dxa"/>
            <w:tcBorders>
              <w:top w:val="nil"/>
              <w:left w:val="nil"/>
              <w:bottom w:val="nil"/>
              <w:right w:val="single" w:sz="4" w:space="0" w:color="auto"/>
            </w:tcBorders>
            <w:shd w:val="clear" w:color="auto" w:fill="auto"/>
            <w:vAlign w:val="center"/>
            <w:hideMark/>
          </w:tcPr>
          <w:p w14:paraId="716D08CC"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89,9</w:t>
            </w:r>
          </w:p>
        </w:tc>
        <w:tc>
          <w:tcPr>
            <w:tcW w:w="737" w:type="dxa"/>
            <w:tcBorders>
              <w:top w:val="nil"/>
              <w:left w:val="nil"/>
              <w:bottom w:val="nil"/>
              <w:right w:val="nil"/>
            </w:tcBorders>
            <w:shd w:val="clear" w:color="auto" w:fill="auto"/>
            <w:vAlign w:val="center"/>
            <w:hideMark/>
          </w:tcPr>
          <w:p w14:paraId="7EF7743D"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139,9</w:t>
            </w:r>
          </w:p>
        </w:tc>
        <w:tc>
          <w:tcPr>
            <w:tcW w:w="736" w:type="dxa"/>
            <w:tcBorders>
              <w:top w:val="nil"/>
              <w:left w:val="nil"/>
              <w:bottom w:val="nil"/>
              <w:right w:val="nil"/>
            </w:tcBorders>
            <w:shd w:val="clear" w:color="auto" w:fill="auto"/>
            <w:vAlign w:val="center"/>
            <w:hideMark/>
          </w:tcPr>
          <w:p w14:paraId="76334B5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58,7</w:t>
            </w:r>
          </w:p>
        </w:tc>
        <w:tc>
          <w:tcPr>
            <w:tcW w:w="736" w:type="dxa"/>
            <w:tcBorders>
              <w:top w:val="nil"/>
              <w:left w:val="nil"/>
              <w:bottom w:val="nil"/>
              <w:right w:val="nil"/>
            </w:tcBorders>
            <w:shd w:val="clear" w:color="auto" w:fill="auto"/>
            <w:vAlign w:val="center"/>
            <w:hideMark/>
          </w:tcPr>
          <w:p w14:paraId="28DEE45C"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81,2</w:t>
            </w:r>
          </w:p>
        </w:tc>
        <w:tc>
          <w:tcPr>
            <w:tcW w:w="754" w:type="dxa"/>
            <w:tcBorders>
              <w:top w:val="nil"/>
              <w:left w:val="single" w:sz="4" w:space="0" w:color="auto"/>
              <w:bottom w:val="nil"/>
              <w:right w:val="nil"/>
            </w:tcBorders>
            <w:shd w:val="clear" w:color="auto" w:fill="auto"/>
            <w:vAlign w:val="center"/>
            <w:hideMark/>
          </w:tcPr>
          <w:p w14:paraId="09EB727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6,7</w:t>
            </w:r>
          </w:p>
        </w:tc>
        <w:tc>
          <w:tcPr>
            <w:tcW w:w="737" w:type="dxa"/>
            <w:tcBorders>
              <w:top w:val="nil"/>
              <w:left w:val="nil"/>
              <w:bottom w:val="nil"/>
              <w:right w:val="nil"/>
            </w:tcBorders>
            <w:shd w:val="clear" w:color="auto" w:fill="auto"/>
            <w:vAlign w:val="center"/>
            <w:hideMark/>
          </w:tcPr>
          <w:p w14:paraId="28931F4A"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4,7</w:t>
            </w:r>
          </w:p>
        </w:tc>
        <w:tc>
          <w:tcPr>
            <w:tcW w:w="737" w:type="dxa"/>
            <w:tcBorders>
              <w:top w:val="nil"/>
              <w:left w:val="nil"/>
              <w:bottom w:val="nil"/>
              <w:right w:val="single" w:sz="4" w:space="0" w:color="auto"/>
            </w:tcBorders>
            <w:shd w:val="clear" w:color="auto" w:fill="auto"/>
            <w:vAlign w:val="center"/>
            <w:hideMark/>
          </w:tcPr>
          <w:p w14:paraId="2F242E7A"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w:t>
            </w:r>
          </w:p>
        </w:tc>
        <w:tc>
          <w:tcPr>
            <w:tcW w:w="737" w:type="dxa"/>
            <w:tcBorders>
              <w:top w:val="nil"/>
              <w:left w:val="nil"/>
              <w:bottom w:val="nil"/>
              <w:right w:val="nil"/>
            </w:tcBorders>
            <w:shd w:val="clear" w:color="auto" w:fill="auto"/>
            <w:vAlign w:val="center"/>
            <w:hideMark/>
          </w:tcPr>
          <w:p w14:paraId="1A17DAE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18,4</w:t>
            </w:r>
          </w:p>
        </w:tc>
        <w:tc>
          <w:tcPr>
            <w:tcW w:w="737" w:type="dxa"/>
            <w:tcBorders>
              <w:top w:val="nil"/>
              <w:left w:val="nil"/>
              <w:bottom w:val="nil"/>
              <w:right w:val="nil"/>
            </w:tcBorders>
            <w:shd w:val="clear" w:color="auto" w:fill="auto"/>
            <w:vAlign w:val="center"/>
            <w:hideMark/>
          </w:tcPr>
          <w:p w14:paraId="2036C9C9"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11,7</w:t>
            </w:r>
          </w:p>
        </w:tc>
        <w:tc>
          <w:tcPr>
            <w:tcW w:w="737" w:type="dxa"/>
            <w:tcBorders>
              <w:top w:val="nil"/>
              <w:left w:val="nil"/>
              <w:bottom w:val="nil"/>
              <w:right w:val="nil"/>
            </w:tcBorders>
            <w:shd w:val="clear" w:color="auto" w:fill="auto"/>
            <w:vAlign w:val="center"/>
            <w:hideMark/>
          </w:tcPr>
          <w:p w14:paraId="70E7D804"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6,7</w:t>
            </w:r>
          </w:p>
        </w:tc>
      </w:tr>
      <w:tr w:rsidR="005D05AB" w:rsidRPr="00577417" w14:paraId="6425AD22" w14:textId="77777777" w:rsidTr="00C609FE">
        <w:trPr>
          <w:trHeight w:val="300"/>
        </w:trPr>
        <w:tc>
          <w:tcPr>
            <w:tcW w:w="737" w:type="dxa"/>
            <w:tcBorders>
              <w:top w:val="nil"/>
              <w:left w:val="nil"/>
              <w:bottom w:val="nil"/>
              <w:right w:val="nil"/>
            </w:tcBorders>
            <w:shd w:val="clear" w:color="auto" w:fill="auto"/>
            <w:vAlign w:val="center"/>
            <w:hideMark/>
          </w:tcPr>
          <w:p w14:paraId="6CA367E5"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2015</w:t>
            </w:r>
          </w:p>
        </w:tc>
        <w:tc>
          <w:tcPr>
            <w:tcW w:w="737" w:type="dxa"/>
            <w:tcBorders>
              <w:top w:val="nil"/>
              <w:left w:val="single" w:sz="4" w:space="0" w:color="auto"/>
              <w:bottom w:val="nil"/>
              <w:right w:val="nil"/>
            </w:tcBorders>
            <w:shd w:val="clear" w:color="auto" w:fill="auto"/>
            <w:vAlign w:val="center"/>
            <w:hideMark/>
          </w:tcPr>
          <w:p w14:paraId="53D5BA5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183,1</w:t>
            </w:r>
          </w:p>
        </w:tc>
        <w:tc>
          <w:tcPr>
            <w:tcW w:w="736" w:type="dxa"/>
            <w:tcBorders>
              <w:top w:val="nil"/>
              <w:left w:val="nil"/>
              <w:bottom w:val="nil"/>
              <w:right w:val="nil"/>
            </w:tcBorders>
            <w:shd w:val="clear" w:color="auto" w:fill="auto"/>
            <w:vAlign w:val="center"/>
            <w:hideMark/>
          </w:tcPr>
          <w:p w14:paraId="495BA3D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83,5</w:t>
            </w:r>
          </w:p>
        </w:tc>
        <w:tc>
          <w:tcPr>
            <w:tcW w:w="736" w:type="dxa"/>
            <w:tcBorders>
              <w:top w:val="nil"/>
              <w:left w:val="nil"/>
              <w:bottom w:val="nil"/>
              <w:right w:val="single" w:sz="4" w:space="0" w:color="auto"/>
            </w:tcBorders>
            <w:shd w:val="clear" w:color="auto" w:fill="auto"/>
            <w:vAlign w:val="center"/>
            <w:hideMark/>
          </w:tcPr>
          <w:p w14:paraId="5BA9DE2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99,6</w:t>
            </w:r>
          </w:p>
        </w:tc>
        <w:tc>
          <w:tcPr>
            <w:tcW w:w="737" w:type="dxa"/>
            <w:tcBorders>
              <w:top w:val="nil"/>
              <w:left w:val="nil"/>
              <w:bottom w:val="nil"/>
              <w:right w:val="nil"/>
            </w:tcBorders>
            <w:shd w:val="clear" w:color="auto" w:fill="auto"/>
            <w:vAlign w:val="center"/>
            <w:hideMark/>
          </w:tcPr>
          <w:p w14:paraId="1EBB5C1A"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156,2</w:t>
            </w:r>
          </w:p>
        </w:tc>
        <w:tc>
          <w:tcPr>
            <w:tcW w:w="736" w:type="dxa"/>
            <w:tcBorders>
              <w:top w:val="nil"/>
              <w:left w:val="nil"/>
              <w:bottom w:val="nil"/>
              <w:right w:val="nil"/>
            </w:tcBorders>
            <w:shd w:val="clear" w:color="auto" w:fill="auto"/>
            <w:vAlign w:val="center"/>
            <w:hideMark/>
          </w:tcPr>
          <w:p w14:paraId="14C90932"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66,2</w:t>
            </w:r>
          </w:p>
        </w:tc>
        <w:tc>
          <w:tcPr>
            <w:tcW w:w="736" w:type="dxa"/>
            <w:tcBorders>
              <w:top w:val="nil"/>
              <w:left w:val="nil"/>
              <w:bottom w:val="nil"/>
              <w:right w:val="nil"/>
            </w:tcBorders>
            <w:shd w:val="clear" w:color="auto" w:fill="auto"/>
            <w:vAlign w:val="center"/>
            <w:hideMark/>
          </w:tcPr>
          <w:p w14:paraId="7F727C0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90,0</w:t>
            </w:r>
          </w:p>
        </w:tc>
        <w:tc>
          <w:tcPr>
            <w:tcW w:w="754" w:type="dxa"/>
            <w:tcBorders>
              <w:top w:val="nil"/>
              <w:left w:val="single" w:sz="4" w:space="0" w:color="auto"/>
              <w:bottom w:val="nil"/>
              <w:right w:val="nil"/>
            </w:tcBorders>
            <w:shd w:val="clear" w:color="auto" w:fill="auto"/>
            <w:vAlign w:val="center"/>
            <w:hideMark/>
          </w:tcPr>
          <w:p w14:paraId="660D39F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7,0</w:t>
            </w:r>
          </w:p>
        </w:tc>
        <w:tc>
          <w:tcPr>
            <w:tcW w:w="737" w:type="dxa"/>
            <w:tcBorders>
              <w:top w:val="nil"/>
              <w:left w:val="nil"/>
              <w:bottom w:val="nil"/>
              <w:right w:val="nil"/>
            </w:tcBorders>
            <w:shd w:val="clear" w:color="auto" w:fill="auto"/>
            <w:vAlign w:val="center"/>
            <w:hideMark/>
          </w:tcPr>
          <w:p w14:paraId="24748FE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4,8</w:t>
            </w:r>
          </w:p>
        </w:tc>
        <w:tc>
          <w:tcPr>
            <w:tcW w:w="737" w:type="dxa"/>
            <w:tcBorders>
              <w:top w:val="nil"/>
              <w:left w:val="nil"/>
              <w:bottom w:val="nil"/>
              <w:right w:val="single" w:sz="4" w:space="0" w:color="auto"/>
            </w:tcBorders>
            <w:shd w:val="clear" w:color="auto" w:fill="auto"/>
            <w:vAlign w:val="center"/>
            <w:hideMark/>
          </w:tcPr>
          <w:p w14:paraId="26C1FB25"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2,2</w:t>
            </w:r>
          </w:p>
        </w:tc>
        <w:tc>
          <w:tcPr>
            <w:tcW w:w="737" w:type="dxa"/>
            <w:tcBorders>
              <w:top w:val="nil"/>
              <w:left w:val="nil"/>
              <w:bottom w:val="nil"/>
              <w:right w:val="nil"/>
            </w:tcBorders>
            <w:shd w:val="clear" w:color="auto" w:fill="auto"/>
            <w:vAlign w:val="center"/>
            <w:hideMark/>
          </w:tcPr>
          <w:p w14:paraId="7ACC8CE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19,9</w:t>
            </w:r>
          </w:p>
        </w:tc>
        <w:tc>
          <w:tcPr>
            <w:tcW w:w="737" w:type="dxa"/>
            <w:tcBorders>
              <w:top w:val="nil"/>
              <w:left w:val="nil"/>
              <w:bottom w:val="nil"/>
              <w:right w:val="nil"/>
            </w:tcBorders>
            <w:shd w:val="clear" w:color="auto" w:fill="auto"/>
            <w:vAlign w:val="center"/>
            <w:hideMark/>
          </w:tcPr>
          <w:p w14:paraId="1447AC81"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12,5</w:t>
            </w:r>
          </w:p>
        </w:tc>
        <w:tc>
          <w:tcPr>
            <w:tcW w:w="737" w:type="dxa"/>
            <w:tcBorders>
              <w:top w:val="nil"/>
              <w:left w:val="nil"/>
              <w:bottom w:val="nil"/>
              <w:right w:val="nil"/>
            </w:tcBorders>
            <w:shd w:val="clear" w:color="auto" w:fill="auto"/>
            <w:vAlign w:val="center"/>
            <w:hideMark/>
          </w:tcPr>
          <w:p w14:paraId="1CB1981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7,4</w:t>
            </w:r>
          </w:p>
        </w:tc>
      </w:tr>
      <w:tr w:rsidR="005D05AB" w:rsidRPr="00577417" w14:paraId="1AC6ED6F" w14:textId="77777777" w:rsidTr="00C609FE">
        <w:trPr>
          <w:trHeight w:val="300"/>
        </w:trPr>
        <w:tc>
          <w:tcPr>
            <w:tcW w:w="737" w:type="dxa"/>
            <w:tcBorders>
              <w:top w:val="nil"/>
              <w:left w:val="nil"/>
              <w:bottom w:val="nil"/>
              <w:right w:val="nil"/>
            </w:tcBorders>
            <w:shd w:val="clear" w:color="auto" w:fill="auto"/>
            <w:vAlign w:val="center"/>
            <w:hideMark/>
          </w:tcPr>
          <w:p w14:paraId="146FE352"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2016</w:t>
            </w:r>
          </w:p>
        </w:tc>
        <w:tc>
          <w:tcPr>
            <w:tcW w:w="737" w:type="dxa"/>
            <w:tcBorders>
              <w:top w:val="nil"/>
              <w:left w:val="single" w:sz="4" w:space="0" w:color="auto"/>
              <w:bottom w:val="nil"/>
              <w:right w:val="nil"/>
            </w:tcBorders>
            <w:shd w:val="clear" w:color="auto" w:fill="auto"/>
            <w:vAlign w:val="center"/>
            <w:hideMark/>
          </w:tcPr>
          <w:p w14:paraId="23707ED5"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191,9</w:t>
            </w:r>
          </w:p>
        </w:tc>
        <w:tc>
          <w:tcPr>
            <w:tcW w:w="736" w:type="dxa"/>
            <w:tcBorders>
              <w:top w:val="nil"/>
              <w:left w:val="nil"/>
              <w:bottom w:val="nil"/>
              <w:right w:val="nil"/>
            </w:tcBorders>
            <w:shd w:val="clear" w:color="auto" w:fill="auto"/>
            <w:vAlign w:val="center"/>
            <w:hideMark/>
          </w:tcPr>
          <w:p w14:paraId="2DBE7424"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87,1</w:t>
            </w:r>
          </w:p>
        </w:tc>
        <w:tc>
          <w:tcPr>
            <w:tcW w:w="736" w:type="dxa"/>
            <w:tcBorders>
              <w:top w:val="nil"/>
              <w:left w:val="nil"/>
              <w:bottom w:val="nil"/>
              <w:right w:val="single" w:sz="4" w:space="0" w:color="auto"/>
            </w:tcBorders>
            <w:shd w:val="clear" w:color="auto" w:fill="auto"/>
            <w:vAlign w:val="center"/>
            <w:hideMark/>
          </w:tcPr>
          <w:p w14:paraId="7E7A5CD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104,8</w:t>
            </w:r>
          </w:p>
        </w:tc>
        <w:tc>
          <w:tcPr>
            <w:tcW w:w="737" w:type="dxa"/>
            <w:tcBorders>
              <w:top w:val="nil"/>
              <w:left w:val="nil"/>
              <w:bottom w:val="nil"/>
              <w:right w:val="nil"/>
            </w:tcBorders>
            <w:shd w:val="clear" w:color="auto" w:fill="auto"/>
            <w:vAlign w:val="center"/>
            <w:hideMark/>
          </w:tcPr>
          <w:p w14:paraId="3748CD85"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164,2</w:t>
            </w:r>
          </w:p>
        </w:tc>
        <w:tc>
          <w:tcPr>
            <w:tcW w:w="736" w:type="dxa"/>
            <w:tcBorders>
              <w:top w:val="nil"/>
              <w:left w:val="nil"/>
              <w:bottom w:val="nil"/>
              <w:right w:val="nil"/>
            </w:tcBorders>
            <w:shd w:val="clear" w:color="auto" w:fill="auto"/>
            <w:vAlign w:val="center"/>
            <w:hideMark/>
          </w:tcPr>
          <w:p w14:paraId="7F01355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69,4</w:t>
            </w:r>
          </w:p>
        </w:tc>
        <w:tc>
          <w:tcPr>
            <w:tcW w:w="736" w:type="dxa"/>
            <w:tcBorders>
              <w:top w:val="nil"/>
              <w:left w:val="nil"/>
              <w:bottom w:val="nil"/>
              <w:right w:val="nil"/>
            </w:tcBorders>
            <w:shd w:val="clear" w:color="auto" w:fill="auto"/>
            <w:vAlign w:val="center"/>
            <w:hideMark/>
          </w:tcPr>
          <w:p w14:paraId="6C6741A2"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94,8</w:t>
            </w:r>
          </w:p>
        </w:tc>
        <w:tc>
          <w:tcPr>
            <w:tcW w:w="754" w:type="dxa"/>
            <w:tcBorders>
              <w:top w:val="nil"/>
              <w:left w:val="single" w:sz="4" w:space="0" w:color="auto"/>
              <w:bottom w:val="nil"/>
              <w:right w:val="nil"/>
            </w:tcBorders>
            <w:shd w:val="clear" w:color="auto" w:fill="auto"/>
            <w:vAlign w:val="center"/>
            <w:hideMark/>
          </w:tcPr>
          <w:p w14:paraId="504DE28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7,0</w:t>
            </w:r>
          </w:p>
        </w:tc>
        <w:tc>
          <w:tcPr>
            <w:tcW w:w="737" w:type="dxa"/>
            <w:tcBorders>
              <w:top w:val="nil"/>
              <w:left w:val="nil"/>
              <w:bottom w:val="nil"/>
              <w:right w:val="nil"/>
            </w:tcBorders>
            <w:shd w:val="clear" w:color="auto" w:fill="auto"/>
            <w:vAlign w:val="center"/>
            <w:hideMark/>
          </w:tcPr>
          <w:p w14:paraId="56F9416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4,8</w:t>
            </w:r>
          </w:p>
        </w:tc>
        <w:tc>
          <w:tcPr>
            <w:tcW w:w="737" w:type="dxa"/>
            <w:tcBorders>
              <w:top w:val="nil"/>
              <w:left w:val="nil"/>
              <w:bottom w:val="nil"/>
              <w:right w:val="single" w:sz="4" w:space="0" w:color="auto"/>
            </w:tcBorders>
            <w:shd w:val="clear" w:color="auto" w:fill="auto"/>
            <w:vAlign w:val="center"/>
            <w:hideMark/>
          </w:tcPr>
          <w:p w14:paraId="334F8BED"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2,2</w:t>
            </w:r>
          </w:p>
        </w:tc>
        <w:tc>
          <w:tcPr>
            <w:tcW w:w="737" w:type="dxa"/>
            <w:tcBorders>
              <w:top w:val="nil"/>
              <w:left w:val="nil"/>
              <w:bottom w:val="nil"/>
              <w:right w:val="nil"/>
            </w:tcBorders>
            <w:shd w:val="clear" w:color="auto" w:fill="auto"/>
            <w:vAlign w:val="center"/>
            <w:hideMark/>
          </w:tcPr>
          <w:p w14:paraId="0DB7C5B6"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20,7</w:t>
            </w:r>
          </w:p>
        </w:tc>
        <w:tc>
          <w:tcPr>
            <w:tcW w:w="737" w:type="dxa"/>
            <w:tcBorders>
              <w:top w:val="nil"/>
              <w:left w:val="nil"/>
              <w:bottom w:val="nil"/>
              <w:right w:val="nil"/>
            </w:tcBorders>
            <w:shd w:val="clear" w:color="auto" w:fill="auto"/>
            <w:vAlign w:val="center"/>
            <w:hideMark/>
          </w:tcPr>
          <w:p w14:paraId="5E289CF3"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12,9</w:t>
            </w:r>
          </w:p>
        </w:tc>
        <w:tc>
          <w:tcPr>
            <w:tcW w:w="737" w:type="dxa"/>
            <w:tcBorders>
              <w:top w:val="nil"/>
              <w:left w:val="nil"/>
              <w:bottom w:val="nil"/>
              <w:right w:val="nil"/>
            </w:tcBorders>
            <w:shd w:val="clear" w:color="auto" w:fill="auto"/>
            <w:vAlign w:val="center"/>
            <w:hideMark/>
          </w:tcPr>
          <w:p w14:paraId="5719FB34"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7,8</w:t>
            </w:r>
          </w:p>
        </w:tc>
      </w:tr>
      <w:tr w:rsidR="005D05AB" w:rsidRPr="00577417" w14:paraId="51D01F7A" w14:textId="77777777" w:rsidTr="00C609FE">
        <w:trPr>
          <w:trHeight w:val="300"/>
        </w:trPr>
        <w:tc>
          <w:tcPr>
            <w:tcW w:w="737" w:type="dxa"/>
            <w:tcBorders>
              <w:top w:val="nil"/>
              <w:left w:val="nil"/>
              <w:bottom w:val="nil"/>
              <w:right w:val="nil"/>
            </w:tcBorders>
            <w:shd w:val="clear" w:color="auto" w:fill="auto"/>
            <w:vAlign w:val="center"/>
            <w:hideMark/>
          </w:tcPr>
          <w:p w14:paraId="5C8F723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2017</w:t>
            </w:r>
          </w:p>
        </w:tc>
        <w:tc>
          <w:tcPr>
            <w:tcW w:w="737" w:type="dxa"/>
            <w:tcBorders>
              <w:top w:val="nil"/>
              <w:left w:val="single" w:sz="4" w:space="0" w:color="auto"/>
              <w:bottom w:val="nil"/>
              <w:right w:val="nil"/>
            </w:tcBorders>
            <w:shd w:val="clear" w:color="auto" w:fill="auto"/>
            <w:vAlign w:val="center"/>
            <w:hideMark/>
          </w:tcPr>
          <w:p w14:paraId="061EBA33"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199,1</w:t>
            </w:r>
          </w:p>
        </w:tc>
        <w:tc>
          <w:tcPr>
            <w:tcW w:w="736" w:type="dxa"/>
            <w:tcBorders>
              <w:top w:val="nil"/>
              <w:left w:val="nil"/>
              <w:bottom w:val="nil"/>
              <w:right w:val="nil"/>
            </w:tcBorders>
            <w:shd w:val="clear" w:color="auto" w:fill="auto"/>
            <w:vAlign w:val="center"/>
            <w:hideMark/>
          </w:tcPr>
          <w:p w14:paraId="63D9EBCD"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90,6</w:t>
            </w:r>
          </w:p>
        </w:tc>
        <w:tc>
          <w:tcPr>
            <w:tcW w:w="736" w:type="dxa"/>
            <w:tcBorders>
              <w:top w:val="nil"/>
              <w:left w:val="nil"/>
              <w:bottom w:val="nil"/>
              <w:right w:val="single" w:sz="4" w:space="0" w:color="auto"/>
            </w:tcBorders>
            <w:shd w:val="clear" w:color="auto" w:fill="auto"/>
            <w:vAlign w:val="center"/>
            <w:hideMark/>
          </w:tcPr>
          <w:p w14:paraId="3A37F6E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108,5</w:t>
            </w:r>
          </w:p>
        </w:tc>
        <w:tc>
          <w:tcPr>
            <w:tcW w:w="737" w:type="dxa"/>
            <w:tcBorders>
              <w:top w:val="nil"/>
              <w:left w:val="nil"/>
              <w:bottom w:val="nil"/>
              <w:right w:val="nil"/>
            </w:tcBorders>
            <w:shd w:val="clear" w:color="auto" w:fill="auto"/>
            <w:vAlign w:val="center"/>
            <w:hideMark/>
          </w:tcPr>
          <w:p w14:paraId="1008F20A"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170,2</w:t>
            </w:r>
          </w:p>
        </w:tc>
        <w:tc>
          <w:tcPr>
            <w:tcW w:w="736" w:type="dxa"/>
            <w:tcBorders>
              <w:top w:val="nil"/>
              <w:left w:val="nil"/>
              <w:bottom w:val="nil"/>
              <w:right w:val="nil"/>
            </w:tcBorders>
            <w:shd w:val="clear" w:color="auto" w:fill="auto"/>
            <w:vAlign w:val="center"/>
            <w:hideMark/>
          </w:tcPr>
          <w:p w14:paraId="423A1A7C"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72,5</w:t>
            </w:r>
          </w:p>
        </w:tc>
        <w:tc>
          <w:tcPr>
            <w:tcW w:w="736" w:type="dxa"/>
            <w:tcBorders>
              <w:top w:val="nil"/>
              <w:left w:val="nil"/>
              <w:bottom w:val="nil"/>
              <w:right w:val="nil"/>
            </w:tcBorders>
            <w:shd w:val="clear" w:color="auto" w:fill="auto"/>
            <w:vAlign w:val="center"/>
            <w:hideMark/>
          </w:tcPr>
          <w:p w14:paraId="4A16F15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97,7</w:t>
            </w:r>
          </w:p>
        </w:tc>
        <w:tc>
          <w:tcPr>
            <w:tcW w:w="754" w:type="dxa"/>
            <w:tcBorders>
              <w:top w:val="nil"/>
              <w:left w:val="single" w:sz="4" w:space="0" w:color="auto"/>
              <w:bottom w:val="nil"/>
              <w:right w:val="nil"/>
            </w:tcBorders>
            <w:shd w:val="clear" w:color="auto" w:fill="auto"/>
            <w:vAlign w:val="center"/>
            <w:hideMark/>
          </w:tcPr>
          <w:p w14:paraId="6D3699A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7,1</w:t>
            </w:r>
          </w:p>
        </w:tc>
        <w:tc>
          <w:tcPr>
            <w:tcW w:w="737" w:type="dxa"/>
            <w:tcBorders>
              <w:top w:val="nil"/>
              <w:left w:val="nil"/>
              <w:bottom w:val="nil"/>
              <w:right w:val="nil"/>
            </w:tcBorders>
            <w:shd w:val="clear" w:color="auto" w:fill="auto"/>
            <w:vAlign w:val="center"/>
            <w:hideMark/>
          </w:tcPr>
          <w:p w14:paraId="62B2B60C"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4,8</w:t>
            </w:r>
          </w:p>
        </w:tc>
        <w:tc>
          <w:tcPr>
            <w:tcW w:w="737" w:type="dxa"/>
            <w:tcBorders>
              <w:top w:val="nil"/>
              <w:left w:val="nil"/>
              <w:bottom w:val="nil"/>
              <w:right w:val="single" w:sz="4" w:space="0" w:color="auto"/>
            </w:tcBorders>
            <w:shd w:val="clear" w:color="auto" w:fill="auto"/>
            <w:vAlign w:val="center"/>
            <w:hideMark/>
          </w:tcPr>
          <w:p w14:paraId="7CFEE4B7"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2,3</w:t>
            </w:r>
          </w:p>
        </w:tc>
        <w:tc>
          <w:tcPr>
            <w:tcW w:w="737" w:type="dxa"/>
            <w:tcBorders>
              <w:top w:val="nil"/>
              <w:left w:val="nil"/>
              <w:bottom w:val="nil"/>
              <w:right w:val="nil"/>
            </w:tcBorders>
            <w:shd w:val="clear" w:color="auto" w:fill="auto"/>
            <w:vAlign w:val="center"/>
            <w:hideMark/>
          </w:tcPr>
          <w:p w14:paraId="59993212"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21,8</w:t>
            </w:r>
          </w:p>
        </w:tc>
        <w:tc>
          <w:tcPr>
            <w:tcW w:w="737" w:type="dxa"/>
            <w:tcBorders>
              <w:top w:val="nil"/>
              <w:left w:val="nil"/>
              <w:bottom w:val="nil"/>
              <w:right w:val="nil"/>
            </w:tcBorders>
            <w:shd w:val="clear" w:color="auto" w:fill="auto"/>
            <w:vAlign w:val="center"/>
            <w:hideMark/>
          </w:tcPr>
          <w:p w14:paraId="6522C476"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13,3</w:t>
            </w:r>
          </w:p>
        </w:tc>
        <w:tc>
          <w:tcPr>
            <w:tcW w:w="737" w:type="dxa"/>
            <w:tcBorders>
              <w:top w:val="nil"/>
              <w:left w:val="nil"/>
              <w:bottom w:val="nil"/>
              <w:right w:val="nil"/>
            </w:tcBorders>
            <w:shd w:val="clear" w:color="auto" w:fill="auto"/>
            <w:vAlign w:val="center"/>
            <w:hideMark/>
          </w:tcPr>
          <w:p w14:paraId="01D7E09A"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8,5</w:t>
            </w:r>
          </w:p>
        </w:tc>
      </w:tr>
      <w:tr w:rsidR="005D05AB" w:rsidRPr="00577417" w14:paraId="13B347F7" w14:textId="77777777" w:rsidTr="00C609FE">
        <w:trPr>
          <w:trHeight w:val="300"/>
        </w:trPr>
        <w:tc>
          <w:tcPr>
            <w:tcW w:w="737" w:type="dxa"/>
            <w:tcBorders>
              <w:top w:val="nil"/>
              <w:left w:val="nil"/>
              <w:bottom w:val="nil"/>
              <w:right w:val="nil"/>
            </w:tcBorders>
            <w:shd w:val="clear" w:color="auto" w:fill="auto"/>
            <w:vAlign w:val="center"/>
            <w:hideMark/>
          </w:tcPr>
          <w:p w14:paraId="3854799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2018</w:t>
            </w:r>
          </w:p>
        </w:tc>
        <w:tc>
          <w:tcPr>
            <w:tcW w:w="737" w:type="dxa"/>
            <w:tcBorders>
              <w:top w:val="nil"/>
              <w:left w:val="single" w:sz="4" w:space="0" w:color="auto"/>
              <w:bottom w:val="nil"/>
              <w:right w:val="nil"/>
            </w:tcBorders>
            <w:shd w:val="clear" w:color="auto" w:fill="auto"/>
            <w:vAlign w:val="center"/>
            <w:hideMark/>
          </w:tcPr>
          <w:p w14:paraId="1BCA7B44"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211,4</w:t>
            </w:r>
          </w:p>
        </w:tc>
        <w:tc>
          <w:tcPr>
            <w:tcW w:w="736" w:type="dxa"/>
            <w:tcBorders>
              <w:top w:val="nil"/>
              <w:left w:val="nil"/>
              <w:bottom w:val="nil"/>
              <w:right w:val="nil"/>
            </w:tcBorders>
            <w:shd w:val="clear" w:color="auto" w:fill="auto"/>
            <w:vAlign w:val="center"/>
            <w:hideMark/>
          </w:tcPr>
          <w:p w14:paraId="41E7A383"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96,5</w:t>
            </w:r>
          </w:p>
        </w:tc>
        <w:tc>
          <w:tcPr>
            <w:tcW w:w="736" w:type="dxa"/>
            <w:tcBorders>
              <w:top w:val="nil"/>
              <w:left w:val="nil"/>
              <w:bottom w:val="nil"/>
              <w:right w:val="single" w:sz="4" w:space="0" w:color="auto"/>
            </w:tcBorders>
            <w:shd w:val="clear" w:color="auto" w:fill="auto"/>
            <w:vAlign w:val="center"/>
            <w:hideMark/>
          </w:tcPr>
          <w:p w14:paraId="6E78C13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114,9</w:t>
            </w:r>
          </w:p>
        </w:tc>
        <w:tc>
          <w:tcPr>
            <w:tcW w:w="737" w:type="dxa"/>
            <w:tcBorders>
              <w:top w:val="nil"/>
              <w:left w:val="nil"/>
              <w:bottom w:val="nil"/>
              <w:right w:val="nil"/>
            </w:tcBorders>
            <w:shd w:val="clear" w:color="auto" w:fill="auto"/>
            <w:vAlign w:val="center"/>
            <w:hideMark/>
          </w:tcPr>
          <w:p w14:paraId="29983E2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181,4</w:t>
            </w:r>
          </w:p>
        </w:tc>
        <w:tc>
          <w:tcPr>
            <w:tcW w:w="736" w:type="dxa"/>
            <w:tcBorders>
              <w:top w:val="nil"/>
              <w:left w:val="nil"/>
              <w:bottom w:val="nil"/>
              <w:right w:val="nil"/>
            </w:tcBorders>
            <w:shd w:val="clear" w:color="auto" w:fill="auto"/>
            <w:vAlign w:val="center"/>
            <w:hideMark/>
          </w:tcPr>
          <w:p w14:paraId="509557C7"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77,8</w:t>
            </w:r>
          </w:p>
        </w:tc>
        <w:tc>
          <w:tcPr>
            <w:tcW w:w="736" w:type="dxa"/>
            <w:tcBorders>
              <w:top w:val="nil"/>
              <w:left w:val="nil"/>
              <w:bottom w:val="nil"/>
              <w:right w:val="nil"/>
            </w:tcBorders>
            <w:shd w:val="clear" w:color="auto" w:fill="auto"/>
            <w:vAlign w:val="center"/>
            <w:hideMark/>
          </w:tcPr>
          <w:p w14:paraId="0C553F91"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103,7</w:t>
            </w:r>
          </w:p>
        </w:tc>
        <w:tc>
          <w:tcPr>
            <w:tcW w:w="754" w:type="dxa"/>
            <w:tcBorders>
              <w:top w:val="nil"/>
              <w:left w:val="single" w:sz="4" w:space="0" w:color="auto"/>
              <w:bottom w:val="nil"/>
              <w:right w:val="nil"/>
            </w:tcBorders>
            <w:shd w:val="clear" w:color="auto" w:fill="auto"/>
            <w:vAlign w:val="center"/>
            <w:hideMark/>
          </w:tcPr>
          <w:p w14:paraId="3D746216"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7,0</w:t>
            </w:r>
          </w:p>
        </w:tc>
        <w:tc>
          <w:tcPr>
            <w:tcW w:w="737" w:type="dxa"/>
            <w:tcBorders>
              <w:top w:val="nil"/>
              <w:left w:val="nil"/>
              <w:bottom w:val="nil"/>
              <w:right w:val="nil"/>
            </w:tcBorders>
            <w:shd w:val="clear" w:color="auto" w:fill="auto"/>
            <w:vAlign w:val="center"/>
            <w:hideMark/>
          </w:tcPr>
          <w:p w14:paraId="34E3B99D"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4,8</w:t>
            </w:r>
          </w:p>
        </w:tc>
        <w:tc>
          <w:tcPr>
            <w:tcW w:w="737" w:type="dxa"/>
            <w:tcBorders>
              <w:top w:val="nil"/>
              <w:left w:val="nil"/>
              <w:bottom w:val="nil"/>
              <w:right w:val="single" w:sz="4" w:space="0" w:color="auto"/>
            </w:tcBorders>
            <w:shd w:val="clear" w:color="auto" w:fill="auto"/>
            <w:vAlign w:val="center"/>
            <w:hideMark/>
          </w:tcPr>
          <w:p w14:paraId="1F548ACA"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2,3</w:t>
            </w:r>
          </w:p>
        </w:tc>
        <w:tc>
          <w:tcPr>
            <w:tcW w:w="737" w:type="dxa"/>
            <w:tcBorders>
              <w:top w:val="nil"/>
              <w:left w:val="nil"/>
              <w:bottom w:val="nil"/>
              <w:right w:val="nil"/>
            </w:tcBorders>
            <w:shd w:val="clear" w:color="auto" w:fill="auto"/>
            <w:vAlign w:val="center"/>
            <w:hideMark/>
          </w:tcPr>
          <w:p w14:paraId="095D1731"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22,9</w:t>
            </w:r>
          </w:p>
        </w:tc>
        <w:tc>
          <w:tcPr>
            <w:tcW w:w="737" w:type="dxa"/>
            <w:tcBorders>
              <w:top w:val="nil"/>
              <w:left w:val="nil"/>
              <w:bottom w:val="nil"/>
              <w:right w:val="nil"/>
            </w:tcBorders>
            <w:shd w:val="clear" w:color="auto" w:fill="auto"/>
            <w:vAlign w:val="center"/>
            <w:hideMark/>
          </w:tcPr>
          <w:p w14:paraId="534F61E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14,0</w:t>
            </w:r>
          </w:p>
        </w:tc>
        <w:tc>
          <w:tcPr>
            <w:tcW w:w="737" w:type="dxa"/>
            <w:tcBorders>
              <w:top w:val="nil"/>
              <w:left w:val="nil"/>
              <w:bottom w:val="nil"/>
              <w:right w:val="nil"/>
            </w:tcBorders>
            <w:shd w:val="clear" w:color="auto" w:fill="auto"/>
            <w:vAlign w:val="center"/>
            <w:hideMark/>
          </w:tcPr>
          <w:p w14:paraId="276CCAF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8,9</w:t>
            </w:r>
          </w:p>
        </w:tc>
      </w:tr>
      <w:tr w:rsidR="005D05AB" w:rsidRPr="00577417" w14:paraId="0FB0A9EF" w14:textId="77777777" w:rsidTr="00C609FE">
        <w:trPr>
          <w:trHeight w:val="300"/>
        </w:trPr>
        <w:tc>
          <w:tcPr>
            <w:tcW w:w="737" w:type="dxa"/>
            <w:tcBorders>
              <w:top w:val="nil"/>
              <w:left w:val="nil"/>
              <w:bottom w:val="nil"/>
              <w:right w:val="nil"/>
            </w:tcBorders>
            <w:shd w:val="clear" w:color="auto" w:fill="auto"/>
            <w:vAlign w:val="center"/>
            <w:hideMark/>
          </w:tcPr>
          <w:p w14:paraId="5FDC873A"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2019</w:t>
            </w:r>
          </w:p>
        </w:tc>
        <w:tc>
          <w:tcPr>
            <w:tcW w:w="737" w:type="dxa"/>
            <w:tcBorders>
              <w:top w:val="nil"/>
              <w:left w:val="single" w:sz="4" w:space="0" w:color="auto"/>
              <w:bottom w:val="nil"/>
              <w:right w:val="nil"/>
            </w:tcBorders>
            <w:shd w:val="clear" w:color="auto" w:fill="auto"/>
            <w:vAlign w:val="center"/>
            <w:hideMark/>
          </w:tcPr>
          <w:p w14:paraId="2A3C9443"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222,5</w:t>
            </w:r>
          </w:p>
        </w:tc>
        <w:tc>
          <w:tcPr>
            <w:tcW w:w="736" w:type="dxa"/>
            <w:tcBorders>
              <w:top w:val="nil"/>
              <w:left w:val="nil"/>
              <w:bottom w:val="nil"/>
              <w:right w:val="nil"/>
            </w:tcBorders>
            <w:shd w:val="clear" w:color="auto" w:fill="auto"/>
            <w:vAlign w:val="center"/>
            <w:hideMark/>
          </w:tcPr>
          <w:p w14:paraId="7110A029"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101,5</w:t>
            </w:r>
          </w:p>
        </w:tc>
        <w:tc>
          <w:tcPr>
            <w:tcW w:w="736" w:type="dxa"/>
            <w:tcBorders>
              <w:top w:val="nil"/>
              <w:left w:val="nil"/>
              <w:bottom w:val="nil"/>
              <w:right w:val="single" w:sz="4" w:space="0" w:color="auto"/>
            </w:tcBorders>
            <w:shd w:val="clear" w:color="auto" w:fill="auto"/>
            <w:vAlign w:val="center"/>
            <w:hideMark/>
          </w:tcPr>
          <w:p w14:paraId="25DD2C39"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121,0</w:t>
            </w:r>
          </w:p>
        </w:tc>
        <w:tc>
          <w:tcPr>
            <w:tcW w:w="737" w:type="dxa"/>
            <w:tcBorders>
              <w:top w:val="nil"/>
              <w:left w:val="nil"/>
              <w:bottom w:val="nil"/>
              <w:right w:val="nil"/>
            </w:tcBorders>
            <w:shd w:val="clear" w:color="auto" w:fill="auto"/>
            <w:vAlign w:val="center"/>
            <w:hideMark/>
          </w:tcPr>
          <w:p w14:paraId="30F64CC4"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191,5</w:t>
            </w:r>
          </w:p>
        </w:tc>
        <w:tc>
          <w:tcPr>
            <w:tcW w:w="736" w:type="dxa"/>
            <w:tcBorders>
              <w:top w:val="nil"/>
              <w:left w:val="nil"/>
              <w:bottom w:val="nil"/>
              <w:right w:val="nil"/>
            </w:tcBorders>
            <w:shd w:val="clear" w:color="auto" w:fill="auto"/>
            <w:vAlign w:val="center"/>
            <w:hideMark/>
          </w:tcPr>
          <w:p w14:paraId="73EBCEAC"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82,2</w:t>
            </w:r>
          </w:p>
        </w:tc>
        <w:tc>
          <w:tcPr>
            <w:tcW w:w="736" w:type="dxa"/>
            <w:tcBorders>
              <w:top w:val="nil"/>
              <w:left w:val="nil"/>
              <w:bottom w:val="nil"/>
              <w:right w:val="nil"/>
            </w:tcBorders>
            <w:shd w:val="clear" w:color="auto" w:fill="auto"/>
            <w:vAlign w:val="center"/>
            <w:hideMark/>
          </w:tcPr>
          <w:p w14:paraId="386483A9"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109,3</w:t>
            </w:r>
          </w:p>
        </w:tc>
        <w:tc>
          <w:tcPr>
            <w:tcW w:w="754" w:type="dxa"/>
            <w:tcBorders>
              <w:top w:val="nil"/>
              <w:left w:val="single" w:sz="4" w:space="0" w:color="auto"/>
              <w:bottom w:val="nil"/>
              <w:right w:val="nil"/>
            </w:tcBorders>
            <w:shd w:val="clear" w:color="auto" w:fill="auto"/>
            <w:vAlign w:val="center"/>
            <w:hideMark/>
          </w:tcPr>
          <w:p w14:paraId="031BC8E2"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6,9</w:t>
            </w:r>
          </w:p>
        </w:tc>
        <w:tc>
          <w:tcPr>
            <w:tcW w:w="737" w:type="dxa"/>
            <w:tcBorders>
              <w:top w:val="nil"/>
              <w:left w:val="nil"/>
              <w:bottom w:val="nil"/>
              <w:right w:val="nil"/>
            </w:tcBorders>
            <w:shd w:val="clear" w:color="auto" w:fill="auto"/>
            <w:vAlign w:val="center"/>
            <w:hideMark/>
          </w:tcPr>
          <w:p w14:paraId="5BF63B73"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4,7</w:t>
            </w:r>
          </w:p>
        </w:tc>
        <w:tc>
          <w:tcPr>
            <w:tcW w:w="737" w:type="dxa"/>
            <w:tcBorders>
              <w:top w:val="nil"/>
              <w:left w:val="nil"/>
              <w:bottom w:val="nil"/>
              <w:right w:val="single" w:sz="4" w:space="0" w:color="auto"/>
            </w:tcBorders>
            <w:shd w:val="clear" w:color="auto" w:fill="auto"/>
            <w:vAlign w:val="center"/>
            <w:hideMark/>
          </w:tcPr>
          <w:p w14:paraId="10539136"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2,3</w:t>
            </w:r>
          </w:p>
        </w:tc>
        <w:tc>
          <w:tcPr>
            <w:tcW w:w="737" w:type="dxa"/>
            <w:tcBorders>
              <w:top w:val="nil"/>
              <w:left w:val="nil"/>
              <w:bottom w:val="nil"/>
              <w:right w:val="nil"/>
            </w:tcBorders>
            <w:shd w:val="clear" w:color="auto" w:fill="auto"/>
            <w:vAlign w:val="center"/>
            <w:hideMark/>
          </w:tcPr>
          <w:p w14:paraId="70F6745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24,0</w:t>
            </w:r>
          </w:p>
        </w:tc>
        <w:tc>
          <w:tcPr>
            <w:tcW w:w="737" w:type="dxa"/>
            <w:tcBorders>
              <w:top w:val="nil"/>
              <w:left w:val="nil"/>
              <w:bottom w:val="nil"/>
              <w:right w:val="nil"/>
            </w:tcBorders>
            <w:shd w:val="clear" w:color="auto" w:fill="auto"/>
            <w:vAlign w:val="center"/>
            <w:hideMark/>
          </w:tcPr>
          <w:p w14:paraId="39DA48DC"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14,6</w:t>
            </w:r>
          </w:p>
        </w:tc>
        <w:tc>
          <w:tcPr>
            <w:tcW w:w="737" w:type="dxa"/>
            <w:tcBorders>
              <w:top w:val="nil"/>
              <w:left w:val="nil"/>
              <w:bottom w:val="nil"/>
              <w:right w:val="nil"/>
            </w:tcBorders>
            <w:shd w:val="clear" w:color="auto" w:fill="auto"/>
            <w:vAlign w:val="center"/>
            <w:hideMark/>
          </w:tcPr>
          <w:p w14:paraId="0629E13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9,4</w:t>
            </w:r>
          </w:p>
        </w:tc>
      </w:tr>
      <w:tr w:rsidR="005D05AB" w:rsidRPr="00577417" w14:paraId="53EC3476" w14:textId="77777777" w:rsidTr="00C609FE">
        <w:trPr>
          <w:trHeight w:val="300"/>
        </w:trPr>
        <w:tc>
          <w:tcPr>
            <w:tcW w:w="737" w:type="dxa"/>
            <w:tcBorders>
              <w:top w:val="nil"/>
              <w:left w:val="nil"/>
              <w:bottom w:val="nil"/>
              <w:right w:val="single" w:sz="4" w:space="0" w:color="auto"/>
            </w:tcBorders>
            <w:shd w:val="clear" w:color="auto" w:fill="auto"/>
            <w:vAlign w:val="center"/>
            <w:hideMark/>
          </w:tcPr>
          <w:p w14:paraId="0773F1D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2020</w:t>
            </w:r>
          </w:p>
        </w:tc>
        <w:tc>
          <w:tcPr>
            <w:tcW w:w="737" w:type="dxa"/>
            <w:tcBorders>
              <w:top w:val="nil"/>
              <w:left w:val="nil"/>
              <w:bottom w:val="nil"/>
              <w:right w:val="nil"/>
            </w:tcBorders>
            <w:shd w:val="clear" w:color="auto" w:fill="auto"/>
            <w:vAlign w:val="center"/>
            <w:hideMark/>
          </w:tcPr>
          <w:p w14:paraId="0611B1E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257,5</w:t>
            </w:r>
          </w:p>
        </w:tc>
        <w:tc>
          <w:tcPr>
            <w:tcW w:w="736" w:type="dxa"/>
            <w:tcBorders>
              <w:top w:val="nil"/>
              <w:left w:val="nil"/>
              <w:bottom w:val="nil"/>
              <w:right w:val="nil"/>
            </w:tcBorders>
            <w:shd w:val="clear" w:color="auto" w:fill="auto"/>
            <w:vAlign w:val="center"/>
            <w:hideMark/>
          </w:tcPr>
          <w:p w14:paraId="6FE2BADD"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118,1</w:t>
            </w:r>
          </w:p>
        </w:tc>
        <w:tc>
          <w:tcPr>
            <w:tcW w:w="736" w:type="dxa"/>
            <w:tcBorders>
              <w:top w:val="nil"/>
              <w:left w:val="nil"/>
              <w:bottom w:val="nil"/>
              <w:right w:val="single" w:sz="4" w:space="0" w:color="auto"/>
            </w:tcBorders>
            <w:shd w:val="clear" w:color="auto" w:fill="auto"/>
            <w:vAlign w:val="center"/>
            <w:hideMark/>
          </w:tcPr>
          <w:p w14:paraId="6827A93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139,4</w:t>
            </w:r>
          </w:p>
        </w:tc>
        <w:tc>
          <w:tcPr>
            <w:tcW w:w="737" w:type="dxa"/>
            <w:tcBorders>
              <w:top w:val="nil"/>
              <w:left w:val="nil"/>
              <w:bottom w:val="nil"/>
              <w:right w:val="nil"/>
            </w:tcBorders>
            <w:shd w:val="clear" w:color="auto" w:fill="auto"/>
            <w:vAlign w:val="center"/>
            <w:hideMark/>
          </w:tcPr>
          <w:p w14:paraId="5493A9C7"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224,8</w:t>
            </w:r>
          </w:p>
        </w:tc>
        <w:tc>
          <w:tcPr>
            <w:tcW w:w="736" w:type="dxa"/>
            <w:tcBorders>
              <w:top w:val="nil"/>
              <w:left w:val="nil"/>
              <w:bottom w:val="nil"/>
              <w:right w:val="nil"/>
            </w:tcBorders>
            <w:shd w:val="clear" w:color="auto" w:fill="auto"/>
            <w:vAlign w:val="center"/>
            <w:hideMark/>
          </w:tcPr>
          <w:p w14:paraId="3FE5085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98,0</w:t>
            </w:r>
          </w:p>
        </w:tc>
        <w:tc>
          <w:tcPr>
            <w:tcW w:w="736" w:type="dxa"/>
            <w:tcBorders>
              <w:top w:val="nil"/>
              <w:left w:val="nil"/>
              <w:bottom w:val="nil"/>
              <w:right w:val="nil"/>
            </w:tcBorders>
            <w:shd w:val="clear" w:color="auto" w:fill="auto"/>
            <w:vAlign w:val="center"/>
            <w:hideMark/>
          </w:tcPr>
          <w:p w14:paraId="507EC627"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126,9</w:t>
            </w:r>
          </w:p>
        </w:tc>
        <w:tc>
          <w:tcPr>
            <w:tcW w:w="754" w:type="dxa"/>
            <w:tcBorders>
              <w:top w:val="nil"/>
              <w:left w:val="single" w:sz="4" w:space="0" w:color="auto"/>
              <w:bottom w:val="nil"/>
              <w:right w:val="nil"/>
            </w:tcBorders>
            <w:shd w:val="clear" w:color="auto" w:fill="auto"/>
            <w:vAlign w:val="center"/>
            <w:hideMark/>
          </w:tcPr>
          <w:p w14:paraId="2A84B55D"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7,1</w:t>
            </w:r>
          </w:p>
        </w:tc>
        <w:tc>
          <w:tcPr>
            <w:tcW w:w="737" w:type="dxa"/>
            <w:tcBorders>
              <w:top w:val="nil"/>
              <w:left w:val="nil"/>
              <w:bottom w:val="nil"/>
              <w:right w:val="nil"/>
            </w:tcBorders>
            <w:shd w:val="clear" w:color="auto" w:fill="auto"/>
            <w:vAlign w:val="center"/>
            <w:hideMark/>
          </w:tcPr>
          <w:p w14:paraId="402E798A"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4,8</w:t>
            </w:r>
          </w:p>
        </w:tc>
        <w:tc>
          <w:tcPr>
            <w:tcW w:w="737" w:type="dxa"/>
            <w:tcBorders>
              <w:top w:val="nil"/>
              <w:left w:val="nil"/>
              <w:bottom w:val="nil"/>
              <w:right w:val="single" w:sz="4" w:space="0" w:color="auto"/>
            </w:tcBorders>
            <w:shd w:val="clear" w:color="auto" w:fill="auto"/>
            <w:vAlign w:val="center"/>
            <w:hideMark/>
          </w:tcPr>
          <w:p w14:paraId="51F98B4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2,2</w:t>
            </w:r>
          </w:p>
        </w:tc>
        <w:tc>
          <w:tcPr>
            <w:tcW w:w="737" w:type="dxa"/>
            <w:tcBorders>
              <w:top w:val="nil"/>
              <w:left w:val="nil"/>
              <w:bottom w:val="nil"/>
              <w:right w:val="nil"/>
            </w:tcBorders>
            <w:shd w:val="clear" w:color="auto" w:fill="auto"/>
            <w:vAlign w:val="center"/>
            <w:hideMark/>
          </w:tcPr>
          <w:p w14:paraId="6D61356D"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25,6</w:t>
            </w:r>
          </w:p>
        </w:tc>
        <w:tc>
          <w:tcPr>
            <w:tcW w:w="737" w:type="dxa"/>
            <w:tcBorders>
              <w:top w:val="nil"/>
              <w:left w:val="nil"/>
              <w:bottom w:val="nil"/>
              <w:right w:val="nil"/>
            </w:tcBorders>
            <w:shd w:val="clear" w:color="auto" w:fill="auto"/>
            <w:vAlign w:val="center"/>
            <w:hideMark/>
          </w:tcPr>
          <w:p w14:paraId="454B827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15,3</w:t>
            </w:r>
          </w:p>
        </w:tc>
        <w:tc>
          <w:tcPr>
            <w:tcW w:w="737" w:type="dxa"/>
            <w:tcBorders>
              <w:top w:val="nil"/>
              <w:left w:val="nil"/>
              <w:bottom w:val="nil"/>
              <w:right w:val="nil"/>
            </w:tcBorders>
            <w:shd w:val="clear" w:color="auto" w:fill="auto"/>
            <w:vAlign w:val="center"/>
            <w:hideMark/>
          </w:tcPr>
          <w:p w14:paraId="7CDA0B3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10,3</w:t>
            </w:r>
          </w:p>
        </w:tc>
      </w:tr>
      <w:tr w:rsidR="005D05AB" w:rsidRPr="00577417" w14:paraId="05ED7730" w14:textId="77777777" w:rsidTr="00C609FE">
        <w:trPr>
          <w:trHeight w:val="300"/>
        </w:trPr>
        <w:tc>
          <w:tcPr>
            <w:tcW w:w="737" w:type="dxa"/>
            <w:tcBorders>
              <w:top w:val="nil"/>
              <w:left w:val="nil"/>
              <w:bottom w:val="nil"/>
              <w:right w:val="single" w:sz="4" w:space="0" w:color="auto"/>
            </w:tcBorders>
            <w:shd w:val="clear" w:color="auto" w:fill="auto"/>
            <w:vAlign w:val="center"/>
            <w:hideMark/>
          </w:tcPr>
          <w:p w14:paraId="27A56EC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2021</w:t>
            </w:r>
          </w:p>
        </w:tc>
        <w:tc>
          <w:tcPr>
            <w:tcW w:w="737" w:type="dxa"/>
            <w:tcBorders>
              <w:top w:val="nil"/>
              <w:left w:val="nil"/>
              <w:bottom w:val="nil"/>
              <w:right w:val="nil"/>
            </w:tcBorders>
            <w:shd w:val="clear" w:color="auto" w:fill="auto"/>
            <w:vAlign w:val="center"/>
            <w:hideMark/>
          </w:tcPr>
          <w:p w14:paraId="1098A9C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260,1</w:t>
            </w:r>
          </w:p>
        </w:tc>
        <w:tc>
          <w:tcPr>
            <w:tcW w:w="736" w:type="dxa"/>
            <w:tcBorders>
              <w:top w:val="nil"/>
              <w:left w:val="nil"/>
              <w:bottom w:val="nil"/>
              <w:right w:val="nil"/>
            </w:tcBorders>
            <w:shd w:val="clear" w:color="auto" w:fill="auto"/>
            <w:vAlign w:val="center"/>
            <w:hideMark/>
          </w:tcPr>
          <w:p w14:paraId="4BB71CED"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121,2</w:t>
            </w:r>
          </w:p>
        </w:tc>
        <w:tc>
          <w:tcPr>
            <w:tcW w:w="736" w:type="dxa"/>
            <w:tcBorders>
              <w:top w:val="nil"/>
              <w:left w:val="nil"/>
              <w:bottom w:val="nil"/>
              <w:right w:val="single" w:sz="4" w:space="0" w:color="auto"/>
            </w:tcBorders>
            <w:shd w:val="clear" w:color="auto" w:fill="auto"/>
            <w:vAlign w:val="center"/>
            <w:hideMark/>
          </w:tcPr>
          <w:p w14:paraId="4ADD88D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138,9</w:t>
            </w:r>
          </w:p>
        </w:tc>
        <w:tc>
          <w:tcPr>
            <w:tcW w:w="737" w:type="dxa"/>
            <w:tcBorders>
              <w:top w:val="nil"/>
              <w:left w:val="nil"/>
              <w:bottom w:val="nil"/>
              <w:right w:val="nil"/>
            </w:tcBorders>
            <w:shd w:val="clear" w:color="auto" w:fill="auto"/>
            <w:vAlign w:val="center"/>
            <w:hideMark/>
          </w:tcPr>
          <w:p w14:paraId="2FD66FCD"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228,4</w:t>
            </w:r>
          </w:p>
        </w:tc>
        <w:tc>
          <w:tcPr>
            <w:tcW w:w="736" w:type="dxa"/>
            <w:tcBorders>
              <w:top w:val="nil"/>
              <w:left w:val="nil"/>
              <w:bottom w:val="nil"/>
              <w:right w:val="nil"/>
            </w:tcBorders>
            <w:shd w:val="clear" w:color="auto" w:fill="auto"/>
            <w:vAlign w:val="center"/>
            <w:hideMark/>
          </w:tcPr>
          <w:p w14:paraId="508BD5F3"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101,9</w:t>
            </w:r>
          </w:p>
        </w:tc>
        <w:tc>
          <w:tcPr>
            <w:tcW w:w="736" w:type="dxa"/>
            <w:tcBorders>
              <w:top w:val="nil"/>
              <w:left w:val="nil"/>
              <w:bottom w:val="nil"/>
              <w:right w:val="nil"/>
            </w:tcBorders>
            <w:shd w:val="clear" w:color="auto" w:fill="auto"/>
            <w:vAlign w:val="center"/>
            <w:hideMark/>
          </w:tcPr>
          <w:p w14:paraId="1F9BBA4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126,4</w:t>
            </w:r>
          </w:p>
        </w:tc>
        <w:tc>
          <w:tcPr>
            <w:tcW w:w="754" w:type="dxa"/>
            <w:tcBorders>
              <w:top w:val="nil"/>
              <w:left w:val="single" w:sz="4" w:space="0" w:color="auto"/>
              <w:bottom w:val="nil"/>
              <w:right w:val="nil"/>
            </w:tcBorders>
            <w:shd w:val="clear" w:color="auto" w:fill="auto"/>
            <w:vAlign w:val="center"/>
            <w:hideMark/>
          </w:tcPr>
          <w:p w14:paraId="3444DD1A"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7,1</w:t>
            </w:r>
          </w:p>
        </w:tc>
        <w:tc>
          <w:tcPr>
            <w:tcW w:w="737" w:type="dxa"/>
            <w:tcBorders>
              <w:top w:val="nil"/>
              <w:left w:val="nil"/>
              <w:bottom w:val="nil"/>
              <w:right w:val="nil"/>
            </w:tcBorders>
            <w:shd w:val="clear" w:color="auto" w:fill="auto"/>
            <w:vAlign w:val="center"/>
            <w:hideMark/>
          </w:tcPr>
          <w:p w14:paraId="50E2FC98"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4,9</w:t>
            </w:r>
          </w:p>
        </w:tc>
        <w:tc>
          <w:tcPr>
            <w:tcW w:w="737" w:type="dxa"/>
            <w:tcBorders>
              <w:top w:val="nil"/>
              <w:left w:val="nil"/>
              <w:bottom w:val="nil"/>
              <w:right w:val="single" w:sz="4" w:space="0" w:color="auto"/>
            </w:tcBorders>
            <w:shd w:val="clear" w:color="auto" w:fill="auto"/>
            <w:vAlign w:val="center"/>
            <w:hideMark/>
          </w:tcPr>
          <w:p w14:paraId="2F013E5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2,2</w:t>
            </w:r>
          </w:p>
        </w:tc>
        <w:tc>
          <w:tcPr>
            <w:tcW w:w="737" w:type="dxa"/>
            <w:tcBorders>
              <w:top w:val="nil"/>
              <w:left w:val="nil"/>
              <w:bottom w:val="nil"/>
              <w:right w:val="nil"/>
            </w:tcBorders>
            <w:shd w:val="clear" w:color="auto" w:fill="auto"/>
            <w:vAlign w:val="center"/>
            <w:hideMark/>
          </w:tcPr>
          <w:p w14:paraId="5DC26C3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24,6</w:t>
            </w:r>
          </w:p>
        </w:tc>
        <w:tc>
          <w:tcPr>
            <w:tcW w:w="737" w:type="dxa"/>
            <w:tcBorders>
              <w:top w:val="nil"/>
              <w:left w:val="nil"/>
              <w:bottom w:val="nil"/>
              <w:right w:val="nil"/>
            </w:tcBorders>
            <w:shd w:val="clear" w:color="auto" w:fill="auto"/>
            <w:vAlign w:val="center"/>
            <w:hideMark/>
          </w:tcPr>
          <w:p w14:paraId="06BF8D66"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14,4</w:t>
            </w:r>
          </w:p>
        </w:tc>
        <w:tc>
          <w:tcPr>
            <w:tcW w:w="737" w:type="dxa"/>
            <w:tcBorders>
              <w:top w:val="nil"/>
              <w:left w:val="nil"/>
              <w:bottom w:val="nil"/>
              <w:right w:val="nil"/>
            </w:tcBorders>
            <w:shd w:val="clear" w:color="auto" w:fill="auto"/>
            <w:vAlign w:val="center"/>
            <w:hideMark/>
          </w:tcPr>
          <w:p w14:paraId="7DA033B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10,2</w:t>
            </w:r>
          </w:p>
        </w:tc>
      </w:tr>
      <w:tr w:rsidR="005D05AB" w:rsidRPr="00577417" w14:paraId="7730725C" w14:textId="77777777" w:rsidTr="00C609FE">
        <w:trPr>
          <w:trHeight w:val="300"/>
        </w:trPr>
        <w:tc>
          <w:tcPr>
            <w:tcW w:w="737" w:type="dxa"/>
            <w:tcBorders>
              <w:top w:val="nil"/>
              <w:left w:val="nil"/>
              <w:bottom w:val="nil"/>
              <w:right w:val="single" w:sz="4" w:space="0" w:color="auto"/>
            </w:tcBorders>
            <w:shd w:val="clear" w:color="auto" w:fill="auto"/>
            <w:vAlign w:val="center"/>
          </w:tcPr>
          <w:p w14:paraId="02020F6F" w14:textId="22E698BC"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2022</w:t>
            </w:r>
            <w:r>
              <w:rPr>
                <w:rFonts w:cs="Arial"/>
                <w:color w:val="000000"/>
                <w:sz w:val="16"/>
                <w:szCs w:val="16"/>
              </w:rPr>
              <w:t>*</w:t>
            </w:r>
          </w:p>
        </w:tc>
        <w:tc>
          <w:tcPr>
            <w:tcW w:w="737" w:type="dxa"/>
            <w:tcBorders>
              <w:top w:val="nil"/>
              <w:left w:val="nil"/>
              <w:bottom w:val="nil"/>
              <w:right w:val="nil"/>
            </w:tcBorders>
            <w:shd w:val="clear" w:color="auto" w:fill="auto"/>
            <w:vAlign w:val="center"/>
          </w:tcPr>
          <w:p w14:paraId="2416C222"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249,5</w:t>
            </w:r>
          </w:p>
        </w:tc>
        <w:tc>
          <w:tcPr>
            <w:tcW w:w="736" w:type="dxa"/>
            <w:tcBorders>
              <w:top w:val="nil"/>
              <w:left w:val="nil"/>
              <w:bottom w:val="nil"/>
              <w:right w:val="nil"/>
            </w:tcBorders>
            <w:shd w:val="clear" w:color="auto" w:fill="auto"/>
            <w:vAlign w:val="center"/>
          </w:tcPr>
          <w:p w14:paraId="18225DA9"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113,4</w:t>
            </w:r>
          </w:p>
        </w:tc>
        <w:tc>
          <w:tcPr>
            <w:tcW w:w="736" w:type="dxa"/>
            <w:tcBorders>
              <w:top w:val="nil"/>
              <w:left w:val="nil"/>
              <w:bottom w:val="nil"/>
              <w:right w:val="single" w:sz="4" w:space="0" w:color="auto"/>
            </w:tcBorders>
            <w:shd w:val="clear" w:color="auto" w:fill="auto"/>
            <w:vAlign w:val="center"/>
          </w:tcPr>
          <w:p w14:paraId="796FD59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136,1</w:t>
            </w:r>
          </w:p>
        </w:tc>
        <w:tc>
          <w:tcPr>
            <w:tcW w:w="737" w:type="dxa"/>
            <w:tcBorders>
              <w:top w:val="nil"/>
              <w:left w:val="nil"/>
              <w:bottom w:val="nil"/>
              <w:right w:val="nil"/>
            </w:tcBorders>
            <w:shd w:val="clear" w:color="auto" w:fill="auto"/>
            <w:vAlign w:val="center"/>
          </w:tcPr>
          <w:p w14:paraId="5260E5D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217,0</w:t>
            </w:r>
          </w:p>
        </w:tc>
        <w:tc>
          <w:tcPr>
            <w:tcW w:w="736" w:type="dxa"/>
            <w:tcBorders>
              <w:top w:val="nil"/>
              <w:left w:val="nil"/>
              <w:bottom w:val="nil"/>
              <w:right w:val="nil"/>
            </w:tcBorders>
            <w:shd w:val="clear" w:color="auto" w:fill="auto"/>
            <w:vAlign w:val="center"/>
          </w:tcPr>
          <w:p w14:paraId="6A5ED5CD"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93,7</w:t>
            </w:r>
          </w:p>
        </w:tc>
        <w:tc>
          <w:tcPr>
            <w:tcW w:w="736" w:type="dxa"/>
            <w:tcBorders>
              <w:top w:val="nil"/>
              <w:left w:val="nil"/>
              <w:bottom w:val="nil"/>
              <w:right w:val="nil"/>
            </w:tcBorders>
            <w:shd w:val="clear" w:color="auto" w:fill="auto"/>
            <w:vAlign w:val="center"/>
          </w:tcPr>
          <w:p w14:paraId="533D121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123,2</w:t>
            </w:r>
          </w:p>
        </w:tc>
        <w:tc>
          <w:tcPr>
            <w:tcW w:w="754" w:type="dxa"/>
            <w:tcBorders>
              <w:top w:val="nil"/>
              <w:left w:val="single" w:sz="4" w:space="0" w:color="auto"/>
              <w:bottom w:val="nil"/>
              <w:right w:val="nil"/>
            </w:tcBorders>
            <w:shd w:val="clear" w:color="auto" w:fill="auto"/>
            <w:vAlign w:val="center"/>
          </w:tcPr>
          <w:p w14:paraId="68EC8094"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6,9</w:t>
            </w:r>
          </w:p>
        </w:tc>
        <w:tc>
          <w:tcPr>
            <w:tcW w:w="737" w:type="dxa"/>
            <w:tcBorders>
              <w:top w:val="nil"/>
              <w:left w:val="nil"/>
              <w:bottom w:val="nil"/>
              <w:right w:val="nil"/>
            </w:tcBorders>
            <w:shd w:val="clear" w:color="auto" w:fill="auto"/>
            <w:vAlign w:val="center"/>
          </w:tcPr>
          <w:p w14:paraId="540DA7BF"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4,6</w:t>
            </w:r>
          </w:p>
        </w:tc>
        <w:tc>
          <w:tcPr>
            <w:tcW w:w="737" w:type="dxa"/>
            <w:tcBorders>
              <w:top w:val="nil"/>
              <w:left w:val="nil"/>
              <w:bottom w:val="nil"/>
              <w:right w:val="single" w:sz="4" w:space="0" w:color="auto"/>
            </w:tcBorders>
            <w:shd w:val="clear" w:color="auto" w:fill="auto"/>
            <w:vAlign w:val="center"/>
          </w:tcPr>
          <w:p w14:paraId="2AE93F80"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2,3</w:t>
            </w:r>
          </w:p>
        </w:tc>
        <w:tc>
          <w:tcPr>
            <w:tcW w:w="737" w:type="dxa"/>
            <w:tcBorders>
              <w:top w:val="nil"/>
              <w:left w:val="nil"/>
              <w:bottom w:val="nil"/>
              <w:right w:val="nil"/>
            </w:tcBorders>
            <w:shd w:val="clear" w:color="auto" w:fill="auto"/>
            <w:vAlign w:val="center"/>
          </w:tcPr>
          <w:p w14:paraId="5135E7A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25,6</w:t>
            </w:r>
          </w:p>
        </w:tc>
        <w:tc>
          <w:tcPr>
            <w:tcW w:w="737" w:type="dxa"/>
            <w:tcBorders>
              <w:top w:val="nil"/>
              <w:left w:val="nil"/>
              <w:bottom w:val="nil"/>
              <w:right w:val="nil"/>
            </w:tcBorders>
            <w:shd w:val="clear" w:color="auto" w:fill="auto"/>
            <w:vAlign w:val="center"/>
          </w:tcPr>
          <w:p w14:paraId="1C05609E"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15,0</w:t>
            </w:r>
          </w:p>
        </w:tc>
        <w:tc>
          <w:tcPr>
            <w:tcW w:w="737" w:type="dxa"/>
            <w:tcBorders>
              <w:top w:val="nil"/>
              <w:left w:val="nil"/>
              <w:bottom w:val="nil"/>
              <w:right w:val="nil"/>
            </w:tcBorders>
            <w:shd w:val="clear" w:color="auto" w:fill="auto"/>
            <w:vAlign w:val="center"/>
          </w:tcPr>
          <w:p w14:paraId="15584A8B" w14:textId="77777777" w:rsidR="005D05AB" w:rsidRPr="00577417" w:rsidRDefault="005D05AB" w:rsidP="00C609FE">
            <w:pPr>
              <w:spacing w:after="0" w:line="240" w:lineRule="auto"/>
              <w:jc w:val="center"/>
              <w:rPr>
                <w:rFonts w:cs="Arial"/>
                <w:color w:val="000000"/>
                <w:sz w:val="16"/>
                <w:szCs w:val="16"/>
              </w:rPr>
            </w:pPr>
            <w:r w:rsidRPr="00577417">
              <w:rPr>
                <w:rFonts w:cs="Arial"/>
                <w:color w:val="000000"/>
                <w:sz w:val="16"/>
                <w:szCs w:val="16"/>
              </w:rPr>
              <w:t>10,6</w:t>
            </w:r>
          </w:p>
        </w:tc>
      </w:tr>
      <w:tr w:rsidR="005D05AB" w:rsidRPr="005D05AB" w14:paraId="55823051" w14:textId="77777777" w:rsidTr="00175043">
        <w:trPr>
          <w:trHeight w:val="300"/>
        </w:trPr>
        <w:tc>
          <w:tcPr>
            <w:tcW w:w="737" w:type="dxa"/>
            <w:tcBorders>
              <w:top w:val="nil"/>
              <w:left w:val="nil"/>
              <w:bottom w:val="nil"/>
              <w:right w:val="single" w:sz="4" w:space="0" w:color="auto"/>
            </w:tcBorders>
            <w:shd w:val="clear" w:color="auto" w:fill="auto"/>
            <w:vAlign w:val="center"/>
          </w:tcPr>
          <w:p w14:paraId="5EBB3EB6" w14:textId="6B90A45E" w:rsidR="005D05AB" w:rsidRPr="005D05AB" w:rsidRDefault="005D05AB" w:rsidP="00175043">
            <w:pPr>
              <w:spacing w:after="0" w:line="240" w:lineRule="auto"/>
              <w:jc w:val="center"/>
              <w:rPr>
                <w:rFonts w:cs="Arial"/>
                <w:color w:val="000000"/>
                <w:sz w:val="16"/>
                <w:szCs w:val="16"/>
              </w:rPr>
            </w:pPr>
            <w:r w:rsidRPr="005D05AB">
              <w:rPr>
                <w:sz w:val="16"/>
              </w:rPr>
              <w:t>2023</w:t>
            </w:r>
          </w:p>
        </w:tc>
        <w:tc>
          <w:tcPr>
            <w:tcW w:w="737" w:type="dxa"/>
            <w:tcBorders>
              <w:top w:val="nil"/>
              <w:left w:val="nil"/>
              <w:bottom w:val="nil"/>
              <w:right w:val="nil"/>
            </w:tcBorders>
            <w:shd w:val="clear" w:color="auto" w:fill="auto"/>
            <w:vAlign w:val="center"/>
          </w:tcPr>
          <w:p w14:paraId="5061A761" w14:textId="26FEAB2D" w:rsidR="005D05AB" w:rsidRPr="005D05AB" w:rsidRDefault="005D05AB" w:rsidP="00175043">
            <w:pPr>
              <w:spacing w:after="0" w:line="240" w:lineRule="auto"/>
              <w:jc w:val="center"/>
              <w:rPr>
                <w:rFonts w:cs="Arial"/>
                <w:color w:val="000000"/>
                <w:sz w:val="16"/>
                <w:szCs w:val="16"/>
              </w:rPr>
            </w:pPr>
            <w:r w:rsidRPr="005D05AB">
              <w:rPr>
                <w:sz w:val="16"/>
              </w:rPr>
              <w:t>218,0</w:t>
            </w:r>
          </w:p>
        </w:tc>
        <w:tc>
          <w:tcPr>
            <w:tcW w:w="736" w:type="dxa"/>
            <w:tcBorders>
              <w:top w:val="nil"/>
              <w:left w:val="nil"/>
              <w:bottom w:val="nil"/>
              <w:right w:val="nil"/>
            </w:tcBorders>
            <w:shd w:val="clear" w:color="auto" w:fill="auto"/>
            <w:vAlign w:val="center"/>
          </w:tcPr>
          <w:p w14:paraId="4D5F1738" w14:textId="12F9AF19" w:rsidR="005D05AB" w:rsidRPr="005D05AB" w:rsidRDefault="005D05AB" w:rsidP="00175043">
            <w:pPr>
              <w:spacing w:after="0" w:line="240" w:lineRule="auto"/>
              <w:jc w:val="center"/>
              <w:rPr>
                <w:rFonts w:cs="Arial"/>
                <w:color w:val="000000"/>
                <w:sz w:val="16"/>
                <w:szCs w:val="16"/>
              </w:rPr>
            </w:pPr>
            <w:r w:rsidRPr="005D05AB">
              <w:rPr>
                <w:sz w:val="16"/>
              </w:rPr>
              <w:t>99,0</w:t>
            </w:r>
          </w:p>
        </w:tc>
        <w:tc>
          <w:tcPr>
            <w:tcW w:w="736" w:type="dxa"/>
            <w:tcBorders>
              <w:top w:val="nil"/>
              <w:left w:val="nil"/>
              <w:bottom w:val="nil"/>
              <w:right w:val="single" w:sz="4" w:space="0" w:color="auto"/>
            </w:tcBorders>
            <w:shd w:val="clear" w:color="auto" w:fill="auto"/>
            <w:vAlign w:val="center"/>
          </w:tcPr>
          <w:p w14:paraId="540A9729" w14:textId="0FBF0C14" w:rsidR="005D05AB" w:rsidRPr="005D05AB" w:rsidRDefault="005D05AB" w:rsidP="00175043">
            <w:pPr>
              <w:spacing w:after="0" w:line="240" w:lineRule="auto"/>
              <w:jc w:val="center"/>
              <w:rPr>
                <w:rFonts w:cs="Arial"/>
                <w:color w:val="000000"/>
                <w:sz w:val="16"/>
                <w:szCs w:val="16"/>
              </w:rPr>
            </w:pPr>
            <w:r w:rsidRPr="005D05AB">
              <w:rPr>
                <w:sz w:val="16"/>
              </w:rPr>
              <w:t>119,0</w:t>
            </w:r>
          </w:p>
        </w:tc>
        <w:tc>
          <w:tcPr>
            <w:tcW w:w="737" w:type="dxa"/>
            <w:tcBorders>
              <w:top w:val="nil"/>
              <w:left w:val="nil"/>
              <w:bottom w:val="nil"/>
              <w:right w:val="nil"/>
            </w:tcBorders>
            <w:shd w:val="clear" w:color="auto" w:fill="auto"/>
            <w:vAlign w:val="center"/>
          </w:tcPr>
          <w:p w14:paraId="3555D53D" w14:textId="2F3F255F" w:rsidR="005D05AB" w:rsidRPr="005D05AB" w:rsidRDefault="005D05AB" w:rsidP="00175043">
            <w:pPr>
              <w:spacing w:after="0" w:line="240" w:lineRule="auto"/>
              <w:jc w:val="center"/>
              <w:rPr>
                <w:rFonts w:cs="Arial"/>
                <w:color w:val="000000"/>
                <w:sz w:val="16"/>
                <w:szCs w:val="16"/>
              </w:rPr>
            </w:pPr>
            <w:r w:rsidRPr="005D05AB">
              <w:rPr>
                <w:sz w:val="16"/>
              </w:rPr>
              <w:t>185,9</w:t>
            </w:r>
          </w:p>
        </w:tc>
        <w:tc>
          <w:tcPr>
            <w:tcW w:w="736" w:type="dxa"/>
            <w:tcBorders>
              <w:top w:val="nil"/>
              <w:left w:val="nil"/>
              <w:bottom w:val="nil"/>
              <w:right w:val="nil"/>
            </w:tcBorders>
            <w:shd w:val="clear" w:color="auto" w:fill="auto"/>
            <w:vAlign w:val="center"/>
          </w:tcPr>
          <w:p w14:paraId="38E25ABB" w14:textId="248979A4" w:rsidR="005D05AB" w:rsidRPr="005D05AB" w:rsidRDefault="005D05AB" w:rsidP="00175043">
            <w:pPr>
              <w:spacing w:after="0" w:line="240" w:lineRule="auto"/>
              <w:jc w:val="center"/>
              <w:rPr>
                <w:rFonts w:cs="Arial"/>
                <w:color w:val="000000"/>
                <w:sz w:val="16"/>
                <w:szCs w:val="16"/>
              </w:rPr>
            </w:pPr>
            <w:r w:rsidRPr="005D05AB">
              <w:rPr>
                <w:sz w:val="16"/>
              </w:rPr>
              <w:t>79,9</w:t>
            </w:r>
          </w:p>
        </w:tc>
        <w:tc>
          <w:tcPr>
            <w:tcW w:w="736" w:type="dxa"/>
            <w:tcBorders>
              <w:top w:val="nil"/>
              <w:left w:val="nil"/>
              <w:bottom w:val="nil"/>
              <w:right w:val="nil"/>
            </w:tcBorders>
            <w:shd w:val="clear" w:color="auto" w:fill="auto"/>
            <w:vAlign w:val="center"/>
          </w:tcPr>
          <w:p w14:paraId="5EBF7C0B" w14:textId="490C5109" w:rsidR="005D05AB" w:rsidRPr="005D05AB" w:rsidRDefault="005D05AB" w:rsidP="00175043">
            <w:pPr>
              <w:spacing w:after="0" w:line="240" w:lineRule="auto"/>
              <w:jc w:val="center"/>
              <w:rPr>
                <w:rFonts w:cs="Arial"/>
                <w:color w:val="000000"/>
                <w:sz w:val="16"/>
                <w:szCs w:val="16"/>
              </w:rPr>
            </w:pPr>
            <w:r w:rsidRPr="005D05AB">
              <w:rPr>
                <w:sz w:val="16"/>
              </w:rPr>
              <w:t>106,0</w:t>
            </w:r>
          </w:p>
        </w:tc>
        <w:tc>
          <w:tcPr>
            <w:tcW w:w="754" w:type="dxa"/>
            <w:tcBorders>
              <w:top w:val="nil"/>
              <w:left w:val="single" w:sz="4" w:space="0" w:color="auto"/>
              <w:bottom w:val="nil"/>
              <w:right w:val="nil"/>
            </w:tcBorders>
            <w:shd w:val="clear" w:color="auto" w:fill="auto"/>
            <w:vAlign w:val="center"/>
          </w:tcPr>
          <w:p w14:paraId="7306901A" w14:textId="788D928B" w:rsidR="005D05AB" w:rsidRPr="005D05AB" w:rsidRDefault="005D05AB" w:rsidP="00175043">
            <w:pPr>
              <w:spacing w:after="0" w:line="240" w:lineRule="auto"/>
              <w:jc w:val="center"/>
              <w:rPr>
                <w:rFonts w:cs="Arial"/>
                <w:color w:val="000000"/>
                <w:sz w:val="16"/>
                <w:szCs w:val="16"/>
              </w:rPr>
            </w:pPr>
            <w:r w:rsidRPr="005D05AB">
              <w:rPr>
                <w:sz w:val="16"/>
              </w:rPr>
              <w:t>6,7</w:t>
            </w:r>
          </w:p>
        </w:tc>
        <w:tc>
          <w:tcPr>
            <w:tcW w:w="737" w:type="dxa"/>
            <w:tcBorders>
              <w:top w:val="nil"/>
              <w:left w:val="nil"/>
              <w:bottom w:val="nil"/>
              <w:right w:val="nil"/>
            </w:tcBorders>
            <w:shd w:val="clear" w:color="auto" w:fill="auto"/>
            <w:vAlign w:val="center"/>
          </w:tcPr>
          <w:p w14:paraId="5DD33B0A" w14:textId="6A3BDB40" w:rsidR="005D05AB" w:rsidRPr="005D05AB" w:rsidRDefault="005D05AB" w:rsidP="00175043">
            <w:pPr>
              <w:spacing w:after="0" w:line="240" w:lineRule="auto"/>
              <w:jc w:val="center"/>
              <w:rPr>
                <w:rFonts w:cs="Arial"/>
                <w:color w:val="000000"/>
                <w:sz w:val="16"/>
                <w:szCs w:val="16"/>
              </w:rPr>
            </w:pPr>
            <w:r w:rsidRPr="005D05AB">
              <w:rPr>
                <w:sz w:val="16"/>
              </w:rPr>
              <w:t>4,4</w:t>
            </w:r>
          </w:p>
        </w:tc>
        <w:tc>
          <w:tcPr>
            <w:tcW w:w="737" w:type="dxa"/>
            <w:tcBorders>
              <w:top w:val="nil"/>
              <w:left w:val="nil"/>
              <w:bottom w:val="nil"/>
              <w:right w:val="single" w:sz="4" w:space="0" w:color="auto"/>
            </w:tcBorders>
            <w:shd w:val="clear" w:color="auto" w:fill="auto"/>
            <w:vAlign w:val="center"/>
          </w:tcPr>
          <w:p w14:paraId="0B8CE9BE" w14:textId="155710BA" w:rsidR="005D05AB" w:rsidRPr="005D05AB" w:rsidRDefault="005D05AB" w:rsidP="00175043">
            <w:pPr>
              <w:spacing w:after="0" w:line="240" w:lineRule="auto"/>
              <w:jc w:val="center"/>
              <w:rPr>
                <w:rFonts w:cs="Arial"/>
                <w:color w:val="000000"/>
                <w:sz w:val="16"/>
                <w:szCs w:val="16"/>
              </w:rPr>
            </w:pPr>
            <w:r w:rsidRPr="005D05AB">
              <w:rPr>
                <w:sz w:val="16"/>
              </w:rPr>
              <w:t>2,3</w:t>
            </w:r>
          </w:p>
        </w:tc>
        <w:tc>
          <w:tcPr>
            <w:tcW w:w="737" w:type="dxa"/>
            <w:tcBorders>
              <w:top w:val="nil"/>
              <w:left w:val="nil"/>
              <w:bottom w:val="nil"/>
              <w:right w:val="nil"/>
            </w:tcBorders>
            <w:shd w:val="clear" w:color="auto" w:fill="auto"/>
            <w:vAlign w:val="center"/>
          </w:tcPr>
          <w:p w14:paraId="37EFE236" w14:textId="48296751" w:rsidR="005D05AB" w:rsidRPr="005D05AB" w:rsidRDefault="005D05AB" w:rsidP="00175043">
            <w:pPr>
              <w:spacing w:after="0" w:line="240" w:lineRule="auto"/>
              <w:jc w:val="center"/>
              <w:rPr>
                <w:rFonts w:cs="Arial"/>
                <w:color w:val="000000"/>
                <w:sz w:val="16"/>
                <w:szCs w:val="16"/>
              </w:rPr>
            </w:pPr>
            <w:r w:rsidRPr="005D05AB">
              <w:rPr>
                <w:sz w:val="16"/>
              </w:rPr>
              <w:t>25,4</w:t>
            </w:r>
          </w:p>
        </w:tc>
        <w:tc>
          <w:tcPr>
            <w:tcW w:w="737" w:type="dxa"/>
            <w:tcBorders>
              <w:top w:val="nil"/>
              <w:left w:val="nil"/>
              <w:bottom w:val="nil"/>
              <w:right w:val="nil"/>
            </w:tcBorders>
            <w:shd w:val="clear" w:color="auto" w:fill="auto"/>
            <w:vAlign w:val="center"/>
          </w:tcPr>
          <w:p w14:paraId="08C5F056" w14:textId="776D6DA8" w:rsidR="005D05AB" w:rsidRPr="005D05AB" w:rsidRDefault="005D05AB" w:rsidP="00175043">
            <w:pPr>
              <w:spacing w:after="0" w:line="240" w:lineRule="auto"/>
              <w:jc w:val="center"/>
              <w:rPr>
                <w:rFonts w:cs="Arial"/>
                <w:color w:val="000000"/>
                <w:sz w:val="16"/>
                <w:szCs w:val="16"/>
              </w:rPr>
            </w:pPr>
            <w:r w:rsidRPr="005D05AB">
              <w:rPr>
                <w:sz w:val="16"/>
              </w:rPr>
              <w:t>14,6</w:t>
            </w:r>
          </w:p>
        </w:tc>
        <w:tc>
          <w:tcPr>
            <w:tcW w:w="737" w:type="dxa"/>
            <w:tcBorders>
              <w:top w:val="nil"/>
              <w:left w:val="nil"/>
              <w:bottom w:val="nil"/>
              <w:right w:val="nil"/>
            </w:tcBorders>
            <w:shd w:val="clear" w:color="auto" w:fill="auto"/>
            <w:vAlign w:val="center"/>
          </w:tcPr>
          <w:p w14:paraId="2CA1C7FE" w14:textId="3C14C110" w:rsidR="005D05AB" w:rsidRPr="005D05AB" w:rsidRDefault="005D05AB" w:rsidP="00175043">
            <w:pPr>
              <w:spacing w:after="0" w:line="240" w:lineRule="auto"/>
              <w:jc w:val="center"/>
              <w:rPr>
                <w:rFonts w:cs="Arial"/>
                <w:color w:val="000000"/>
                <w:sz w:val="16"/>
                <w:szCs w:val="16"/>
              </w:rPr>
            </w:pPr>
            <w:r w:rsidRPr="005D05AB">
              <w:rPr>
                <w:sz w:val="16"/>
              </w:rPr>
              <w:t>10,7</w:t>
            </w:r>
          </w:p>
        </w:tc>
      </w:tr>
    </w:tbl>
    <w:p w14:paraId="27B18D1F" w14:textId="3E68E344" w:rsidR="004E6857" w:rsidRDefault="004E6857" w:rsidP="004E6857">
      <w:pPr>
        <w:spacing w:before="120" w:after="120" w:line="240" w:lineRule="auto"/>
        <w:jc w:val="both"/>
        <w:rPr>
          <w:rFonts w:cs="Arial"/>
          <w:color w:val="000000"/>
          <w:sz w:val="16"/>
          <w:szCs w:val="16"/>
        </w:rPr>
      </w:pPr>
      <w:r>
        <w:rPr>
          <w:rFonts w:cs="Arial"/>
          <w:color w:val="000000"/>
          <w:sz w:val="16"/>
          <w:szCs w:val="16"/>
        </w:rPr>
        <w:t>* Údaje za rok 2022 (celkem a pro nemoc) nejsou srovnatelné s údaji za ostatní roky.</w:t>
      </w:r>
    </w:p>
    <w:p w14:paraId="25DE504C" w14:textId="0458AD7C" w:rsidR="005D05AB" w:rsidRPr="00577417" w:rsidRDefault="005D05AB" w:rsidP="00C609FE">
      <w:pPr>
        <w:spacing w:before="120" w:after="120"/>
        <w:rPr>
          <w:rFonts w:cs="Arial"/>
          <w:color w:val="000000"/>
          <w:szCs w:val="16"/>
        </w:rPr>
      </w:pPr>
      <w:r w:rsidRPr="00577417">
        <w:rPr>
          <w:sz w:val="16"/>
        </w:rPr>
        <w:t>Zdroj: ČSÚ</w:t>
      </w:r>
    </w:p>
    <w:p w14:paraId="2AA14E5B" w14:textId="77777777" w:rsidR="00F52F02" w:rsidRPr="00C42FD6" w:rsidRDefault="00F52F02" w:rsidP="00F52F02">
      <w:pPr>
        <w:pStyle w:val="Nadpis3"/>
      </w:pPr>
      <w:bookmarkStart w:id="15" w:name="_Toc136412153"/>
      <w:bookmarkStart w:id="16" w:name="_Toc167965228"/>
      <w:r w:rsidRPr="00E9405E">
        <w:t>4.3 Ukončené případy dočasné pracovní neschopnosti</w:t>
      </w:r>
      <w:bookmarkEnd w:id="15"/>
      <w:bookmarkEnd w:id="16"/>
    </w:p>
    <w:p w14:paraId="0947CA22" w14:textId="77777777" w:rsidR="00F52F02" w:rsidRPr="00251BF8" w:rsidRDefault="00F52F02" w:rsidP="00F52F02">
      <w:pPr>
        <w:spacing w:after="120"/>
        <w:jc w:val="both"/>
      </w:pPr>
      <w:r w:rsidRPr="00251BF8">
        <w:t xml:space="preserve">Zatímco doposud se analýza týkala </w:t>
      </w:r>
      <w:r w:rsidRPr="00251BF8">
        <w:rPr>
          <w:b/>
        </w:rPr>
        <w:t>nově hlášených případů</w:t>
      </w:r>
      <w:r w:rsidRPr="00251BF8">
        <w:t xml:space="preserve"> dočasné pracovní neschopnosti (kapitola 4.2), které ČSÚ zpracovává z evidence ČSSZ, jiný pohled nabízí data o </w:t>
      </w:r>
      <w:r w:rsidRPr="00251BF8">
        <w:rPr>
          <w:b/>
        </w:rPr>
        <w:t>ukončených případech pracovní neschopnosti</w:t>
      </w:r>
      <w:r w:rsidRPr="00251BF8">
        <w:t xml:space="preserve"> přímo publikovaná ČSSZ. Rozdíly v počtech nově hlášených a ukončených případů dočasné pracovní neschopnosti jsou dány odlišnou metodikou sběru dat. Trendy vývoje těchto ukazatelů jsou však konzistentní.</w:t>
      </w:r>
    </w:p>
    <w:p w14:paraId="2222425C" w14:textId="77777777" w:rsidR="00F52F02" w:rsidRPr="00EE02F9" w:rsidRDefault="00F52F02" w:rsidP="00F52F02">
      <w:pPr>
        <w:spacing w:before="120" w:after="120"/>
        <w:jc w:val="both"/>
      </w:pPr>
      <w:r w:rsidRPr="00251BF8">
        <w:t xml:space="preserve">Na rozdíl od statistik nově hlášených případů, ČSSZ publikuje údaje z hlediska </w:t>
      </w:r>
      <w:r w:rsidRPr="00251BF8">
        <w:rPr>
          <w:b/>
        </w:rPr>
        <w:t>případů ukončených ve sledovaném roce</w:t>
      </w:r>
      <w:r w:rsidRPr="00251BF8">
        <w:t>. Případy vzniklé na konci roku přesahující do roku dalšího jsou evidovány až ve zpracování dat roku následujícího. Pro dokreslení pohledu na statistiku nemocnosti byla vybraná data z tohoto</w:t>
      </w:r>
      <w:r w:rsidRPr="00EE02F9">
        <w:t xml:space="preserve"> zdroje využita v této kapitole. Data o ukončených případech jsou k dispozici v třídění z pohledu pojištěnce, nikoliv zaměstnavatele, jak tomu bylo u nově hlášených případů. ČSSZ třídí data např. podle věku dočasně práce </w:t>
      </w:r>
      <w:r w:rsidRPr="00E9405E">
        <w:t xml:space="preserve">neschopných, </w:t>
      </w:r>
      <w:r w:rsidRPr="00D264DA">
        <w:t>krajů místní příslušnosti lékaře</w:t>
      </w:r>
      <w:r w:rsidRPr="00E9405E">
        <w:t xml:space="preserve"> či skupin diagnóz.</w:t>
      </w:r>
    </w:p>
    <w:p w14:paraId="17588C41" w14:textId="77777777" w:rsidR="00F52F02" w:rsidRPr="00EE02F9" w:rsidRDefault="00F52F02" w:rsidP="00F52F02">
      <w:pPr>
        <w:pStyle w:val="Box1"/>
        <w:spacing w:before="120" w:after="120"/>
        <w:ind w:left="0"/>
        <w:contextualSpacing w:val="0"/>
        <w:jc w:val="both"/>
        <w:rPr>
          <w:i/>
        </w:rPr>
      </w:pPr>
      <w:r w:rsidRPr="00EE02F9">
        <w:rPr>
          <w:b/>
          <w:i/>
        </w:rPr>
        <w:t xml:space="preserve">Ukončené případy pracovní neschopnosti </w:t>
      </w:r>
      <w:r w:rsidRPr="00EE02F9">
        <w:rPr>
          <w:i/>
        </w:rPr>
        <w:t>– zahrnují veškerá onemocnění a úrazy, které zapříčinily alespoň jednodenní pracovní neschopnost u nemocensky pojištěných os</w:t>
      </w:r>
      <w:r>
        <w:rPr>
          <w:i/>
        </w:rPr>
        <w:t>ob ukončenou v daném roce</w:t>
      </w:r>
      <w:r w:rsidRPr="00EE02F9">
        <w:rPr>
          <w:i/>
        </w:rPr>
        <w:t>. Nezahrnuje tedy onemocnění a úrazy, u nichž pracovní neschopnost přesahovala do dalšího roku/období, ani ty případy, kdy nebylo vystaveno „Rozhodnutí o dočasné pracovní neschopnosti“.</w:t>
      </w:r>
    </w:p>
    <w:p w14:paraId="1477019B" w14:textId="45F4B56C" w:rsidR="00425FEB" w:rsidRDefault="00F52F02" w:rsidP="00425FEB">
      <w:pPr>
        <w:spacing w:before="120" w:after="120"/>
        <w:jc w:val="both"/>
      </w:pPr>
      <w:r w:rsidRPr="00251BF8">
        <w:t>ČSSZ za rok 202</w:t>
      </w:r>
      <w:r w:rsidR="00DD5A0D" w:rsidRPr="00251BF8">
        <w:t>3</w:t>
      </w:r>
      <w:r w:rsidRPr="00251BF8">
        <w:t xml:space="preserve"> evidovala </w:t>
      </w:r>
      <w:r w:rsidR="00425FEB" w:rsidRPr="00251BF8">
        <w:t>2 529</w:t>
      </w:r>
      <w:r w:rsidRPr="00251BF8">
        <w:t xml:space="preserve"> tis. ukončených případů dočasné pracovní neschopnosti, což je</w:t>
      </w:r>
      <w:r w:rsidR="00425FEB" w:rsidRPr="00251BF8">
        <w:t xml:space="preserve"> o 3</w:t>
      </w:r>
      <w:r w:rsidRPr="00251BF8">
        <w:t>8 % více než v roce 2019 (tedy</w:t>
      </w:r>
      <w:r w:rsidRPr="00EE02F9">
        <w:t xml:space="preserve"> před vypuknutím pandemie).</w:t>
      </w:r>
      <w:r w:rsidR="00425FEB">
        <w:t xml:space="preserve"> </w:t>
      </w:r>
      <w:r w:rsidR="00425FEB" w:rsidRPr="00D264DA">
        <w:t xml:space="preserve">Největší nárůst </w:t>
      </w:r>
      <w:r w:rsidR="00385A76" w:rsidRPr="00D264DA">
        <w:t xml:space="preserve">od roku 2019 </w:t>
      </w:r>
      <w:r w:rsidR="00425FEB" w:rsidRPr="00D264DA">
        <w:t>zaznamenala Praha (61</w:t>
      </w:r>
      <w:r w:rsidR="00D264DA" w:rsidRPr="00D264DA">
        <w:t> %</w:t>
      </w:r>
      <w:r w:rsidR="00425FEB" w:rsidRPr="00D264DA">
        <w:t>) a Jihomoravský kraj (51 %).</w:t>
      </w:r>
      <w:r w:rsidR="00425FEB" w:rsidRPr="00752C73">
        <w:t xml:space="preserve"> </w:t>
      </w:r>
    </w:p>
    <w:p w14:paraId="146E44A3" w14:textId="0090544B" w:rsidR="0097475C" w:rsidRDefault="0097475C" w:rsidP="0097475C">
      <w:pPr>
        <w:spacing w:before="120" w:after="120"/>
        <w:jc w:val="both"/>
      </w:pPr>
      <w:r w:rsidRPr="00752C73">
        <w:lastRenderedPageBreak/>
        <w:t xml:space="preserve">Celková </w:t>
      </w:r>
      <w:r w:rsidRPr="00752C73">
        <w:rPr>
          <w:b/>
        </w:rPr>
        <w:t>prostonaná doba</w:t>
      </w:r>
      <w:r w:rsidRPr="00752C73">
        <w:t xml:space="preserve"> v </w:t>
      </w:r>
      <w:r w:rsidRPr="00251BF8">
        <w:t>roce 2023 činila 78 377 tis. dnů, což je o 3 318 tis. dnů více než v roce 2019. Jeden případ dočasné pracovní neschopnosti trval průměrně 31 d</w:t>
      </w:r>
      <w:r w:rsidRPr="00752C73">
        <w:t>n</w:t>
      </w:r>
      <w:r>
        <w:t>ů</w:t>
      </w:r>
      <w:r w:rsidRPr="00752C73">
        <w:t xml:space="preserve">. </w:t>
      </w:r>
      <w:r w:rsidRPr="00D264DA">
        <w:t>V průměru nejdelší pracovní neschopnost si vyžádaly nemoci a úrazy v Moravskoslezském a Zlínském kraji, a sice 39 resp. 37 dnů na jednu pracovní neschopnost.</w:t>
      </w:r>
      <w:r w:rsidR="00B61BF6">
        <w:t xml:space="preserve"> Naopak </w:t>
      </w:r>
      <w:r w:rsidR="00D264DA">
        <w:t>nejkratší doba trvání se s velkým odstupem od ostatních krajů drží v Praze (24 dnů)</w:t>
      </w:r>
      <w:r w:rsidR="00D05A05">
        <w:t xml:space="preserve"> </w:t>
      </w:r>
      <w:r w:rsidR="00D264DA">
        <w:t>a ve Středočeském kraji (28 dnů).</w:t>
      </w:r>
      <w:r w:rsidR="003546CF">
        <w:t xml:space="preserve"> </w:t>
      </w:r>
    </w:p>
    <w:p w14:paraId="1BEE3B52" w14:textId="655480DD" w:rsidR="0097475C" w:rsidRPr="00752C73" w:rsidRDefault="0097475C" w:rsidP="00425FEB">
      <w:pPr>
        <w:spacing w:before="120" w:after="120"/>
        <w:jc w:val="both"/>
      </w:pPr>
      <w:r w:rsidRPr="00251BF8">
        <w:t xml:space="preserve">Doba, po kterou průměrná pracovní neschopnost trvala, rostla </w:t>
      </w:r>
      <w:r w:rsidRPr="00251BF8">
        <w:rPr>
          <w:b/>
        </w:rPr>
        <w:t>s věkem</w:t>
      </w:r>
      <w:r w:rsidRPr="00251BF8">
        <w:t xml:space="preserve"> (viz tab. 3.2), a to od 14,2 dne ve věkové skupině osob mladších 20 let až po 51 dnů ve věkové skupině 60letých a starších. To je způsobeno zejména vyšším zastoupením krátkodobých případů pracovní neschopnosti pro nemoci dýchací soustavy v mladším věku, a naopak nárůstem dlouhodobých případů pracovní neschopnosti pro nádorová onemocnění a nemoci oběhové soustavy se zvyšujícím se věkem. Zatímco v roce 2019 trvala průměrná neschopenka žen 43</w:t>
      </w:r>
      <w:r w:rsidR="002C474B" w:rsidRPr="00251BF8">
        <w:t xml:space="preserve"> dnů</w:t>
      </w:r>
      <w:r w:rsidRPr="00251BF8">
        <w:t xml:space="preserve"> a mužů 39 dnů, o 4 roky později se </w:t>
      </w:r>
      <w:r w:rsidR="00D264DA">
        <w:t>poměr obrátil a rozdíl snížil</w:t>
      </w:r>
      <w:r w:rsidRPr="00251BF8">
        <w:t>. Ženy strávily v pracovní neschopnosti v průměru o </w:t>
      </w:r>
      <w:r w:rsidR="002C474B" w:rsidRPr="00251BF8">
        <w:t>0,</w:t>
      </w:r>
      <w:r w:rsidR="00C470D1" w:rsidRPr="00251BF8">
        <w:t>5</w:t>
      </w:r>
      <w:r w:rsidRPr="00251BF8">
        <w:t> </w:t>
      </w:r>
      <w:r w:rsidR="00385A76">
        <w:t>dne</w:t>
      </w:r>
      <w:r w:rsidR="00385A76" w:rsidRPr="00251BF8">
        <w:t xml:space="preserve"> </w:t>
      </w:r>
      <w:r w:rsidR="00DD5A0D" w:rsidRPr="00251BF8">
        <w:t>méně</w:t>
      </w:r>
      <w:r w:rsidRPr="00251BF8">
        <w:t xml:space="preserve"> v přepočtu na 1 případ než muži. Průměrná doba trvání ukončeného případu pracovní neschopnosti žen činila 30,8 dn</w:t>
      </w:r>
      <w:r w:rsidR="00D05A05">
        <w:t>e</w:t>
      </w:r>
      <w:r w:rsidRPr="00251BF8">
        <w:t xml:space="preserve">, u mužů to bylo 31,3 dne. Bez ohledu na pohlaví došlo </w:t>
      </w:r>
      <w:r w:rsidR="00DD5A0D" w:rsidRPr="00251BF8">
        <w:t xml:space="preserve">oproti roku 2019 </w:t>
      </w:r>
      <w:r w:rsidRPr="00251BF8">
        <w:t>ke zkrácení průměrného trvání o 10 dní. Průměrná délka trvání ukončeného případu pracovní neschopnosti pro 60leté a starší muže klesla o 16,5 dne. U žen v tomto věku o 12 dnů.</w:t>
      </w:r>
    </w:p>
    <w:p w14:paraId="38ED513C" w14:textId="2059E222" w:rsidR="00F52F02" w:rsidRPr="00F52F02" w:rsidRDefault="00F52F02" w:rsidP="00F52F02">
      <w:pPr>
        <w:spacing w:after="0" w:line="240" w:lineRule="auto"/>
        <w:jc w:val="both"/>
        <w:rPr>
          <w:rFonts w:cs="Arial"/>
          <w:b/>
          <w:bCs/>
          <w:color w:val="000000"/>
          <w:szCs w:val="20"/>
        </w:rPr>
      </w:pPr>
      <w:r w:rsidRPr="00F52F02">
        <w:rPr>
          <w:rFonts w:cs="Arial"/>
          <w:b/>
          <w:bCs/>
          <w:color w:val="000000"/>
          <w:szCs w:val="20"/>
        </w:rPr>
        <w:t>Tab. 3.1: Ukončené případy dočasné pracovní neschopnosti podle krajů ČR, 2019, 202</w:t>
      </w:r>
      <w:r w:rsidR="00D264DA">
        <w:rPr>
          <w:rFonts w:cs="Arial"/>
          <w:b/>
          <w:bCs/>
          <w:color w:val="000000"/>
          <w:szCs w:val="20"/>
        </w:rPr>
        <w:t>1</w:t>
      </w:r>
      <w:r w:rsidRPr="00F52F02">
        <w:rPr>
          <w:rFonts w:cs="Arial"/>
          <w:b/>
          <w:bCs/>
          <w:color w:val="000000"/>
          <w:szCs w:val="20"/>
        </w:rPr>
        <w:t>, 2023</w:t>
      </w:r>
    </w:p>
    <w:tbl>
      <w:tblPr>
        <w:tblW w:w="9633" w:type="dxa"/>
        <w:tblCellMar>
          <w:left w:w="70" w:type="dxa"/>
          <w:right w:w="70" w:type="dxa"/>
        </w:tblCellMar>
        <w:tblLook w:val="04A0" w:firstRow="1" w:lastRow="0" w:firstColumn="1" w:lastColumn="0" w:noHBand="0" w:noVBand="1"/>
      </w:tblPr>
      <w:tblGrid>
        <w:gridCol w:w="1980"/>
        <w:gridCol w:w="850"/>
        <w:gridCol w:w="850"/>
        <w:gridCol w:w="851"/>
        <w:gridCol w:w="850"/>
        <w:gridCol w:w="850"/>
        <w:gridCol w:w="851"/>
        <w:gridCol w:w="850"/>
        <w:gridCol w:w="850"/>
        <w:gridCol w:w="851"/>
      </w:tblGrid>
      <w:tr w:rsidR="00425FEB" w:rsidRPr="00EE02F9" w14:paraId="73CB40C0" w14:textId="77777777" w:rsidTr="0097475C">
        <w:trPr>
          <w:trHeight w:val="615"/>
        </w:trPr>
        <w:tc>
          <w:tcPr>
            <w:tcW w:w="1980" w:type="dxa"/>
            <w:vMerge w:val="restart"/>
            <w:tcBorders>
              <w:top w:val="single" w:sz="4" w:space="0" w:color="auto"/>
              <w:left w:val="nil"/>
              <w:bottom w:val="single" w:sz="4" w:space="0" w:color="000000"/>
              <w:right w:val="single" w:sz="4" w:space="0" w:color="auto"/>
            </w:tcBorders>
            <w:shd w:val="clear" w:color="000000" w:fill="F2DCDB"/>
            <w:vAlign w:val="center"/>
            <w:hideMark/>
          </w:tcPr>
          <w:p w14:paraId="7F7EE03B" w14:textId="77777777" w:rsidR="00425FEB" w:rsidRPr="00EE02F9" w:rsidRDefault="00425FEB" w:rsidP="0097475C">
            <w:pPr>
              <w:spacing w:after="0" w:line="240" w:lineRule="auto"/>
              <w:jc w:val="center"/>
              <w:rPr>
                <w:rFonts w:cs="Arial"/>
                <w:color w:val="000000"/>
                <w:sz w:val="16"/>
                <w:szCs w:val="16"/>
              </w:rPr>
            </w:pPr>
            <w:r w:rsidRPr="00EE02F9">
              <w:rPr>
                <w:rFonts w:cs="Arial"/>
                <w:color w:val="000000"/>
                <w:sz w:val="16"/>
                <w:szCs w:val="16"/>
              </w:rPr>
              <w:t>Kraj ČR</w:t>
            </w:r>
          </w:p>
        </w:tc>
        <w:tc>
          <w:tcPr>
            <w:tcW w:w="2551" w:type="dxa"/>
            <w:gridSpan w:val="3"/>
            <w:tcBorders>
              <w:top w:val="single" w:sz="4" w:space="0" w:color="auto"/>
              <w:left w:val="nil"/>
              <w:bottom w:val="single" w:sz="4" w:space="0" w:color="auto"/>
              <w:right w:val="single" w:sz="4" w:space="0" w:color="000000"/>
            </w:tcBorders>
            <w:shd w:val="clear" w:color="000000" w:fill="F2DCDB"/>
            <w:vAlign w:val="center"/>
            <w:hideMark/>
          </w:tcPr>
          <w:p w14:paraId="416D2714" w14:textId="77777777" w:rsidR="00425FEB" w:rsidRPr="00EE02F9" w:rsidRDefault="00425FEB" w:rsidP="0097475C">
            <w:pPr>
              <w:spacing w:after="0" w:line="240" w:lineRule="auto"/>
              <w:jc w:val="center"/>
              <w:rPr>
                <w:rFonts w:cs="Arial"/>
                <w:color w:val="000000"/>
                <w:sz w:val="16"/>
                <w:szCs w:val="16"/>
              </w:rPr>
            </w:pPr>
            <w:r w:rsidRPr="00EE02F9">
              <w:rPr>
                <w:rFonts w:cs="Arial"/>
                <w:color w:val="000000"/>
                <w:sz w:val="16"/>
                <w:szCs w:val="16"/>
              </w:rPr>
              <w:t>Počet ukončených případů DPN (tis.)</w:t>
            </w:r>
          </w:p>
        </w:tc>
        <w:tc>
          <w:tcPr>
            <w:tcW w:w="2551" w:type="dxa"/>
            <w:gridSpan w:val="3"/>
            <w:tcBorders>
              <w:top w:val="single" w:sz="4" w:space="0" w:color="auto"/>
              <w:left w:val="nil"/>
              <w:bottom w:val="single" w:sz="4" w:space="0" w:color="auto"/>
              <w:right w:val="single" w:sz="4" w:space="0" w:color="000000"/>
            </w:tcBorders>
            <w:shd w:val="clear" w:color="000000" w:fill="F2DCDB"/>
            <w:vAlign w:val="center"/>
            <w:hideMark/>
          </w:tcPr>
          <w:p w14:paraId="1380F69F" w14:textId="77777777" w:rsidR="00425FEB" w:rsidRPr="00EE02F9" w:rsidRDefault="00425FEB" w:rsidP="0097475C">
            <w:pPr>
              <w:spacing w:after="0" w:line="240" w:lineRule="auto"/>
              <w:jc w:val="center"/>
              <w:rPr>
                <w:rFonts w:cs="Arial"/>
                <w:color w:val="000000"/>
                <w:sz w:val="16"/>
                <w:szCs w:val="16"/>
              </w:rPr>
            </w:pPr>
            <w:r w:rsidRPr="00EE02F9">
              <w:rPr>
                <w:rFonts w:cs="Arial"/>
                <w:color w:val="000000"/>
                <w:sz w:val="16"/>
                <w:szCs w:val="16"/>
              </w:rPr>
              <w:t>Počet prostonaných dnů (tis.)</w:t>
            </w:r>
          </w:p>
        </w:tc>
        <w:tc>
          <w:tcPr>
            <w:tcW w:w="2551" w:type="dxa"/>
            <w:gridSpan w:val="3"/>
            <w:tcBorders>
              <w:top w:val="single" w:sz="4" w:space="0" w:color="auto"/>
              <w:left w:val="nil"/>
              <w:bottom w:val="single" w:sz="4" w:space="0" w:color="auto"/>
              <w:right w:val="nil"/>
            </w:tcBorders>
            <w:shd w:val="clear" w:color="000000" w:fill="F2DCDB"/>
            <w:vAlign w:val="center"/>
            <w:hideMark/>
          </w:tcPr>
          <w:p w14:paraId="5581E8C2" w14:textId="60A6342E" w:rsidR="00425FEB" w:rsidRPr="00EE02F9" w:rsidRDefault="00425FEB" w:rsidP="0097475C">
            <w:pPr>
              <w:spacing w:after="0" w:line="240" w:lineRule="auto"/>
              <w:jc w:val="center"/>
              <w:rPr>
                <w:rFonts w:cs="Arial"/>
                <w:color w:val="000000"/>
                <w:sz w:val="16"/>
                <w:szCs w:val="16"/>
              </w:rPr>
            </w:pPr>
            <w:r w:rsidRPr="00EE02F9">
              <w:rPr>
                <w:rFonts w:cs="Arial"/>
                <w:color w:val="000000"/>
                <w:sz w:val="16"/>
                <w:szCs w:val="16"/>
              </w:rPr>
              <w:t xml:space="preserve">Průměrná délka trvání </w:t>
            </w:r>
            <w:r w:rsidR="0097475C">
              <w:rPr>
                <w:rFonts w:cs="Arial"/>
                <w:color w:val="000000"/>
                <w:sz w:val="16"/>
                <w:szCs w:val="16"/>
              </w:rPr>
              <w:t xml:space="preserve">1 </w:t>
            </w:r>
            <w:r w:rsidRPr="00EE02F9">
              <w:rPr>
                <w:rFonts w:cs="Arial"/>
                <w:color w:val="000000"/>
                <w:sz w:val="16"/>
                <w:szCs w:val="16"/>
              </w:rPr>
              <w:t>případu DPN ve dnech</w:t>
            </w:r>
          </w:p>
        </w:tc>
      </w:tr>
      <w:tr w:rsidR="00D264DA" w:rsidRPr="00EE02F9" w14:paraId="6E56D701" w14:textId="77777777" w:rsidTr="00425FEB">
        <w:trPr>
          <w:trHeight w:val="390"/>
        </w:trPr>
        <w:tc>
          <w:tcPr>
            <w:tcW w:w="1980" w:type="dxa"/>
            <w:vMerge/>
            <w:tcBorders>
              <w:top w:val="single" w:sz="4" w:space="0" w:color="auto"/>
              <w:left w:val="nil"/>
              <w:bottom w:val="single" w:sz="4" w:space="0" w:color="000000"/>
              <w:right w:val="single" w:sz="4" w:space="0" w:color="auto"/>
            </w:tcBorders>
            <w:vAlign w:val="center"/>
            <w:hideMark/>
          </w:tcPr>
          <w:p w14:paraId="578003A1" w14:textId="77777777" w:rsidR="00D264DA" w:rsidRPr="00EE02F9" w:rsidRDefault="00D264DA" w:rsidP="00D264DA">
            <w:pPr>
              <w:spacing w:after="0" w:line="240" w:lineRule="auto"/>
              <w:rPr>
                <w:rFonts w:cs="Arial"/>
                <w:color w:val="000000"/>
                <w:sz w:val="16"/>
                <w:szCs w:val="16"/>
              </w:rPr>
            </w:pPr>
          </w:p>
        </w:tc>
        <w:tc>
          <w:tcPr>
            <w:tcW w:w="850" w:type="dxa"/>
            <w:tcBorders>
              <w:top w:val="nil"/>
              <w:left w:val="nil"/>
              <w:bottom w:val="single" w:sz="4" w:space="0" w:color="auto"/>
              <w:right w:val="single" w:sz="4" w:space="0" w:color="auto"/>
            </w:tcBorders>
            <w:shd w:val="clear" w:color="000000" w:fill="F2DCDB"/>
            <w:vAlign w:val="center"/>
            <w:hideMark/>
          </w:tcPr>
          <w:p w14:paraId="65181752" w14:textId="77777777" w:rsidR="00D264DA" w:rsidRPr="00EE02F9" w:rsidRDefault="00D264DA" w:rsidP="00D264DA">
            <w:pPr>
              <w:spacing w:after="0" w:line="240" w:lineRule="auto"/>
              <w:jc w:val="center"/>
              <w:rPr>
                <w:rFonts w:cs="Arial"/>
                <w:color w:val="000000"/>
                <w:sz w:val="16"/>
                <w:szCs w:val="16"/>
              </w:rPr>
            </w:pPr>
            <w:r w:rsidRPr="00EE02F9">
              <w:rPr>
                <w:rFonts w:cs="Arial"/>
                <w:color w:val="000000"/>
                <w:sz w:val="16"/>
                <w:szCs w:val="16"/>
              </w:rPr>
              <w:t>2019</w:t>
            </w:r>
          </w:p>
        </w:tc>
        <w:tc>
          <w:tcPr>
            <w:tcW w:w="850" w:type="dxa"/>
            <w:tcBorders>
              <w:top w:val="nil"/>
              <w:left w:val="nil"/>
              <w:bottom w:val="single" w:sz="4" w:space="0" w:color="auto"/>
              <w:right w:val="single" w:sz="4" w:space="0" w:color="auto"/>
            </w:tcBorders>
            <w:shd w:val="clear" w:color="000000" w:fill="F2DCDB"/>
            <w:vAlign w:val="center"/>
            <w:hideMark/>
          </w:tcPr>
          <w:p w14:paraId="68438AD7" w14:textId="67314B89" w:rsidR="00D264DA" w:rsidRPr="00EE02F9" w:rsidRDefault="00D264DA" w:rsidP="00D264DA">
            <w:pPr>
              <w:spacing w:after="0" w:line="240" w:lineRule="auto"/>
              <w:jc w:val="center"/>
              <w:rPr>
                <w:rFonts w:cs="Arial"/>
                <w:color w:val="000000"/>
                <w:sz w:val="16"/>
                <w:szCs w:val="16"/>
              </w:rPr>
            </w:pPr>
            <w:r>
              <w:rPr>
                <w:rFonts w:cs="Arial"/>
                <w:color w:val="000000"/>
                <w:sz w:val="16"/>
                <w:szCs w:val="16"/>
              </w:rPr>
              <w:t>2021</w:t>
            </w:r>
          </w:p>
        </w:tc>
        <w:tc>
          <w:tcPr>
            <w:tcW w:w="851" w:type="dxa"/>
            <w:tcBorders>
              <w:top w:val="nil"/>
              <w:left w:val="nil"/>
              <w:bottom w:val="single" w:sz="4" w:space="0" w:color="auto"/>
              <w:right w:val="single" w:sz="4" w:space="0" w:color="auto"/>
            </w:tcBorders>
            <w:shd w:val="clear" w:color="000000" w:fill="F2DCDB"/>
            <w:vAlign w:val="center"/>
          </w:tcPr>
          <w:p w14:paraId="02324316" w14:textId="398BCCDE" w:rsidR="00D264DA" w:rsidRPr="00EE02F9" w:rsidRDefault="00D264DA" w:rsidP="00D264DA">
            <w:pPr>
              <w:spacing w:after="0" w:line="240" w:lineRule="auto"/>
              <w:jc w:val="center"/>
              <w:rPr>
                <w:rFonts w:cs="Arial"/>
                <w:color w:val="000000"/>
                <w:sz w:val="16"/>
                <w:szCs w:val="16"/>
              </w:rPr>
            </w:pPr>
            <w:r>
              <w:rPr>
                <w:rFonts w:cs="Arial"/>
                <w:color w:val="000000"/>
                <w:sz w:val="16"/>
                <w:szCs w:val="16"/>
              </w:rPr>
              <w:t>2023</w:t>
            </w:r>
          </w:p>
        </w:tc>
        <w:tc>
          <w:tcPr>
            <w:tcW w:w="850" w:type="dxa"/>
            <w:tcBorders>
              <w:top w:val="nil"/>
              <w:left w:val="nil"/>
              <w:bottom w:val="single" w:sz="4" w:space="0" w:color="auto"/>
              <w:right w:val="single" w:sz="4" w:space="0" w:color="auto"/>
            </w:tcBorders>
            <w:shd w:val="clear" w:color="000000" w:fill="F2DCDB"/>
            <w:vAlign w:val="center"/>
            <w:hideMark/>
          </w:tcPr>
          <w:p w14:paraId="5D444276" w14:textId="77777777" w:rsidR="00D264DA" w:rsidRPr="00EE02F9" w:rsidRDefault="00D264DA" w:rsidP="00D264DA">
            <w:pPr>
              <w:spacing w:after="0" w:line="240" w:lineRule="auto"/>
              <w:jc w:val="center"/>
              <w:rPr>
                <w:rFonts w:cs="Arial"/>
                <w:color w:val="000000"/>
                <w:sz w:val="16"/>
                <w:szCs w:val="16"/>
              </w:rPr>
            </w:pPr>
            <w:r w:rsidRPr="00EE02F9">
              <w:rPr>
                <w:rFonts w:cs="Arial"/>
                <w:color w:val="000000"/>
                <w:sz w:val="16"/>
                <w:szCs w:val="16"/>
              </w:rPr>
              <w:t>2019</w:t>
            </w:r>
          </w:p>
        </w:tc>
        <w:tc>
          <w:tcPr>
            <w:tcW w:w="850" w:type="dxa"/>
            <w:tcBorders>
              <w:top w:val="nil"/>
              <w:left w:val="nil"/>
              <w:bottom w:val="single" w:sz="4" w:space="0" w:color="auto"/>
              <w:right w:val="single" w:sz="4" w:space="0" w:color="auto"/>
            </w:tcBorders>
            <w:shd w:val="clear" w:color="000000" w:fill="F2DCDB"/>
            <w:vAlign w:val="center"/>
            <w:hideMark/>
          </w:tcPr>
          <w:p w14:paraId="1EB68DCD" w14:textId="5E18B105" w:rsidR="00D264DA" w:rsidRPr="00EE02F9" w:rsidRDefault="00D264DA" w:rsidP="00D264DA">
            <w:pPr>
              <w:spacing w:after="0" w:line="240" w:lineRule="auto"/>
              <w:jc w:val="center"/>
              <w:rPr>
                <w:rFonts w:cs="Arial"/>
                <w:color w:val="000000"/>
                <w:sz w:val="16"/>
                <w:szCs w:val="16"/>
              </w:rPr>
            </w:pPr>
            <w:r>
              <w:rPr>
                <w:rFonts w:cs="Arial"/>
                <w:color w:val="000000"/>
                <w:sz w:val="16"/>
                <w:szCs w:val="16"/>
              </w:rPr>
              <w:t>2021</w:t>
            </w:r>
          </w:p>
        </w:tc>
        <w:tc>
          <w:tcPr>
            <w:tcW w:w="851" w:type="dxa"/>
            <w:tcBorders>
              <w:top w:val="nil"/>
              <w:left w:val="nil"/>
              <w:bottom w:val="single" w:sz="4" w:space="0" w:color="auto"/>
              <w:right w:val="single" w:sz="4" w:space="0" w:color="auto"/>
            </w:tcBorders>
            <w:shd w:val="clear" w:color="000000" w:fill="F2DCDB"/>
            <w:vAlign w:val="center"/>
          </w:tcPr>
          <w:p w14:paraId="5C6AAF49" w14:textId="6519C4FF" w:rsidR="00D264DA" w:rsidRPr="00EE02F9" w:rsidRDefault="00D264DA" w:rsidP="00D264DA">
            <w:pPr>
              <w:spacing w:after="0" w:line="240" w:lineRule="auto"/>
              <w:jc w:val="center"/>
              <w:rPr>
                <w:rFonts w:cs="Arial"/>
                <w:color w:val="000000"/>
                <w:sz w:val="16"/>
                <w:szCs w:val="16"/>
              </w:rPr>
            </w:pPr>
            <w:r>
              <w:rPr>
                <w:rFonts w:cs="Arial"/>
                <w:color w:val="000000"/>
                <w:sz w:val="16"/>
                <w:szCs w:val="16"/>
              </w:rPr>
              <w:t>2023</w:t>
            </w:r>
          </w:p>
        </w:tc>
        <w:tc>
          <w:tcPr>
            <w:tcW w:w="850" w:type="dxa"/>
            <w:tcBorders>
              <w:top w:val="nil"/>
              <w:left w:val="nil"/>
              <w:bottom w:val="single" w:sz="4" w:space="0" w:color="auto"/>
              <w:right w:val="single" w:sz="4" w:space="0" w:color="auto"/>
            </w:tcBorders>
            <w:shd w:val="clear" w:color="000000" w:fill="F2DCDB"/>
            <w:vAlign w:val="center"/>
            <w:hideMark/>
          </w:tcPr>
          <w:p w14:paraId="03D37E1B" w14:textId="77777777" w:rsidR="00D264DA" w:rsidRPr="00EE02F9" w:rsidRDefault="00D264DA" w:rsidP="00D264DA">
            <w:pPr>
              <w:spacing w:after="0" w:line="240" w:lineRule="auto"/>
              <w:jc w:val="center"/>
              <w:rPr>
                <w:rFonts w:cs="Arial"/>
                <w:color w:val="000000"/>
                <w:sz w:val="16"/>
                <w:szCs w:val="16"/>
              </w:rPr>
            </w:pPr>
            <w:r w:rsidRPr="00EE02F9">
              <w:rPr>
                <w:rFonts w:cs="Arial"/>
                <w:color w:val="000000"/>
                <w:sz w:val="16"/>
                <w:szCs w:val="16"/>
              </w:rPr>
              <w:t>2019</w:t>
            </w:r>
          </w:p>
        </w:tc>
        <w:tc>
          <w:tcPr>
            <w:tcW w:w="850" w:type="dxa"/>
            <w:tcBorders>
              <w:top w:val="nil"/>
              <w:left w:val="nil"/>
              <w:bottom w:val="single" w:sz="4" w:space="0" w:color="auto"/>
              <w:right w:val="nil"/>
            </w:tcBorders>
            <w:shd w:val="clear" w:color="000000" w:fill="F2DCDB"/>
            <w:vAlign w:val="center"/>
            <w:hideMark/>
          </w:tcPr>
          <w:p w14:paraId="63998B94" w14:textId="2142D48C" w:rsidR="00D264DA" w:rsidRPr="00EE02F9" w:rsidRDefault="00D264DA" w:rsidP="00D264DA">
            <w:pPr>
              <w:spacing w:after="0" w:line="240" w:lineRule="auto"/>
              <w:jc w:val="center"/>
              <w:rPr>
                <w:rFonts w:cs="Arial"/>
                <w:color w:val="000000"/>
                <w:sz w:val="16"/>
                <w:szCs w:val="16"/>
              </w:rPr>
            </w:pPr>
            <w:r>
              <w:rPr>
                <w:rFonts w:cs="Arial"/>
                <w:color w:val="000000"/>
                <w:sz w:val="16"/>
                <w:szCs w:val="16"/>
              </w:rPr>
              <w:t>2021</w:t>
            </w:r>
          </w:p>
        </w:tc>
        <w:tc>
          <w:tcPr>
            <w:tcW w:w="851" w:type="dxa"/>
            <w:tcBorders>
              <w:top w:val="nil"/>
              <w:left w:val="single" w:sz="4" w:space="0" w:color="auto"/>
              <w:bottom w:val="single" w:sz="4" w:space="0" w:color="auto"/>
              <w:right w:val="nil"/>
            </w:tcBorders>
            <w:shd w:val="clear" w:color="000000" w:fill="F2DCDB"/>
            <w:vAlign w:val="center"/>
          </w:tcPr>
          <w:p w14:paraId="148C8855" w14:textId="3F94CC70" w:rsidR="00D264DA" w:rsidRPr="00EE02F9" w:rsidRDefault="00D264DA" w:rsidP="00D264DA">
            <w:pPr>
              <w:spacing w:after="0" w:line="240" w:lineRule="auto"/>
              <w:jc w:val="center"/>
              <w:rPr>
                <w:rFonts w:cs="Arial"/>
                <w:color w:val="000000"/>
                <w:sz w:val="16"/>
                <w:szCs w:val="16"/>
              </w:rPr>
            </w:pPr>
            <w:r>
              <w:rPr>
                <w:rFonts w:cs="Arial"/>
                <w:color w:val="000000"/>
                <w:sz w:val="16"/>
                <w:szCs w:val="16"/>
              </w:rPr>
              <w:t>2023</w:t>
            </w:r>
          </w:p>
        </w:tc>
      </w:tr>
      <w:tr w:rsidR="00D264DA" w:rsidRPr="00EE02F9" w14:paraId="2042F1DF" w14:textId="77777777" w:rsidTr="00425FEB">
        <w:trPr>
          <w:trHeight w:val="300"/>
        </w:trPr>
        <w:tc>
          <w:tcPr>
            <w:tcW w:w="1980" w:type="dxa"/>
            <w:tcBorders>
              <w:top w:val="single" w:sz="4" w:space="0" w:color="000000"/>
              <w:bottom w:val="nil"/>
              <w:right w:val="single" w:sz="4" w:space="0" w:color="auto"/>
            </w:tcBorders>
            <w:shd w:val="clear" w:color="auto" w:fill="auto"/>
            <w:noWrap/>
            <w:vAlign w:val="center"/>
            <w:hideMark/>
          </w:tcPr>
          <w:p w14:paraId="14832F10" w14:textId="77777777" w:rsidR="00D264DA" w:rsidRPr="00EE02F9" w:rsidRDefault="00D264DA" w:rsidP="00D264DA">
            <w:pPr>
              <w:spacing w:after="0" w:line="240" w:lineRule="auto"/>
              <w:rPr>
                <w:rFonts w:cs="Arial"/>
                <w:b/>
                <w:bCs/>
                <w:color w:val="000000"/>
                <w:sz w:val="16"/>
                <w:szCs w:val="16"/>
              </w:rPr>
            </w:pPr>
            <w:r w:rsidRPr="00EE02F9">
              <w:rPr>
                <w:rFonts w:cs="Arial"/>
                <w:b/>
                <w:bCs/>
                <w:color w:val="000000"/>
                <w:sz w:val="16"/>
                <w:szCs w:val="16"/>
              </w:rPr>
              <w:t>ČR celkem</w:t>
            </w:r>
          </w:p>
        </w:tc>
        <w:tc>
          <w:tcPr>
            <w:tcW w:w="850" w:type="dxa"/>
            <w:tcBorders>
              <w:top w:val="nil"/>
              <w:left w:val="single" w:sz="4" w:space="0" w:color="auto"/>
              <w:bottom w:val="nil"/>
              <w:right w:val="single" w:sz="4" w:space="0" w:color="auto"/>
            </w:tcBorders>
            <w:shd w:val="clear" w:color="auto" w:fill="auto"/>
            <w:noWrap/>
            <w:vAlign w:val="center"/>
            <w:hideMark/>
          </w:tcPr>
          <w:p w14:paraId="07B1294B" w14:textId="77777777" w:rsidR="00D264DA" w:rsidRPr="00EE02F9" w:rsidRDefault="00D264DA" w:rsidP="00D264DA">
            <w:pPr>
              <w:spacing w:after="0" w:line="240" w:lineRule="auto"/>
              <w:jc w:val="right"/>
              <w:rPr>
                <w:rFonts w:cs="Arial"/>
                <w:b/>
                <w:bCs/>
                <w:color w:val="000000"/>
                <w:sz w:val="16"/>
                <w:szCs w:val="16"/>
              </w:rPr>
            </w:pPr>
            <w:r w:rsidRPr="00EE02F9">
              <w:rPr>
                <w:rFonts w:cs="Arial"/>
                <w:b/>
                <w:bCs/>
                <w:color w:val="000000"/>
                <w:sz w:val="16"/>
                <w:szCs w:val="16"/>
              </w:rPr>
              <w:t>1 832,4</w:t>
            </w:r>
          </w:p>
        </w:tc>
        <w:tc>
          <w:tcPr>
            <w:tcW w:w="850" w:type="dxa"/>
            <w:tcBorders>
              <w:top w:val="nil"/>
              <w:left w:val="nil"/>
              <w:bottom w:val="nil"/>
              <w:right w:val="nil"/>
            </w:tcBorders>
            <w:shd w:val="clear" w:color="auto" w:fill="auto"/>
            <w:noWrap/>
            <w:vAlign w:val="center"/>
            <w:hideMark/>
          </w:tcPr>
          <w:p w14:paraId="3289E9BB" w14:textId="4C835266" w:rsidR="00D264DA" w:rsidRPr="00EE02F9" w:rsidRDefault="00D264DA" w:rsidP="00D264DA">
            <w:pPr>
              <w:spacing w:after="0" w:line="240" w:lineRule="auto"/>
              <w:jc w:val="right"/>
              <w:rPr>
                <w:rFonts w:cs="Arial"/>
                <w:b/>
                <w:bCs/>
                <w:color w:val="000000"/>
                <w:sz w:val="16"/>
                <w:szCs w:val="16"/>
              </w:rPr>
            </w:pPr>
            <w:r>
              <w:rPr>
                <w:rFonts w:cs="Arial"/>
                <w:b/>
                <w:bCs/>
                <w:color w:val="000000"/>
                <w:sz w:val="16"/>
                <w:szCs w:val="16"/>
              </w:rPr>
              <w:t>2 718,0</w:t>
            </w:r>
          </w:p>
        </w:tc>
        <w:tc>
          <w:tcPr>
            <w:tcW w:w="851" w:type="dxa"/>
            <w:tcBorders>
              <w:top w:val="nil"/>
              <w:left w:val="single" w:sz="4" w:space="0" w:color="auto"/>
              <w:bottom w:val="nil"/>
              <w:right w:val="single" w:sz="4" w:space="0" w:color="auto"/>
            </w:tcBorders>
            <w:shd w:val="clear" w:color="auto" w:fill="auto"/>
            <w:noWrap/>
            <w:vAlign w:val="center"/>
          </w:tcPr>
          <w:p w14:paraId="6FD86959" w14:textId="433F33E5" w:rsidR="00D264DA" w:rsidRPr="00EE02F9" w:rsidRDefault="00D264DA" w:rsidP="00D264DA">
            <w:pPr>
              <w:spacing w:after="0" w:line="240" w:lineRule="auto"/>
              <w:jc w:val="right"/>
              <w:rPr>
                <w:rFonts w:cs="Arial"/>
                <w:b/>
                <w:bCs/>
                <w:color w:val="000000"/>
                <w:sz w:val="16"/>
                <w:szCs w:val="16"/>
              </w:rPr>
            </w:pPr>
            <w:r>
              <w:rPr>
                <w:rFonts w:cs="Arial"/>
                <w:b/>
                <w:bCs/>
                <w:color w:val="000000"/>
                <w:sz w:val="16"/>
                <w:szCs w:val="16"/>
              </w:rPr>
              <w:t>2 528,6</w:t>
            </w:r>
          </w:p>
        </w:tc>
        <w:tc>
          <w:tcPr>
            <w:tcW w:w="850" w:type="dxa"/>
            <w:tcBorders>
              <w:top w:val="nil"/>
              <w:left w:val="nil"/>
              <w:bottom w:val="nil"/>
              <w:right w:val="single" w:sz="4" w:space="0" w:color="auto"/>
            </w:tcBorders>
            <w:shd w:val="clear" w:color="auto" w:fill="auto"/>
            <w:noWrap/>
            <w:vAlign w:val="center"/>
            <w:hideMark/>
          </w:tcPr>
          <w:p w14:paraId="5C4E60EF" w14:textId="77777777" w:rsidR="00D264DA" w:rsidRPr="00EE02F9" w:rsidRDefault="00D264DA" w:rsidP="00D264DA">
            <w:pPr>
              <w:spacing w:after="0" w:line="240" w:lineRule="auto"/>
              <w:jc w:val="right"/>
              <w:rPr>
                <w:rFonts w:cs="Arial"/>
                <w:b/>
                <w:bCs/>
                <w:color w:val="000000"/>
                <w:sz w:val="16"/>
                <w:szCs w:val="16"/>
              </w:rPr>
            </w:pPr>
            <w:r w:rsidRPr="00EE02F9">
              <w:rPr>
                <w:rFonts w:cs="Arial"/>
                <w:b/>
                <w:bCs/>
                <w:color w:val="000000"/>
                <w:sz w:val="16"/>
                <w:szCs w:val="16"/>
              </w:rPr>
              <w:t>75 058,7</w:t>
            </w:r>
          </w:p>
        </w:tc>
        <w:tc>
          <w:tcPr>
            <w:tcW w:w="850" w:type="dxa"/>
            <w:tcBorders>
              <w:top w:val="nil"/>
              <w:left w:val="nil"/>
              <w:bottom w:val="nil"/>
              <w:right w:val="single" w:sz="4" w:space="0" w:color="auto"/>
            </w:tcBorders>
            <w:shd w:val="clear" w:color="auto" w:fill="auto"/>
            <w:noWrap/>
            <w:vAlign w:val="center"/>
            <w:hideMark/>
          </w:tcPr>
          <w:p w14:paraId="45E9965A" w14:textId="21BF4B78" w:rsidR="00D264DA" w:rsidRPr="00EE02F9" w:rsidRDefault="00D264DA" w:rsidP="00D264DA">
            <w:pPr>
              <w:spacing w:after="0" w:line="240" w:lineRule="auto"/>
              <w:jc w:val="right"/>
              <w:rPr>
                <w:rFonts w:cs="Arial"/>
                <w:b/>
                <w:bCs/>
                <w:color w:val="000000"/>
                <w:sz w:val="16"/>
                <w:szCs w:val="16"/>
              </w:rPr>
            </w:pPr>
            <w:r>
              <w:rPr>
                <w:rFonts w:cs="Arial"/>
                <w:b/>
                <w:bCs/>
                <w:color w:val="000000"/>
                <w:sz w:val="16"/>
                <w:szCs w:val="16"/>
              </w:rPr>
              <w:t>93 699,2</w:t>
            </w:r>
          </w:p>
        </w:tc>
        <w:tc>
          <w:tcPr>
            <w:tcW w:w="851" w:type="dxa"/>
            <w:tcBorders>
              <w:top w:val="nil"/>
              <w:left w:val="nil"/>
              <w:bottom w:val="nil"/>
              <w:right w:val="single" w:sz="4" w:space="0" w:color="auto"/>
            </w:tcBorders>
            <w:shd w:val="clear" w:color="auto" w:fill="auto"/>
            <w:noWrap/>
            <w:vAlign w:val="center"/>
          </w:tcPr>
          <w:p w14:paraId="2D39D942" w14:textId="28A75556" w:rsidR="00D264DA" w:rsidRPr="00EE02F9" w:rsidRDefault="00D264DA" w:rsidP="00D264DA">
            <w:pPr>
              <w:spacing w:after="0" w:line="240" w:lineRule="auto"/>
              <w:jc w:val="right"/>
              <w:rPr>
                <w:rFonts w:cs="Arial"/>
                <w:b/>
                <w:bCs/>
                <w:color w:val="000000"/>
                <w:sz w:val="16"/>
                <w:szCs w:val="16"/>
              </w:rPr>
            </w:pPr>
            <w:r>
              <w:rPr>
                <w:rFonts w:cs="Arial"/>
                <w:b/>
                <w:bCs/>
                <w:color w:val="000000"/>
                <w:sz w:val="16"/>
                <w:szCs w:val="16"/>
              </w:rPr>
              <w:t>78 376,9</w:t>
            </w:r>
          </w:p>
        </w:tc>
        <w:tc>
          <w:tcPr>
            <w:tcW w:w="850" w:type="dxa"/>
            <w:tcBorders>
              <w:top w:val="nil"/>
              <w:left w:val="nil"/>
              <w:bottom w:val="nil"/>
              <w:right w:val="single" w:sz="4" w:space="0" w:color="auto"/>
            </w:tcBorders>
            <w:shd w:val="clear" w:color="auto" w:fill="auto"/>
            <w:noWrap/>
            <w:vAlign w:val="center"/>
            <w:hideMark/>
          </w:tcPr>
          <w:p w14:paraId="1F50754C" w14:textId="77777777" w:rsidR="00D264DA" w:rsidRPr="00EE02F9" w:rsidRDefault="00D264DA" w:rsidP="00D264DA">
            <w:pPr>
              <w:spacing w:after="0" w:line="240" w:lineRule="auto"/>
              <w:jc w:val="right"/>
              <w:rPr>
                <w:rFonts w:cs="Arial"/>
                <w:b/>
                <w:bCs/>
                <w:color w:val="000000"/>
                <w:sz w:val="16"/>
                <w:szCs w:val="16"/>
              </w:rPr>
            </w:pPr>
            <w:r w:rsidRPr="00EE02F9">
              <w:rPr>
                <w:rFonts w:cs="Arial"/>
                <w:b/>
                <w:bCs/>
                <w:color w:val="000000"/>
                <w:sz w:val="16"/>
                <w:szCs w:val="16"/>
              </w:rPr>
              <w:t>41,0</w:t>
            </w:r>
          </w:p>
        </w:tc>
        <w:tc>
          <w:tcPr>
            <w:tcW w:w="850" w:type="dxa"/>
            <w:tcBorders>
              <w:top w:val="nil"/>
              <w:left w:val="nil"/>
              <w:bottom w:val="nil"/>
              <w:right w:val="nil"/>
            </w:tcBorders>
            <w:shd w:val="clear" w:color="auto" w:fill="auto"/>
            <w:noWrap/>
            <w:vAlign w:val="center"/>
            <w:hideMark/>
          </w:tcPr>
          <w:p w14:paraId="6CB0A08D" w14:textId="1890631D" w:rsidR="00D264DA" w:rsidRPr="00EE02F9" w:rsidRDefault="00D264DA" w:rsidP="00D264DA">
            <w:pPr>
              <w:spacing w:after="0" w:line="240" w:lineRule="auto"/>
              <w:jc w:val="right"/>
              <w:rPr>
                <w:rFonts w:cs="Arial"/>
                <w:b/>
                <w:bCs/>
                <w:color w:val="000000"/>
                <w:sz w:val="16"/>
                <w:szCs w:val="16"/>
              </w:rPr>
            </w:pPr>
            <w:r>
              <w:rPr>
                <w:rFonts w:cs="Arial"/>
                <w:b/>
                <w:bCs/>
                <w:color w:val="000000"/>
                <w:sz w:val="16"/>
                <w:szCs w:val="16"/>
              </w:rPr>
              <w:t>34,5</w:t>
            </w:r>
          </w:p>
        </w:tc>
        <w:tc>
          <w:tcPr>
            <w:tcW w:w="851" w:type="dxa"/>
            <w:tcBorders>
              <w:top w:val="nil"/>
              <w:left w:val="single" w:sz="4" w:space="0" w:color="auto"/>
              <w:bottom w:val="nil"/>
              <w:right w:val="nil"/>
            </w:tcBorders>
            <w:shd w:val="clear" w:color="auto" w:fill="auto"/>
            <w:noWrap/>
            <w:vAlign w:val="center"/>
          </w:tcPr>
          <w:p w14:paraId="4F0C270D" w14:textId="4A73C7E4" w:rsidR="00D264DA" w:rsidRPr="00EE02F9" w:rsidRDefault="00D264DA" w:rsidP="00D264DA">
            <w:pPr>
              <w:spacing w:after="0" w:line="240" w:lineRule="auto"/>
              <w:jc w:val="right"/>
              <w:rPr>
                <w:rFonts w:cs="Arial"/>
                <w:b/>
                <w:bCs/>
                <w:color w:val="000000"/>
                <w:sz w:val="16"/>
                <w:szCs w:val="16"/>
              </w:rPr>
            </w:pPr>
            <w:r>
              <w:rPr>
                <w:rFonts w:cs="Arial"/>
                <w:b/>
                <w:bCs/>
                <w:color w:val="000000"/>
                <w:sz w:val="16"/>
                <w:szCs w:val="16"/>
              </w:rPr>
              <w:t>31,0</w:t>
            </w:r>
          </w:p>
        </w:tc>
      </w:tr>
      <w:tr w:rsidR="00D264DA" w:rsidRPr="00EE02F9" w14:paraId="626DE6DE"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4345AAD0"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Hl. m. Praha</w:t>
            </w:r>
          </w:p>
        </w:tc>
        <w:tc>
          <w:tcPr>
            <w:tcW w:w="850" w:type="dxa"/>
            <w:tcBorders>
              <w:top w:val="nil"/>
              <w:left w:val="nil"/>
              <w:bottom w:val="nil"/>
              <w:right w:val="single" w:sz="4" w:space="0" w:color="auto"/>
            </w:tcBorders>
            <w:shd w:val="clear" w:color="auto" w:fill="auto"/>
            <w:noWrap/>
            <w:vAlign w:val="center"/>
            <w:hideMark/>
          </w:tcPr>
          <w:p w14:paraId="62B6CD3E"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198,1</w:t>
            </w:r>
          </w:p>
        </w:tc>
        <w:tc>
          <w:tcPr>
            <w:tcW w:w="850" w:type="dxa"/>
            <w:tcBorders>
              <w:top w:val="nil"/>
              <w:left w:val="nil"/>
              <w:bottom w:val="nil"/>
              <w:right w:val="nil"/>
            </w:tcBorders>
            <w:shd w:val="clear" w:color="auto" w:fill="auto"/>
            <w:noWrap/>
            <w:vAlign w:val="center"/>
            <w:hideMark/>
          </w:tcPr>
          <w:p w14:paraId="19ECC201" w14:textId="58B6A0BB" w:rsidR="00D264DA" w:rsidRPr="00EE02F9" w:rsidRDefault="00D264DA" w:rsidP="00D264DA">
            <w:pPr>
              <w:spacing w:after="0" w:line="240" w:lineRule="auto"/>
              <w:jc w:val="right"/>
              <w:rPr>
                <w:rFonts w:cs="Arial"/>
                <w:color w:val="000000"/>
                <w:sz w:val="16"/>
                <w:szCs w:val="16"/>
              </w:rPr>
            </w:pPr>
            <w:r>
              <w:rPr>
                <w:rFonts w:cs="Arial"/>
                <w:color w:val="000000"/>
                <w:sz w:val="16"/>
                <w:szCs w:val="16"/>
              </w:rPr>
              <w:t>294,8</w:t>
            </w:r>
          </w:p>
        </w:tc>
        <w:tc>
          <w:tcPr>
            <w:tcW w:w="851" w:type="dxa"/>
            <w:tcBorders>
              <w:top w:val="nil"/>
              <w:left w:val="single" w:sz="4" w:space="0" w:color="auto"/>
              <w:bottom w:val="nil"/>
              <w:right w:val="single" w:sz="4" w:space="0" w:color="auto"/>
            </w:tcBorders>
            <w:shd w:val="clear" w:color="auto" w:fill="auto"/>
            <w:noWrap/>
            <w:vAlign w:val="center"/>
          </w:tcPr>
          <w:p w14:paraId="2ADB6B38" w14:textId="6AB6AA76" w:rsidR="00D264DA" w:rsidRPr="00EE02F9" w:rsidRDefault="00D264DA" w:rsidP="00D264DA">
            <w:pPr>
              <w:spacing w:after="0" w:line="240" w:lineRule="auto"/>
              <w:jc w:val="right"/>
              <w:rPr>
                <w:rFonts w:cs="Arial"/>
                <w:color w:val="000000"/>
                <w:sz w:val="16"/>
                <w:szCs w:val="16"/>
              </w:rPr>
            </w:pPr>
            <w:r>
              <w:rPr>
                <w:rFonts w:cs="Arial"/>
                <w:color w:val="000000"/>
                <w:sz w:val="16"/>
                <w:szCs w:val="16"/>
              </w:rPr>
              <w:t>318,5</w:t>
            </w:r>
          </w:p>
        </w:tc>
        <w:tc>
          <w:tcPr>
            <w:tcW w:w="850" w:type="dxa"/>
            <w:tcBorders>
              <w:top w:val="nil"/>
              <w:left w:val="nil"/>
              <w:bottom w:val="nil"/>
              <w:right w:val="single" w:sz="4" w:space="0" w:color="auto"/>
            </w:tcBorders>
            <w:shd w:val="clear" w:color="auto" w:fill="auto"/>
            <w:noWrap/>
            <w:vAlign w:val="center"/>
            <w:hideMark/>
          </w:tcPr>
          <w:p w14:paraId="3EAD086E"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6 161,0</w:t>
            </w:r>
          </w:p>
        </w:tc>
        <w:tc>
          <w:tcPr>
            <w:tcW w:w="850" w:type="dxa"/>
            <w:tcBorders>
              <w:top w:val="nil"/>
              <w:left w:val="nil"/>
              <w:bottom w:val="nil"/>
              <w:right w:val="single" w:sz="4" w:space="0" w:color="auto"/>
            </w:tcBorders>
            <w:shd w:val="clear" w:color="auto" w:fill="auto"/>
            <w:noWrap/>
            <w:vAlign w:val="center"/>
            <w:hideMark/>
          </w:tcPr>
          <w:p w14:paraId="0F292993" w14:textId="33F360DD" w:rsidR="00D264DA" w:rsidRPr="00EE02F9" w:rsidRDefault="00D264DA" w:rsidP="00D264DA">
            <w:pPr>
              <w:spacing w:after="0" w:line="240" w:lineRule="auto"/>
              <w:jc w:val="right"/>
              <w:rPr>
                <w:rFonts w:cs="Arial"/>
                <w:color w:val="000000"/>
                <w:sz w:val="16"/>
                <w:szCs w:val="16"/>
              </w:rPr>
            </w:pPr>
            <w:r>
              <w:rPr>
                <w:rFonts w:cs="Arial"/>
                <w:color w:val="000000"/>
                <w:sz w:val="16"/>
                <w:szCs w:val="16"/>
              </w:rPr>
              <w:t>8 637,3</w:t>
            </w:r>
          </w:p>
        </w:tc>
        <w:tc>
          <w:tcPr>
            <w:tcW w:w="851" w:type="dxa"/>
            <w:tcBorders>
              <w:top w:val="nil"/>
              <w:left w:val="nil"/>
              <w:bottom w:val="nil"/>
              <w:right w:val="single" w:sz="4" w:space="0" w:color="auto"/>
            </w:tcBorders>
            <w:shd w:val="clear" w:color="auto" w:fill="auto"/>
            <w:noWrap/>
            <w:vAlign w:val="center"/>
          </w:tcPr>
          <w:p w14:paraId="392C9610" w14:textId="368190E5" w:rsidR="00D264DA" w:rsidRPr="00EE02F9" w:rsidRDefault="00D264DA" w:rsidP="00D264DA">
            <w:pPr>
              <w:spacing w:after="0" w:line="240" w:lineRule="auto"/>
              <w:jc w:val="right"/>
              <w:rPr>
                <w:rFonts w:cs="Arial"/>
                <w:color w:val="000000"/>
                <w:sz w:val="16"/>
                <w:szCs w:val="16"/>
              </w:rPr>
            </w:pPr>
            <w:r>
              <w:rPr>
                <w:rFonts w:cs="Arial"/>
                <w:color w:val="000000"/>
                <w:sz w:val="16"/>
                <w:szCs w:val="16"/>
              </w:rPr>
              <w:t>7 572,9</w:t>
            </w:r>
          </w:p>
        </w:tc>
        <w:tc>
          <w:tcPr>
            <w:tcW w:w="850" w:type="dxa"/>
            <w:tcBorders>
              <w:top w:val="nil"/>
              <w:left w:val="nil"/>
              <w:bottom w:val="nil"/>
              <w:right w:val="single" w:sz="4" w:space="0" w:color="auto"/>
            </w:tcBorders>
            <w:shd w:val="clear" w:color="auto" w:fill="auto"/>
            <w:noWrap/>
            <w:vAlign w:val="center"/>
            <w:hideMark/>
          </w:tcPr>
          <w:p w14:paraId="7E85BD59"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31,1</w:t>
            </w:r>
          </w:p>
        </w:tc>
        <w:tc>
          <w:tcPr>
            <w:tcW w:w="850" w:type="dxa"/>
            <w:tcBorders>
              <w:top w:val="nil"/>
              <w:left w:val="nil"/>
              <w:bottom w:val="nil"/>
              <w:right w:val="nil"/>
            </w:tcBorders>
            <w:shd w:val="clear" w:color="auto" w:fill="auto"/>
            <w:noWrap/>
            <w:vAlign w:val="center"/>
            <w:hideMark/>
          </w:tcPr>
          <w:p w14:paraId="6BBE01DB" w14:textId="36DD42E0" w:rsidR="00D264DA" w:rsidRPr="00EE02F9" w:rsidRDefault="00D264DA" w:rsidP="00D264DA">
            <w:pPr>
              <w:spacing w:after="0" w:line="240" w:lineRule="auto"/>
              <w:jc w:val="right"/>
              <w:rPr>
                <w:rFonts w:cs="Arial"/>
                <w:color w:val="000000"/>
                <w:sz w:val="16"/>
                <w:szCs w:val="16"/>
              </w:rPr>
            </w:pPr>
            <w:r>
              <w:rPr>
                <w:rFonts w:cs="Arial"/>
                <w:color w:val="000000"/>
                <w:sz w:val="16"/>
                <w:szCs w:val="16"/>
              </w:rPr>
              <w:t>29,3</w:t>
            </w:r>
          </w:p>
        </w:tc>
        <w:tc>
          <w:tcPr>
            <w:tcW w:w="851" w:type="dxa"/>
            <w:tcBorders>
              <w:top w:val="nil"/>
              <w:left w:val="single" w:sz="4" w:space="0" w:color="auto"/>
              <w:bottom w:val="nil"/>
              <w:right w:val="nil"/>
            </w:tcBorders>
            <w:shd w:val="clear" w:color="auto" w:fill="auto"/>
            <w:noWrap/>
            <w:vAlign w:val="center"/>
          </w:tcPr>
          <w:p w14:paraId="735A1894" w14:textId="56C8628C" w:rsidR="00D264DA" w:rsidRPr="00EE02F9" w:rsidRDefault="00D264DA" w:rsidP="00D264DA">
            <w:pPr>
              <w:spacing w:after="0" w:line="240" w:lineRule="auto"/>
              <w:jc w:val="right"/>
              <w:rPr>
                <w:rFonts w:cs="Arial"/>
                <w:color w:val="000000"/>
                <w:sz w:val="16"/>
                <w:szCs w:val="16"/>
              </w:rPr>
            </w:pPr>
            <w:r>
              <w:rPr>
                <w:rFonts w:cs="Arial"/>
                <w:color w:val="000000"/>
                <w:sz w:val="16"/>
                <w:szCs w:val="16"/>
              </w:rPr>
              <w:t>23,8</w:t>
            </w:r>
          </w:p>
        </w:tc>
      </w:tr>
      <w:tr w:rsidR="00D264DA" w:rsidRPr="00EE02F9" w14:paraId="3135D877"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2D3EAB4A"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Středočeský kraj</w:t>
            </w:r>
          </w:p>
        </w:tc>
        <w:tc>
          <w:tcPr>
            <w:tcW w:w="850" w:type="dxa"/>
            <w:tcBorders>
              <w:top w:val="nil"/>
              <w:left w:val="nil"/>
              <w:bottom w:val="nil"/>
              <w:right w:val="single" w:sz="4" w:space="0" w:color="auto"/>
            </w:tcBorders>
            <w:shd w:val="clear" w:color="auto" w:fill="auto"/>
            <w:noWrap/>
            <w:vAlign w:val="center"/>
            <w:hideMark/>
          </w:tcPr>
          <w:p w14:paraId="583E0B26"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219,5</w:t>
            </w:r>
          </w:p>
        </w:tc>
        <w:tc>
          <w:tcPr>
            <w:tcW w:w="850" w:type="dxa"/>
            <w:tcBorders>
              <w:top w:val="nil"/>
              <w:left w:val="nil"/>
              <w:bottom w:val="nil"/>
              <w:right w:val="nil"/>
            </w:tcBorders>
            <w:shd w:val="clear" w:color="auto" w:fill="auto"/>
            <w:noWrap/>
            <w:vAlign w:val="center"/>
            <w:hideMark/>
          </w:tcPr>
          <w:p w14:paraId="5F3EA5C4" w14:textId="6564C351" w:rsidR="00D264DA" w:rsidRPr="00EE02F9" w:rsidRDefault="00D264DA" w:rsidP="00D264DA">
            <w:pPr>
              <w:spacing w:after="0" w:line="240" w:lineRule="auto"/>
              <w:jc w:val="right"/>
              <w:rPr>
                <w:rFonts w:cs="Arial"/>
                <w:color w:val="000000"/>
                <w:sz w:val="16"/>
                <w:szCs w:val="16"/>
              </w:rPr>
            </w:pPr>
            <w:r>
              <w:rPr>
                <w:rFonts w:cs="Arial"/>
                <w:color w:val="000000"/>
                <w:sz w:val="16"/>
                <w:szCs w:val="16"/>
              </w:rPr>
              <w:t>304,4</w:t>
            </w:r>
          </w:p>
        </w:tc>
        <w:tc>
          <w:tcPr>
            <w:tcW w:w="851" w:type="dxa"/>
            <w:tcBorders>
              <w:top w:val="nil"/>
              <w:left w:val="single" w:sz="4" w:space="0" w:color="auto"/>
              <w:bottom w:val="nil"/>
              <w:right w:val="single" w:sz="4" w:space="0" w:color="auto"/>
            </w:tcBorders>
            <w:shd w:val="clear" w:color="auto" w:fill="auto"/>
            <w:noWrap/>
            <w:vAlign w:val="center"/>
          </w:tcPr>
          <w:p w14:paraId="016A3ECD" w14:textId="7CB65BA3" w:rsidR="00D264DA" w:rsidRPr="00EE02F9" w:rsidRDefault="00D264DA" w:rsidP="00D264DA">
            <w:pPr>
              <w:spacing w:after="0" w:line="240" w:lineRule="auto"/>
              <w:jc w:val="right"/>
              <w:rPr>
                <w:rFonts w:cs="Arial"/>
                <w:color w:val="000000"/>
                <w:sz w:val="16"/>
                <w:szCs w:val="16"/>
              </w:rPr>
            </w:pPr>
            <w:r>
              <w:rPr>
                <w:rFonts w:cs="Arial"/>
                <w:color w:val="000000"/>
                <w:sz w:val="16"/>
                <w:szCs w:val="16"/>
              </w:rPr>
              <w:t>289,5</w:t>
            </w:r>
          </w:p>
        </w:tc>
        <w:tc>
          <w:tcPr>
            <w:tcW w:w="850" w:type="dxa"/>
            <w:tcBorders>
              <w:top w:val="nil"/>
              <w:left w:val="nil"/>
              <w:bottom w:val="nil"/>
              <w:right w:val="single" w:sz="4" w:space="0" w:color="auto"/>
            </w:tcBorders>
            <w:shd w:val="clear" w:color="auto" w:fill="auto"/>
            <w:noWrap/>
            <w:vAlign w:val="center"/>
            <w:hideMark/>
          </w:tcPr>
          <w:p w14:paraId="63F7F5D8"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8 152,9</w:t>
            </w:r>
          </w:p>
        </w:tc>
        <w:tc>
          <w:tcPr>
            <w:tcW w:w="850" w:type="dxa"/>
            <w:tcBorders>
              <w:top w:val="nil"/>
              <w:left w:val="nil"/>
              <w:bottom w:val="nil"/>
              <w:right w:val="single" w:sz="4" w:space="0" w:color="auto"/>
            </w:tcBorders>
            <w:shd w:val="clear" w:color="auto" w:fill="auto"/>
            <w:noWrap/>
            <w:vAlign w:val="center"/>
            <w:hideMark/>
          </w:tcPr>
          <w:p w14:paraId="3A9F423A" w14:textId="652959B1" w:rsidR="00D264DA" w:rsidRPr="00EE02F9" w:rsidRDefault="00D264DA" w:rsidP="00D264DA">
            <w:pPr>
              <w:spacing w:after="0" w:line="240" w:lineRule="auto"/>
              <w:jc w:val="right"/>
              <w:rPr>
                <w:rFonts w:cs="Arial"/>
                <w:color w:val="000000"/>
                <w:sz w:val="16"/>
                <w:szCs w:val="16"/>
              </w:rPr>
            </w:pPr>
            <w:r>
              <w:rPr>
                <w:rFonts w:cs="Arial"/>
                <w:color w:val="000000"/>
                <w:sz w:val="16"/>
                <w:szCs w:val="16"/>
              </w:rPr>
              <w:t>9 633,1</w:t>
            </w:r>
          </w:p>
        </w:tc>
        <w:tc>
          <w:tcPr>
            <w:tcW w:w="851" w:type="dxa"/>
            <w:tcBorders>
              <w:top w:val="nil"/>
              <w:left w:val="nil"/>
              <w:bottom w:val="nil"/>
              <w:right w:val="single" w:sz="4" w:space="0" w:color="auto"/>
            </w:tcBorders>
            <w:shd w:val="clear" w:color="auto" w:fill="auto"/>
            <w:noWrap/>
            <w:vAlign w:val="center"/>
          </w:tcPr>
          <w:p w14:paraId="0ABC7973" w14:textId="23A07410" w:rsidR="00D264DA" w:rsidRPr="00EE02F9" w:rsidRDefault="00D264DA" w:rsidP="00D264DA">
            <w:pPr>
              <w:spacing w:after="0" w:line="240" w:lineRule="auto"/>
              <w:jc w:val="right"/>
              <w:rPr>
                <w:rFonts w:cs="Arial"/>
                <w:color w:val="000000"/>
                <w:sz w:val="16"/>
                <w:szCs w:val="16"/>
              </w:rPr>
            </w:pPr>
            <w:r>
              <w:rPr>
                <w:rFonts w:cs="Arial"/>
                <w:color w:val="000000"/>
                <w:sz w:val="16"/>
                <w:szCs w:val="16"/>
              </w:rPr>
              <w:t>8 017,4</w:t>
            </w:r>
          </w:p>
        </w:tc>
        <w:tc>
          <w:tcPr>
            <w:tcW w:w="850" w:type="dxa"/>
            <w:tcBorders>
              <w:top w:val="nil"/>
              <w:left w:val="nil"/>
              <w:bottom w:val="nil"/>
              <w:right w:val="single" w:sz="4" w:space="0" w:color="auto"/>
            </w:tcBorders>
            <w:shd w:val="clear" w:color="auto" w:fill="auto"/>
            <w:noWrap/>
            <w:vAlign w:val="center"/>
            <w:hideMark/>
          </w:tcPr>
          <w:p w14:paraId="7B8BE41A"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37,2</w:t>
            </w:r>
          </w:p>
        </w:tc>
        <w:tc>
          <w:tcPr>
            <w:tcW w:w="850" w:type="dxa"/>
            <w:tcBorders>
              <w:top w:val="nil"/>
              <w:left w:val="nil"/>
              <w:bottom w:val="nil"/>
              <w:right w:val="nil"/>
            </w:tcBorders>
            <w:shd w:val="clear" w:color="auto" w:fill="auto"/>
            <w:noWrap/>
            <w:vAlign w:val="center"/>
            <w:hideMark/>
          </w:tcPr>
          <w:p w14:paraId="40BAA38B" w14:textId="09B14762" w:rsidR="00D264DA" w:rsidRPr="00EE02F9" w:rsidRDefault="00D264DA" w:rsidP="00D264DA">
            <w:pPr>
              <w:spacing w:after="0" w:line="240" w:lineRule="auto"/>
              <w:jc w:val="right"/>
              <w:rPr>
                <w:rFonts w:cs="Arial"/>
                <w:color w:val="000000"/>
                <w:sz w:val="16"/>
                <w:szCs w:val="16"/>
              </w:rPr>
            </w:pPr>
            <w:r>
              <w:rPr>
                <w:rFonts w:cs="Arial"/>
                <w:color w:val="000000"/>
                <w:sz w:val="16"/>
                <w:szCs w:val="16"/>
              </w:rPr>
              <w:t>31,6</w:t>
            </w:r>
          </w:p>
        </w:tc>
        <w:tc>
          <w:tcPr>
            <w:tcW w:w="851" w:type="dxa"/>
            <w:tcBorders>
              <w:top w:val="nil"/>
              <w:left w:val="single" w:sz="4" w:space="0" w:color="auto"/>
              <w:bottom w:val="nil"/>
              <w:right w:val="nil"/>
            </w:tcBorders>
            <w:shd w:val="clear" w:color="auto" w:fill="auto"/>
            <w:noWrap/>
            <w:vAlign w:val="center"/>
          </w:tcPr>
          <w:p w14:paraId="5320ED20" w14:textId="60798433" w:rsidR="00D264DA" w:rsidRPr="00EE02F9" w:rsidRDefault="00D264DA" w:rsidP="00D264DA">
            <w:pPr>
              <w:spacing w:after="0" w:line="240" w:lineRule="auto"/>
              <w:jc w:val="right"/>
              <w:rPr>
                <w:rFonts w:cs="Arial"/>
                <w:color w:val="000000"/>
                <w:sz w:val="16"/>
                <w:szCs w:val="16"/>
              </w:rPr>
            </w:pPr>
            <w:r>
              <w:rPr>
                <w:rFonts w:cs="Arial"/>
                <w:color w:val="000000"/>
                <w:sz w:val="16"/>
                <w:szCs w:val="16"/>
              </w:rPr>
              <w:t>27,7</w:t>
            </w:r>
          </w:p>
        </w:tc>
      </w:tr>
      <w:tr w:rsidR="00D264DA" w:rsidRPr="00EE02F9" w14:paraId="79FF30F0"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79BE2006"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Jihočeský kraj</w:t>
            </w:r>
          </w:p>
        </w:tc>
        <w:tc>
          <w:tcPr>
            <w:tcW w:w="850" w:type="dxa"/>
            <w:tcBorders>
              <w:top w:val="nil"/>
              <w:left w:val="nil"/>
              <w:bottom w:val="nil"/>
              <w:right w:val="single" w:sz="4" w:space="0" w:color="auto"/>
            </w:tcBorders>
            <w:shd w:val="clear" w:color="auto" w:fill="auto"/>
            <w:noWrap/>
            <w:vAlign w:val="center"/>
            <w:hideMark/>
          </w:tcPr>
          <w:p w14:paraId="0DDF7B5F"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117,3</w:t>
            </w:r>
          </w:p>
        </w:tc>
        <w:tc>
          <w:tcPr>
            <w:tcW w:w="850" w:type="dxa"/>
            <w:tcBorders>
              <w:top w:val="nil"/>
              <w:left w:val="nil"/>
              <w:bottom w:val="nil"/>
              <w:right w:val="nil"/>
            </w:tcBorders>
            <w:shd w:val="clear" w:color="auto" w:fill="auto"/>
            <w:noWrap/>
            <w:vAlign w:val="center"/>
            <w:hideMark/>
          </w:tcPr>
          <w:p w14:paraId="518CA249" w14:textId="27373615" w:rsidR="00D264DA" w:rsidRPr="00EE02F9" w:rsidRDefault="00D264DA" w:rsidP="00D264DA">
            <w:pPr>
              <w:spacing w:after="0" w:line="240" w:lineRule="auto"/>
              <w:jc w:val="right"/>
              <w:rPr>
                <w:rFonts w:cs="Arial"/>
                <w:color w:val="000000"/>
                <w:sz w:val="16"/>
                <w:szCs w:val="16"/>
              </w:rPr>
            </w:pPr>
            <w:r>
              <w:rPr>
                <w:rFonts w:cs="Arial"/>
                <w:color w:val="000000"/>
                <w:sz w:val="16"/>
                <w:szCs w:val="16"/>
              </w:rPr>
              <w:t>170,3</w:t>
            </w:r>
          </w:p>
        </w:tc>
        <w:tc>
          <w:tcPr>
            <w:tcW w:w="851" w:type="dxa"/>
            <w:tcBorders>
              <w:top w:val="nil"/>
              <w:left w:val="single" w:sz="4" w:space="0" w:color="auto"/>
              <w:bottom w:val="nil"/>
              <w:right w:val="single" w:sz="4" w:space="0" w:color="auto"/>
            </w:tcBorders>
            <w:shd w:val="clear" w:color="auto" w:fill="auto"/>
            <w:noWrap/>
            <w:vAlign w:val="center"/>
          </w:tcPr>
          <w:p w14:paraId="1B3A9BE5" w14:textId="7AE67632" w:rsidR="00D264DA" w:rsidRPr="00EE02F9" w:rsidRDefault="00D264DA" w:rsidP="00D264DA">
            <w:pPr>
              <w:spacing w:after="0" w:line="240" w:lineRule="auto"/>
              <w:jc w:val="right"/>
              <w:rPr>
                <w:rFonts w:cs="Arial"/>
                <w:color w:val="000000"/>
                <w:sz w:val="16"/>
                <w:szCs w:val="16"/>
              </w:rPr>
            </w:pPr>
            <w:r>
              <w:rPr>
                <w:rFonts w:cs="Arial"/>
                <w:color w:val="000000"/>
                <w:sz w:val="16"/>
                <w:szCs w:val="16"/>
              </w:rPr>
              <w:t>156,5</w:t>
            </w:r>
          </w:p>
        </w:tc>
        <w:tc>
          <w:tcPr>
            <w:tcW w:w="850" w:type="dxa"/>
            <w:tcBorders>
              <w:top w:val="nil"/>
              <w:left w:val="nil"/>
              <w:bottom w:val="nil"/>
              <w:right w:val="single" w:sz="4" w:space="0" w:color="auto"/>
            </w:tcBorders>
            <w:shd w:val="clear" w:color="auto" w:fill="auto"/>
            <w:noWrap/>
            <w:vAlign w:val="center"/>
            <w:hideMark/>
          </w:tcPr>
          <w:p w14:paraId="327B5DB5"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5 060,8</w:t>
            </w:r>
          </w:p>
        </w:tc>
        <w:tc>
          <w:tcPr>
            <w:tcW w:w="850" w:type="dxa"/>
            <w:tcBorders>
              <w:top w:val="nil"/>
              <w:left w:val="nil"/>
              <w:bottom w:val="nil"/>
              <w:right w:val="single" w:sz="4" w:space="0" w:color="auto"/>
            </w:tcBorders>
            <w:shd w:val="clear" w:color="auto" w:fill="auto"/>
            <w:noWrap/>
            <w:vAlign w:val="center"/>
            <w:hideMark/>
          </w:tcPr>
          <w:p w14:paraId="41C6C777" w14:textId="2F7ACD55" w:rsidR="00D264DA" w:rsidRPr="00EE02F9" w:rsidRDefault="00D264DA" w:rsidP="00D264DA">
            <w:pPr>
              <w:spacing w:after="0" w:line="240" w:lineRule="auto"/>
              <w:jc w:val="right"/>
              <w:rPr>
                <w:rFonts w:cs="Arial"/>
                <w:color w:val="000000"/>
                <w:sz w:val="16"/>
                <w:szCs w:val="16"/>
              </w:rPr>
            </w:pPr>
            <w:r>
              <w:rPr>
                <w:rFonts w:cs="Arial"/>
                <w:color w:val="000000"/>
                <w:sz w:val="16"/>
                <w:szCs w:val="16"/>
              </w:rPr>
              <w:t>6 069,7</w:t>
            </w:r>
          </w:p>
        </w:tc>
        <w:tc>
          <w:tcPr>
            <w:tcW w:w="851" w:type="dxa"/>
            <w:tcBorders>
              <w:top w:val="nil"/>
              <w:left w:val="nil"/>
              <w:bottom w:val="nil"/>
              <w:right w:val="single" w:sz="4" w:space="0" w:color="auto"/>
            </w:tcBorders>
            <w:shd w:val="clear" w:color="auto" w:fill="auto"/>
            <w:noWrap/>
            <w:vAlign w:val="center"/>
          </w:tcPr>
          <w:p w14:paraId="01DEEA7D" w14:textId="5D915F9B" w:rsidR="00D264DA" w:rsidRPr="00EE02F9" w:rsidRDefault="00D264DA" w:rsidP="00D264DA">
            <w:pPr>
              <w:spacing w:after="0" w:line="240" w:lineRule="auto"/>
              <w:jc w:val="right"/>
              <w:rPr>
                <w:rFonts w:cs="Arial"/>
                <w:color w:val="000000"/>
                <w:sz w:val="16"/>
                <w:szCs w:val="16"/>
              </w:rPr>
            </w:pPr>
            <w:r>
              <w:rPr>
                <w:rFonts w:cs="Arial"/>
                <w:color w:val="000000"/>
                <w:sz w:val="16"/>
                <w:szCs w:val="16"/>
              </w:rPr>
              <w:t>5 007,0</w:t>
            </w:r>
          </w:p>
        </w:tc>
        <w:tc>
          <w:tcPr>
            <w:tcW w:w="850" w:type="dxa"/>
            <w:tcBorders>
              <w:top w:val="nil"/>
              <w:left w:val="nil"/>
              <w:bottom w:val="nil"/>
              <w:right w:val="single" w:sz="4" w:space="0" w:color="auto"/>
            </w:tcBorders>
            <w:shd w:val="clear" w:color="auto" w:fill="auto"/>
            <w:noWrap/>
            <w:vAlign w:val="center"/>
            <w:hideMark/>
          </w:tcPr>
          <w:p w14:paraId="5FD6711C"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43,2</w:t>
            </w:r>
          </w:p>
        </w:tc>
        <w:tc>
          <w:tcPr>
            <w:tcW w:w="850" w:type="dxa"/>
            <w:tcBorders>
              <w:top w:val="nil"/>
              <w:left w:val="nil"/>
              <w:bottom w:val="nil"/>
              <w:right w:val="nil"/>
            </w:tcBorders>
            <w:shd w:val="clear" w:color="auto" w:fill="auto"/>
            <w:noWrap/>
            <w:vAlign w:val="center"/>
            <w:hideMark/>
          </w:tcPr>
          <w:p w14:paraId="40BE25C0" w14:textId="78DDE321" w:rsidR="00D264DA" w:rsidRPr="00EE02F9" w:rsidRDefault="00D264DA" w:rsidP="00D264DA">
            <w:pPr>
              <w:spacing w:after="0" w:line="240" w:lineRule="auto"/>
              <w:jc w:val="right"/>
              <w:rPr>
                <w:rFonts w:cs="Arial"/>
                <w:color w:val="000000"/>
                <w:sz w:val="16"/>
                <w:szCs w:val="16"/>
              </w:rPr>
            </w:pPr>
            <w:r>
              <w:rPr>
                <w:rFonts w:cs="Arial"/>
                <w:color w:val="000000"/>
                <w:sz w:val="16"/>
                <w:szCs w:val="16"/>
              </w:rPr>
              <w:t>35,6</w:t>
            </w:r>
          </w:p>
        </w:tc>
        <w:tc>
          <w:tcPr>
            <w:tcW w:w="851" w:type="dxa"/>
            <w:tcBorders>
              <w:top w:val="nil"/>
              <w:left w:val="single" w:sz="4" w:space="0" w:color="auto"/>
              <w:bottom w:val="nil"/>
              <w:right w:val="nil"/>
            </w:tcBorders>
            <w:shd w:val="clear" w:color="auto" w:fill="auto"/>
            <w:noWrap/>
            <w:vAlign w:val="center"/>
          </w:tcPr>
          <w:p w14:paraId="59BB1AC7" w14:textId="30D19595" w:rsidR="00D264DA" w:rsidRPr="00EE02F9" w:rsidRDefault="00D264DA" w:rsidP="00D264DA">
            <w:pPr>
              <w:spacing w:after="0" w:line="240" w:lineRule="auto"/>
              <w:jc w:val="right"/>
              <w:rPr>
                <w:rFonts w:cs="Arial"/>
                <w:color w:val="000000"/>
                <w:sz w:val="16"/>
                <w:szCs w:val="16"/>
              </w:rPr>
            </w:pPr>
            <w:r>
              <w:rPr>
                <w:rFonts w:cs="Arial"/>
                <w:color w:val="000000"/>
                <w:sz w:val="16"/>
                <w:szCs w:val="16"/>
              </w:rPr>
              <w:t>32,0</w:t>
            </w:r>
          </w:p>
        </w:tc>
      </w:tr>
      <w:tr w:rsidR="00D264DA" w:rsidRPr="00EE02F9" w14:paraId="3DB84544"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4E054F90"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Plzeňský kraj</w:t>
            </w:r>
          </w:p>
        </w:tc>
        <w:tc>
          <w:tcPr>
            <w:tcW w:w="850" w:type="dxa"/>
            <w:tcBorders>
              <w:top w:val="nil"/>
              <w:left w:val="nil"/>
              <w:bottom w:val="nil"/>
              <w:right w:val="single" w:sz="4" w:space="0" w:color="auto"/>
            </w:tcBorders>
            <w:shd w:val="clear" w:color="auto" w:fill="auto"/>
            <w:noWrap/>
            <w:vAlign w:val="center"/>
            <w:hideMark/>
          </w:tcPr>
          <w:p w14:paraId="3CCA2233"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120,2</w:t>
            </w:r>
          </w:p>
        </w:tc>
        <w:tc>
          <w:tcPr>
            <w:tcW w:w="850" w:type="dxa"/>
            <w:tcBorders>
              <w:top w:val="nil"/>
              <w:left w:val="nil"/>
              <w:bottom w:val="nil"/>
              <w:right w:val="nil"/>
            </w:tcBorders>
            <w:shd w:val="clear" w:color="auto" w:fill="auto"/>
            <w:noWrap/>
            <w:vAlign w:val="center"/>
            <w:hideMark/>
          </w:tcPr>
          <w:p w14:paraId="318EE508" w14:textId="23DAFA7B" w:rsidR="00D264DA" w:rsidRPr="00EE02F9" w:rsidRDefault="00D264DA" w:rsidP="00D264DA">
            <w:pPr>
              <w:spacing w:after="0" w:line="240" w:lineRule="auto"/>
              <w:jc w:val="right"/>
              <w:rPr>
                <w:rFonts w:cs="Arial"/>
                <w:color w:val="000000"/>
                <w:sz w:val="16"/>
                <w:szCs w:val="16"/>
              </w:rPr>
            </w:pPr>
            <w:r>
              <w:rPr>
                <w:rFonts w:cs="Arial"/>
                <w:color w:val="000000"/>
                <w:sz w:val="16"/>
                <w:szCs w:val="16"/>
              </w:rPr>
              <w:t>170,3</w:t>
            </w:r>
          </w:p>
        </w:tc>
        <w:tc>
          <w:tcPr>
            <w:tcW w:w="851" w:type="dxa"/>
            <w:tcBorders>
              <w:top w:val="nil"/>
              <w:left w:val="single" w:sz="4" w:space="0" w:color="auto"/>
              <w:bottom w:val="nil"/>
              <w:right w:val="single" w:sz="4" w:space="0" w:color="auto"/>
            </w:tcBorders>
            <w:shd w:val="clear" w:color="auto" w:fill="auto"/>
            <w:noWrap/>
            <w:vAlign w:val="center"/>
          </w:tcPr>
          <w:p w14:paraId="51F529F7" w14:textId="76515146" w:rsidR="00D264DA" w:rsidRPr="00EE02F9" w:rsidRDefault="00D264DA" w:rsidP="00D264DA">
            <w:pPr>
              <w:spacing w:after="0" w:line="240" w:lineRule="auto"/>
              <w:jc w:val="right"/>
              <w:rPr>
                <w:rFonts w:cs="Arial"/>
                <w:color w:val="000000"/>
                <w:sz w:val="16"/>
                <w:szCs w:val="16"/>
              </w:rPr>
            </w:pPr>
            <w:r>
              <w:rPr>
                <w:rFonts w:cs="Arial"/>
                <w:color w:val="000000"/>
                <w:sz w:val="16"/>
                <w:szCs w:val="16"/>
              </w:rPr>
              <w:t>157,9</w:t>
            </w:r>
          </w:p>
        </w:tc>
        <w:tc>
          <w:tcPr>
            <w:tcW w:w="850" w:type="dxa"/>
            <w:tcBorders>
              <w:top w:val="nil"/>
              <w:left w:val="nil"/>
              <w:bottom w:val="nil"/>
              <w:right w:val="single" w:sz="4" w:space="0" w:color="auto"/>
            </w:tcBorders>
            <w:shd w:val="clear" w:color="auto" w:fill="auto"/>
            <w:noWrap/>
            <w:vAlign w:val="center"/>
            <w:hideMark/>
          </w:tcPr>
          <w:p w14:paraId="4557BC33"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4 645,1</w:t>
            </w:r>
          </w:p>
        </w:tc>
        <w:tc>
          <w:tcPr>
            <w:tcW w:w="850" w:type="dxa"/>
            <w:tcBorders>
              <w:top w:val="nil"/>
              <w:left w:val="nil"/>
              <w:bottom w:val="nil"/>
              <w:right w:val="single" w:sz="4" w:space="0" w:color="auto"/>
            </w:tcBorders>
            <w:shd w:val="clear" w:color="auto" w:fill="auto"/>
            <w:noWrap/>
            <w:vAlign w:val="center"/>
            <w:hideMark/>
          </w:tcPr>
          <w:p w14:paraId="51DBD7B4" w14:textId="2217678E" w:rsidR="00D264DA" w:rsidRPr="00EE02F9" w:rsidRDefault="00D264DA" w:rsidP="00D264DA">
            <w:pPr>
              <w:spacing w:after="0" w:line="240" w:lineRule="auto"/>
              <w:jc w:val="right"/>
              <w:rPr>
                <w:rFonts w:cs="Arial"/>
                <w:color w:val="000000"/>
                <w:sz w:val="16"/>
                <w:szCs w:val="16"/>
              </w:rPr>
            </w:pPr>
            <w:r>
              <w:rPr>
                <w:rFonts w:cs="Arial"/>
                <w:color w:val="000000"/>
                <w:sz w:val="16"/>
                <w:szCs w:val="16"/>
              </w:rPr>
              <w:t>5 713,5</w:t>
            </w:r>
          </w:p>
        </w:tc>
        <w:tc>
          <w:tcPr>
            <w:tcW w:w="851" w:type="dxa"/>
            <w:tcBorders>
              <w:top w:val="nil"/>
              <w:left w:val="nil"/>
              <w:bottom w:val="nil"/>
              <w:right w:val="single" w:sz="4" w:space="0" w:color="auto"/>
            </w:tcBorders>
            <w:shd w:val="clear" w:color="auto" w:fill="auto"/>
            <w:noWrap/>
            <w:vAlign w:val="center"/>
          </w:tcPr>
          <w:p w14:paraId="79EEF2CC" w14:textId="2D0D9653" w:rsidR="00D264DA" w:rsidRPr="00EE02F9" w:rsidRDefault="00D264DA" w:rsidP="00D264DA">
            <w:pPr>
              <w:spacing w:after="0" w:line="240" w:lineRule="auto"/>
              <w:jc w:val="right"/>
              <w:rPr>
                <w:rFonts w:cs="Arial"/>
                <w:color w:val="000000"/>
                <w:sz w:val="16"/>
                <w:szCs w:val="16"/>
              </w:rPr>
            </w:pPr>
            <w:r>
              <w:rPr>
                <w:rFonts w:cs="Arial"/>
                <w:color w:val="000000"/>
                <w:sz w:val="16"/>
                <w:szCs w:val="16"/>
              </w:rPr>
              <w:t>4 672,2</w:t>
            </w:r>
          </w:p>
        </w:tc>
        <w:tc>
          <w:tcPr>
            <w:tcW w:w="850" w:type="dxa"/>
            <w:tcBorders>
              <w:top w:val="nil"/>
              <w:left w:val="nil"/>
              <w:bottom w:val="nil"/>
              <w:right w:val="single" w:sz="4" w:space="0" w:color="auto"/>
            </w:tcBorders>
            <w:shd w:val="clear" w:color="auto" w:fill="auto"/>
            <w:noWrap/>
            <w:vAlign w:val="center"/>
            <w:hideMark/>
          </w:tcPr>
          <w:p w14:paraId="5EE57737"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38,6</w:t>
            </w:r>
          </w:p>
        </w:tc>
        <w:tc>
          <w:tcPr>
            <w:tcW w:w="850" w:type="dxa"/>
            <w:tcBorders>
              <w:top w:val="nil"/>
              <w:left w:val="nil"/>
              <w:bottom w:val="nil"/>
              <w:right w:val="nil"/>
            </w:tcBorders>
            <w:shd w:val="clear" w:color="auto" w:fill="auto"/>
            <w:noWrap/>
            <w:vAlign w:val="center"/>
            <w:hideMark/>
          </w:tcPr>
          <w:p w14:paraId="241B639B" w14:textId="2AE975DD" w:rsidR="00D264DA" w:rsidRPr="00EE02F9" w:rsidRDefault="00D264DA" w:rsidP="00D264DA">
            <w:pPr>
              <w:spacing w:after="0" w:line="240" w:lineRule="auto"/>
              <w:jc w:val="right"/>
              <w:rPr>
                <w:rFonts w:cs="Arial"/>
                <w:color w:val="000000"/>
                <w:sz w:val="16"/>
                <w:szCs w:val="16"/>
              </w:rPr>
            </w:pPr>
            <w:r>
              <w:rPr>
                <w:rFonts w:cs="Arial"/>
                <w:color w:val="000000"/>
                <w:sz w:val="16"/>
                <w:szCs w:val="16"/>
              </w:rPr>
              <w:t>33,5</w:t>
            </w:r>
          </w:p>
        </w:tc>
        <w:tc>
          <w:tcPr>
            <w:tcW w:w="851" w:type="dxa"/>
            <w:tcBorders>
              <w:top w:val="nil"/>
              <w:left w:val="single" w:sz="4" w:space="0" w:color="auto"/>
              <w:bottom w:val="nil"/>
              <w:right w:val="nil"/>
            </w:tcBorders>
            <w:shd w:val="clear" w:color="auto" w:fill="auto"/>
            <w:noWrap/>
            <w:vAlign w:val="center"/>
          </w:tcPr>
          <w:p w14:paraId="49C8F6FE" w14:textId="73645509" w:rsidR="00D264DA" w:rsidRPr="00EE02F9" w:rsidRDefault="00D264DA" w:rsidP="00D264DA">
            <w:pPr>
              <w:spacing w:after="0" w:line="240" w:lineRule="auto"/>
              <w:jc w:val="right"/>
              <w:rPr>
                <w:rFonts w:cs="Arial"/>
                <w:color w:val="000000"/>
                <w:sz w:val="16"/>
                <w:szCs w:val="16"/>
              </w:rPr>
            </w:pPr>
            <w:r>
              <w:rPr>
                <w:rFonts w:cs="Arial"/>
                <w:color w:val="000000"/>
                <w:sz w:val="16"/>
                <w:szCs w:val="16"/>
              </w:rPr>
              <w:t>29,6</w:t>
            </w:r>
          </w:p>
        </w:tc>
      </w:tr>
      <w:tr w:rsidR="00D264DA" w:rsidRPr="00EE02F9" w14:paraId="03DCDBDC"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6146171F"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Karlovarský kraj</w:t>
            </w:r>
          </w:p>
        </w:tc>
        <w:tc>
          <w:tcPr>
            <w:tcW w:w="850" w:type="dxa"/>
            <w:tcBorders>
              <w:top w:val="nil"/>
              <w:left w:val="nil"/>
              <w:bottom w:val="nil"/>
              <w:right w:val="single" w:sz="4" w:space="0" w:color="auto"/>
            </w:tcBorders>
            <w:shd w:val="clear" w:color="auto" w:fill="auto"/>
            <w:noWrap/>
            <w:vAlign w:val="center"/>
            <w:hideMark/>
          </w:tcPr>
          <w:p w14:paraId="58F1DCCC"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49,4</w:t>
            </w:r>
          </w:p>
        </w:tc>
        <w:tc>
          <w:tcPr>
            <w:tcW w:w="850" w:type="dxa"/>
            <w:tcBorders>
              <w:top w:val="nil"/>
              <w:left w:val="nil"/>
              <w:bottom w:val="nil"/>
              <w:right w:val="nil"/>
            </w:tcBorders>
            <w:shd w:val="clear" w:color="auto" w:fill="auto"/>
            <w:noWrap/>
            <w:vAlign w:val="center"/>
            <w:hideMark/>
          </w:tcPr>
          <w:p w14:paraId="51B06476" w14:textId="6C50562B" w:rsidR="00D264DA" w:rsidRPr="00EE02F9" w:rsidRDefault="00D264DA" w:rsidP="00D264DA">
            <w:pPr>
              <w:spacing w:after="0" w:line="240" w:lineRule="auto"/>
              <w:jc w:val="right"/>
              <w:rPr>
                <w:rFonts w:cs="Arial"/>
                <w:color w:val="000000"/>
                <w:sz w:val="16"/>
                <w:szCs w:val="16"/>
              </w:rPr>
            </w:pPr>
            <w:r>
              <w:rPr>
                <w:rFonts w:cs="Arial"/>
                <w:color w:val="000000"/>
                <w:sz w:val="16"/>
                <w:szCs w:val="16"/>
              </w:rPr>
              <w:t>65,2</w:t>
            </w:r>
          </w:p>
        </w:tc>
        <w:tc>
          <w:tcPr>
            <w:tcW w:w="851" w:type="dxa"/>
            <w:tcBorders>
              <w:top w:val="nil"/>
              <w:left w:val="single" w:sz="4" w:space="0" w:color="auto"/>
              <w:bottom w:val="nil"/>
              <w:right w:val="single" w:sz="4" w:space="0" w:color="auto"/>
            </w:tcBorders>
            <w:shd w:val="clear" w:color="auto" w:fill="auto"/>
            <w:noWrap/>
            <w:vAlign w:val="center"/>
          </w:tcPr>
          <w:p w14:paraId="770AE159" w14:textId="28A7E70A" w:rsidR="00D264DA" w:rsidRPr="00EE02F9" w:rsidRDefault="00D264DA" w:rsidP="00D264DA">
            <w:pPr>
              <w:spacing w:after="0" w:line="240" w:lineRule="auto"/>
              <w:jc w:val="right"/>
              <w:rPr>
                <w:rFonts w:cs="Arial"/>
                <w:color w:val="000000"/>
                <w:sz w:val="16"/>
                <w:szCs w:val="16"/>
              </w:rPr>
            </w:pPr>
            <w:r>
              <w:rPr>
                <w:rFonts w:cs="Arial"/>
                <w:color w:val="000000"/>
                <w:sz w:val="16"/>
                <w:szCs w:val="16"/>
              </w:rPr>
              <w:t>62,0</w:t>
            </w:r>
          </w:p>
        </w:tc>
        <w:tc>
          <w:tcPr>
            <w:tcW w:w="850" w:type="dxa"/>
            <w:tcBorders>
              <w:top w:val="nil"/>
              <w:left w:val="nil"/>
              <w:bottom w:val="nil"/>
              <w:right w:val="single" w:sz="4" w:space="0" w:color="auto"/>
            </w:tcBorders>
            <w:shd w:val="clear" w:color="auto" w:fill="auto"/>
            <w:noWrap/>
            <w:vAlign w:val="center"/>
            <w:hideMark/>
          </w:tcPr>
          <w:p w14:paraId="77741568"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1 891,6</w:t>
            </w:r>
          </w:p>
        </w:tc>
        <w:tc>
          <w:tcPr>
            <w:tcW w:w="850" w:type="dxa"/>
            <w:tcBorders>
              <w:top w:val="nil"/>
              <w:left w:val="nil"/>
              <w:bottom w:val="nil"/>
              <w:right w:val="single" w:sz="4" w:space="0" w:color="auto"/>
            </w:tcBorders>
            <w:shd w:val="clear" w:color="auto" w:fill="auto"/>
            <w:noWrap/>
            <w:vAlign w:val="center"/>
            <w:hideMark/>
          </w:tcPr>
          <w:p w14:paraId="3B661D35" w14:textId="67DA710C" w:rsidR="00D264DA" w:rsidRPr="00EE02F9" w:rsidRDefault="00D264DA" w:rsidP="00D264DA">
            <w:pPr>
              <w:spacing w:after="0" w:line="240" w:lineRule="auto"/>
              <w:jc w:val="right"/>
              <w:rPr>
                <w:rFonts w:cs="Arial"/>
                <w:color w:val="000000"/>
                <w:sz w:val="16"/>
                <w:szCs w:val="16"/>
              </w:rPr>
            </w:pPr>
            <w:r>
              <w:rPr>
                <w:rFonts w:cs="Arial"/>
                <w:color w:val="000000"/>
                <w:sz w:val="16"/>
                <w:szCs w:val="16"/>
              </w:rPr>
              <w:t>2 258,1</w:t>
            </w:r>
          </w:p>
        </w:tc>
        <w:tc>
          <w:tcPr>
            <w:tcW w:w="851" w:type="dxa"/>
            <w:tcBorders>
              <w:top w:val="nil"/>
              <w:left w:val="nil"/>
              <w:bottom w:val="nil"/>
              <w:right w:val="single" w:sz="4" w:space="0" w:color="auto"/>
            </w:tcBorders>
            <w:shd w:val="clear" w:color="auto" w:fill="auto"/>
            <w:noWrap/>
            <w:vAlign w:val="center"/>
          </w:tcPr>
          <w:p w14:paraId="577B5FC8" w14:textId="7D4CBFE5" w:rsidR="00D264DA" w:rsidRPr="00EE02F9" w:rsidRDefault="00D264DA" w:rsidP="00D264DA">
            <w:pPr>
              <w:spacing w:after="0" w:line="240" w:lineRule="auto"/>
              <w:jc w:val="right"/>
              <w:rPr>
                <w:rFonts w:cs="Arial"/>
                <w:color w:val="000000"/>
                <w:sz w:val="16"/>
                <w:szCs w:val="16"/>
              </w:rPr>
            </w:pPr>
            <w:r>
              <w:rPr>
                <w:rFonts w:cs="Arial"/>
                <w:color w:val="000000"/>
                <w:sz w:val="16"/>
                <w:szCs w:val="16"/>
              </w:rPr>
              <w:t>1 904,9</w:t>
            </w:r>
          </w:p>
        </w:tc>
        <w:tc>
          <w:tcPr>
            <w:tcW w:w="850" w:type="dxa"/>
            <w:tcBorders>
              <w:top w:val="nil"/>
              <w:left w:val="nil"/>
              <w:bottom w:val="nil"/>
              <w:right w:val="single" w:sz="4" w:space="0" w:color="auto"/>
            </w:tcBorders>
            <w:shd w:val="clear" w:color="auto" w:fill="auto"/>
            <w:noWrap/>
            <w:vAlign w:val="center"/>
            <w:hideMark/>
          </w:tcPr>
          <w:p w14:paraId="33165A38"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38,3</w:t>
            </w:r>
          </w:p>
        </w:tc>
        <w:tc>
          <w:tcPr>
            <w:tcW w:w="850" w:type="dxa"/>
            <w:tcBorders>
              <w:top w:val="nil"/>
              <w:left w:val="nil"/>
              <w:bottom w:val="nil"/>
              <w:right w:val="nil"/>
            </w:tcBorders>
            <w:shd w:val="clear" w:color="auto" w:fill="auto"/>
            <w:noWrap/>
            <w:vAlign w:val="center"/>
            <w:hideMark/>
          </w:tcPr>
          <w:p w14:paraId="7B8FD2A8" w14:textId="24459DAE" w:rsidR="00D264DA" w:rsidRPr="00EE02F9" w:rsidRDefault="00D264DA" w:rsidP="00D264DA">
            <w:pPr>
              <w:spacing w:after="0" w:line="240" w:lineRule="auto"/>
              <w:jc w:val="right"/>
              <w:rPr>
                <w:rFonts w:cs="Arial"/>
                <w:color w:val="000000"/>
                <w:sz w:val="16"/>
                <w:szCs w:val="16"/>
              </w:rPr>
            </w:pPr>
            <w:r>
              <w:rPr>
                <w:rFonts w:cs="Arial"/>
                <w:color w:val="000000"/>
                <w:sz w:val="16"/>
                <w:szCs w:val="16"/>
              </w:rPr>
              <w:t>34,6</w:t>
            </w:r>
          </w:p>
        </w:tc>
        <w:tc>
          <w:tcPr>
            <w:tcW w:w="851" w:type="dxa"/>
            <w:tcBorders>
              <w:top w:val="nil"/>
              <w:left w:val="single" w:sz="4" w:space="0" w:color="auto"/>
              <w:bottom w:val="nil"/>
              <w:right w:val="nil"/>
            </w:tcBorders>
            <w:shd w:val="clear" w:color="auto" w:fill="auto"/>
            <w:noWrap/>
            <w:vAlign w:val="center"/>
          </w:tcPr>
          <w:p w14:paraId="57917FB3" w14:textId="6B1F274A" w:rsidR="00D264DA" w:rsidRPr="00EE02F9" w:rsidRDefault="00D264DA" w:rsidP="00D264DA">
            <w:pPr>
              <w:spacing w:after="0" w:line="240" w:lineRule="auto"/>
              <w:jc w:val="right"/>
              <w:rPr>
                <w:rFonts w:cs="Arial"/>
                <w:color w:val="000000"/>
                <w:sz w:val="16"/>
                <w:szCs w:val="16"/>
              </w:rPr>
            </w:pPr>
            <w:r>
              <w:rPr>
                <w:rFonts w:cs="Arial"/>
                <w:color w:val="000000"/>
                <w:sz w:val="16"/>
                <w:szCs w:val="16"/>
              </w:rPr>
              <w:t>30,7</w:t>
            </w:r>
          </w:p>
        </w:tc>
      </w:tr>
      <w:tr w:rsidR="00D264DA" w:rsidRPr="00EE02F9" w14:paraId="35B3F7F2"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4AEB34A1"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Ústecký kraj</w:t>
            </w:r>
          </w:p>
        </w:tc>
        <w:tc>
          <w:tcPr>
            <w:tcW w:w="850" w:type="dxa"/>
            <w:tcBorders>
              <w:top w:val="nil"/>
              <w:left w:val="nil"/>
              <w:bottom w:val="nil"/>
              <w:right w:val="single" w:sz="4" w:space="0" w:color="auto"/>
            </w:tcBorders>
            <w:shd w:val="clear" w:color="auto" w:fill="auto"/>
            <w:noWrap/>
            <w:vAlign w:val="center"/>
            <w:hideMark/>
          </w:tcPr>
          <w:p w14:paraId="3C4ED6AF"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146,6</w:t>
            </w:r>
          </w:p>
        </w:tc>
        <w:tc>
          <w:tcPr>
            <w:tcW w:w="850" w:type="dxa"/>
            <w:tcBorders>
              <w:top w:val="nil"/>
              <w:left w:val="nil"/>
              <w:bottom w:val="nil"/>
              <w:right w:val="nil"/>
            </w:tcBorders>
            <w:shd w:val="clear" w:color="auto" w:fill="auto"/>
            <w:noWrap/>
            <w:vAlign w:val="center"/>
            <w:hideMark/>
          </w:tcPr>
          <w:p w14:paraId="378EDB61" w14:textId="54C2AF5E" w:rsidR="00D264DA" w:rsidRPr="00EE02F9" w:rsidRDefault="00D264DA" w:rsidP="00D264DA">
            <w:pPr>
              <w:spacing w:after="0" w:line="240" w:lineRule="auto"/>
              <w:jc w:val="right"/>
              <w:rPr>
                <w:rFonts w:cs="Arial"/>
                <w:color w:val="000000"/>
                <w:sz w:val="16"/>
                <w:szCs w:val="16"/>
              </w:rPr>
            </w:pPr>
            <w:r>
              <w:rPr>
                <w:rFonts w:cs="Arial"/>
                <w:color w:val="000000"/>
                <w:sz w:val="16"/>
                <w:szCs w:val="16"/>
              </w:rPr>
              <w:t>211,4</w:t>
            </w:r>
          </w:p>
        </w:tc>
        <w:tc>
          <w:tcPr>
            <w:tcW w:w="851" w:type="dxa"/>
            <w:tcBorders>
              <w:top w:val="nil"/>
              <w:left w:val="single" w:sz="4" w:space="0" w:color="auto"/>
              <w:bottom w:val="nil"/>
              <w:right w:val="single" w:sz="4" w:space="0" w:color="auto"/>
            </w:tcBorders>
            <w:shd w:val="clear" w:color="auto" w:fill="auto"/>
            <w:noWrap/>
            <w:vAlign w:val="center"/>
          </w:tcPr>
          <w:p w14:paraId="7E82EFFA" w14:textId="4C5720CE" w:rsidR="00D264DA" w:rsidRPr="00EE02F9" w:rsidRDefault="00D264DA" w:rsidP="00D264DA">
            <w:pPr>
              <w:spacing w:after="0" w:line="240" w:lineRule="auto"/>
              <w:jc w:val="right"/>
              <w:rPr>
                <w:rFonts w:cs="Arial"/>
                <w:color w:val="000000"/>
                <w:sz w:val="16"/>
                <w:szCs w:val="16"/>
              </w:rPr>
            </w:pPr>
            <w:r>
              <w:rPr>
                <w:rFonts w:cs="Arial"/>
                <w:color w:val="000000"/>
                <w:sz w:val="16"/>
                <w:szCs w:val="16"/>
              </w:rPr>
              <w:t>186,1</w:t>
            </w:r>
          </w:p>
        </w:tc>
        <w:tc>
          <w:tcPr>
            <w:tcW w:w="850" w:type="dxa"/>
            <w:tcBorders>
              <w:top w:val="nil"/>
              <w:left w:val="nil"/>
              <w:bottom w:val="nil"/>
              <w:right w:val="single" w:sz="4" w:space="0" w:color="auto"/>
            </w:tcBorders>
            <w:shd w:val="clear" w:color="auto" w:fill="auto"/>
            <w:noWrap/>
            <w:vAlign w:val="center"/>
            <w:hideMark/>
          </w:tcPr>
          <w:p w14:paraId="003D3E90"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5 862,2</w:t>
            </w:r>
          </w:p>
        </w:tc>
        <w:tc>
          <w:tcPr>
            <w:tcW w:w="850" w:type="dxa"/>
            <w:tcBorders>
              <w:top w:val="nil"/>
              <w:left w:val="nil"/>
              <w:bottom w:val="nil"/>
              <w:right w:val="single" w:sz="4" w:space="0" w:color="auto"/>
            </w:tcBorders>
            <w:shd w:val="clear" w:color="auto" w:fill="auto"/>
            <w:noWrap/>
            <w:vAlign w:val="center"/>
            <w:hideMark/>
          </w:tcPr>
          <w:p w14:paraId="4895CDCA" w14:textId="40D139F3" w:rsidR="00D264DA" w:rsidRPr="00EE02F9" w:rsidRDefault="00D264DA" w:rsidP="00D264DA">
            <w:pPr>
              <w:spacing w:after="0" w:line="240" w:lineRule="auto"/>
              <w:jc w:val="right"/>
              <w:rPr>
                <w:rFonts w:cs="Arial"/>
                <w:color w:val="000000"/>
                <w:sz w:val="16"/>
                <w:szCs w:val="16"/>
              </w:rPr>
            </w:pPr>
            <w:r>
              <w:rPr>
                <w:rFonts w:cs="Arial"/>
                <w:color w:val="000000"/>
                <w:sz w:val="16"/>
                <w:szCs w:val="16"/>
              </w:rPr>
              <w:t>7 058,8</w:t>
            </w:r>
          </w:p>
        </w:tc>
        <w:tc>
          <w:tcPr>
            <w:tcW w:w="851" w:type="dxa"/>
            <w:tcBorders>
              <w:top w:val="nil"/>
              <w:left w:val="nil"/>
              <w:bottom w:val="nil"/>
              <w:right w:val="single" w:sz="4" w:space="0" w:color="auto"/>
            </w:tcBorders>
            <w:shd w:val="clear" w:color="auto" w:fill="auto"/>
            <w:noWrap/>
            <w:vAlign w:val="center"/>
          </w:tcPr>
          <w:p w14:paraId="3604900F" w14:textId="046ABAEB" w:rsidR="00D264DA" w:rsidRPr="00EE02F9" w:rsidRDefault="00D264DA" w:rsidP="00D264DA">
            <w:pPr>
              <w:spacing w:after="0" w:line="240" w:lineRule="auto"/>
              <w:jc w:val="right"/>
              <w:rPr>
                <w:rFonts w:cs="Arial"/>
                <w:color w:val="000000"/>
                <w:sz w:val="16"/>
                <w:szCs w:val="16"/>
              </w:rPr>
            </w:pPr>
            <w:r>
              <w:rPr>
                <w:rFonts w:cs="Arial"/>
                <w:color w:val="000000"/>
                <w:sz w:val="16"/>
                <w:szCs w:val="16"/>
              </w:rPr>
              <w:t>5 743,2</w:t>
            </w:r>
          </w:p>
        </w:tc>
        <w:tc>
          <w:tcPr>
            <w:tcW w:w="850" w:type="dxa"/>
            <w:tcBorders>
              <w:top w:val="nil"/>
              <w:left w:val="nil"/>
              <w:bottom w:val="nil"/>
              <w:right w:val="single" w:sz="4" w:space="0" w:color="auto"/>
            </w:tcBorders>
            <w:shd w:val="clear" w:color="auto" w:fill="auto"/>
            <w:noWrap/>
            <w:vAlign w:val="center"/>
            <w:hideMark/>
          </w:tcPr>
          <w:p w14:paraId="681750DC"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40,0</w:t>
            </w:r>
          </w:p>
        </w:tc>
        <w:tc>
          <w:tcPr>
            <w:tcW w:w="850" w:type="dxa"/>
            <w:tcBorders>
              <w:top w:val="nil"/>
              <w:left w:val="nil"/>
              <w:bottom w:val="nil"/>
              <w:right w:val="nil"/>
            </w:tcBorders>
            <w:shd w:val="clear" w:color="auto" w:fill="auto"/>
            <w:noWrap/>
            <w:vAlign w:val="center"/>
            <w:hideMark/>
          </w:tcPr>
          <w:p w14:paraId="6185F7B7" w14:textId="3EBC0762" w:rsidR="00D264DA" w:rsidRPr="00EE02F9" w:rsidRDefault="00D264DA" w:rsidP="00D264DA">
            <w:pPr>
              <w:spacing w:after="0" w:line="240" w:lineRule="auto"/>
              <w:jc w:val="right"/>
              <w:rPr>
                <w:rFonts w:cs="Arial"/>
                <w:color w:val="000000"/>
                <w:sz w:val="16"/>
                <w:szCs w:val="16"/>
              </w:rPr>
            </w:pPr>
            <w:r>
              <w:rPr>
                <w:rFonts w:cs="Arial"/>
                <w:color w:val="000000"/>
                <w:sz w:val="16"/>
                <w:szCs w:val="16"/>
              </w:rPr>
              <w:t>33,4</w:t>
            </w:r>
          </w:p>
        </w:tc>
        <w:tc>
          <w:tcPr>
            <w:tcW w:w="851" w:type="dxa"/>
            <w:tcBorders>
              <w:top w:val="nil"/>
              <w:left w:val="single" w:sz="4" w:space="0" w:color="auto"/>
              <w:bottom w:val="nil"/>
              <w:right w:val="nil"/>
            </w:tcBorders>
            <w:shd w:val="clear" w:color="auto" w:fill="auto"/>
            <w:noWrap/>
            <w:vAlign w:val="center"/>
          </w:tcPr>
          <w:p w14:paraId="6B7D019E" w14:textId="253326D0" w:rsidR="00D264DA" w:rsidRPr="00EE02F9" w:rsidRDefault="00D264DA" w:rsidP="00D264DA">
            <w:pPr>
              <w:spacing w:after="0" w:line="240" w:lineRule="auto"/>
              <w:jc w:val="right"/>
              <w:rPr>
                <w:rFonts w:cs="Arial"/>
                <w:color w:val="000000"/>
                <w:sz w:val="16"/>
                <w:szCs w:val="16"/>
              </w:rPr>
            </w:pPr>
            <w:r>
              <w:rPr>
                <w:rFonts w:cs="Arial"/>
                <w:color w:val="000000"/>
                <w:sz w:val="16"/>
                <w:szCs w:val="16"/>
              </w:rPr>
              <w:t>30,9</w:t>
            </w:r>
          </w:p>
        </w:tc>
      </w:tr>
      <w:tr w:rsidR="00D264DA" w:rsidRPr="00EE02F9" w14:paraId="149883A0"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543BC7F8"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Liberecký kraj</w:t>
            </w:r>
          </w:p>
        </w:tc>
        <w:tc>
          <w:tcPr>
            <w:tcW w:w="850" w:type="dxa"/>
            <w:tcBorders>
              <w:top w:val="nil"/>
              <w:left w:val="nil"/>
              <w:bottom w:val="nil"/>
              <w:right w:val="single" w:sz="4" w:space="0" w:color="auto"/>
            </w:tcBorders>
            <w:shd w:val="clear" w:color="auto" w:fill="auto"/>
            <w:noWrap/>
            <w:vAlign w:val="center"/>
            <w:hideMark/>
          </w:tcPr>
          <w:p w14:paraId="147352C2"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89,8</w:t>
            </w:r>
          </w:p>
        </w:tc>
        <w:tc>
          <w:tcPr>
            <w:tcW w:w="850" w:type="dxa"/>
            <w:tcBorders>
              <w:top w:val="nil"/>
              <w:left w:val="nil"/>
              <w:bottom w:val="nil"/>
              <w:right w:val="nil"/>
            </w:tcBorders>
            <w:shd w:val="clear" w:color="auto" w:fill="auto"/>
            <w:noWrap/>
            <w:vAlign w:val="center"/>
            <w:hideMark/>
          </w:tcPr>
          <w:p w14:paraId="273A91E7" w14:textId="508067AC" w:rsidR="00D264DA" w:rsidRPr="00EE02F9" w:rsidRDefault="00D264DA" w:rsidP="00D264DA">
            <w:pPr>
              <w:spacing w:after="0" w:line="240" w:lineRule="auto"/>
              <w:jc w:val="right"/>
              <w:rPr>
                <w:rFonts w:cs="Arial"/>
                <w:color w:val="000000"/>
                <w:sz w:val="16"/>
                <w:szCs w:val="16"/>
              </w:rPr>
            </w:pPr>
            <w:r>
              <w:rPr>
                <w:rFonts w:cs="Arial"/>
                <w:color w:val="000000"/>
                <w:sz w:val="16"/>
                <w:szCs w:val="16"/>
              </w:rPr>
              <w:t>131,3</w:t>
            </w:r>
          </w:p>
        </w:tc>
        <w:tc>
          <w:tcPr>
            <w:tcW w:w="851" w:type="dxa"/>
            <w:tcBorders>
              <w:top w:val="nil"/>
              <w:left w:val="single" w:sz="4" w:space="0" w:color="auto"/>
              <w:bottom w:val="nil"/>
              <w:right w:val="single" w:sz="4" w:space="0" w:color="auto"/>
            </w:tcBorders>
            <w:shd w:val="clear" w:color="auto" w:fill="auto"/>
            <w:noWrap/>
            <w:vAlign w:val="center"/>
          </w:tcPr>
          <w:p w14:paraId="0CFC11F4" w14:textId="45926530" w:rsidR="00D264DA" w:rsidRPr="00EE02F9" w:rsidRDefault="00D264DA" w:rsidP="00D264DA">
            <w:pPr>
              <w:spacing w:after="0" w:line="240" w:lineRule="auto"/>
              <w:jc w:val="right"/>
              <w:rPr>
                <w:rFonts w:cs="Arial"/>
                <w:color w:val="000000"/>
                <w:sz w:val="16"/>
                <w:szCs w:val="16"/>
              </w:rPr>
            </w:pPr>
            <w:r>
              <w:rPr>
                <w:rFonts w:cs="Arial"/>
                <w:color w:val="000000"/>
                <w:sz w:val="16"/>
                <w:szCs w:val="16"/>
              </w:rPr>
              <w:t>120,5</w:t>
            </w:r>
          </w:p>
        </w:tc>
        <w:tc>
          <w:tcPr>
            <w:tcW w:w="850" w:type="dxa"/>
            <w:tcBorders>
              <w:top w:val="nil"/>
              <w:left w:val="nil"/>
              <w:bottom w:val="nil"/>
              <w:right w:val="single" w:sz="4" w:space="0" w:color="auto"/>
            </w:tcBorders>
            <w:shd w:val="clear" w:color="auto" w:fill="auto"/>
            <w:noWrap/>
            <w:vAlign w:val="center"/>
            <w:hideMark/>
          </w:tcPr>
          <w:p w14:paraId="3D49789C"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3 438,9</w:t>
            </w:r>
          </w:p>
        </w:tc>
        <w:tc>
          <w:tcPr>
            <w:tcW w:w="850" w:type="dxa"/>
            <w:tcBorders>
              <w:top w:val="nil"/>
              <w:left w:val="nil"/>
              <w:bottom w:val="nil"/>
              <w:right w:val="single" w:sz="4" w:space="0" w:color="auto"/>
            </w:tcBorders>
            <w:shd w:val="clear" w:color="auto" w:fill="auto"/>
            <w:noWrap/>
            <w:vAlign w:val="center"/>
            <w:hideMark/>
          </w:tcPr>
          <w:p w14:paraId="46A4D0A3" w14:textId="2F277D09" w:rsidR="00D264DA" w:rsidRPr="00EE02F9" w:rsidRDefault="00D264DA" w:rsidP="00D264DA">
            <w:pPr>
              <w:spacing w:after="0" w:line="240" w:lineRule="auto"/>
              <w:jc w:val="right"/>
              <w:rPr>
                <w:rFonts w:cs="Arial"/>
                <w:color w:val="000000"/>
                <w:sz w:val="16"/>
                <w:szCs w:val="16"/>
              </w:rPr>
            </w:pPr>
            <w:r>
              <w:rPr>
                <w:rFonts w:cs="Arial"/>
                <w:color w:val="000000"/>
                <w:sz w:val="16"/>
                <w:szCs w:val="16"/>
              </w:rPr>
              <w:t>4 298,9</w:t>
            </w:r>
          </w:p>
        </w:tc>
        <w:tc>
          <w:tcPr>
            <w:tcW w:w="851" w:type="dxa"/>
            <w:tcBorders>
              <w:top w:val="nil"/>
              <w:left w:val="nil"/>
              <w:bottom w:val="nil"/>
              <w:right w:val="single" w:sz="4" w:space="0" w:color="auto"/>
            </w:tcBorders>
            <w:shd w:val="clear" w:color="auto" w:fill="auto"/>
            <w:noWrap/>
            <w:vAlign w:val="center"/>
          </w:tcPr>
          <w:p w14:paraId="3BE4E07F" w14:textId="0D916D44" w:rsidR="00D264DA" w:rsidRPr="00EE02F9" w:rsidRDefault="00D264DA" w:rsidP="00D264DA">
            <w:pPr>
              <w:spacing w:after="0" w:line="240" w:lineRule="auto"/>
              <w:jc w:val="right"/>
              <w:rPr>
                <w:rFonts w:cs="Arial"/>
                <w:color w:val="000000"/>
                <w:sz w:val="16"/>
                <w:szCs w:val="16"/>
              </w:rPr>
            </w:pPr>
            <w:r>
              <w:rPr>
                <w:rFonts w:cs="Arial"/>
                <w:color w:val="000000"/>
                <w:sz w:val="16"/>
                <w:szCs w:val="16"/>
              </w:rPr>
              <w:t>3 432,7</w:t>
            </w:r>
          </w:p>
        </w:tc>
        <w:tc>
          <w:tcPr>
            <w:tcW w:w="850" w:type="dxa"/>
            <w:tcBorders>
              <w:top w:val="nil"/>
              <w:left w:val="nil"/>
              <w:bottom w:val="nil"/>
              <w:right w:val="single" w:sz="4" w:space="0" w:color="auto"/>
            </w:tcBorders>
            <w:shd w:val="clear" w:color="auto" w:fill="auto"/>
            <w:noWrap/>
            <w:vAlign w:val="center"/>
            <w:hideMark/>
          </w:tcPr>
          <w:p w14:paraId="56853576"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38,3</w:t>
            </w:r>
          </w:p>
        </w:tc>
        <w:tc>
          <w:tcPr>
            <w:tcW w:w="850" w:type="dxa"/>
            <w:tcBorders>
              <w:top w:val="nil"/>
              <w:left w:val="nil"/>
              <w:bottom w:val="nil"/>
              <w:right w:val="nil"/>
            </w:tcBorders>
            <w:shd w:val="clear" w:color="auto" w:fill="auto"/>
            <w:noWrap/>
            <w:vAlign w:val="center"/>
            <w:hideMark/>
          </w:tcPr>
          <w:p w14:paraId="4F60DB17" w14:textId="549797DD" w:rsidR="00D264DA" w:rsidRPr="00EE02F9" w:rsidRDefault="00D264DA" w:rsidP="00D264DA">
            <w:pPr>
              <w:spacing w:after="0" w:line="240" w:lineRule="auto"/>
              <w:jc w:val="right"/>
              <w:rPr>
                <w:rFonts w:cs="Arial"/>
                <w:color w:val="000000"/>
                <w:sz w:val="16"/>
                <w:szCs w:val="16"/>
              </w:rPr>
            </w:pPr>
            <w:r>
              <w:rPr>
                <w:rFonts w:cs="Arial"/>
                <w:color w:val="000000"/>
                <w:sz w:val="16"/>
                <w:szCs w:val="16"/>
              </w:rPr>
              <w:t>32,7</w:t>
            </w:r>
          </w:p>
        </w:tc>
        <w:tc>
          <w:tcPr>
            <w:tcW w:w="851" w:type="dxa"/>
            <w:tcBorders>
              <w:top w:val="nil"/>
              <w:left w:val="single" w:sz="4" w:space="0" w:color="auto"/>
              <w:bottom w:val="nil"/>
              <w:right w:val="nil"/>
            </w:tcBorders>
            <w:shd w:val="clear" w:color="auto" w:fill="auto"/>
            <w:noWrap/>
            <w:vAlign w:val="center"/>
          </w:tcPr>
          <w:p w14:paraId="51C1D86C" w14:textId="3664C6D1" w:rsidR="00D264DA" w:rsidRPr="00EE02F9" w:rsidRDefault="00D264DA" w:rsidP="00D264DA">
            <w:pPr>
              <w:spacing w:after="0" w:line="240" w:lineRule="auto"/>
              <w:jc w:val="right"/>
              <w:rPr>
                <w:rFonts w:cs="Arial"/>
                <w:color w:val="000000"/>
                <w:sz w:val="16"/>
                <w:szCs w:val="16"/>
              </w:rPr>
            </w:pPr>
            <w:r>
              <w:rPr>
                <w:rFonts w:cs="Arial"/>
                <w:color w:val="000000"/>
                <w:sz w:val="16"/>
                <w:szCs w:val="16"/>
              </w:rPr>
              <w:t>28,5</w:t>
            </w:r>
          </w:p>
        </w:tc>
      </w:tr>
      <w:tr w:rsidR="00D264DA" w:rsidRPr="00EE02F9" w14:paraId="69AC00E2"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39FE432E"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Královéhradecký kraj</w:t>
            </w:r>
          </w:p>
        </w:tc>
        <w:tc>
          <w:tcPr>
            <w:tcW w:w="850" w:type="dxa"/>
            <w:tcBorders>
              <w:top w:val="nil"/>
              <w:left w:val="nil"/>
              <w:bottom w:val="nil"/>
              <w:right w:val="single" w:sz="4" w:space="0" w:color="auto"/>
            </w:tcBorders>
            <w:shd w:val="clear" w:color="auto" w:fill="auto"/>
            <w:noWrap/>
            <w:vAlign w:val="center"/>
            <w:hideMark/>
          </w:tcPr>
          <w:p w14:paraId="6A63FC12"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100,2</w:t>
            </w:r>
          </w:p>
        </w:tc>
        <w:tc>
          <w:tcPr>
            <w:tcW w:w="850" w:type="dxa"/>
            <w:tcBorders>
              <w:top w:val="nil"/>
              <w:left w:val="nil"/>
              <w:bottom w:val="nil"/>
              <w:right w:val="nil"/>
            </w:tcBorders>
            <w:shd w:val="clear" w:color="auto" w:fill="auto"/>
            <w:noWrap/>
            <w:vAlign w:val="center"/>
            <w:hideMark/>
          </w:tcPr>
          <w:p w14:paraId="18CA3FDE" w14:textId="0CE5AA87" w:rsidR="00D264DA" w:rsidRPr="00EE02F9" w:rsidRDefault="00D264DA" w:rsidP="00D264DA">
            <w:pPr>
              <w:spacing w:after="0" w:line="240" w:lineRule="auto"/>
              <w:jc w:val="right"/>
              <w:rPr>
                <w:rFonts w:cs="Arial"/>
                <w:color w:val="000000"/>
                <w:sz w:val="16"/>
                <w:szCs w:val="16"/>
              </w:rPr>
            </w:pPr>
            <w:r>
              <w:rPr>
                <w:rFonts w:cs="Arial"/>
                <w:color w:val="000000"/>
                <w:sz w:val="16"/>
                <w:szCs w:val="16"/>
              </w:rPr>
              <w:t>158,9</w:t>
            </w:r>
          </w:p>
        </w:tc>
        <w:tc>
          <w:tcPr>
            <w:tcW w:w="851" w:type="dxa"/>
            <w:tcBorders>
              <w:top w:val="nil"/>
              <w:left w:val="single" w:sz="4" w:space="0" w:color="auto"/>
              <w:bottom w:val="nil"/>
              <w:right w:val="single" w:sz="4" w:space="0" w:color="auto"/>
            </w:tcBorders>
            <w:shd w:val="clear" w:color="auto" w:fill="auto"/>
            <w:noWrap/>
            <w:vAlign w:val="center"/>
          </w:tcPr>
          <w:p w14:paraId="2200EEC2" w14:textId="1C40C0ED" w:rsidR="00D264DA" w:rsidRPr="00EE02F9" w:rsidRDefault="00D264DA" w:rsidP="00D264DA">
            <w:pPr>
              <w:spacing w:after="0" w:line="240" w:lineRule="auto"/>
              <w:jc w:val="right"/>
              <w:rPr>
                <w:rFonts w:cs="Arial"/>
                <w:color w:val="000000"/>
                <w:sz w:val="16"/>
                <w:szCs w:val="16"/>
              </w:rPr>
            </w:pPr>
            <w:r>
              <w:rPr>
                <w:rFonts w:cs="Arial"/>
                <w:color w:val="000000"/>
                <w:sz w:val="16"/>
                <w:szCs w:val="16"/>
              </w:rPr>
              <w:t>143,5</w:t>
            </w:r>
          </w:p>
        </w:tc>
        <w:tc>
          <w:tcPr>
            <w:tcW w:w="850" w:type="dxa"/>
            <w:tcBorders>
              <w:top w:val="nil"/>
              <w:left w:val="nil"/>
              <w:bottom w:val="nil"/>
              <w:right w:val="single" w:sz="4" w:space="0" w:color="auto"/>
            </w:tcBorders>
            <w:shd w:val="clear" w:color="auto" w:fill="auto"/>
            <w:noWrap/>
            <w:vAlign w:val="center"/>
            <w:hideMark/>
          </w:tcPr>
          <w:p w14:paraId="18D44A6B"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3 924,4</w:t>
            </w:r>
          </w:p>
        </w:tc>
        <w:tc>
          <w:tcPr>
            <w:tcW w:w="850" w:type="dxa"/>
            <w:tcBorders>
              <w:top w:val="nil"/>
              <w:left w:val="nil"/>
              <w:bottom w:val="nil"/>
              <w:right w:val="single" w:sz="4" w:space="0" w:color="auto"/>
            </w:tcBorders>
            <w:shd w:val="clear" w:color="auto" w:fill="auto"/>
            <w:noWrap/>
            <w:vAlign w:val="center"/>
            <w:hideMark/>
          </w:tcPr>
          <w:p w14:paraId="2337985B" w14:textId="7A803691" w:rsidR="00D264DA" w:rsidRPr="00EE02F9" w:rsidRDefault="00D264DA" w:rsidP="00D264DA">
            <w:pPr>
              <w:spacing w:after="0" w:line="240" w:lineRule="auto"/>
              <w:jc w:val="right"/>
              <w:rPr>
                <w:rFonts w:cs="Arial"/>
                <w:color w:val="000000"/>
                <w:sz w:val="16"/>
                <w:szCs w:val="16"/>
              </w:rPr>
            </w:pPr>
            <w:r>
              <w:rPr>
                <w:rFonts w:cs="Arial"/>
                <w:color w:val="000000"/>
                <w:sz w:val="16"/>
                <w:szCs w:val="16"/>
              </w:rPr>
              <w:t>5 234,9</w:t>
            </w:r>
          </w:p>
        </w:tc>
        <w:tc>
          <w:tcPr>
            <w:tcW w:w="851" w:type="dxa"/>
            <w:tcBorders>
              <w:top w:val="nil"/>
              <w:left w:val="nil"/>
              <w:bottom w:val="nil"/>
              <w:right w:val="single" w:sz="4" w:space="0" w:color="auto"/>
            </w:tcBorders>
            <w:shd w:val="clear" w:color="auto" w:fill="auto"/>
            <w:noWrap/>
            <w:vAlign w:val="center"/>
          </w:tcPr>
          <w:p w14:paraId="26DC985A" w14:textId="1F197D68" w:rsidR="00D264DA" w:rsidRPr="00EE02F9" w:rsidRDefault="00D264DA" w:rsidP="00D264DA">
            <w:pPr>
              <w:spacing w:after="0" w:line="240" w:lineRule="auto"/>
              <w:jc w:val="right"/>
              <w:rPr>
                <w:rFonts w:cs="Arial"/>
                <w:color w:val="000000"/>
                <w:sz w:val="16"/>
                <w:szCs w:val="16"/>
              </w:rPr>
            </w:pPr>
            <w:r>
              <w:rPr>
                <w:rFonts w:cs="Arial"/>
                <w:color w:val="000000"/>
                <w:sz w:val="16"/>
                <w:szCs w:val="16"/>
              </w:rPr>
              <w:t>4 377,1</w:t>
            </w:r>
          </w:p>
        </w:tc>
        <w:tc>
          <w:tcPr>
            <w:tcW w:w="850" w:type="dxa"/>
            <w:tcBorders>
              <w:top w:val="nil"/>
              <w:left w:val="nil"/>
              <w:bottom w:val="nil"/>
              <w:right w:val="single" w:sz="4" w:space="0" w:color="auto"/>
            </w:tcBorders>
            <w:shd w:val="clear" w:color="auto" w:fill="auto"/>
            <w:noWrap/>
            <w:vAlign w:val="center"/>
            <w:hideMark/>
          </w:tcPr>
          <w:p w14:paraId="77CD7E7F"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39,2</w:t>
            </w:r>
          </w:p>
        </w:tc>
        <w:tc>
          <w:tcPr>
            <w:tcW w:w="850" w:type="dxa"/>
            <w:tcBorders>
              <w:top w:val="nil"/>
              <w:left w:val="nil"/>
              <w:bottom w:val="nil"/>
              <w:right w:val="nil"/>
            </w:tcBorders>
            <w:shd w:val="clear" w:color="auto" w:fill="auto"/>
            <w:noWrap/>
            <w:vAlign w:val="center"/>
            <w:hideMark/>
          </w:tcPr>
          <w:p w14:paraId="217ACB1F" w14:textId="4B6E8BCC" w:rsidR="00D264DA" w:rsidRPr="00EE02F9" w:rsidRDefault="00D264DA" w:rsidP="00D264DA">
            <w:pPr>
              <w:spacing w:after="0" w:line="240" w:lineRule="auto"/>
              <w:jc w:val="right"/>
              <w:rPr>
                <w:rFonts w:cs="Arial"/>
                <w:color w:val="000000"/>
                <w:sz w:val="16"/>
                <w:szCs w:val="16"/>
              </w:rPr>
            </w:pPr>
            <w:r>
              <w:rPr>
                <w:rFonts w:cs="Arial"/>
                <w:color w:val="000000"/>
                <w:sz w:val="16"/>
                <w:szCs w:val="16"/>
              </w:rPr>
              <w:t>32,9</w:t>
            </w:r>
          </w:p>
        </w:tc>
        <w:tc>
          <w:tcPr>
            <w:tcW w:w="851" w:type="dxa"/>
            <w:tcBorders>
              <w:top w:val="nil"/>
              <w:left w:val="single" w:sz="4" w:space="0" w:color="auto"/>
              <w:bottom w:val="nil"/>
              <w:right w:val="nil"/>
            </w:tcBorders>
            <w:shd w:val="clear" w:color="auto" w:fill="auto"/>
            <w:noWrap/>
            <w:vAlign w:val="center"/>
          </w:tcPr>
          <w:p w14:paraId="7ECF16D6" w14:textId="532BFDD1" w:rsidR="00D264DA" w:rsidRPr="00EE02F9" w:rsidRDefault="00D264DA" w:rsidP="00D264DA">
            <w:pPr>
              <w:spacing w:after="0" w:line="240" w:lineRule="auto"/>
              <w:jc w:val="right"/>
              <w:rPr>
                <w:rFonts w:cs="Arial"/>
                <w:color w:val="000000"/>
                <w:sz w:val="16"/>
                <w:szCs w:val="16"/>
              </w:rPr>
            </w:pPr>
            <w:r>
              <w:rPr>
                <w:rFonts w:cs="Arial"/>
                <w:color w:val="000000"/>
                <w:sz w:val="16"/>
                <w:szCs w:val="16"/>
              </w:rPr>
              <w:t>30,5</w:t>
            </w:r>
          </w:p>
        </w:tc>
      </w:tr>
      <w:tr w:rsidR="00D264DA" w:rsidRPr="00EE02F9" w14:paraId="303C9092"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06AAC2BC"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Pardubický kraj</w:t>
            </w:r>
          </w:p>
        </w:tc>
        <w:tc>
          <w:tcPr>
            <w:tcW w:w="850" w:type="dxa"/>
            <w:tcBorders>
              <w:top w:val="nil"/>
              <w:left w:val="nil"/>
              <w:bottom w:val="nil"/>
              <w:right w:val="single" w:sz="4" w:space="0" w:color="auto"/>
            </w:tcBorders>
            <w:shd w:val="clear" w:color="auto" w:fill="auto"/>
            <w:noWrap/>
            <w:vAlign w:val="center"/>
            <w:hideMark/>
          </w:tcPr>
          <w:p w14:paraId="5FFD5799"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94,1</w:t>
            </w:r>
          </w:p>
        </w:tc>
        <w:tc>
          <w:tcPr>
            <w:tcW w:w="850" w:type="dxa"/>
            <w:tcBorders>
              <w:top w:val="nil"/>
              <w:left w:val="nil"/>
              <w:bottom w:val="nil"/>
              <w:right w:val="nil"/>
            </w:tcBorders>
            <w:shd w:val="clear" w:color="auto" w:fill="auto"/>
            <w:noWrap/>
            <w:vAlign w:val="center"/>
            <w:hideMark/>
          </w:tcPr>
          <w:p w14:paraId="1516765B" w14:textId="5E81CD03" w:rsidR="00D264DA" w:rsidRPr="00EE02F9" w:rsidRDefault="00D264DA" w:rsidP="00D264DA">
            <w:pPr>
              <w:spacing w:after="0" w:line="240" w:lineRule="auto"/>
              <w:jc w:val="right"/>
              <w:rPr>
                <w:rFonts w:cs="Arial"/>
                <w:color w:val="000000"/>
                <w:sz w:val="16"/>
                <w:szCs w:val="16"/>
              </w:rPr>
            </w:pPr>
            <w:r>
              <w:rPr>
                <w:rFonts w:cs="Arial"/>
                <w:color w:val="000000"/>
                <w:sz w:val="16"/>
                <w:szCs w:val="16"/>
              </w:rPr>
              <w:t>147,7</w:t>
            </w:r>
          </w:p>
        </w:tc>
        <w:tc>
          <w:tcPr>
            <w:tcW w:w="851" w:type="dxa"/>
            <w:tcBorders>
              <w:top w:val="nil"/>
              <w:left w:val="single" w:sz="4" w:space="0" w:color="auto"/>
              <w:bottom w:val="nil"/>
              <w:right w:val="single" w:sz="4" w:space="0" w:color="auto"/>
            </w:tcBorders>
            <w:shd w:val="clear" w:color="auto" w:fill="auto"/>
            <w:noWrap/>
            <w:vAlign w:val="center"/>
          </w:tcPr>
          <w:p w14:paraId="19C73882" w14:textId="7B35F971" w:rsidR="00D264DA" w:rsidRPr="00EE02F9" w:rsidRDefault="00D264DA" w:rsidP="00D264DA">
            <w:pPr>
              <w:spacing w:after="0" w:line="240" w:lineRule="auto"/>
              <w:jc w:val="right"/>
              <w:rPr>
                <w:rFonts w:cs="Arial"/>
                <w:color w:val="000000"/>
                <w:sz w:val="16"/>
                <w:szCs w:val="16"/>
              </w:rPr>
            </w:pPr>
            <w:r>
              <w:rPr>
                <w:rFonts w:cs="Arial"/>
                <w:color w:val="000000"/>
                <w:sz w:val="16"/>
                <w:szCs w:val="16"/>
              </w:rPr>
              <w:t>127,1</w:t>
            </w:r>
          </w:p>
        </w:tc>
        <w:tc>
          <w:tcPr>
            <w:tcW w:w="850" w:type="dxa"/>
            <w:tcBorders>
              <w:top w:val="nil"/>
              <w:left w:val="nil"/>
              <w:bottom w:val="nil"/>
              <w:right w:val="single" w:sz="4" w:space="0" w:color="auto"/>
            </w:tcBorders>
            <w:shd w:val="clear" w:color="auto" w:fill="auto"/>
            <w:noWrap/>
            <w:vAlign w:val="center"/>
            <w:hideMark/>
          </w:tcPr>
          <w:p w14:paraId="0ACF9697"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3 797,2</w:t>
            </w:r>
          </w:p>
        </w:tc>
        <w:tc>
          <w:tcPr>
            <w:tcW w:w="850" w:type="dxa"/>
            <w:tcBorders>
              <w:top w:val="nil"/>
              <w:left w:val="nil"/>
              <w:bottom w:val="nil"/>
              <w:right w:val="single" w:sz="4" w:space="0" w:color="auto"/>
            </w:tcBorders>
            <w:shd w:val="clear" w:color="auto" w:fill="auto"/>
            <w:noWrap/>
            <w:vAlign w:val="center"/>
            <w:hideMark/>
          </w:tcPr>
          <w:p w14:paraId="58D0DDA5" w14:textId="3C7DDDAE" w:rsidR="00D264DA" w:rsidRPr="00EE02F9" w:rsidRDefault="00D264DA" w:rsidP="00D264DA">
            <w:pPr>
              <w:spacing w:after="0" w:line="240" w:lineRule="auto"/>
              <w:jc w:val="right"/>
              <w:rPr>
                <w:rFonts w:cs="Arial"/>
                <w:color w:val="000000"/>
                <w:sz w:val="16"/>
                <w:szCs w:val="16"/>
              </w:rPr>
            </w:pPr>
            <w:r>
              <w:rPr>
                <w:rFonts w:cs="Arial"/>
                <w:color w:val="000000"/>
                <w:sz w:val="16"/>
                <w:szCs w:val="16"/>
              </w:rPr>
              <w:t>4 774,0</w:t>
            </w:r>
          </w:p>
        </w:tc>
        <w:tc>
          <w:tcPr>
            <w:tcW w:w="851" w:type="dxa"/>
            <w:tcBorders>
              <w:top w:val="nil"/>
              <w:left w:val="nil"/>
              <w:bottom w:val="nil"/>
              <w:right w:val="single" w:sz="4" w:space="0" w:color="auto"/>
            </w:tcBorders>
            <w:shd w:val="clear" w:color="auto" w:fill="auto"/>
            <w:noWrap/>
            <w:vAlign w:val="center"/>
          </w:tcPr>
          <w:p w14:paraId="5FD3E505" w14:textId="2FECBEFF" w:rsidR="00D264DA" w:rsidRPr="00EE02F9" w:rsidRDefault="00D264DA" w:rsidP="00D264DA">
            <w:pPr>
              <w:spacing w:after="0" w:line="240" w:lineRule="auto"/>
              <w:jc w:val="right"/>
              <w:rPr>
                <w:rFonts w:cs="Arial"/>
                <w:color w:val="000000"/>
                <w:sz w:val="16"/>
                <w:szCs w:val="16"/>
              </w:rPr>
            </w:pPr>
            <w:r>
              <w:rPr>
                <w:rFonts w:cs="Arial"/>
                <w:color w:val="000000"/>
                <w:sz w:val="16"/>
                <w:szCs w:val="16"/>
              </w:rPr>
              <w:t>4 030,9</w:t>
            </w:r>
          </w:p>
        </w:tc>
        <w:tc>
          <w:tcPr>
            <w:tcW w:w="850" w:type="dxa"/>
            <w:tcBorders>
              <w:top w:val="nil"/>
              <w:left w:val="nil"/>
              <w:bottom w:val="nil"/>
              <w:right w:val="single" w:sz="4" w:space="0" w:color="auto"/>
            </w:tcBorders>
            <w:shd w:val="clear" w:color="auto" w:fill="auto"/>
            <w:noWrap/>
            <w:vAlign w:val="center"/>
            <w:hideMark/>
          </w:tcPr>
          <w:p w14:paraId="5F05E81A"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40,3</w:t>
            </w:r>
          </w:p>
        </w:tc>
        <w:tc>
          <w:tcPr>
            <w:tcW w:w="850" w:type="dxa"/>
            <w:tcBorders>
              <w:top w:val="nil"/>
              <w:left w:val="nil"/>
              <w:bottom w:val="nil"/>
              <w:right w:val="nil"/>
            </w:tcBorders>
            <w:shd w:val="clear" w:color="auto" w:fill="auto"/>
            <w:noWrap/>
            <w:vAlign w:val="center"/>
            <w:hideMark/>
          </w:tcPr>
          <w:p w14:paraId="00A60DE2" w14:textId="78852F76" w:rsidR="00D264DA" w:rsidRPr="00EE02F9" w:rsidRDefault="00D264DA" w:rsidP="00D264DA">
            <w:pPr>
              <w:spacing w:after="0" w:line="240" w:lineRule="auto"/>
              <w:jc w:val="right"/>
              <w:rPr>
                <w:rFonts w:cs="Arial"/>
                <w:color w:val="000000"/>
                <w:sz w:val="16"/>
                <w:szCs w:val="16"/>
              </w:rPr>
            </w:pPr>
            <w:r>
              <w:rPr>
                <w:rFonts w:cs="Arial"/>
                <w:color w:val="000000"/>
                <w:sz w:val="16"/>
                <w:szCs w:val="16"/>
              </w:rPr>
              <w:t>32,3</w:t>
            </w:r>
          </w:p>
        </w:tc>
        <w:tc>
          <w:tcPr>
            <w:tcW w:w="851" w:type="dxa"/>
            <w:tcBorders>
              <w:top w:val="nil"/>
              <w:left w:val="single" w:sz="4" w:space="0" w:color="auto"/>
              <w:bottom w:val="nil"/>
              <w:right w:val="nil"/>
            </w:tcBorders>
            <w:shd w:val="clear" w:color="auto" w:fill="auto"/>
            <w:noWrap/>
            <w:vAlign w:val="center"/>
          </w:tcPr>
          <w:p w14:paraId="7D6F41CF" w14:textId="59B5161D" w:rsidR="00D264DA" w:rsidRPr="00EE02F9" w:rsidRDefault="00D264DA" w:rsidP="00D264DA">
            <w:pPr>
              <w:spacing w:after="0" w:line="240" w:lineRule="auto"/>
              <w:jc w:val="right"/>
              <w:rPr>
                <w:rFonts w:cs="Arial"/>
                <w:color w:val="000000"/>
                <w:sz w:val="16"/>
                <w:szCs w:val="16"/>
              </w:rPr>
            </w:pPr>
            <w:r>
              <w:rPr>
                <w:rFonts w:cs="Arial"/>
                <w:color w:val="000000"/>
                <w:sz w:val="16"/>
                <w:szCs w:val="16"/>
              </w:rPr>
              <w:t>31,7</w:t>
            </w:r>
          </w:p>
        </w:tc>
      </w:tr>
      <w:tr w:rsidR="00D264DA" w:rsidRPr="00EE02F9" w14:paraId="3694B201"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1E83057C"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Kraj Vysočina</w:t>
            </w:r>
          </w:p>
        </w:tc>
        <w:tc>
          <w:tcPr>
            <w:tcW w:w="850" w:type="dxa"/>
            <w:tcBorders>
              <w:top w:val="nil"/>
              <w:left w:val="nil"/>
              <w:bottom w:val="nil"/>
              <w:right w:val="single" w:sz="4" w:space="0" w:color="auto"/>
            </w:tcBorders>
            <w:shd w:val="clear" w:color="auto" w:fill="auto"/>
            <w:noWrap/>
            <w:vAlign w:val="center"/>
            <w:hideMark/>
          </w:tcPr>
          <w:p w14:paraId="237634B9"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92,4</w:t>
            </w:r>
          </w:p>
        </w:tc>
        <w:tc>
          <w:tcPr>
            <w:tcW w:w="850" w:type="dxa"/>
            <w:tcBorders>
              <w:top w:val="nil"/>
              <w:left w:val="nil"/>
              <w:bottom w:val="nil"/>
              <w:right w:val="nil"/>
            </w:tcBorders>
            <w:shd w:val="clear" w:color="auto" w:fill="auto"/>
            <w:noWrap/>
            <w:vAlign w:val="center"/>
            <w:hideMark/>
          </w:tcPr>
          <w:p w14:paraId="08D16C69" w14:textId="6689CADC" w:rsidR="00D264DA" w:rsidRPr="00EE02F9" w:rsidRDefault="00D264DA" w:rsidP="00D264DA">
            <w:pPr>
              <w:spacing w:after="0" w:line="240" w:lineRule="auto"/>
              <w:jc w:val="right"/>
              <w:rPr>
                <w:rFonts w:cs="Arial"/>
                <w:color w:val="000000"/>
                <w:sz w:val="16"/>
                <w:szCs w:val="16"/>
              </w:rPr>
            </w:pPr>
            <w:r>
              <w:rPr>
                <w:rFonts w:cs="Arial"/>
                <w:color w:val="000000"/>
                <w:sz w:val="16"/>
                <w:szCs w:val="16"/>
              </w:rPr>
              <w:t>127,2</w:t>
            </w:r>
          </w:p>
        </w:tc>
        <w:tc>
          <w:tcPr>
            <w:tcW w:w="851" w:type="dxa"/>
            <w:tcBorders>
              <w:top w:val="nil"/>
              <w:left w:val="single" w:sz="4" w:space="0" w:color="auto"/>
              <w:bottom w:val="nil"/>
              <w:right w:val="single" w:sz="4" w:space="0" w:color="auto"/>
            </w:tcBorders>
            <w:shd w:val="clear" w:color="auto" w:fill="auto"/>
            <w:noWrap/>
            <w:vAlign w:val="center"/>
          </w:tcPr>
          <w:p w14:paraId="6538AB65" w14:textId="60AF70D7" w:rsidR="00D264DA" w:rsidRPr="00EE02F9" w:rsidRDefault="00D264DA" w:rsidP="00D264DA">
            <w:pPr>
              <w:spacing w:after="0" w:line="240" w:lineRule="auto"/>
              <w:jc w:val="right"/>
              <w:rPr>
                <w:rFonts w:cs="Arial"/>
                <w:color w:val="000000"/>
                <w:sz w:val="16"/>
                <w:szCs w:val="16"/>
              </w:rPr>
            </w:pPr>
            <w:r>
              <w:rPr>
                <w:rFonts w:cs="Arial"/>
                <w:color w:val="000000"/>
                <w:sz w:val="16"/>
                <w:szCs w:val="16"/>
              </w:rPr>
              <w:t>121,3</w:t>
            </w:r>
          </w:p>
        </w:tc>
        <w:tc>
          <w:tcPr>
            <w:tcW w:w="850" w:type="dxa"/>
            <w:tcBorders>
              <w:top w:val="nil"/>
              <w:left w:val="nil"/>
              <w:bottom w:val="nil"/>
              <w:right w:val="single" w:sz="4" w:space="0" w:color="auto"/>
            </w:tcBorders>
            <w:shd w:val="clear" w:color="auto" w:fill="auto"/>
            <w:noWrap/>
            <w:vAlign w:val="center"/>
            <w:hideMark/>
          </w:tcPr>
          <w:p w14:paraId="4A1424D2"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4 095,4</w:t>
            </w:r>
          </w:p>
        </w:tc>
        <w:tc>
          <w:tcPr>
            <w:tcW w:w="850" w:type="dxa"/>
            <w:tcBorders>
              <w:top w:val="nil"/>
              <w:left w:val="nil"/>
              <w:bottom w:val="nil"/>
              <w:right w:val="single" w:sz="4" w:space="0" w:color="auto"/>
            </w:tcBorders>
            <w:shd w:val="clear" w:color="auto" w:fill="auto"/>
            <w:noWrap/>
            <w:vAlign w:val="center"/>
            <w:hideMark/>
          </w:tcPr>
          <w:p w14:paraId="01D5720C" w14:textId="0AFDDDB0" w:rsidR="00D264DA" w:rsidRPr="00EE02F9" w:rsidRDefault="00D264DA" w:rsidP="00D264DA">
            <w:pPr>
              <w:spacing w:after="0" w:line="240" w:lineRule="auto"/>
              <w:jc w:val="right"/>
              <w:rPr>
                <w:rFonts w:cs="Arial"/>
                <w:color w:val="000000"/>
                <w:sz w:val="16"/>
                <w:szCs w:val="16"/>
              </w:rPr>
            </w:pPr>
            <w:r>
              <w:rPr>
                <w:rFonts w:cs="Arial"/>
                <w:color w:val="000000"/>
                <w:sz w:val="16"/>
                <w:szCs w:val="16"/>
              </w:rPr>
              <w:t>4 682,8</w:t>
            </w:r>
          </w:p>
        </w:tc>
        <w:tc>
          <w:tcPr>
            <w:tcW w:w="851" w:type="dxa"/>
            <w:tcBorders>
              <w:top w:val="nil"/>
              <w:left w:val="nil"/>
              <w:bottom w:val="nil"/>
              <w:right w:val="single" w:sz="4" w:space="0" w:color="auto"/>
            </w:tcBorders>
            <w:shd w:val="clear" w:color="auto" w:fill="auto"/>
            <w:noWrap/>
            <w:vAlign w:val="center"/>
          </w:tcPr>
          <w:p w14:paraId="7484DD18" w14:textId="286809AA" w:rsidR="00D264DA" w:rsidRPr="00EE02F9" w:rsidRDefault="00D264DA" w:rsidP="00D264DA">
            <w:pPr>
              <w:spacing w:after="0" w:line="240" w:lineRule="auto"/>
              <w:jc w:val="right"/>
              <w:rPr>
                <w:rFonts w:cs="Arial"/>
                <w:color w:val="000000"/>
                <w:sz w:val="16"/>
                <w:szCs w:val="16"/>
              </w:rPr>
            </w:pPr>
            <w:r>
              <w:rPr>
                <w:rFonts w:cs="Arial"/>
                <w:color w:val="000000"/>
                <w:sz w:val="16"/>
                <w:szCs w:val="16"/>
              </w:rPr>
              <w:t>3 946,5</w:t>
            </w:r>
          </w:p>
        </w:tc>
        <w:tc>
          <w:tcPr>
            <w:tcW w:w="850" w:type="dxa"/>
            <w:tcBorders>
              <w:top w:val="nil"/>
              <w:left w:val="nil"/>
              <w:bottom w:val="nil"/>
              <w:right w:val="single" w:sz="4" w:space="0" w:color="auto"/>
            </w:tcBorders>
            <w:shd w:val="clear" w:color="auto" w:fill="auto"/>
            <w:noWrap/>
            <w:vAlign w:val="center"/>
            <w:hideMark/>
          </w:tcPr>
          <w:p w14:paraId="2822DE67"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44,3</w:t>
            </w:r>
          </w:p>
        </w:tc>
        <w:tc>
          <w:tcPr>
            <w:tcW w:w="850" w:type="dxa"/>
            <w:tcBorders>
              <w:top w:val="nil"/>
              <w:left w:val="nil"/>
              <w:bottom w:val="nil"/>
              <w:right w:val="nil"/>
            </w:tcBorders>
            <w:shd w:val="clear" w:color="auto" w:fill="auto"/>
            <w:noWrap/>
            <w:vAlign w:val="center"/>
            <w:hideMark/>
          </w:tcPr>
          <w:p w14:paraId="5CBAE990" w14:textId="083A80E0" w:rsidR="00D264DA" w:rsidRPr="00EE02F9" w:rsidRDefault="00D264DA" w:rsidP="00D264DA">
            <w:pPr>
              <w:spacing w:after="0" w:line="240" w:lineRule="auto"/>
              <w:jc w:val="right"/>
              <w:rPr>
                <w:rFonts w:cs="Arial"/>
                <w:color w:val="000000"/>
                <w:sz w:val="16"/>
                <w:szCs w:val="16"/>
              </w:rPr>
            </w:pPr>
            <w:r>
              <w:rPr>
                <w:rFonts w:cs="Arial"/>
                <w:color w:val="000000"/>
                <w:sz w:val="16"/>
                <w:szCs w:val="16"/>
              </w:rPr>
              <w:t>36,8</w:t>
            </w:r>
          </w:p>
        </w:tc>
        <w:tc>
          <w:tcPr>
            <w:tcW w:w="851" w:type="dxa"/>
            <w:tcBorders>
              <w:top w:val="nil"/>
              <w:left w:val="single" w:sz="4" w:space="0" w:color="auto"/>
              <w:bottom w:val="nil"/>
              <w:right w:val="nil"/>
            </w:tcBorders>
            <w:shd w:val="clear" w:color="auto" w:fill="auto"/>
            <w:noWrap/>
            <w:vAlign w:val="center"/>
          </w:tcPr>
          <w:p w14:paraId="099F127B" w14:textId="131E328D" w:rsidR="00D264DA" w:rsidRPr="00EE02F9" w:rsidRDefault="00D264DA" w:rsidP="00D264DA">
            <w:pPr>
              <w:spacing w:after="0" w:line="240" w:lineRule="auto"/>
              <w:jc w:val="right"/>
              <w:rPr>
                <w:rFonts w:cs="Arial"/>
                <w:color w:val="000000"/>
                <w:sz w:val="16"/>
                <w:szCs w:val="16"/>
              </w:rPr>
            </w:pPr>
            <w:r>
              <w:rPr>
                <w:rFonts w:cs="Arial"/>
                <w:color w:val="000000"/>
                <w:sz w:val="16"/>
                <w:szCs w:val="16"/>
              </w:rPr>
              <w:t>32,5</w:t>
            </w:r>
          </w:p>
        </w:tc>
      </w:tr>
      <w:tr w:rsidR="00D264DA" w:rsidRPr="00EE02F9" w14:paraId="1BC5133E"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017DA87C"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Jihomoravský kraj</w:t>
            </w:r>
          </w:p>
        </w:tc>
        <w:tc>
          <w:tcPr>
            <w:tcW w:w="850" w:type="dxa"/>
            <w:tcBorders>
              <w:top w:val="nil"/>
              <w:left w:val="nil"/>
              <w:bottom w:val="nil"/>
              <w:right w:val="single" w:sz="4" w:space="0" w:color="auto"/>
            </w:tcBorders>
            <w:shd w:val="clear" w:color="auto" w:fill="auto"/>
            <w:noWrap/>
            <w:vAlign w:val="center"/>
            <w:hideMark/>
          </w:tcPr>
          <w:p w14:paraId="4CB54189"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189,7</w:t>
            </w:r>
          </w:p>
        </w:tc>
        <w:tc>
          <w:tcPr>
            <w:tcW w:w="850" w:type="dxa"/>
            <w:tcBorders>
              <w:top w:val="nil"/>
              <w:left w:val="nil"/>
              <w:bottom w:val="nil"/>
              <w:right w:val="nil"/>
            </w:tcBorders>
            <w:shd w:val="clear" w:color="auto" w:fill="auto"/>
            <w:noWrap/>
            <w:vAlign w:val="center"/>
            <w:hideMark/>
          </w:tcPr>
          <w:p w14:paraId="60A01037" w14:textId="3D260EFB" w:rsidR="00D264DA" w:rsidRPr="00EE02F9" w:rsidRDefault="00D264DA" w:rsidP="00D264DA">
            <w:pPr>
              <w:spacing w:after="0" w:line="240" w:lineRule="auto"/>
              <w:jc w:val="right"/>
              <w:rPr>
                <w:rFonts w:cs="Arial"/>
                <w:color w:val="000000"/>
                <w:sz w:val="16"/>
                <w:szCs w:val="16"/>
              </w:rPr>
            </w:pPr>
            <w:r>
              <w:rPr>
                <w:rFonts w:cs="Arial"/>
                <w:color w:val="000000"/>
                <w:sz w:val="16"/>
                <w:szCs w:val="16"/>
              </w:rPr>
              <w:t>295,3</w:t>
            </w:r>
          </w:p>
        </w:tc>
        <w:tc>
          <w:tcPr>
            <w:tcW w:w="851" w:type="dxa"/>
            <w:tcBorders>
              <w:top w:val="nil"/>
              <w:left w:val="single" w:sz="4" w:space="0" w:color="auto"/>
              <w:bottom w:val="nil"/>
              <w:right w:val="single" w:sz="4" w:space="0" w:color="auto"/>
            </w:tcBorders>
            <w:shd w:val="clear" w:color="auto" w:fill="auto"/>
            <w:noWrap/>
            <w:vAlign w:val="center"/>
          </w:tcPr>
          <w:p w14:paraId="779B056A" w14:textId="4588CDA2" w:rsidR="00D264DA" w:rsidRPr="00EE02F9" w:rsidRDefault="00D264DA" w:rsidP="00D264DA">
            <w:pPr>
              <w:spacing w:after="0" w:line="240" w:lineRule="auto"/>
              <w:jc w:val="right"/>
              <w:rPr>
                <w:rFonts w:cs="Arial"/>
                <w:color w:val="000000"/>
                <w:sz w:val="16"/>
                <w:szCs w:val="16"/>
              </w:rPr>
            </w:pPr>
            <w:r>
              <w:rPr>
                <w:rFonts w:cs="Arial"/>
                <w:color w:val="000000"/>
                <w:sz w:val="16"/>
                <w:szCs w:val="16"/>
              </w:rPr>
              <w:t>287,2</w:t>
            </w:r>
          </w:p>
        </w:tc>
        <w:tc>
          <w:tcPr>
            <w:tcW w:w="850" w:type="dxa"/>
            <w:tcBorders>
              <w:top w:val="nil"/>
              <w:left w:val="nil"/>
              <w:bottom w:val="nil"/>
              <w:right w:val="single" w:sz="4" w:space="0" w:color="auto"/>
            </w:tcBorders>
            <w:shd w:val="clear" w:color="auto" w:fill="auto"/>
            <w:noWrap/>
            <w:vAlign w:val="center"/>
            <w:hideMark/>
          </w:tcPr>
          <w:p w14:paraId="112BA1E1"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8 165,9</w:t>
            </w:r>
          </w:p>
        </w:tc>
        <w:tc>
          <w:tcPr>
            <w:tcW w:w="850" w:type="dxa"/>
            <w:tcBorders>
              <w:top w:val="nil"/>
              <w:left w:val="nil"/>
              <w:bottom w:val="nil"/>
              <w:right w:val="single" w:sz="4" w:space="0" w:color="auto"/>
            </w:tcBorders>
            <w:shd w:val="clear" w:color="auto" w:fill="auto"/>
            <w:noWrap/>
            <w:vAlign w:val="center"/>
            <w:hideMark/>
          </w:tcPr>
          <w:p w14:paraId="51EDFDA5" w14:textId="339F5712" w:rsidR="00D264DA" w:rsidRPr="00EE02F9" w:rsidRDefault="00D264DA" w:rsidP="00D264DA">
            <w:pPr>
              <w:spacing w:after="0" w:line="240" w:lineRule="auto"/>
              <w:jc w:val="right"/>
              <w:rPr>
                <w:rFonts w:cs="Arial"/>
                <w:color w:val="000000"/>
                <w:sz w:val="16"/>
                <w:szCs w:val="16"/>
              </w:rPr>
            </w:pPr>
            <w:r>
              <w:rPr>
                <w:rFonts w:cs="Arial"/>
                <w:color w:val="000000"/>
                <w:sz w:val="16"/>
                <w:szCs w:val="16"/>
              </w:rPr>
              <w:t>10 611,7</w:t>
            </w:r>
          </w:p>
        </w:tc>
        <w:tc>
          <w:tcPr>
            <w:tcW w:w="851" w:type="dxa"/>
            <w:tcBorders>
              <w:top w:val="nil"/>
              <w:left w:val="nil"/>
              <w:bottom w:val="nil"/>
              <w:right w:val="single" w:sz="4" w:space="0" w:color="auto"/>
            </w:tcBorders>
            <w:shd w:val="clear" w:color="auto" w:fill="auto"/>
            <w:noWrap/>
            <w:vAlign w:val="center"/>
          </w:tcPr>
          <w:p w14:paraId="322872AB" w14:textId="3A478E1C" w:rsidR="00D264DA" w:rsidRPr="00EE02F9" w:rsidRDefault="00D264DA" w:rsidP="00D264DA">
            <w:pPr>
              <w:spacing w:after="0" w:line="240" w:lineRule="auto"/>
              <w:jc w:val="right"/>
              <w:rPr>
                <w:rFonts w:cs="Arial"/>
                <w:color w:val="000000"/>
                <w:sz w:val="16"/>
                <w:szCs w:val="16"/>
              </w:rPr>
            </w:pPr>
            <w:r>
              <w:rPr>
                <w:rFonts w:cs="Arial"/>
                <w:color w:val="000000"/>
                <w:sz w:val="16"/>
                <w:szCs w:val="16"/>
              </w:rPr>
              <w:t>8 954,6</w:t>
            </w:r>
          </w:p>
        </w:tc>
        <w:tc>
          <w:tcPr>
            <w:tcW w:w="850" w:type="dxa"/>
            <w:tcBorders>
              <w:top w:val="nil"/>
              <w:left w:val="nil"/>
              <w:bottom w:val="nil"/>
              <w:right w:val="single" w:sz="4" w:space="0" w:color="auto"/>
            </w:tcBorders>
            <w:shd w:val="clear" w:color="auto" w:fill="auto"/>
            <w:noWrap/>
            <w:vAlign w:val="center"/>
            <w:hideMark/>
          </w:tcPr>
          <w:p w14:paraId="54C3C7C9"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43,1</w:t>
            </w:r>
          </w:p>
        </w:tc>
        <w:tc>
          <w:tcPr>
            <w:tcW w:w="850" w:type="dxa"/>
            <w:tcBorders>
              <w:top w:val="nil"/>
              <w:left w:val="nil"/>
              <w:bottom w:val="nil"/>
              <w:right w:val="nil"/>
            </w:tcBorders>
            <w:shd w:val="clear" w:color="auto" w:fill="auto"/>
            <w:noWrap/>
            <w:vAlign w:val="center"/>
            <w:hideMark/>
          </w:tcPr>
          <w:p w14:paraId="75D456AA" w14:textId="01573BCB" w:rsidR="00D264DA" w:rsidRPr="00EE02F9" w:rsidRDefault="00D264DA" w:rsidP="00D264DA">
            <w:pPr>
              <w:spacing w:after="0" w:line="240" w:lineRule="auto"/>
              <w:jc w:val="right"/>
              <w:rPr>
                <w:rFonts w:cs="Arial"/>
                <w:color w:val="000000"/>
                <w:sz w:val="16"/>
                <w:szCs w:val="16"/>
              </w:rPr>
            </w:pPr>
            <w:r>
              <w:rPr>
                <w:rFonts w:cs="Arial"/>
                <w:color w:val="000000"/>
                <w:sz w:val="16"/>
                <w:szCs w:val="16"/>
              </w:rPr>
              <w:t>35,9</w:t>
            </w:r>
          </w:p>
        </w:tc>
        <w:tc>
          <w:tcPr>
            <w:tcW w:w="851" w:type="dxa"/>
            <w:tcBorders>
              <w:top w:val="nil"/>
              <w:left w:val="single" w:sz="4" w:space="0" w:color="auto"/>
              <w:bottom w:val="nil"/>
              <w:right w:val="nil"/>
            </w:tcBorders>
            <w:shd w:val="clear" w:color="auto" w:fill="auto"/>
            <w:noWrap/>
            <w:vAlign w:val="center"/>
          </w:tcPr>
          <w:p w14:paraId="6E0DA021" w14:textId="088600CD" w:rsidR="00D264DA" w:rsidRPr="00EE02F9" w:rsidRDefault="00D264DA" w:rsidP="00D264DA">
            <w:pPr>
              <w:spacing w:after="0" w:line="240" w:lineRule="auto"/>
              <w:jc w:val="right"/>
              <w:rPr>
                <w:rFonts w:cs="Arial"/>
                <w:color w:val="000000"/>
                <w:sz w:val="16"/>
                <w:szCs w:val="16"/>
              </w:rPr>
            </w:pPr>
            <w:r>
              <w:rPr>
                <w:rFonts w:cs="Arial"/>
                <w:color w:val="000000"/>
                <w:sz w:val="16"/>
                <w:szCs w:val="16"/>
              </w:rPr>
              <w:t>31,2</w:t>
            </w:r>
          </w:p>
        </w:tc>
      </w:tr>
      <w:tr w:rsidR="00D264DA" w:rsidRPr="00EE02F9" w14:paraId="703FDF8C"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727FF1BC"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Olomoucký kraj</w:t>
            </w:r>
          </w:p>
        </w:tc>
        <w:tc>
          <w:tcPr>
            <w:tcW w:w="850" w:type="dxa"/>
            <w:tcBorders>
              <w:top w:val="nil"/>
              <w:left w:val="nil"/>
              <w:bottom w:val="nil"/>
              <w:right w:val="single" w:sz="4" w:space="0" w:color="auto"/>
            </w:tcBorders>
            <w:shd w:val="clear" w:color="auto" w:fill="auto"/>
            <w:noWrap/>
            <w:vAlign w:val="center"/>
            <w:hideMark/>
          </w:tcPr>
          <w:p w14:paraId="3169ACB0"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107,9</w:t>
            </w:r>
          </w:p>
        </w:tc>
        <w:tc>
          <w:tcPr>
            <w:tcW w:w="850" w:type="dxa"/>
            <w:tcBorders>
              <w:top w:val="nil"/>
              <w:left w:val="nil"/>
              <w:bottom w:val="nil"/>
              <w:right w:val="nil"/>
            </w:tcBorders>
            <w:shd w:val="clear" w:color="auto" w:fill="auto"/>
            <w:noWrap/>
            <w:vAlign w:val="center"/>
            <w:hideMark/>
          </w:tcPr>
          <w:p w14:paraId="3E12AB49" w14:textId="09073C8D" w:rsidR="00D264DA" w:rsidRPr="00EE02F9" w:rsidRDefault="00D264DA" w:rsidP="00D264DA">
            <w:pPr>
              <w:spacing w:after="0" w:line="240" w:lineRule="auto"/>
              <w:jc w:val="right"/>
              <w:rPr>
                <w:rFonts w:cs="Arial"/>
                <w:color w:val="000000"/>
                <w:sz w:val="16"/>
                <w:szCs w:val="16"/>
              </w:rPr>
            </w:pPr>
            <w:r>
              <w:rPr>
                <w:rFonts w:cs="Arial"/>
                <w:color w:val="000000"/>
                <w:sz w:val="16"/>
                <w:szCs w:val="16"/>
              </w:rPr>
              <w:t>176,4</w:t>
            </w:r>
          </w:p>
        </w:tc>
        <w:tc>
          <w:tcPr>
            <w:tcW w:w="851" w:type="dxa"/>
            <w:tcBorders>
              <w:top w:val="nil"/>
              <w:left w:val="single" w:sz="4" w:space="0" w:color="auto"/>
              <w:bottom w:val="nil"/>
              <w:right w:val="single" w:sz="4" w:space="0" w:color="auto"/>
            </w:tcBorders>
            <w:shd w:val="clear" w:color="auto" w:fill="auto"/>
            <w:noWrap/>
            <w:vAlign w:val="center"/>
          </w:tcPr>
          <w:p w14:paraId="6D41F711" w14:textId="2C459E6A" w:rsidR="00D264DA" w:rsidRPr="00EE02F9" w:rsidRDefault="00D264DA" w:rsidP="00D264DA">
            <w:pPr>
              <w:spacing w:after="0" w:line="240" w:lineRule="auto"/>
              <w:jc w:val="right"/>
              <w:rPr>
                <w:rFonts w:cs="Arial"/>
                <w:color w:val="000000"/>
                <w:sz w:val="16"/>
                <w:szCs w:val="16"/>
              </w:rPr>
            </w:pPr>
            <w:r>
              <w:rPr>
                <w:rFonts w:cs="Arial"/>
                <w:color w:val="000000"/>
                <w:sz w:val="16"/>
                <w:szCs w:val="16"/>
              </w:rPr>
              <w:t>159,1</w:t>
            </w:r>
          </w:p>
        </w:tc>
        <w:tc>
          <w:tcPr>
            <w:tcW w:w="850" w:type="dxa"/>
            <w:tcBorders>
              <w:top w:val="nil"/>
              <w:left w:val="nil"/>
              <w:bottom w:val="nil"/>
              <w:right w:val="single" w:sz="4" w:space="0" w:color="auto"/>
            </w:tcBorders>
            <w:shd w:val="clear" w:color="auto" w:fill="auto"/>
            <w:noWrap/>
            <w:vAlign w:val="center"/>
            <w:hideMark/>
          </w:tcPr>
          <w:p w14:paraId="16B0486E"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4 656,8</w:t>
            </w:r>
          </w:p>
        </w:tc>
        <w:tc>
          <w:tcPr>
            <w:tcW w:w="850" w:type="dxa"/>
            <w:tcBorders>
              <w:top w:val="nil"/>
              <w:left w:val="nil"/>
              <w:bottom w:val="nil"/>
              <w:right w:val="single" w:sz="4" w:space="0" w:color="auto"/>
            </w:tcBorders>
            <w:shd w:val="clear" w:color="auto" w:fill="auto"/>
            <w:noWrap/>
            <w:vAlign w:val="center"/>
            <w:hideMark/>
          </w:tcPr>
          <w:p w14:paraId="03D7642E" w14:textId="52E265C8" w:rsidR="00D264DA" w:rsidRPr="00EE02F9" w:rsidRDefault="00D264DA" w:rsidP="00D264DA">
            <w:pPr>
              <w:spacing w:after="0" w:line="240" w:lineRule="auto"/>
              <w:jc w:val="right"/>
              <w:rPr>
                <w:rFonts w:cs="Arial"/>
                <w:color w:val="000000"/>
                <w:sz w:val="16"/>
                <w:szCs w:val="16"/>
              </w:rPr>
            </w:pPr>
            <w:r>
              <w:rPr>
                <w:rFonts w:cs="Arial"/>
                <w:color w:val="000000"/>
                <w:sz w:val="16"/>
                <w:szCs w:val="16"/>
              </w:rPr>
              <w:t>6 276,3</w:t>
            </w:r>
          </w:p>
        </w:tc>
        <w:tc>
          <w:tcPr>
            <w:tcW w:w="851" w:type="dxa"/>
            <w:tcBorders>
              <w:top w:val="nil"/>
              <w:left w:val="nil"/>
              <w:bottom w:val="nil"/>
              <w:right w:val="single" w:sz="4" w:space="0" w:color="auto"/>
            </w:tcBorders>
            <w:shd w:val="clear" w:color="auto" w:fill="auto"/>
            <w:noWrap/>
            <w:vAlign w:val="center"/>
          </w:tcPr>
          <w:p w14:paraId="792ADF5F" w14:textId="6623895C" w:rsidR="00D264DA" w:rsidRPr="00EE02F9" w:rsidRDefault="00D264DA" w:rsidP="00D264DA">
            <w:pPr>
              <w:spacing w:after="0" w:line="240" w:lineRule="auto"/>
              <w:jc w:val="right"/>
              <w:rPr>
                <w:rFonts w:cs="Arial"/>
                <w:color w:val="000000"/>
                <w:sz w:val="16"/>
                <w:szCs w:val="16"/>
              </w:rPr>
            </w:pPr>
            <w:r>
              <w:rPr>
                <w:rFonts w:cs="Arial"/>
                <w:color w:val="000000"/>
                <w:sz w:val="16"/>
                <w:szCs w:val="16"/>
              </w:rPr>
              <w:t>5 350,9</w:t>
            </w:r>
          </w:p>
        </w:tc>
        <w:tc>
          <w:tcPr>
            <w:tcW w:w="850" w:type="dxa"/>
            <w:tcBorders>
              <w:top w:val="nil"/>
              <w:left w:val="nil"/>
              <w:bottom w:val="nil"/>
              <w:right w:val="single" w:sz="4" w:space="0" w:color="auto"/>
            </w:tcBorders>
            <w:shd w:val="clear" w:color="auto" w:fill="auto"/>
            <w:noWrap/>
            <w:vAlign w:val="center"/>
            <w:hideMark/>
          </w:tcPr>
          <w:p w14:paraId="7CC83538"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43,2</w:t>
            </w:r>
          </w:p>
        </w:tc>
        <w:tc>
          <w:tcPr>
            <w:tcW w:w="850" w:type="dxa"/>
            <w:tcBorders>
              <w:top w:val="nil"/>
              <w:left w:val="nil"/>
              <w:bottom w:val="nil"/>
              <w:right w:val="nil"/>
            </w:tcBorders>
            <w:shd w:val="clear" w:color="auto" w:fill="auto"/>
            <w:noWrap/>
            <w:vAlign w:val="center"/>
            <w:hideMark/>
          </w:tcPr>
          <w:p w14:paraId="27AEB356" w14:textId="566674E9" w:rsidR="00D264DA" w:rsidRPr="00EE02F9" w:rsidRDefault="00D264DA" w:rsidP="00D264DA">
            <w:pPr>
              <w:spacing w:after="0" w:line="240" w:lineRule="auto"/>
              <w:jc w:val="right"/>
              <w:rPr>
                <w:rFonts w:cs="Arial"/>
                <w:color w:val="000000"/>
                <w:sz w:val="16"/>
                <w:szCs w:val="16"/>
              </w:rPr>
            </w:pPr>
            <w:r>
              <w:rPr>
                <w:rFonts w:cs="Arial"/>
                <w:color w:val="000000"/>
                <w:sz w:val="16"/>
                <w:szCs w:val="16"/>
              </w:rPr>
              <w:t>35,6</w:t>
            </w:r>
          </w:p>
        </w:tc>
        <w:tc>
          <w:tcPr>
            <w:tcW w:w="851" w:type="dxa"/>
            <w:tcBorders>
              <w:top w:val="nil"/>
              <w:left w:val="single" w:sz="4" w:space="0" w:color="auto"/>
              <w:bottom w:val="nil"/>
              <w:right w:val="nil"/>
            </w:tcBorders>
            <w:shd w:val="clear" w:color="auto" w:fill="auto"/>
            <w:noWrap/>
            <w:vAlign w:val="center"/>
          </w:tcPr>
          <w:p w14:paraId="7422A5CF" w14:textId="17D96715" w:rsidR="00D264DA" w:rsidRPr="00EE02F9" w:rsidRDefault="00D264DA" w:rsidP="00D264DA">
            <w:pPr>
              <w:spacing w:after="0" w:line="240" w:lineRule="auto"/>
              <w:jc w:val="right"/>
              <w:rPr>
                <w:rFonts w:cs="Arial"/>
                <w:color w:val="000000"/>
                <w:sz w:val="16"/>
                <w:szCs w:val="16"/>
              </w:rPr>
            </w:pPr>
            <w:r>
              <w:rPr>
                <w:rFonts w:cs="Arial"/>
                <w:color w:val="000000"/>
                <w:sz w:val="16"/>
                <w:szCs w:val="16"/>
              </w:rPr>
              <w:t>33,6</w:t>
            </w:r>
          </w:p>
        </w:tc>
      </w:tr>
      <w:tr w:rsidR="00D264DA" w:rsidRPr="00EE02F9" w14:paraId="248301F6"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5D6FE6AF"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Zlínský kraj</w:t>
            </w:r>
          </w:p>
        </w:tc>
        <w:tc>
          <w:tcPr>
            <w:tcW w:w="850" w:type="dxa"/>
            <w:tcBorders>
              <w:top w:val="nil"/>
              <w:left w:val="nil"/>
              <w:bottom w:val="nil"/>
              <w:right w:val="single" w:sz="4" w:space="0" w:color="auto"/>
            </w:tcBorders>
            <w:shd w:val="clear" w:color="auto" w:fill="auto"/>
            <w:noWrap/>
            <w:vAlign w:val="center"/>
            <w:hideMark/>
          </w:tcPr>
          <w:p w14:paraId="28F1A5E9"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101,0</w:t>
            </w:r>
          </w:p>
        </w:tc>
        <w:tc>
          <w:tcPr>
            <w:tcW w:w="850" w:type="dxa"/>
            <w:tcBorders>
              <w:top w:val="nil"/>
              <w:left w:val="nil"/>
              <w:bottom w:val="nil"/>
              <w:right w:val="nil"/>
            </w:tcBorders>
            <w:shd w:val="clear" w:color="auto" w:fill="auto"/>
            <w:noWrap/>
            <w:vAlign w:val="center"/>
            <w:hideMark/>
          </w:tcPr>
          <w:p w14:paraId="5976A96B" w14:textId="2E9BBC6C" w:rsidR="00D264DA" w:rsidRPr="00EE02F9" w:rsidRDefault="00D264DA" w:rsidP="00D264DA">
            <w:pPr>
              <w:spacing w:after="0" w:line="240" w:lineRule="auto"/>
              <w:jc w:val="right"/>
              <w:rPr>
                <w:rFonts w:cs="Arial"/>
                <w:color w:val="000000"/>
                <w:sz w:val="16"/>
                <w:szCs w:val="16"/>
              </w:rPr>
            </w:pPr>
            <w:r>
              <w:rPr>
                <w:rFonts w:cs="Arial"/>
                <w:color w:val="000000"/>
                <w:sz w:val="16"/>
                <w:szCs w:val="16"/>
              </w:rPr>
              <w:t>150,2</w:t>
            </w:r>
          </w:p>
        </w:tc>
        <w:tc>
          <w:tcPr>
            <w:tcW w:w="851" w:type="dxa"/>
            <w:tcBorders>
              <w:top w:val="nil"/>
              <w:left w:val="single" w:sz="4" w:space="0" w:color="auto"/>
              <w:bottom w:val="nil"/>
              <w:right w:val="single" w:sz="4" w:space="0" w:color="auto"/>
            </w:tcBorders>
            <w:shd w:val="clear" w:color="auto" w:fill="auto"/>
            <w:noWrap/>
            <w:vAlign w:val="center"/>
          </w:tcPr>
          <w:p w14:paraId="384E5C8A" w14:textId="05DB04D4" w:rsidR="00D264DA" w:rsidRPr="00EE02F9" w:rsidRDefault="00D264DA" w:rsidP="00D264DA">
            <w:pPr>
              <w:spacing w:after="0" w:line="240" w:lineRule="auto"/>
              <w:jc w:val="right"/>
              <w:rPr>
                <w:rFonts w:cs="Arial"/>
                <w:color w:val="000000"/>
                <w:sz w:val="16"/>
                <w:szCs w:val="16"/>
              </w:rPr>
            </w:pPr>
            <w:r>
              <w:rPr>
                <w:rFonts w:cs="Arial"/>
                <w:color w:val="000000"/>
                <w:sz w:val="16"/>
                <w:szCs w:val="16"/>
              </w:rPr>
              <w:t>131,7</w:t>
            </w:r>
          </w:p>
        </w:tc>
        <w:tc>
          <w:tcPr>
            <w:tcW w:w="850" w:type="dxa"/>
            <w:tcBorders>
              <w:top w:val="nil"/>
              <w:left w:val="nil"/>
              <w:bottom w:val="nil"/>
              <w:right w:val="single" w:sz="4" w:space="0" w:color="auto"/>
            </w:tcBorders>
            <w:shd w:val="clear" w:color="auto" w:fill="auto"/>
            <w:noWrap/>
            <w:vAlign w:val="center"/>
            <w:hideMark/>
          </w:tcPr>
          <w:p w14:paraId="3140FED6"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4 964,4</w:t>
            </w:r>
          </w:p>
        </w:tc>
        <w:tc>
          <w:tcPr>
            <w:tcW w:w="850" w:type="dxa"/>
            <w:tcBorders>
              <w:top w:val="nil"/>
              <w:left w:val="nil"/>
              <w:bottom w:val="nil"/>
              <w:right w:val="single" w:sz="4" w:space="0" w:color="auto"/>
            </w:tcBorders>
            <w:shd w:val="clear" w:color="auto" w:fill="auto"/>
            <w:noWrap/>
            <w:vAlign w:val="center"/>
            <w:hideMark/>
          </w:tcPr>
          <w:p w14:paraId="257D3661" w14:textId="677D2FB3" w:rsidR="00D264DA" w:rsidRPr="00EE02F9" w:rsidRDefault="00D264DA" w:rsidP="00D264DA">
            <w:pPr>
              <w:spacing w:after="0" w:line="240" w:lineRule="auto"/>
              <w:jc w:val="right"/>
              <w:rPr>
                <w:rFonts w:cs="Arial"/>
                <w:color w:val="000000"/>
                <w:sz w:val="16"/>
                <w:szCs w:val="16"/>
              </w:rPr>
            </w:pPr>
            <w:r>
              <w:rPr>
                <w:rFonts w:cs="Arial"/>
                <w:color w:val="000000"/>
                <w:sz w:val="16"/>
                <w:szCs w:val="16"/>
              </w:rPr>
              <w:t>6 044,3</w:t>
            </w:r>
          </w:p>
        </w:tc>
        <w:tc>
          <w:tcPr>
            <w:tcW w:w="851" w:type="dxa"/>
            <w:tcBorders>
              <w:top w:val="nil"/>
              <w:left w:val="nil"/>
              <w:bottom w:val="nil"/>
              <w:right w:val="single" w:sz="4" w:space="0" w:color="auto"/>
            </w:tcBorders>
            <w:shd w:val="clear" w:color="auto" w:fill="auto"/>
            <w:noWrap/>
            <w:vAlign w:val="center"/>
          </w:tcPr>
          <w:p w14:paraId="4F9BEA86" w14:textId="7C59694E" w:rsidR="00D264DA" w:rsidRPr="00EE02F9" w:rsidRDefault="00D264DA" w:rsidP="00D264DA">
            <w:pPr>
              <w:spacing w:after="0" w:line="240" w:lineRule="auto"/>
              <w:jc w:val="right"/>
              <w:rPr>
                <w:rFonts w:cs="Arial"/>
                <w:color w:val="000000"/>
                <w:sz w:val="16"/>
                <w:szCs w:val="16"/>
              </w:rPr>
            </w:pPr>
            <w:r>
              <w:rPr>
                <w:rFonts w:cs="Arial"/>
                <w:color w:val="000000"/>
                <w:sz w:val="16"/>
                <w:szCs w:val="16"/>
              </w:rPr>
              <w:t>4 899,7</w:t>
            </w:r>
          </w:p>
        </w:tc>
        <w:tc>
          <w:tcPr>
            <w:tcW w:w="850" w:type="dxa"/>
            <w:tcBorders>
              <w:top w:val="nil"/>
              <w:left w:val="nil"/>
              <w:bottom w:val="nil"/>
              <w:right w:val="single" w:sz="4" w:space="0" w:color="auto"/>
            </w:tcBorders>
            <w:shd w:val="clear" w:color="auto" w:fill="auto"/>
            <w:noWrap/>
            <w:vAlign w:val="center"/>
            <w:hideMark/>
          </w:tcPr>
          <w:p w14:paraId="2B80F4DE"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49,1</w:t>
            </w:r>
          </w:p>
        </w:tc>
        <w:tc>
          <w:tcPr>
            <w:tcW w:w="850" w:type="dxa"/>
            <w:tcBorders>
              <w:top w:val="nil"/>
              <w:left w:val="nil"/>
              <w:bottom w:val="nil"/>
              <w:right w:val="nil"/>
            </w:tcBorders>
            <w:shd w:val="clear" w:color="auto" w:fill="auto"/>
            <w:noWrap/>
            <w:vAlign w:val="center"/>
            <w:hideMark/>
          </w:tcPr>
          <w:p w14:paraId="0D3EA87E" w14:textId="187A20B0" w:rsidR="00D264DA" w:rsidRPr="00EE02F9" w:rsidRDefault="00D264DA" w:rsidP="00D264DA">
            <w:pPr>
              <w:spacing w:after="0" w:line="240" w:lineRule="auto"/>
              <w:jc w:val="right"/>
              <w:rPr>
                <w:rFonts w:cs="Arial"/>
                <w:color w:val="000000"/>
                <w:sz w:val="16"/>
                <w:szCs w:val="16"/>
              </w:rPr>
            </w:pPr>
            <w:r>
              <w:rPr>
                <w:rFonts w:cs="Arial"/>
                <w:color w:val="000000"/>
                <w:sz w:val="16"/>
                <w:szCs w:val="16"/>
              </w:rPr>
              <w:t>40,2</w:t>
            </w:r>
          </w:p>
        </w:tc>
        <w:tc>
          <w:tcPr>
            <w:tcW w:w="851" w:type="dxa"/>
            <w:tcBorders>
              <w:top w:val="nil"/>
              <w:left w:val="single" w:sz="4" w:space="0" w:color="auto"/>
              <w:bottom w:val="nil"/>
              <w:right w:val="nil"/>
            </w:tcBorders>
            <w:shd w:val="clear" w:color="auto" w:fill="auto"/>
            <w:noWrap/>
            <w:vAlign w:val="center"/>
          </w:tcPr>
          <w:p w14:paraId="37D293F5" w14:textId="0A54435C" w:rsidR="00D264DA" w:rsidRPr="00EE02F9" w:rsidRDefault="00D264DA" w:rsidP="00D264DA">
            <w:pPr>
              <w:spacing w:after="0" w:line="240" w:lineRule="auto"/>
              <w:jc w:val="right"/>
              <w:rPr>
                <w:rFonts w:cs="Arial"/>
                <w:color w:val="000000"/>
                <w:sz w:val="16"/>
                <w:szCs w:val="16"/>
              </w:rPr>
            </w:pPr>
            <w:r>
              <w:rPr>
                <w:rFonts w:cs="Arial"/>
                <w:color w:val="000000"/>
                <w:sz w:val="16"/>
                <w:szCs w:val="16"/>
              </w:rPr>
              <w:t>37,2</w:t>
            </w:r>
          </w:p>
        </w:tc>
      </w:tr>
      <w:tr w:rsidR="00D264DA" w:rsidRPr="00EE02F9" w14:paraId="4A09B89A" w14:textId="77777777" w:rsidTr="00425FEB">
        <w:trPr>
          <w:trHeight w:val="300"/>
        </w:trPr>
        <w:tc>
          <w:tcPr>
            <w:tcW w:w="1980" w:type="dxa"/>
            <w:tcBorders>
              <w:top w:val="nil"/>
              <w:bottom w:val="nil"/>
              <w:right w:val="single" w:sz="4" w:space="0" w:color="auto"/>
            </w:tcBorders>
            <w:shd w:val="clear" w:color="auto" w:fill="auto"/>
            <w:noWrap/>
            <w:vAlign w:val="center"/>
            <w:hideMark/>
          </w:tcPr>
          <w:p w14:paraId="50EEF9AE" w14:textId="77777777" w:rsidR="00D264DA" w:rsidRPr="00EE02F9" w:rsidRDefault="00D264DA" w:rsidP="00D264DA">
            <w:pPr>
              <w:spacing w:after="0" w:line="240" w:lineRule="auto"/>
              <w:ind w:firstLineChars="100" w:firstLine="160"/>
              <w:rPr>
                <w:rFonts w:cs="Arial"/>
                <w:color w:val="000000"/>
                <w:sz w:val="16"/>
                <w:szCs w:val="16"/>
              </w:rPr>
            </w:pPr>
            <w:r w:rsidRPr="00EE02F9">
              <w:rPr>
                <w:rFonts w:cs="Arial"/>
                <w:color w:val="000000"/>
                <w:sz w:val="16"/>
                <w:szCs w:val="16"/>
              </w:rPr>
              <w:t>Moravskoslezský kraj</w:t>
            </w:r>
          </w:p>
        </w:tc>
        <w:tc>
          <w:tcPr>
            <w:tcW w:w="850" w:type="dxa"/>
            <w:tcBorders>
              <w:top w:val="nil"/>
              <w:left w:val="nil"/>
              <w:bottom w:val="nil"/>
              <w:right w:val="single" w:sz="4" w:space="0" w:color="auto"/>
            </w:tcBorders>
            <w:shd w:val="clear" w:color="auto" w:fill="auto"/>
            <w:noWrap/>
            <w:vAlign w:val="center"/>
            <w:hideMark/>
          </w:tcPr>
          <w:p w14:paraId="7AED74B4"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206,2</w:t>
            </w:r>
          </w:p>
        </w:tc>
        <w:tc>
          <w:tcPr>
            <w:tcW w:w="850" w:type="dxa"/>
            <w:tcBorders>
              <w:top w:val="nil"/>
              <w:left w:val="nil"/>
              <w:bottom w:val="nil"/>
              <w:right w:val="nil"/>
            </w:tcBorders>
            <w:shd w:val="clear" w:color="auto" w:fill="auto"/>
            <w:noWrap/>
            <w:vAlign w:val="center"/>
            <w:hideMark/>
          </w:tcPr>
          <w:p w14:paraId="02A31E32" w14:textId="1AB103D1" w:rsidR="00D264DA" w:rsidRPr="00EE02F9" w:rsidRDefault="00D264DA" w:rsidP="00D264DA">
            <w:pPr>
              <w:spacing w:after="0" w:line="240" w:lineRule="auto"/>
              <w:jc w:val="right"/>
              <w:rPr>
                <w:rFonts w:cs="Arial"/>
                <w:color w:val="000000"/>
                <w:sz w:val="16"/>
                <w:szCs w:val="16"/>
              </w:rPr>
            </w:pPr>
            <w:r>
              <w:rPr>
                <w:rFonts w:cs="Arial"/>
                <w:color w:val="000000"/>
                <w:sz w:val="16"/>
                <w:szCs w:val="16"/>
              </w:rPr>
              <w:t>314,5</w:t>
            </w:r>
          </w:p>
        </w:tc>
        <w:tc>
          <w:tcPr>
            <w:tcW w:w="851" w:type="dxa"/>
            <w:tcBorders>
              <w:top w:val="nil"/>
              <w:left w:val="single" w:sz="4" w:space="0" w:color="auto"/>
              <w:bottom w:val="nil"/>
              <w:right w:val="single" w:sz="4" w:space="0" w:color="auto"/>
            </w:tcBorders>
            <w:shd w:val="clear" w:color="auto" w:fill="auto"/>
            <w:noWrap/>
            <w:vAlign w:val="center"/>
          </w:tcPr>
          <w:p w14:paraId="46CA20EE" w14:textId="3E54F4F5" w:rsidR="00D264DA" w:rsidRPr="00EE02F9" w:rsidRDefault="00D264DA" w:rsidP="00D264DA">
            <w:pPr>
              <w:spacing w:after="0" w:line="240" w:lineRule="auto"/>
              <w:jc w:val="right"/>
              <w:rPr>
                <w:rFonts w:cs="Arial"/>
                <w:color w:val="000000"/>
                <w:sz w:val="16"/>
                <w:szCs w:val="16"/>
              </w:rPr>
            </w:pPr>
            <w:r>
              <w:rPr>
                <w:rFonts w:cs="Arial"/>
                <w:color w:val="000000"/>
                <w:sz w:val="16"/>
                <w:szCs w:val="16"/>
              </w:rPr>
              <w:t>267,7</w:t>
            </w:r>
          </w:p>
        </w:tc>
        <w:tc>
          <w:tcPr>
            <w:tcW w:w="850" w:type="dxa"/>
            <w:tcBorders>
              <w:top w:val="nil"/>
              <w:left w:val="nil"/>
              <w:bottom w:val="nil"/>
              <w:right w:val="single" w:sz="4" w:space="0" w:color="auto"/>
            </w:tcBorders>
            <w:shd w:val="clear" w:color="auto" w:fill="auto"/>
            <w:noWrap/>
            <w:vAlign w:val="center"/>
            <w:hideMark/>
          </w:tcPr>
          <w:p w14:paraId="535E3037"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10 242,1</w:t>
            </w:r>
          </w:p>
        </w:tc>
        <w:tc>
          <w:tcPr>
            <w:tcW w:w="850" w:type="dxa"/>
            <w:tcBorders>
              <w:top w:val="nil"/>
              <w:left w:val="nil"/>
              <w:bottom w:val="nil"/>
              <w:right w:val="single" w:sz="4" w:space="0" w:color="auto"/>
            </w:tcBorders>
            <w:shd w:val="clear" w:color="auto" w:fill="auto"/>
            <w:noWrap/>
            <w:vAlign w:val="center"/>
            <w:hideMark/>
          </w:tcPr>
          <w:p w14:paraId="5F6C9215" w14:textId="1BDCE526" w:rsidR="00D264DA" w:rsidRPr="00EE02F9" w:rsidRDefault="00D264DA" w:rsidP="00D264DA">
            <w:pPr>
              <w:spacing w:after="0" w:line="240" w:lineRule="auto"/>
              <w:jc w:val="right"/>
              <w:rPr>
                <w:rFonts w:cs="Arial"/>
                <w:color w:val="000000"/>
                <w:sz w:val="16"/>
                <w:szCs w:val="16"/>
              </w:rPr>
            </w:pPr>
            <w:r>
              <w:rPr>
                <w:rFonts w:cs="Arial"/>
                <w:color w:val="000000"/>
                <w:sz w:val="16"/>
                <w:szCs w:val="16"/>
              </w:rPr>
              <w:t>12 405,9</w:t>
            </w:r>
          </w:p>
        </w:tc>
        <w:tc>
          <w:tcPr>
            <w:tcW w:w="851" w:type="dxa"/>
            <w:tcBorders>
              <w:top w:val="nil"/>
              <w:left w:val="nil"/>
              <w:bottom w:val="nil"/>
              <w:right w:val="single" w:sz="4" w:space="0" w:color="auto"/>
            </w:tcBorders>
            <w:shd w:val="clear" w:color="auto" w:fill="auto"/>
            <w:noWrap/>
            <w:vAlign w:val="center"/>
          </w:tcPr>
          <w:p w14:paraId="632D233E" w14:textId="0D29E234" w:rsidR="00D264DA" w:rsidRPr="00EE02F9" w:rsidRDefault="00D264DA" w:rsidP="00D264DA">
            <w:pPr>
              <w:spacing w:after="0" w:line="240" w:lineRule="auto"/>
              <w:jc w:val="right"/>
              <w:rPr>
                <w:rFonts w:cs="Arial"/>
                <w:color w:val="000000"/>
                <w:sz w:val="16"/>
                <w:szCs w:val="16"/>
              </w:rPr>
            </w:pPr>
            <w:r>
              <w:rPr>
                <w:rFonts w:cs="Arial"/>
                <w:color w:val="000000"/>
                <w:sz w:val="16"/>
                <w:szCs w:val="16"/>
              </w:rPr>
              <w:t>10 467,1</w:t>
            </w:r>
          </w:p>
        </w:tc>
        <w:tc>
          <w:tcPr>
            <w:tcW w:w="850" w:type="dxa"/>
            <w:tcBorders>
              <w:top w:val="nil"/>
              <w:left w:val="nil"/>
              <w:bottom w:val="nil"/>
              <w:right w:val="single" w:sz="4" w:space="0" w:color="auto"/>
            </w:tcBorders>
            <w:shd w:val="clear" w:color="auto" w:fill="auto"/>
            <w:noWrap/>
            <w:vAlign w:val="center"/>
            <w:hideMark/>
          </w:tcPr>
          <w:p w14:paraId="55ADE5C7" w14:textId="77777777" w:rsidR="00D264DA" w:rsidRPr="00EE02F9" w:rsidRDefault="00D264DA" w:rsidP="00D264DA">
            <w:pPr>
              <w:spacing w:after="0" w:line="240" w:lineRule="auto"/>
              <w:jc w:val="right"/>
              <w:rPr>
                <w:rFonts w:cs="Arial"/>
                <w:color w:val="000000"/>
                <w:sz w:val="16"/>
                <w:szCs w:val="16"/>
              </w:rPr>
            </w:pPr>
            <w:r w:rsidRPr="00EE02F9">
              <w:rPr>
                <w:rFonts w:cs="Arial"/>
                <w:color w:val="000000"/>
                <w:sz w:val="16"/>
                <w:szCs w:val="16"/>
              </w:rPr>
              <w:t>49,7</w:t>
            </w:r>
          </w:p>
        </w:tc>
        <w:tc>
          <w:tcPr>
            <w:tcW w:w="850" w:type="dxa"/>
            <w:tcBorders>
              <w:top w:val="nil"/>
              <w:left w:val="nil"/>
              <w:bottom w:val="nil"/>
              <w:right w:val="nil"/>
            </w:tcBorders>
            <w:shd w:val="clear" w:color="auto" w:fill="auto"/>
            <w:noWrap/>
            <w:vAlign w:val="center"/>
            <w:hideMark/>
          </w:tcPr>
          <w:p w14:paraId="0B54DE7C" w14:textId="09DF95F0" w:rsidR="00D264DA" w:rsidRPr="00EE02F9" w:rsidRDefault="00D264DA" w:rsidP="00D264DA">
            <w:pPr>
              <w:spacing w:after="0" w:line="240" w:lineRule="auto"/>
              <w:jc w:val="right"/>
              <w:rPr>
                <w:rFonts w:cs="Arial"/>
                <w:color w:val="000000"/>
                <w:sz w:val="16"/>
                <w:szCs w:val="16"/>
              </w:rPr>
            </w:pPr>
            <w:r>
              <w:rPr>
                <w:rFonts w:cs="Arial"/>
                <w:color w:val="000000"/>
                <w:sz w:val="16"/>
                <w:szCs w:val="16"/>
              </w:rPr>
              <w:t>39,5</w:t>
            </w:r>
          </w:p>
        </w:tc>
        <w:tc>
          <w:tcPr>
            <w:tcW w:w="851" w:type="dxa"/>
            <w:tcBorders>
              <w:top w:val="nil"/>
              <w:left w:val="single" w:sz="4" w:space="0" w:color="auto"/>
              <w:bottom w:val="nil"/>
              <w:right w:val="nil"/>
            </w:tcBorders>
            <w:shd w:val="clear" w:color="auto" w:fill="auto"/>
            <w:noWrap/>
            <w:vAlign w:val="center"/>
          </w:tcPr>
          <w:p w14:paraId="51E7F0B2" w14:textId="5DA8D2C6" w:rsidR="00D264DA" w:rsidRPr="00EE02F9" w:rsidRDefault="00D264DA" w:rsidP="00D264DA">
            <w:pPr>
              <w:spacing w:after="0" w:line="240" w:lineRule="auto"/>
              <w:jc w:val="right"/>
              <w:rPr>
                <w:rFonts w:cs="Arial"/>
                <w:color w:val="000000"/>
                <w:sz w:val="16"/>
                <w:szCs w:val="16"/>
              </w:rPr>
            </w:pPr>
            <w:r>
              <w:rPr>
                <w:rFonts w:cs="Arial"/>
                <w:color w:val="000000"/>
                <w:sz w:val="16"/>
                <w:szCs w:val="16"/>
              </w:rPr>
              <w:t>39,1</w:t>
            </w:r>
          </w:p>
        </w:tc>
      </w:tr>
    </w:tbl>
    <w:p w14:paraId="6224AA19" w14:textId="77777777" w:rsidR="00425FEB" w:rsidRPr="00EE02F9" w:rsidRDefault="00425FEB" w:rsidP="00425FEB">
      <w:pPr>
        <w:spacing w:before="120"/>
        <w:rPr>
          <w:sz w:val="16"/>
        </w:rPr>
      </w:pPr>
      <w:r w:rsidRPr="00EE02F9">
        <w:rPr>
          <w:sz w:val="16"/>
        </w:rPr>
        <w:t>Zdroj: ČSSZ</w:t>
      </w:r>
    </w:p>
    <w:p w14:paraId="10A0704B" w14:textId="607DF852" w:rsidR="00425FEB" w:rsidRPr="00251BF8" w:rsidRDefault="00425FEB" w:rsidP="00425FEB">
      <w:pPr>
        <w:spacing w:before="120" w:after="120"/>
        <w:jc w:val="both"/>
      </w:pPr>
      <w:r w:rsidRPr="00251BF8">
        <w:t xml:space="preserve">Pracovní neschopnost plyne z různých příčin a statistiky ČSSZ nabízí přehled ukončených případů </w:t>
      </w:r>
      <w:r w:rsidRPr="00251BF8">
        <w:rPr>
          <w:b/>
        </w:rPr>
        <w:t>podle diagnóz</w:t>
      </w:r>
      <w:r w:rsidRPr="00251BF8">
        <w:t xml:space="preserve">. </w:t>
      </w:r>
      <w:r w:rsidR="0097475C" w:rsidRPr="00251BF8">
        <w:t>Více než dvě pětiny</w:t>
      </w:r>
      <w:r w:rsidRPr="00251BF8">
        <w:t xml:space="preserve"> (4</w:t>
      </w:r>
      <w:r w:rsidR="0097475C" w:rsidRPr="00251BF8">
        <w:t>2</w:t>
      </w:r>
      <w:r w:rsidRPr="00251BF8">
        <w:t xml:space="preserve"> %) případů pracovní neschopnosti byl</w:t>
      </w:r>
      <w:r w:rsidR="00DD5A0D" w:rsidRPr="00251BF8">
        <w:t>y</w:t>
      </w:r>
      <w:r w:rsidRPr="00251BF8">
        <w:t xml:space="preserve"> spojen</w:t>
      </w:r>
      <w:r w:rsidR="00DD5A0D" w:rsidRPr="00251BF8">
        <w:t>y</w:t>
      </w:r>
      <w:r w:rsidRPr="00251BF8">
        <w:t xml:space="preserve"> s diagnózou </w:t>
      </w:r>
      <w:r w:rsidRPr="00251BF8">
        <w:rPr>
          <w:b/>
        </w:rPr>
        <w:t>nemoci dýchací soustavy</w:t>
      </w:r>
      <w:r w:rsidRPr="00251BF8">
        <w:t xml:space="preserve">. Z této skupiny nemocí jsou neschopenky vystavovány především kvůli akutním infekcím dýchacích cest či chřipkám. Na druhou stranu, onemocnění dýchací soustavy tvořila pouze </w:t>
      </w:r>
      <w:r w:rsidR="00DE38A7" w:rsidRPr="00251BF8">
        <w:t>šestinu</w:t>
      </w:r>
      <w:r w:rsidRPr="00251BF8">
        <w:t xml:space="preserve"> (</w:t>
      </w:r>
      <w:r w:rsidR="00DE38A7" w:rsidRPr="00251BF8">
        <w:t>12,6</w:t>
      </w:r>
      <w:r w:rsidRPr="00251BF8">
        <w:t xml:space="preserve"> mil. dnů) z celkového počtu </w:t>
      </w:r>
      <w:r w:rsidR="00DE38A7" w:rsidRPr="00251BF8">
        <w:t>78,4</w:t>
      </w:r>
      <w:r w:rsidRPr="00251BF8">
        <w:t xml:space="preserve"> milionů prostonaných dnů. To znamená v průměru nejkratší dobu pracovní neschopnosti ze všech skupin diagnóz, a sice 12 dnů na 1 případ.</w:t>
      </w:r>
    </w:p>
    <w:p w14:paraId="7600A4EA" w14:textId="612D3568" w:rsidR="00425FEB" w:rsidRPr="00251BF8" w:rsidRDefault="00425FEB" w:rsidP="00425FEB">
      <w:pPr>
        <w:spacing w:before="120" w:after="120"/>
        <w:jc w:val="both"/>
      </w:pPr>
      <w:r w:rsidRPr="00251BF8">
        <w:rPr>
          <w:b/>
        </w:rPr>
        <w:t xml:space="preserve">Nemoci pohybové soustavy </w:t>
      </w:r>
      <w:r w:rsidRPr="00251BF8">
        <w:t>způsobily 15 % pracovních neschopností.</w:t>
      </w:r>
      <w:r w:rsidRPr="00251BF8">
        <w:rPr>
          <w:b/>
        </w:rPr>
        <w:t xml:space="preserve"> </w:t>
      </w:r>
      <w:r w:rsidRPr="00251BF8">
        <w:t xml:space="preserve">Tyto nemoci se vyznačují poměrně dlouhou délkou trvání, v průměru </w:t>
      </w:r>
      <w:r w:rsidR="00DE38A7" w:rsidRPr="00251BF8">
        <w:t xml:space="preserve">zhruba </w:t>
      </w:r>
      <w:r w:rsidRPr="00251BF8">
        <w:t>2 kalendářní měsíce (6</w:t>
      </w:r>
      <w:r w:rsidR="00DE38A7" w:rsidRPr="00251BF8">
        <w:t>2</w:t>
      </w:r>
      <w:r w:rsidRPr="00251BF8">
        <w:t xml:space="preserve"> dnů) na 1 případ. Počet prostonaných dnů této kategorie činil </w:t>
      </w:r>
      <w:r w:rsidR="00DE38A7" w:rsidRPr="00251BF8">
        <w:t>2</w:t>
      </w:r>
      <w:r w:rsidRPr="00251BF8">
        <w:t>3</w:t>
      </w:r>
      <w:r w:rsidR="00DE38A7" w:rsidRPr="00251BF8">
        <w:t>,5</w:t>
      </w:r>
      <w:r w:rsidRPr="00251BF8">
        <w:t xml:space="preserve"> mil. a tvoří dlouhodobě nejvyšší podíl ze všech skupin diagnóz. Připadá na ně téměř třetina (30 %) všech prostonaných dnů. Z nemocí pohybové soustavy je pracovní neschopnost nejčastěji způsobena nemocemi páteře.</w:t>
      </w:r>
    </w:p>
    <w:p w14:paraId="302FE863" w14:textId="4C9345A6" w:rsidR="00DE38A7" w:rsidRPr="00251BF8" w:rsidRDefault="00DE38A7" w:rsidP="00DE38A7">
      <w:pPr>
        <w:spacing w:before="120" w:after="120"/>
        <w:jc w:val="both"/>
      </w:pPr>
      <w:r w:rsidRPr="00251BF8">
        <w:lastRenderedPageBreak/>
        <w:t xml:space="preserve">Kategorie </w:t>
      </w:r>
      <w:r w:rsidRPr="00251BF8">
        <w:rPr>
          <w:b/>
        </w:rPr>
        <w:t xml:space="preserve">ostatní nemoci </w:t>
      </w:r>
      <w:r w:rsidRPr="00251BF8">
        <w:t>(kam spadají i karantény) v roce 2023 zaujímala 17 % všech pracovních neschopností. Oproti minulým letům došlo k významnému poklesu. V roce 2022 tvořily ostatní nemoci 41 % všech ukončených případů pracovní neschopnosti. Vysvětlením je ustoupení nákazy, ale i skutečnost, že od 20. dubna 2023 bylo ukončeno plošné nařizování izolací pro onemocnění covid-19. V období let 2015 až 2019, tedy před epidemií covidu, se zastoupení ostatních nemocí jako příčiny pracovní neschopnosti pohybovalo mezi 8 a 10 %.</w:t>
      </w:r>
    </w:p>
    <w:p w14:paraId="38F2DEEE" w14:textId="675C58DA" w:rsidR="00DE38A7" w:rsidRPr="00251BF8" w:rsidRDefault="00DE38A7" w:rsidP="00DE38A7">
      <w:pPr>
        <w:spacing w:before="120" w:after="120"/>
        <w:jc w:val="both"/>
      </w:pPr>
      <w:r w:rsidRPr="00251BF8">
        <w:t xml:space="preserve">Další častou příčinu pracovní neschopnosti představovaly </w:t>
      </w:r>
      <w:r w:rsidRPr="00251BF8">
        <w:rPr>
          <w:b/>
        </w:rPr>
        <w:t>úrazy a otravy</w:t>
      </w:r>
      <w:r w:rsidRPr="00251BF8">
        <w:t>. Na všech neschopenkách se podílely 8 %. Průměrná délka trvání pracovní neschopnosti byla v tomto případě 52 dnů a celkový počet prostonaných dnů činil 10,4 mil.</w:t>
      </w:r>
    </w:p>
    <w:p w14:paraId="1E66B5AE" w14:textId="44C4D56E" w:rsidR="00DE38A7" w:rsidRPr="00B5001B" w:rsidRDefault="00DE38A7" w:rsidP="00425FEB">
      <w:pPr>
        <w:spacing w:before="120" w:after="120"/>
        <w:jc w:val="both"/>
      </w:pPr>
      <w:r w:rsidRPr="00251BF8">
        <w:t xml:space="preserve">Nejdelší </w:t>
      </w:r>
      <w:r w:rsidRPr="00251BF8">
        <w:rPr>
          <w:b/>
        </w:rPr>
        <w:t>průměrná délka</w:t>
      </w:r>
      <w:r w:rsidRPr="00251BF8">
        <w:t xml:space="preserve"> trvání pracovní neschopnosti byla v roce 2023 evidována u zhoubných novotvarů (170 dnů). Neschopenka u této skupiny nemocí trvala v průměru 160 dnů u mužů, zatímco u žen 177 dnů. </w:t>
      </w:r>
      <w:r w:rsidR="00E079AB" w:rsidRPr="00251BF8">
        <w:t>Pomineme-li tuberkulózu s</w:t>
      </w:r>
      <w:r w:rsidR="00CD10AE">
        <w:t xml:space="preserve"> řídkým </w:t>
      </w:r>
      <w:r w:rsidR="00E079AB" w:rsidRPr="00251BF8">
        <w:t>výskytem pracovní neschopnosti v 95 případech, kde činila průměrná délka trvání 163 dnů, tak d</w:t>
      </w:r>
      <w:r w:rsidRPr="00251BF8">
        <w:t xml:space="preserve">alší v pořadí byly nemoci spojené s těhotenstvím, mateřstvím a šestinedělím (92 dnů) související mimo jiné </w:t>
      </w:r>
      <w:r w:rsidR="00D264DA">
        <w:t>s</w:t>
      </w:r>
      <w:r w:rsidRPr="00251BF8">
        <w:t> rizikov</w:t>
      </w:r>
      <w:r w:rsidR="00D264DA">
        <w:t>ějším</w:t>
      </w:r>
      <w:r w:rsidRPr="00251BF8">
        <w:t xml:space="preserve"> průběhem těhotenství či neschopenky kvůli duševní nemoci (81 dnů).</w:t>
      </w:r>
    </w:p>
    <w:p w14:paraId="2055B8FF" w14:textId="15EA31F8" w:rsidR="00425FEB" w:rsidRPr="0097475C" w:rsidRDefault="00425FEB" w:rsidP="0097475C">
      <w:pPr>
        <w:spacing w:before="120" w:after="120"/>
        <w:jc w:val="both"/>
        <w:rPr>
          <w:rFonts w:cs="Arial"/>
          <w:b/>
          <w:color w:val="000000"/>
          <w:szCs w:val="16"/>
        </w:rPr>
      </w:pPr>
      <w:r w:rsidRPr="00425FEB">
        <w:rPr>
          <w:rFonts w:cs="Arial"/>
          <w:b/>
          <w:color w:val="000000"/>
          <w:szCs w:val="16"/>
        </w:rPr>
        <w:t>Tab. 3.2: Ukončené případy dočasné pracovní neschopnosti a průměrná délka jejich trvání podle věkových skupin, 2019, 202</w:t>
      </w:r>
      <w:r w:rsidR="00D264DA">
        <w:rPr>
          <w:rFonts w:cs="Arial"/>
          <w:b/>
          <w:color w:val="000000"/>
          <w:szCs w:val="16"/>
        </w:rPr>
        <w:t>1</w:t>
      </w:r>
      <w:r w:rsidRPr="00425FEB">
        <w:rPr>
          <w:rFonts w:cs="Arial"/>
          <w:b/>
          <w:color w:val="000000"/>
          <w:szCs w:val="16"/>
        </w:rPr>
        <w:t>, 2023</w:t>
      </w:r>
    </w:p>
    <w:tbl>
      <w:tblPr>
        <w:tblW w:w="9723" w:type="dxa"/>
        <w:tblCellMar>
          <w:left w:w="70" w:type="dxa"/>
          <w:right w:w="70" w:type="dxa"/>
        </w:tblCellMar>
        <w:tblLook w:val="04A0" w:firstRow="1" w:lastRow="0" w:firstColumn="1" w:lastColumn="0" w:noHBand="0" w:noVBand="1"/>
      </w:tblPr>
      <w:tblGrid>
        <w:gridCol w:w="1474"/>
        <w:gridCol w:w="1609"/>
        <w:gridCol w:w="1252"/>
        <w:gridCol w:w="1254"/>
        <w:gridCol w:w="1610"/>
        <w:gridCol w:w="1252"/>
        <w:gridCol w:w="1254"/>
        <w:gridCol w:w="18"/>
      </w:tblGrid>
      <w:tr w:rsidR="00425FEB" w:rsidRPr="00B61F35" w14:paraId="5A9CE613" w14:textId="77777777" w:rsidTr="0097475C">
        <w:trPr>
          <w:gridAfter w:val="1"/>
          <w:wAfter w:w="18" w:type="dxa"/>
          <w:trHeight w:val="525"/>
        </w:trPr>
        <w:tc>
          <w:tcPr>
            <w:tcW w:w="1474" w:type="dxa"/>
            <w:vMerge w:val="restart"/>
            <w:tcBorders>
              <w:top w:val="single" w:sz="4" w:space="0" w:color="auto"/>
              <w:left w:val="nil"/>
              <w:bottom w:val="single" w:sz="4" w:space="0" w:color="000000"/>
              <w:right w:val="single" w:sz="4" w:space="0" w:color="auto"/>
            </w:tcBorders>
            <w:shd w:val="clear" w:color="000000" w:fill="F5DADD"/>
            <w:vAlign w:val="center"/>
            <w:hideMark/>
          </w:tcPr>
          <w:p w14:paraId="13A6C50A"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Věková skupina</w:t>
            </w:r>
          </w:p>
        </w:tc>
        <w:tc>
          <w:tcPr>
            <w:tcW w:w="4115" w:type="dxa"/>
            <w:gridSpan w:val="3"/>
            <w:tcBorders>
              <w:top w:val="single" w:sz="4" w:space="0" w:color="auto"/>
              <w:left w:val="nil"/>
              <w:bottom w:val="single" w:sz="4" w:space="0" w:color="auto"/>
              <w:right w:val="single" w:sz="4" w:space="0" w:color="000000"/>
            </w:tcBorders>
            <w:shd w:val="clear" w:color="000000" w:fill="F2DBDB"/>
            <w:vAlign w:val="center"/>
            <w:hideMark/>
          </w:tcPr>
          <w:p w14:paraId="7FE1BF29" w14:textId="568F7064" w:rsidR="00425FEB" w:rsidRPr="00B61F35" w:rsidRDefault="0097475C" w:rsidP="0097475C">
            <w:pPr>
              <w:spacing w:after="0" w:line="240" w:lineRule="auto"/>
              <w:jc w:val="center"/>
              <w:rPr>
                <w:rFonts w:cs="Arial"/>
                <w:color w:val="000000"/>
                <w:sz w:val="16"/>
                <w:szCs w:val="16"/>
              </w:rPr>
            </w:pPr>
            <w:r w:rsidRPr="00EE02F9">
              <w:rPr>
                <w:rFonts w:cs="Arial"/>
                <w:color w:val="000000"/>
                <w:sz w:val="16"/>
                <w:szCs w:val="16"/>
              </w:rPr>
              <w:t xml:space="preserve">Počet ukončených případů DPN </w:t>
            </w:r>
            <w:r w:rsidR="00425FEB">
              <w:rPr>
                <w:rFonts w:cs="Arial"/>
                <w:color w:val="000000"/>
                <w:sz w:val="16"/>
                <w:szCs w:val="16"/>
              </w:rPr>
              <w:t>(tis.)</w:t>
            </w:r>
          </w:p>
        </w:tc>
        <w:tc>
          <w:tcPr>
            <w:tcW w:w="4116" w:type="dxa"/>
            <w:gridSpan w:val="3"/>
            <w:tcBorders>
              <w:top w:val="single" w:sz="4" w:space="0" w:color="auto"/>
              <w:left w:val="nil"/>
              <w:bottom w:val="single" w:sz="4" w:space="0" w:color="auto"/>
              <w:right w:val="nil"/>
            </w:tcBorders>
            <w:shd w:val="clear" w:color="000000" w:fill="F2DBDB"/>
            <w:vAlign w:val="center"/>
            <w:hideMark/>
          </w:tcPr>
          <w:p w14:paraId="126F8062"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Průměrná délka trvání 1 ukončeného případu DPN ve dnech</w:t>
            </w:r>
          </w:p>
        </w:tc>
      </w:tr>
      <w:tr w:rsidR="00425FEB" w:rsidRPr="00B61F35" w14:paraId="22477B61" w14:textId="77777777" w:rsidTr="0097475C">
        <w:trPr>
          <w:gridAfter w:val="1"/>
          <w:wAfter w:w="18" w:type="dxa"/>
          <w:trHeight w:val="300"/>
        </w:trPr>
        <w:tc>
          <w:tcPr>
            <w:tcW w:w="1474" w:type="dxa"/>
            <w:vMerge/>
            <w:tcBorders>
              <w:top w:val="single" w:sz="4" w:space="0" w:color="auto"/>
              <w:left w:val="nil"/>
              <w:bottom w:val="single" w:sz="4" w:space="0" w:color="000000"/>
              <w:right w:val="single" w:sz="4" w:space="0" w:color="auto"/>
            </w:tcBorders>
            <w:vAlign w:val="center"/>
            <w:hideMark/>
          </w:tcPr>
          <w:p w14:paraId="503342C4" w14:textId="77777777" w:rsidR="00425FEB" w:rsidRPr="00B61F35" w:rsidRDefault="00425FEB" w:rsidP="0097475C">
            <w:pPr>
              <w:spacing w:after="0" w:line="240" w:lineRule="auto"/>
              <w:rPr>
                <w:rFonts w:cs="Arial"/>
                <w:color w:val="000000"/>
                <w:sz w:val="16"/>
                <w:szCs w:val="16"/>
              </w:rPr>
            </w:pPr>
          </w:p>
        </w:tc>
        <w:tc>
          <w:tcPr>
            <w:tcW w:w="1609" w:type="dxa"/>
            <w:vMerge w:val="restart"/>
            <w:tcBorders>
              <w:top w:val="nil"/>
              <w:left w:val="single" w:sz="4" w:space="0" w:color="auto"/>
              <w:right w:val="nil"/>
            </w:tcBorders>
            <w:shd w:val="clear" w:color="000000" w:fill="F2DBDB"/>
            <w:vAlign w:val="center"/>
            <w:hideMark/>
          </w:tcPr>
          <w:p w14:paraId="59952734" w14:textId="77777777" w:rsidR="00425FEB" w:rsidRPr="00B61F35" w:rsidRDefault="00425FEB" w:rsidP="0097475C">
            <w:pPr>
              <w:spacing w:after="0" w:line="240" w:lineRule="auto"/>
              <w:jc w:val="center"/>
              <w:rPr>
                <w:rFonts w:cs="Arial"/>
                <w:b/>
                <w:bCs/>
                <w:color w:val="000000"/>
                <w:sz w:val="16"/>
                <w:szCs w:val="16"/>
              </w:rPr>
            </w:pPr>
            <w:r w:rsidRPr="00B61F35">
              <w:rPr>
                <w:rFonts w:cs="Arial"/>
                <w:b/>
                <w:bCs/>
                <w:color w:val="000000"/>
                <w:sz w:val="16"/>
                <w:szCs w:val="16"/>
              </w:rPr>
              <w:t>Celkem</w:t>
            </w:r>
          </w:p>
        </w:tc>
        <w:tc>
          <w:tcPr>
            <w:tcW w:w="2506" w:type="dxa"/>
            <w:gridSpan w:val="2"/>
            <w:tcBorders>
              <w:top w:val="single" w:sz="4" w:space="0" w:color="auto"/>
              <w:left w:val="single" w:sz="4" w:space="0" w:color="auto"/>
              <w:bottom w:val="single" w:sz="4" w:space="0" w:color="auto"/>
              <w:right w:val="single" w:sz="4" w:space="0" w:color="auto"/>
            </w:tcBorders>
            <w:shd w:val="clear" w:color="000000" w:fill="F2DBDB"/>
            <w:vAlign w:val="center"/>
            <w:hideMark/>
          </w:tcPr>
          <w:p w14:paraId="4A0DD31A"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podle pohlaví</w:t>
            </w:r>
          </w:p>
        </w:tc>
        <w:tc>
          <w:tcPr>
            <w:tcW w:w="1610" w:type="dxa"/>
            <w:vMerge w:val="restart"/>
            <w:tcBorders>
              <w:top w:val="nil"/>
              <w:left w:val="single" w:sz="4" w:space="0" w:color="auto"/>
              <w:right w:val="nil"/>
            </w:tcBorders>
            <w:shd w:val="clear" w:color="000000" w:fill="F2DBDB"/>
            <w:vAlign w:val="center"/>
            <w:hideMark/>
          </w:tcPr>
          <w:p w14:paraId="0F6864CA" w14:textId="77777777" w:rsidR="00425FEB" w:rsidRPr="00B61F35" w:rsidRDefault="00425FEB" w:rsidP="0097475C">
            <w:pPr>
              <w:spacing w:after="0" w:line="240" w:lineRule="auto"/>
              <w:jc w:val="center"/>
              <w:rPr>
                <w:rFonts w:cs="Arial"/>
                <w:b/>
                <w:bCs/>
                <w:color w:val="000000"/>
                <w:sz w:val="16"/>
                <w:szCs w:val="16"/>
              </w:rPr>
            </w:pPr>
            <w:r w:rsidRPr="00B61F35">
              <w:rPr>
                <w:rFonts w:cs="Arial"/>
                <w:b/>
                <w:bCs/>
                <w:color w:val="000000"/>
                <w:sz w:val="16"/>
                <w:szCs w:val="16"/>
              </w:rPr>
              <w:t>Celkem</w:t>
            </w:r>
          </w:p>
        </w:tc>
        <w:tc>
          <w:tcPr>
            <w:tcW w:w="2506" w:type="dxa"/>
            <w:gridSpan w:val="2"/>
            <w:tcBorders>
              <w:top w:val="single" w:sz="4" w:space="0" w:color="auto"/>
              <w:left w:val="single" w:sz="4" w:space="0" w:color="auto"/>
              <w:bottom w:val="single" w:sz="4" w:space="0" w:color="auto"/>
            </w:tcBorders>
            <w:shd w:val="clear" w:color="000000" w:fill="F2DBDB"/>
            <w:vAlign w:val="center"/>
            <w:hideMark/>
          </w:tcPr>
          <w:p w14:paraId="32EF52C7"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podle pohlaví</w:t>
            </w:r>
          </w:p>
        </w:tc>
      </w:tr>
      <w:tr w:rsidR="00425FEB" w:rsidRPr="00B61F35" w14:paraId="2F234465" w14:textId="77777777" w:rsidTr="0097475C">
        <w:trPr>
          <w:gridAfter w:val="1"/>
          <w:wAfter w:w="18" w:type="dxa"/>
          <w:trHeight w:val="300"/>
        </w:trPr>
        <w:tc>
          <w:tcPr>
            <w:tcW w:w="1474" w:type="dxa"/>
            <w:vMerge/>
            <w:tcBorders>
              <w:top w:val="single" w:sz="4" w:space="0" w:color="auto"/>
              <w:left w:val="nil"/>
              <w:bottom w:val="single" w:sz="4" w:space="0" w:color="000000"/>
              <w:right w:val="single" w:sz="4" w:space="0" w:color="auto"/>
            </w:tcBorders>
            <w:vAlign w:val="center"/>
            <w:hideMark/>
          </w:tcPr>
          <w:p w14:paraId="2B54FEF9" w14:textId="77777777" w:rsidR="00425FEB" w:rsidRPr="00B61F35" w:rsidRDefault="00425FEB" w:rsidP="0097475C">
            <w:pPr>
              <w:spacing w:after="0" w:line="240" w:lineRule="auto"/>
              <w:rPr>
                <w:rFonts w:cs="Arial"/>
                <w:color w:val="000000"/>
                <w:sz w:val="16"/>
                <w:szCs w:val="16"/>
              </w:rPr>
            </w:pPr>
          </w:p>
        </w:tc>
        <w:tc>
          <w:tcPr>
            <w:tcW w:w="1609" w:type="dxa"/>
            <w:vMerge/>
            <w:tcBorders>
              <w:left w:val="single" w:sz="4" w:space="0" w:color="auto"/>
              <w:bottom w:val="single" w:sz="4" w:space="0" w:color="000000"/>
              <w:right w:val="nil"/>
            </w:tcBorders>
            <w:vAlign w:val="center"/>
            <w:hideMark/>
          </w:tcPr>
          <w:p w14:paraId="76C65BEA" w14:textId="77777777" w:rsidR="00425FEB" w:rsidRPr="00B61F35" w:rsidRDefault="00425FEB" w:rsidP="0097475C">
            <w:pPr>
              <w:spacing w:after="0" w:line="240" w:lineRule="auto"/>
              <w:rPr>
                <w:rFonts w:cs="Arial"/>
                <w:b/>
                <w:bCs/>
                <w:color w:val="000000"/>
                <w:sz w:val="16"/>
                <w:szCs w:val="16"/>
              </w:rPr>
            </w:pPr>
          </w:p>
        </w:tc>
        <w:tc>
          <w:tcPr>
            <w:tcW w:w="1252" w:type="dxa"/>
            <w:tcBorders>
              <w:top w:val="nil"/>
              <w:left w:val="single" w:sz="4" w:space="0" w:color="auto"/>
              <w:bottom w:val="single" w:sz="4" w:space="0" w:color="auto"/>
              <w:right w:val="single" w:sz="4" w:space="0" w:color="auto"/>
            </w:tcBorders>
            <w:shd w:val="clear" w:color="000000" w:fill="F2DBDB"/>
            <w:vAlign w:val="center"/>
            <w:hideMark/>
          </w:tcPr>
          <w:p w14:paraId="32C10876"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muži</w:t>
            </w:r>
          </w:p>
        </w:tc>
        <w:tc>
          <w:tcPr>
            <w:tcW w:w="1254" w:type="dxa"/>
            <w:tcBorders>
              <w:top w:val="nil"/>
              <w:left w:val="nil"/>
              <w:bottom w:val="single" w:sz="4" w:space="0" w:color="auto"/>
              <w:right w:val="single" w:sz="4" w:space="0" w:color="auto"/>
            </w:tcBorders>
            <w:shd w:val="clear" w:color="000000" w:fill="F2DBDB"/>
            <w:vAlign w:val="center"/>
            <w:hideMark/>
          </w:tcPr>
          <w:p w14:paraId="326E5270"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ženy</w:t>
            </w:r>
          </w:p>
        </w:tc>
        <w:tc>
          <w:tcPr>
            <w:tcW w:w="1610" w:type="dxa"/>
            <w:vMerge/>
            <w:tcBorders>
              <w:left w:val="single" w:sz="4" w:space="0" w:color="auto"/>
              <w:bottom w:val="single" w:sz="4" w:space="0" w:color="000000"/>
              <w:right w:val="nil"/>
            </w:tcBorders>
            <w:vAlign w:val="center"/>
            <w:hideMark/>
          </w:tcPr>
          <w:p w14:paraId="4D5D55AC" w14:textId="77777777" w:rsidR="00425FEB" w:rsidRPr="00B61F35" w:rsidRDefault="00425FEB" w:rsidP="0097475C">
            <w:pPr>
              <w:spacing w:after="0" w:line="240" w:lineRule="auto"/>
              <w:rPr>
                <w:rFonts w:cs="Arial"/>
                <w:b/>
                <w:bCs/>
                <w:color w:val="000000"/>
                <w:sz w:val="16"/>
                <w:szCs w:val="16"/>
              </w:rPr>
            </w:pPr>
          </w:p>
        </w:tc>
        <w:tc>
          <w:tcPr>
            <w:tcW w:w="1252" w:type="dxa"/>
            <w:tcBorders>
              <w:top w:val="nil"/>
              <w:left w:val="single" w:sz="4" w:space="0" w:color="auto"/>
              <w:bottom w:val="single" w:sz="4" w:space="0" w:color="auto"/>
              <w:right w:val="single" w:sz="4" w:space="0" w:color="auto"/>
            </w:tcBorders>
            <w:shd w:val="clear" w:color="000000" w:fill="F2DBDB"/>
            <w:vAlign w:val="center"/>
            <w:hideMark/>
          </w:tcPr>
          <w:p w14:paraId="10AC902A"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muži</w:t>
            </w:r>
          </w:p>
        </w:tc>
        <w:tc>
          <w:tcPr>
            <w:tcW w:w="1254" w:type="dxa"/>
            <w:tcBorders>
              <w:top w:val="nil"/>
              <w:left w:val="nil"/>
              <w:bottom w:val="single" w:sz="4" w:space="0" w:color="auto"/>
              <w:right w:val="nil"/>
            </w:tcBorders>
            <w:shd w:val="clear" w:color="000000" w:fill="F2DBDB"/>
            <w:vAlign w:val="center"/>
            <w:hideMark/>
          </w:tcPr>
          <w:p w14:paraId="47234538"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ženy</w:t>
            </w:r>
          </w:p>
        </w:tc>
      </w:tr>
      <w:tr w:rsidR="00425FEB" w:rsidRPr="00B61F35" w14:paraId="748A6264" w14:textId="77777777" w:rsidTr="0097475C">
        <w:trPr>
          <w:trHeight w:val="300"/>
        </w:trPr>
        <w:tc>
          <w:tcPr>
            <w:tcW w:w="1474" w:type="dxa"/>
            <w:vMerge/>
            <w:tcBorders>
              <w:top w:val="single" w:sz="4" w:space="0" w:color="auto"/>
              <w:left w:val="nil"/>
              <w:bottom w:val="single" w:sz="4" w:space="0" w:color="000000"/>
              <w:right w:val="single" w:sz="4" w:space="0" w:color="auto"/>
            </w:tcBorders>
            <w:vAlign w:val="center"/>
            <w:hideMark/>
          </w:tcPr>
          <w:p w14:paraId="7703A25E" w14:textId="77777777" w:rsidR="00425FEB" w:rsidRPr="00B61F35" w:rsidRDefault="00425FEB" w:rsidP="0097475C">
            <w:pPr>
              <w:spacing w:after="0" w:line="240" w:lineRule="auto"/>
              <w:rPr>
                <w:rFonts w:cs="Arial"/>
                <w:color w:val="000000"/>
                <w:sz w:val="16"/>
                <w:szCs w:val="16"/>
              </w:rPr>
            </w:pPr>
          </w:p>
        </w:tc>
        <w:tc>
          <w:tcPr>
            <w:tcW w:w="8249" w:type="dxa"/>
            <w:gridSpan w:val="7"/>
            <w:tcBorders>
              <w:top w:val="single" w:sz="4" w:space="0" w:color="auto"/>
              <w:left w:val="nil"/>
              <w:bottom w:val="single" w:sz="4" w:space="0" w:color="auto"/>
              <w:right w:val="nil"/>
            </w:tcBorders>
            <w:shd w:val="clear" w:color="000000" w:fill="F2DBDB"/>
            <w:vAlign w:val="center"/>
            <w:hideMark/>
          </w:tcPr>
          <w:p w14:paraId="6178DB85" w14:textId="77777777" w:rsidR="00425FEB" w:rsidRPr="00B61F35" w:rsidRDefault="00425FEB" w:rsidP="0097475C">
            <w:pPr>
              <w:spacing w:after="0" w:line="240" w:lineRule="auto"/>
              <w:jc w:val="center"/>
              <w:rPr>
                <w:rFonts w:cs="Arial"/>
                <w:b/>
                <w:bCs/>
                <w:color w:val="000000"/>
                <w:sz w:val="16"/>
                <w:szCs w:val="16"/>
              </w:rPr>
            </w:pPr>
            <w:r w:rsidRPr="00B61F35">
              <w:rPr>
                <w:rFonts w:cs="Arial"/>
                <w:b/>
                <w:bCs/>
                <w:color w:val="000000"/>
                <w:sz w:val="16"/>
                <w:szCs w:val="16"/>
              </w:rPr>
              <w:t>2019</w:t>
            </w:r>
          </w:p>
        </w:tc>
      </w:tr>
      <w:tr w:rsidR="00425FEB" w:rsidRPr="00B61F35" w14:paraId="26523D2A"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7BED97CD" w14:textId="77777777" w:rsidR="00425FEB" w:rsidRPr="00B61F35" w:rsidRDefault="00425FEB" w:rsidP="0097475C">
            <w:pPr>
              <w:spacing w:after="0" w:line="240" w:lineRule="auto"/>
              <w:rPr>
                <w:rFonts w:cs="Arial"/>
                <w:b/>
                <w:bCs/>
                <w:color w:val="000000"/>
                <w:sz w:val="16"/>
                <w:szCs w:val="16"/>
              </w:rPr>
            </w:pPr>
            <w:r w:rsidRPr="00B61F35">
              <w:rPr>
                <w:rFonts w:cs="Arial"/>
                <w:b/>
                <w:bCs/>
                <w:color w:val="000000"/>
                <w:sz w:val="16"/>
                <w:szCs w:val="16"/>
              </w:rPr>
              <w:t>Celkem</w:t>
            </w:r>
          </w:p>
        </w:tc>
        <w:tc>
          <w:tcPr>
            <w:tcW w:w="1609" w:type="dxa"/>
            <w:tcBorders>
              <w:top w:val="nil"/>
              <w:left w:val="nil"/>
              <w:bottom w:val="nil"/>
              <w:right w:val="nil"/>
            </w:tcBorders>
            <w:shd w:val="clear" w:color="auto" w:fill="auto"/>
            <w:vAlign w:val="center"/>
            <w:hideMark/>
          </w:tcPr>
          <w:p w14:paraId="64E58EE1" w14:textId="77777777" w:rsidR="00425FEB" w:rsidRPr="00B61F35" w:rsidRDefault="00425FEB" w:rsidP="0097475C">
            <w:pPr>
              <w:spacing w:after="0" w:line="240" w:lineRule="auto"/>
              <w:jc w:val="right"/>
              <w:rPr>
                <w:rFonts w:cs="Arial"/>
                <w:b/>
                <w:bCs/>
                <w:color w:val="000000"/>
                <w:sz w:val="16"/>
                <w:szCs w:val="16"/>
              </w:rPr>
            </w:pPr>
            <w:r w:rsidRPr="00B61F35">
              <w:rPr>
                <w:rFonts w:cs="Arial"/>
                <w:b/>
                <w:bCs/>
                <w:color w:val="000000"/>
                <w:sz w:val="16"/>
                <w:szCs w:val="16"/>
              </w:rPr>
              <w:t>1 832,4</w:t>
            </w:r>
          </w:p>
        </w:tc>
        <w:tc>
          <w:tcPr>
            <w:tcW w:w="1252" w:type="dxa"/>
            <w:tcBorders>
              <w:top w:val="nil"/>
              <w:left w:val="nil"/>
              <w:bottom w:val="nil"/>
              <w:right w:val="nil"/>
            </w:tcBorders>
            <w:shd w:val="clear" w:color="auto" w:fill="auto"/>
            <w:vAlign w:val="center"/>
            <w:hideMark/>
          </w:tcPr>
          <w:p w14:paraId="55A72DDF" w14:textId="77777777" w:rsidR="00425FEB" w:rsidRPr="00B61F35" w:rsidRDefault="00425FEB" w:rsidP="0097475C">
            <w:pPr>
              <w:spacing w:after="0" w:line="240" w:lineRule="auto"/>
              <w:jc w:val="right"/>
              <w:rPr>
                <w:rFonts w:cs="Arial"/>
                <w:b/>
                <w:bCs/>
                <w:color w:val="000000"/>
                <w:sz w:val="16"/>
                <w:szCs w:val="16"/>
              </w:rPr>
            </w:pPr>
            <w:r w:rsidRPr="00B61F35">
              <w:rPr>
                <w:rFonts w:cs="Arial"/>
                <w:b/>
                <w:bCs/>
                <w:color w:val="000000"/>
                <w:sz w:val="16"/>
                <w:szCs w:val="16"/>
              </w:rPr>
              <w:t>862,4</w:t>
            </w:r>
          </w:p>
        </w:tc>
        <w:tc>
          <w:tcPr>
            <w:tcW w:w="1254" w:type="dxa"/>
            <w:tcBorders>
              <w:top w:val="nil"/>
              <w:left w:val="nil"/>
              <w:bottom w:val="nil"/>
              <w:right w:val="single" w:sz="4" w:space="0" w:color="auto"/>
            </w:tcBorders>
            <w:shd w:val="clear" w:color="auto" w:fill="auto"/>
            <w:vAlign w:val="center"/>
            <w:hideMark/>
          </w:tcPr>
          <w:p w14:paraId="09979F94" w14:textId="77777777" w:rsidR="00425FEB" w:rsidRPr="00B61F35" w:rsidRDefault="00425FEB" w:rsidP="0097475C">
            <w:pPr>
              <w:spacing w:after="0" w:line="240" w:lineRule="auto"/>
              <w:jc w:val="right"/>
              <w:rPr>
                <w:rFonts w:cs="Arial"/>
                <w:b/>
                <w:bCs/>
                <w:color w:val="000000"/>
                <w:sz w:val="16"/>
                <w:szCs w:val="16"/>
              </w:rPr>
            </w:pPr>
            <w:r w:rsidRPr="00B61F35">
              <w:rPr>
                <w:rFonts w:cs="Arial"/>
                <w:b/>
                <w:bCs/>
                <w:color w:val="000000"/>
                <w:sz w:val="16"/>
                <w:szCs w:val="16"/>
              </w:rPr>
              <w:t>970,1</w:t>
            </w:r>
          </w:p>
        </w:tc>
        <w:tc>
          <w:tcPr>
            <w:tcW w:w="1610" w:type="dxa"/>
            <w:tcBorders>
              <w:top w:val="nil"/>
              <w:left w:val="nil"/>
              <w:bottom w:val="nil"/>
              <w:right w:val="nil"/>
            </w:tcBorders>
            <w:shd w:val="clear" w:color="auto" w:fill="auto"/>
            <w:vAlign w:val="center"/>
            <w:hideMark/>
          </w:tcPr>
          <w:p w14:paraId="18D1A2E5" w14:textId="77777777" w:rsidR="00425FEB" w:rsidRPr="00B61F35" w:rsidRDefault="00425FEB" w:rsidP="0097475C">
            <w:pPr>
              <w:spacing w:after="0" w:line="240" w:lineRule="auto"/>
              <w:jc w:val="center"/>
              <w:rPr>
                <w:rFonts w:cs="Arial"/>
                <w:b/>
                <w:bCs/>
                <w:color w:val="000000"/>
                <w:sz w:val="16"/>
                <w:szCs w:val="16"/>
              </w:rPr>
            </w:pPr>
            <w:r w:rsidRPr="00B61F35">
              <w:rPr>
                <w:rFonts w:cs="Arial"/>
                <w:b/>
                <w:bCs/>
                <w:color w:val="000000"/>
                <w:sz w:val="16"/>
                <w:szCs w:val="16"/>
              </w:rPr>
              <w:t>41,0</w:t>
            </w:r>
          </w:p>
        </w:tc>
        <w:tc>
          <w:tcPr>
            <w:tcW w:w="1252" w:type="dxa"/>
            <w:tcBorders>
              <w:top w:val="nil"/>
              <w:left w:val="nil"/>
              <w:bottom w:val="nil"/>
              <w:right w:val="nil"/>
            </w:tcBorders>
            <w:shd w:val="clear" w:color="auto" w:fill="auto"/>
            <w:vAlign w:val="center"/>
            <w:hideMark/>
          </w:tcPr>
          <w:p w14:paraId="3D62F286" w14:textId="77777777" w:rsidR="00425FEB" w:rsidRPr="00B61F35" w:rsidRDefault="00425FEB" w:rsidP="0097475C">
            <w:pPr>
              <w:spacing w:after="0" w:line="240" w:lineRule="auto"/>
              <w:jc w:val="center"/>
              <w:rPr>
                <w:rFonts w:cs="Arial"/>
                <w:b/>
                <w:bCs/>
                <w:color w:val="000000"/>
                <w:sz w:val="16"/>
                <w:szCs w:val="16"/>
              </w:rPr>
            </w:pPr>
            <w:r w:rsidRPr="00B61F35">
              <w:rPr>
                <w:rFonts w:cs="Arial"/>
                <w:b/>
                <w:bCs/>
                <w:color w:val="000000"/>
                <w:sz w:val="16"/>
                <w:szCs w:val="16"/>
              </w:rPr>
              <w:t>39,1</w:t>
            </w:r>
          </w:p>
        </w:tc>
        <w:tc>
          <w:tcPr>
            <w:tcW w:w="1254" w:type="dxa"/>
            <w:tcBorders>
              <w:top w:val="nil"/>
              <w:left w:val="nil"/>
              <w:bottom w:val="nil"/>
              <w:right w:val="nil"/>
            </w:tcBorders>
            <w:shd w:val="clear" w:color="auto" w:fill="auto"/>
            <w:vAlign w:val="center"/>
            <w:hideMark/>
          </w:tcPr>
          <w:p w14:paraId="17FED586" w14:textId="77777777" w:rsidR="00425FEB" w:rsidRPr="00B61F35" w:rsidRDefault="00425FEB" w:rsidP="0097475C">
            <w:pPr>
              <w:spacing w:after="0" w:line="240" w:lineRule="auto"/>
              <w:jc w:val="center"/>
              <w:rPr>
                <w:rFonts w:cs="Arial"/>
                <w:b/>
                <w:bCs/>
                <w:color w:val="000000"/>
                <w:sz w:val="16"/>
                <w:szCs w:val="16"/>
              </w:rPr>
            </w:pPr>
            <w:r w:rsidRPr="00B61F35">
              <w:rPr>
                <w:rFonts w:cs="Arial"/>
                <w:b/>
                <w:bCs/>
                <w:color w:val="000000"/>
                <w:sz w:val="16"/>
                <w:szCs w:val="16"/>
              </w:rPr>
              <w:t>42,7</w:t>
            </w:r>
          </w:p>
        </w:tc>
      </w:tr>
      <w:tr w:rsidR="00425FEB" w:rsidRPr="00B61F35" w14:paraId="28AD0F09"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3C0132AC" w14:textId="77777777" w:rsidR="00425FEB" w:rsidRPr="00B61F35" w:rsidRDefault="00425FEB" w:rsidP="0097475C">
            <w:pPr>
              <w:spacing w:after="0" w:line="240" w:lineRule="auto"/>
              <w:ind w:firstLineChars="100" w:firstLine="160"/>
              <w:rPr>
                <w:rFonts w:cs="Arial"/>
                <w:color w:val="000000"/>
                <w:sz w:val="16"/>
                <w:szCs w:val="16"/>
              </w:rPr>
            </w:pPr>
            <w:r w:rsidRPr="00B61F35">
              <w:rPr>
                <w:rFonts w:cs="Arial"/>
                <w:color w:val="000000"/>
                <w:sz w:val="16"/>
                <w:szCs w:val="16"/>
              </w:rPr>
              <w:t>mladší 20 let</w:t>
            </w:r>
          </w:p>
        </w:tc>
        <w:tc>
          <w:tcPr>
            <w:tcW w:w="1609" w:type="dxa"/>
            <w:tcBorders>
              <w:top w:val="nil"/>
              <w:left w:val="nil"/>
              <w:bottom w:val="nil"/>
              <w:right w:val="nil"/>
            </w:tcBorders>
            <w:shd w:val="clear" w:color="auto" w:fill="auto"/>
            <w:vAlign w:val="center"/>
            <w:hideMark/>
          </w:tcPr>
          <w:p w14:paraId="1501D617"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25,1</w:t>
            </w:r>
          </w:p>
        </w:tc>
        <w:tc>
          <w:tcPr>
            <w:tcW w:w="1252" w:type="dxa"/>
            <w:tcBorders>
              <w:top w:val="nil"/>
              <w:left w:val="nil"/>
              <w:bottom w:val="nil"/>
              <w:right w:val="nil"/>
            </w:tcBorders>
            <w:shd w:val="clear" w:color="auto" w:fill="auto"/>
            <w:vAlign w:val="center"/>
            <w:hideMark/>
          </w:tcPr>
          <w:p w14:paraId="027EEF86"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13,8</w:t>
            </w:r>
          </w:p>
        </w:tc>
        <w:tc>
          <w:tcPr>
            <w:tcW w:w="1254" w:type="dxa"/>
            <w:tcBorders>
              <w:top w:val="nil"/>
              <w:left w:val="nil"/>
              <w:bottom w:val="nil"/>
              <w:right w:val="single" w:sz="4" w:space="0" w:color="auto"/>
            </w:tcBorders>
            <w:shd w:val="clear" w:color="auto" w:fill="auto"/>
            <w:vAlign w:val="center"/>
            <w:hideMark/>
          </w:tcPr>
          <w:p w14:paraId="5AB79FE0"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11,3</w:t>
            </w:r>
          </w:p>
        </w:tc>
        <w:tc>
          <w:tcPr>
            <w:tcW w:w="1610" w:type="dxa"/>
            <w:tcBorders>
              <w:top w:val="nil"/>
              <w:left w:val="nil"/>
              <w:bottom w:val="nil"/>
              <w:right w:val="nil"/>
            </w:tcBorders>
            <w:shd w:val="clear" w:color="auto" w:fill="auto"/>
            <w:vAlign w:val="center"/>
            <w:hideMark/>
          </w:tcPr>
          <w:p w14:paraId="517D370F"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17,9</w:t>
            </w:r>
          </w:p>
        </w:tc>
        <w:tc>
          <w:tcPr>
            <w:tcW w:w="1252" w:type="dxa"/>
            <w:tcBorders>
              <w:top w:val="nil"/>
              <w:left w:val="nil"/>
              <w:bottom w:val="nil"/>
              <w:right w:val="nil"/>
            </w:tcBorders>
            <w:shd w:val="clear" w:color="auto" w:fill="auto"/>
            <w:vAlign w:val="center"/>
            <w:hideMark/>
          </w:tcPr>
          <w:p w14:paraId="4BB60D65"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15,7</w:t>
            </w:r>
          </w:p>
        </w:tc>
        <w:tc>
          <w:tcPr>
            <w:tcW w:w="1254" w:type="dxa"/>
            <w:tcBorders>
              <w:top w:val="nil"/>
              <w:left w:val="nil"/>
              <w:bottom w:val="nil"/>
              <w:right w:val="nil"/>
            </w:tcBorders>
            <w:shd w:val="clear" w:color="auto" w:fill="auto"/>
            <w:vAlign w:val="center"/>
            <w:hideMark/>
          </w:tcPr>
          <w:p w14:paraId="222CB874"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20,5</w:t>
            </w:r>
          </w:p>
        </w:tc>
      </w:tr>
      <w:tr w:rsidR="00425FEB" w:rsidRPr="00B61F35" w14:paraId="28518D5D"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12269E65" w14:textId="77777777" w:rsidR="00425FEB" w:rsidRPr="00B61F35" w:rsidRDefault="00425FEB" w:rsidP="0097475C">
            <w:pPr>
              <w:spacing w:after="0" w:line="240" w:lineRule="auto"/>
              <w:ind w:firstLineChars="100" w:firstLine="160"/>
              <w:rPr>
                <w:rFonts w:cs="Arial"/>
                <w:color w:val="000000"/>
                <w:sz w:val="16"/>
                <w:szCs w:val="16"/>
              </w:rPr>
            </w:pPr>
            <w:r w:rsidRPr="00B61F35">
              <w:rPr>
                <w:rFonts w:cs="Arial"/>
                <w:color w:val="000000"/>
                <w:sz w:val="16"/>
                <w:szCs w:val="16"/>
              </w:rPr>
              <w:t>20–29 let</w:t>
            </w:r>
          </w:p>
        </w:tc>
        <w:tc>
          <w:tcPr>
            <w:tcW w:w="1609" w:type="dxa"/>
            <w:tcBorders>
              <w:top w:val="nil"/>
              <w:left w:val="nil"/>
              <w:bottom w:val="nil"/>
              <w:right w:val="nil"/>
            </w:tcBorders>
            <w:shd w:val="clear" w:color="auto" w:fill="auto"/>
            <w:vAlign w:val="center"/>
            <w:hideMark/>
          </w:tcPr>
          <w:p w14:paraId="6E973F29"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398,9</w:t>
            </w:r>
          </w:p>
        </w:tc>
        <w:tc>
          <w:tcPr>
            <w:tcW w:w="1252" w:type="dxa"/>
            <w:tcBorders>
              <w:top w:val="nil"/>
              <w:left w:val="nil"/>
              <w:bottom w:val="nil"/>
              <w:right w:val="nil"/>
            </w:tcBorders>
            <w:shd w:val="clear" w:color="auto" w:fill="auto"/>
            <w:vAlign w:val="center"/>
            <w:hideMark/>
          </w:tcPr>
          <w:p w14:paraId="3B5F0A1F"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210,1</w:t>
            </w:r>
          </w:p>
        </w:tc>
        <w:tc>
          <w:tcPr>
            <w:tcW w:w="1254" w:type="dxa"/>
            <w:tcBorders>
              <w:top w:val="nil"/>
              <w:left w:val="nil"/>
              <w:bottom w:val="nil"/>
              <w:right w:val="single" w:sz="4" w:space="0" w:color="auto"/>
            </w:tcBorders>
            <w:shd w:val="clear" w:color="auto" w:fill="auto"/>
            <w:vAlign w:val="center"/>
            <w:hideMark/>
          </w:tcPr>
          <w:p w14:paraId="48141569"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188,9</w:t>
            </w:r>
          </w:p>
        </w:tc>
        <w:tc>
          <w:tcPr>
            <w:tcW w:w="1610" w:type="dxa"/>
            <w:tcBorders>
              <w:top w:val="nil"/>
              <w:left w:val="nil"/>
              <w:bottom w:val="nil"/>
              <w:right w:val="nil"/>
            </w:tcBorders>
            <w:shd w:val="clear" w:color="auto" w:fill="auto"/>
            <w:vAlign w:val="center"/>
            <w:hideMark/>
          </w:tcPr>
          <w:p w14:paraId="4586484B"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25,8</w:t>
            </w:r>
          </w:p>
        </w:tc>
        <w:tc>
          <w:tcPr>
            <w:tcW w:w="1252" w:type="dxa"/>
            <w:tcBorders>
              <w:top w:val="nil"/>
              <w:left w:val="nil"/>
              <w:bottom w:val="nil"/>
              <w:right w:val="nil"/>
            </w:tcBorders>
            <w:shd w:val="clear" w:color="auto" w:fill="auto"/>
            <w:vAlign w:val="center"/>
            <w:hideMark/>
          </w:tcPr>
          <w:p w14:paraId="4B903558"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20,9</w:t>
            </w:r>
          </w:p>
        </w:tc>
        <w:tc>
          <w:tcPr>
            <w:tcW w:w="1254" w:type="dxa"/>
            <w:tcBorders>
              <w:top w:val="nil"/>
              <w:left w:val="nil"/>
              <w:bottom w:val="nil"/>
              <w:right w:val="nil"/>
            </w:tcBorders>
            <w:shd w:val="clear" w:color="auto" w:fill="auto"/>
            <w:vAlign w:val="center"/>
            <w:hideMark/>
          </w:tcPr>
          <w:p w14:paraId="765B5179"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31,2</w:t>
            </w:r>
          </w:p>
        </w:tc>
      </w:tr>
      <w:tr w:rsidR="00425FEB" w:rsidRPr="00B61F35" w14:paraId="5F5C5E5A"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5BA8ECBE" w14:textId="77777777" w:rsidR="00425FEB" w:rsidRPr="00B61F35" w:rsidRDefault="00425FEB" w:rsidP="0097475C">
            <w:pPr>
              <w:spacing w:after="0" w:line="240" w:lineRule="auto"/>
              <w:ind w:firstLineChars="100" w:firstLine="160"/>
              <w:rPr>
                <w:rFonts w:cs="Arial"/>
                <w:color w:val="000000"/>
                <w:sz w:val="16"/>
                <w:szCs w:val="16"/>
              </w:rPr>
            </w:pPr>
            <w:r w:rsidRPr="00B61F35">
              <w:rPr>
                <w:rFonts w:cs="Arial"/>
                <w:color w:val="000000"/>
                <w:sz w:val="16"/>
                <w:szCs w:val="16"/>
              </w:rPr>
              <w:t>30–39 let</w:t>
            </w:r>
          </w:p>
        </w:tc>
        <w:tc>
          <w:tcPr>
            <w:tcW w:w="1609" w:type="dxa"/>
            <w:tcBorders>
              <w:top w:val="nil"/>
              <w:left w:val="nil"/>
              <w:bottom w:val="nil"/>
              <w:right w:val="nil"/>
            </w:tcBorders>
            <w:shd w:val="clear" w:color="auto" w:fill="auto"/>
            <w:vAlign w:val="center"/>
            <w:hideMark/>
          </w:tcPr>
          <w:p w14:paraId="7A8F2B8F"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397,5</w:t>
            </w:r>
          </w:p>
        </w:tc>
        <w:tc>
          <w:tcPr>
            <w:tcW w:w="1252" w:type="dxa"/>
            <w:tcBorders>
              <w:top w:val="nil"/>
              <w:left w:val="nil"/>
              <w:bottom w:val="nil"/>
              <w:right w:val="nil"/>
            </w:tcBorders>
            <w:shd w:val="clear" w:color="auto" w:fill="auto"/>
            <w:vAlign w:val="center"/>
            <w:hideMark/>
          </w:tcPr>
          <w:p w14:paraId="6186F46C"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200,4</w:t>
            </w:r>
          </w:p>
        </w:tc>
        <w:tc>
          <w:tcPr>
            <w:tcW w:w="1254" w:type="dxa"/>
            <w:tcBorders>
              <w:top w:val="nil"/>
              <w:left w:val="nil"/>
              <w:bottom w:val="nil"/>
              <w:right w:val="single" w:sz="4" w:space="0" w:color="auto"/>
            </w:tcBorders>
            <w:shd w:val="clear" w:color="auto" w:fill="auto"/>
            <w:vAlign w:val="center"/>
            <w:hideMark/>
          </w:tcPr>
          <w:p w14:paraId="115BCD98"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197,2</w:t>
            </w:r>
          </w:p>
        </w:tc>
        <w:tc>
          <w:tcPr>
            <w:tcW w:w="1610" w:type="dxa"/>
            <w:tcBorders>
              <w:top w:val="nil"/>
              <w:left w:val="nil"/>
              <w:bottom w:val="nil"/>
              <w:right w:val="nil"/>
            </w:tcBorders>
            <w:shd w:val="clear" w:color="auto" w:fill="auto"/>
            <w:vAlign w:val="center"/>
            <w:hideMark/>
          </w:tcPr>
          <w:p w14:paraId="09EB0B73"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33,7</w:t>
            </w:r>
          </w:p>
        </w:tc>
        <w:tc>
          <w:tcPr>
            <w:tcW w:w="1252" w:type="dxa"/>
            <w:tcBorders>
              <w:top w:val="nil"/>
              <w:left w:val="nil"/>
              <w:bottom w:val="nil"/>
              <w:right w:val="nil"/>
            </w:tcBorders>
            <w:shd w:val="clear" w:color="auto" w:fill="auto"/>
            <w:vAlign w:val="center"/>
            <w:hideMark/>
          </w:tcPr>
          <w:p w14:paraId="1922FC58"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28,7</w:t>
            </w:r>
          </w:p>
        </w:tc>
        <w:tc>
          <w:tcPr>
            <w:tcW w:w="1254" w:type="dxa"/>
            <w:tcBorders>
              <w:top w:val="nil"/>
              <w:left w:val="nil"/>
              <w:bottom w:val="nil"/>
              <w:right w:val="nil"/>
            </w:tcBorders>
            <w:shd w:val="clear" w:color="auto" w:fill="auto"/>
            <w:vAlign w:val="center"/>
            <w:hideMark/>
          </w:tcPr>
          <w:p w14:paraId="6E376CF8"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38,8</w:t>
            </w:r>
          </w:p>
        </w:tc>
      </w:tr>
      <w:tr w:rsidR="00425FEB" w:rsidRPr="00B61F35" w14:paraId="44C22A77"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759C9110" w14:textId="77777777" w:rsidR="00425FEB" w:rsidRPr="00B61F35" w:rsidRDefault="00425FEB" w:rsidP="0097475C">
            <w:pPr>
              <w:spacing w:after="0" w:line="240" w:lineRule="auto"/>
              <w:ind w:firstLineChars="100" w:firstLine="160"/>
              <w:rPr>
                <w:rFonts w:cs="Arial"/>
                <w:color w:val="000000"/>
                <w:sz w:val="16"/>
                <w:szCs w:val="16"/>
              </w:rPr>
            </w:pPr>
            <w:r w:rsidRPr="00B61F35">
              <w:rPr>
                <w:rFonts w:cs="Arial"/>
                <w:color w:val="000000"/>
                <w:sz w:val="16"/>
                <w:szCs w:val="16"/>
              </w:rPr>
              <w:t>40–49 let</w:t>
            </w:r>
          </w:p>
        </w:tc>
        <w:tc>
          <w:tcPr>
            <w:tcW w:w="1609" w:type="dxa"/>
            <w:tcBorders>
              <w:top w:val="nil"/>
              <w:left w:val="nil"/>
              <w:bottom w:val="nil"/>
              <w:right w:val="nil"/>
            </w:tcBorders>
            <w:shd w:val="clear" w:color="auto" w:fill="auto"/>
            <w:vAlign w:val="center"/>
            <w:hideMark/>
          </w:tcPr>
          <w:p w14:paraId="12760202"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469,8</w:t>
            </w:r>
          </w:p>
        </w:tc>
        <w:tc>
          <w:tcPr>
            <w:tcW w:w="1252" w:type="dxa"/>
            <w:tcBorders>
              <w:top w:val="nil"/>
              <w:left w:val="nil"/>
              <w:bottom w:val="nil"/>
              <w:right w:val="nil"/>
            </w:tcBorders>
            <w:shd w:val="clear" w:color="auto" w:fill="auto"/>
            <w:vAlign w:val="center"/>
            <w:hideMark/>
          </w:tcPr>
          <w:p w14:paraId="5437CF7B"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195,8</w:t>
            </w:r>
          </w:p>
        </w:tc>
        <w:tc>
          <w:tcPr>
            <w:tcW w:w="1254" w:type="dxa"/>
            <w:tcBorders>
              <w:top w:val="nil"/>
              <w:left w:val="nil"/>
              <w:bottom w:val="nil"/>
              <w:right w:val="single" w:sz="4" w:space="0" w:color="auto"/>
            </w:tcBorders>
            <w:shd w:val="clear" w:color="auto" w:fill="auto"/>
            <w:vAlign w:val="center"/>
            <w:hideMark/>
          </w:tcPr>
          <w:p w14:paraId="7C1F89D5"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274,0</w:t>
            </w:r>
          </w:p>
        </w:tc>
        <w:tc>
          <w:tcPr>
            <w:tcW w:w="1610" w:type="dxa"/>
            <w:tcBorders>
              <w:top w:val="nil"/>
              <w:left w:val="nil"/>
              <w:bottom w:val="nil"/>
              <w:right w:val="nil"/>
            </w:tcBorders>
            <w:shd w:val="clear" w:color="auto" w:fill="auto"/>
            <w:vAlign w:val="center"/>
            <w:hideMark/>
          </w:tcPr>
          <w:p w14:paraId="60F79CA6"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42,2</w:t>
            </w:r>
          </w:p>
        </w:tc>
        <w:tc>
          <w:tcPr>
            <w:tcW w:w="1252" w:type="dxa"/>
            <w:tcBorders>
              <w:top w:val="nil"/>
              <w:left w:val="nil"/>
              <w:bottom w:val="nil"/>
              <w:right w:val="nil"/>
            </w:tcBorders>
            <w:shd w:val="clear" w:color="auto" w:fill="auto"/>
            <w:vAlign w:val="center"/>
            <w:hideMark/>
          </w:tcPr>
          <w:p w14:paraId="16417847"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41,7</w:t>
            </w:r>
          </w:p>
        </w:tc>
        <w:tc>
          <w:tcPr>
            <w:tcW w:w="1254" w:type="dxa"/>
            <w:tcBorders>
              <w:top w:val="nil"/>
              <w:left w:val="nil"/>
              <w:bottom w:val="nil"/>
              <w:right w:val="nil"/>
            </w:tcBorders>
            <w:shd w:val="clear" w:color="auto" w:fill="auto"/>
            <w:vAlign w:val="center"/>
            <w:hideMark/>
          </w:tcPr>
          <w:p w14:paraId="68B00BD0"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42,6</w:t>
            </w:r>
          </w:p>
        </w:tc>
      </w:tr>
      <w:tr w:rsidR="00425FEB" w:rsidRPr="00B61F35" w14:paraId="38ED7280"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67E3F364" w14:textId="77777777" w:rsidR="00425FEB" w:rsidRPr="00B61F35" w:rsidRDefault="00425FEB" w:rsidP="0097475C">
            <w:pPr>
              <w:spacing w:after="0" w:line="240" w:lineRule="auto"/>
              <w:ind w:firstLineChars="100" w:firstLine="160"/>
              <w:rPr>
                <w:rFonts w:cs="Arial"/>
                <w:color w:val="000000"/>
                <w:sz w:val="16"/>
                <w:szCs w:val="16"/>
              </w:rPr>
            </w:pPr>
            <w:r w:rsidRPr="00B61F35">
              <w:rPr>
                <w:rFonts w:cs="Arial"/>
                <w:color w:val="000000"/>
                <w:sz w:val="16"/>
                <w:szCs w:val="16"/>
              </w:rPr>
              <w:t>50–59 let</w:t>
            </w:r>
          </w:p>
        </w:tc>
        <w:tc>
          <w:tcPr>
            <w:tcW w:w="1609" w:type="dxa"/>
            <w:tcBorders>
              <w:top w:val="nil"/>
              <w:left w:val="nil"/>
              <w:bottom w:val="nil"/>
              <w:right w:val="nil"/>
            </w:tcBorders>
            <w:shd w:val="clear" w:color="auto" w:fill="auto"/>
            <w:vAlign w:val="center"/>
            <w:hideMark/>
          </w:tcPr>
          <w:p w14:paraId="2EFD2D34"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411,8</w:t>
            </w:r>
          </w:p>
        </w:tc>
        <w:tc>
          <w:tcPr>
            <w:tcW w:w="1252" w:type="dxa"/>
            <w:tcBorders>
              <w:top w:val="nil"/>
              <w:left w:val="nil"/>
              <w:bottom w:val="nil"/>
              <w:right w:val="nil"/>
            </w:tcBorders>
            <w:shd w:val="clear" w:color="auto" w:fill="auto"/>
            <w:vAlign w:val="center"/>
            <w:hideMark/>
          </w:tcPr>
          <w:p w14:paraId="41BBF09E"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167,0</w:t>
            </w:r>
          </w:p>
        </w:tc>
        <w:tc>
          <w:tcPr>
            <w:tcW w:w="1254" w:type="dxa"/>
            <w:tcBorders>
              <w:top w:val="nil"/>
              <w:left w:val="nil"/>
              <w:bottom w:val="nil"/>
              <w:right w:val="single" w:sz="4" w:space="0" w:color="auto"/>
            </w:tcBorders>
            <w:shd w:val="clear" w:color="auto" w:fill="auto"/>
            <w:vAlign w:val="center"/>
            <w:hideMark/>
          </w:tcPr>
          <w:p w14:paraId="620AB73C"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244,7</w:t>
            </w:r>
          </w:p>
        </w:tc>
        <w:tc>
          <w:tcPr>
            <w:tcW w:w="1610" w:type="dxa"/>
            <w:tcBorders>
              <w:top w:val="nil"/>
              <w:left w:val="nil"/>
              <w:bottom w:val="nil"/>
              <w:right w:val="nil"/>
            </w:tcBorders>
            <w:shd w:val="clear" w:color="auto" w:fill="auto"/>
            <w:vAlign w:val="center"/>
            <w:hideMark/>
          </w:tcPr>
          <w:p w14:paraId="502470D5"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54,5</w:t>
            </w:r>
          </w:p>
        </w:tc>
        <w:tc>
          <w:tcPr>
            <w:tcW w:w="1252" w:type="dxa"/>
            <w:tcBorders>
              <w:top w:val="nil"/>
              <w:left w:val="nil"/>
              <w:bottom w:val="nil"/>
              <w:right w:val="nil"/>
            </w:tcBorders>
            <w:shd w:val="clear" w:color="auto" w:fill="auto"/>
            <w:vAlign w:val="center"/>
            <w:hideMark/>
          </w:tcPr>
          <w:p w14:paraId="210974C5"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56,9</w:t>
            </w:r>
          </w:p>
        </w:tc>
        <w:tc>
          <w:tcPr>
            <w:tcW w:w="1254" w:type="dxa"/>
            <w:tcBorders>
              <w:top w:val="nil"/>
              <w:left w:val="nil"/>
              <w:bottom w:val="nil"/>
              <w:right w:val="nil"/>
            </w:tcBorders>
            <w:shd w:val="clear" w:color="auto" w:fill="auto"/>
            <w:vAlign w:val="center"/>
            <w:hideMark/>
          </w:tcPr>
          <w:p w14:paraId="02D177CC"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52,9</w:t>
            </w:r>
          </w:p>
        </w:tc>
      </w:tr>
      <w:tr w:rsidR="00425FEB" w:rsidRPr="00B61F35" w14:paraId="21FD4A14"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084E647C" w14:textId="77777777" w:rsidR="00425FEB" w:rsidRPr="00B61F35" w:rsidRDefault="00425FEB" w:rsidP="0097475C">
            <w:pPr>
              <w:spacing w:after="0" w:line="240" w:lineRule="auto"/>
              <w:ind w:firstLineChars="100" w:firstLine="160"/>
              <w:rPr>
                <w:rFonts w:cs="Arial"/>
                <w:color w:val="000000"/>
                <w:sz w:val="16"/>
                <w:szCs w:val="16"/>
              </w:rPr>
            </w:pPr>
            <w:r w:rsidRPr="00B61F35">
              <w:rPr>
                <w:rFonts w:cs="Arial"/>
                <w:color w:val="000000"/>
                <w:sz w:val="16"/>
                <w:szCs w:val="16"/>
              </w:rPr>
              <w:t>60 a více let</w:t>
            </w:r>
          </w:p>
        </w:tc>
        <w:tc>
          <w:tcPr>
            <w:tcW w:w="1609" w:type="dxa"/>
            <w:tcBorders>
              <w:top w:val="nil"/>
              <w:left w:val="nil"/>
              <w:bottom w:val="nil"/>
              <w:right w:val="nil"/>
            </w:tcBorders>
            <w:shd w:val="clear" w:color="auto" w:fill="auto"/>
            <w:vAlign w:val="center"/>
            <w:hideMark/>
          </w:tcPr>
          <w:p w14:paraId="42719435"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129,2</w:t>
            </w:r>
          </w:p>
        </w:tc>
        <w:tc>
          <w:tcPr>
            <w:tcW w:w="1252" w:type="dxa"/>
            <w:tcBorders>
              <w:top w:val="nil"/>
              <w:left w:val="nil"/>
              <w:bottom w:val="nil"/>
              <w:right w:val="nil"/>
            </w:tcBorders>
            <w:shd w:val="clear" w:color="auto" w:fill="auto"/>
            <w:vAlign w:val="center"/>
            <w:hideMark/>
          </w:tcPr>
          <w:p w14:paraId="1A4F80B6"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75,3</w:t>
            </w:r>
          </w:p>
        </w:tc>
        <w:tc>
          <w:tcPr>
            <w:tcW w:w="1254" w:type="dxa"/>
            <w:tcBorders>
              <w:top w:val="nil"/>
              <w:left w:val="nil"/>
              <w:bottom w:val="nil"/>
              <w:right w:val="single" w:sz="4" w:space="0" w:color="auto"/>
            </w:tcBorders>
            <w:shd w:val="clear" w:color="auto" w:fill="auto"/>
            <w:vAlign w:val="center"/>
            <w:hideMark/>
          </w:tcPr>
          <w:p w14:paraId="77097638" w14:textId="77777777" w:rsidR="00425FEB" w:rsidRPr="00B61F35" w:rsidRDefault="00425FEB" w:rsidP="0097475C">
            <w:pPr>
              <w:spacing w:after="0" w:line="240" w:lineRule="auto"/>
              <w:jc w:val="right"/>
              <w:rPr>
                <w:rFonts w:cs="Arial"/>
                <w:color w:val="000000"/>
                <w:sz w:val="16"/>
                <w:szCs w:val="16"/>
              </w:rPr>
            </w:pPr>
            <w:r w:rsidRPr="00B61F35">
              <w:rPr>
                <w:rFonts w:cs="Arial"/>
                <w:color w:val="000000"/>
                <w:sz w:val="16"/>
                <w:szCs w:val="16"/>
              </w:rPr>
              <w:t>53,9</w:t>
            </w:r>
          </w:p>
        </w:tc>
        <w:tc>
          <w:tcPr>
            <w:tcW w:w="1610" w:type="dxa"/>
            <w:tcBorders>
              <w:top w:val="nil"/>
              <w:left w:val="nil"/>
              <w:bottom w:val="nil"/>
              <w:right w:val="nil"/>
            </w:tcBorders>
            <w:shd w:val="clear" w:color="auto" w:fill="auto"/>
            <w:vAlign w:val="center"/>
            <w:hideMark/>
          </w:tcPr>
          <w:p w14:paraId="410933B6"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66,9</w:t>
            </w:r>
          </w:p>
        </w:tc>
        <w:tc>
          <w:tcPr>
            <w:tcW w:w="1252" w:type="dxa"/>
            <w:tcBorders>
              <w:top w:val="nil"/>
              <w:left w:val="nil"/>
              <w:bottom w:val="nil"/>
              <w:right w:val="nil"/>
            </w:tcBorders>
            <w:shd w:val="clear" w:color="auto" w:fill="auto"/>
            <w:vAlign w:val="center"/>
            <w:hideMark/>
          </w:tcPr>
          <w:p w14:paraId="1911A037"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75,2</w:t>
            </w:r>
          </w:p>
        </w:tc>
        <w:tc>
          <w:tcPr>
            <w:tcW w:w="1254" w:type="dxa"/>
            <w:tcBorders>
              <w:top w:val="nil"/>
              <w:left w:val="nil"/>
              <w:bottom w:val="nil"/>
              <w:right w:val="nil"/>
            </w:tcBorders>
            <w:shd w:val="clear" w:color="auto" w:fill="auto"/>
            <w:vAlign w:val="center"/>
            <w:hideMark/>
          </w:tcPr>
          <w:p w14:paraId="543C2250"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55,5</w:t>
            </w:r>
          </w:p>
        </w:tc>
      </w:tr>
      <w:tr w:rsidR="00425FEB" w:rsidRPr="00B61F35" w14:paraId="44E1EC3E" w14:textId="77777777" w:rsidTr="0097475C">
        <w:trPr>
          <w:trHeight w:val="300"/>
        </w:trPr>
        <w:tc>
          <w:tcPr>
            <w:tcW w:w="1474" w:type="dxa"/>
            <w:tcBorders>
              <w:top w:val="single" w:sz="4" w:space="0" w:color="auto"/>
              <w:left w:val="nil"/>
              <w:bottom w:val="single" w:sz="4" w:space="0" w:color="auto"/>
              <w:right w:val="single" w:sz="4" w:space="0" w:color="auto"/>
            </w:tcBorders>
            <w:shd w:val="clear" w:color="000000" w:fill="F5DADD"/>
            <w:vAlign w:val="center"/>
            <w:hideMark/>
          </w:tcPr>
          <w:p w14:paraId="0D0FB424"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 </w:t>
            </w:r>
          </w:p>
        </w:tc>
        <w:tc>
          <w:tcPr>
            <w:tcW w:w="8249" w:type="dxa"/>
            <w:gridSpan w:val="7"/>
            <w:tcBorders>
              <w:top w:val="single" w:sz="4" w:space="0" w:color="auto"/>
              <w:left w:val="nil"/>
              <w:bottom w:val="single" w:sz="4" w:space="0" w:color="auto"/>
              <w:right w:val="nil"/>
            </w:tcBorders>
            <w:shd w:val="clear" w:color="000000" w:fill="F2DBDB"/>
            <w:vAlign w:val="center"/>
            <w:hideMark/>
          </w:tcPr>
          <w:p w14:paraId="2E7E7882" w14:textId="1C5AC67F" w:rsidR="00425FEB" w:rsidRPr="00B61F35" w:rsidRDefault="00425FEB" w:rsidP="00D264DA">
            <w:pPr>
              <w:spacing w:after="0" w:line="240" w:lineRule="auto"/>
              <w:jc w:val="center"/>
              <w:rPr>
                <w:rFonts w:cs="Arial"/>
                <w:b/>
                <w:bCs/>
                <w:color w:val="000000"/>
                <w:sz w:val="16"/>
                <w:szCs w:val="16"/>
              </w:rPr>
            </w:pPr>
            <w:r w:rsidRPr="00B61F35">
              <w:rPr>
                <w:rFonts w:cs="Arial"/>
                <w:b/>
                <w:bCs/>
                <w:color w:val="000000"/>
                <w:sz w:val="16"/>
                <w:szCs w:val="16"/>
              </w:rPr>
              <w:t>202</w:t>
            </w:r>
            <w:r w:rsidR="00D264DA">
              <w:rPr>
                <w:rFonts w:cs="Arial"/>
                <w:b/>
                <w:bCs/>
                <w:color w:val="000000"/>
                <w:sz w:val="16"/>
                <w:szCs w:val="16"/>
              </w:rPr>
              <w:t>1</w:t>
            </w:r>
          </w:p>
        </w:tc>
      </w:tr>
      <w:tr w:rsidR="00D264DA" w:rsidRPr="00B61F35" w14:paraId="4E125457"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2A30D846" w14:textId="77777777" w:rsidR="00D264DA" w:rsidRPr="00B61F35" w:rsidRDefault="00D264DA" w:rsidP="00D264DA">
            <w:pPr>
              <w:spacing w:after="0" w:line="240" w:lineRule="auto"/>
              <w:rPr>
                <w:rFonts w:cs="Arial"/>
                <w:b/>
                <w:bCs/>
                <w:color w:val="000000"/>
                <w:sz w:val="16"/>
                <w:szCs w:val="16"/>
              </w:rPr>
            </w:pPr>
            <w:r w:rsidRPr="00B61F35">
              <w:rPr>
                <w:rFonts w:cs="Arial"/>
                <w:b/>
                <w:bCs/>
                <w:color w:val="000000"/>
                <w:sz w:val="16"/>
                <w:szCs w:val="16"/>
              </w:rPr>
              <w:t>Celkem</w:t>
            </w:r>
          </w:p>
        </w:tc>
        <w:tc>
          <w:tcPr>
            <w:tcW w:w="1609" w:type="dxa"/>
            <w:tcBorders>
              <w:top w:val="nil"/>
              <w:left w:val="nil"/>
              <w:bottom w:val="nil"/>
              <w:right w:val="nil"/>
            </w:tcBorders>
            <w:shd w:val="clear" w:color="auto" w:fill="auto"/>
            <w:vAlign w:val="center"/>
            <w:hideMark/>
          </w:tcPr>
          <w:p w14:paraId="2EE5AF6D" w14:textId="17FB30B3" w:rsidR="00D264DA" w:rsidRPr="00B61F35" w:rsidRDefault="00D264DA" w:rsidP="00D264DA">
            <w:pPr>
              <w:spacing w:after="0" w:line="240" w:lineRule="auto"/>
              <w:jc w:val="right"/>
              <w:rPr>
                <w:rFonts w:cs="Arial"/>
                <w:b/>
                <w:bCs/>
                <w:color w:val="000000"/>
                <w:sz w:val="16"/>
                <w:szCs w:val="16"/>
              </w:rPr>
            </w:pPr>
            <w:r>
              <w:rPr>
                <w:rFonts w:cs="Arial"/>
                <w:b/>
                <w:bCs/>
                <w:color w:val="000000"/>
                <w:sz w:val="16"/>
                <w:szCs w:val="16"/>
              </w:rPr>
              <w:t>2 718,0</w:t>
            </w:r>
          </w:p>
        </w:tc>
        <w:tc>
          <w:tcPr>
            <w:tcW w:w="1252" w:type="dxa"/>
            <w:tcBorders>
              <w:top w:val="nil"/>
              <w:left w:val="nil"/>
              <w:bottom w:val="nil"/>
              <w:right w:val="nil"/>
            </w:tcBorders>
            <w:shd w:val="clear" w:color="auto" w:fill="auto"/>
            <w:vAlign w:val="center"/>
            <w:hideMark/>
          </w:tcPr>
          <w:p w14:paraId="3C87B2B4" w14:textId="700DC1BE" w:rsidR="00D264DA" w:rsidRPr="00B61F35" w:rsidRDefault="00D264DA" w:rsidP="00D264DA">
            <w:pPr>
              <w:spacing w:after="0" w:line="240" w:lineRule="auto"/>
              <w:jc w:val="right"/>
              <w:rPr>
                <w:rFonts w:cs="Arial"/>
                <w:b/>
                <w:bCs/>
                <w:color w:val="000000"/>
                <w:sz w:val="16"/>
                <w:szCs w:val="16"/>
              </w:rPr>
            </w:pPr>
            <w:r>
              <w:rPr>
                <w:rFonts w:cs="Arial"/>
                <w:b/>
                <w:bCs/>
                <w:color w:val="000000"/>
                <w:sz w:val="16"/>
                <w:szCs w:val="16"/>
              </w:rPr>
              <w:t>1 320,2</w:t>
            </w:r>
          </w:p>
        </w:tc>
        <w:tc>
          <w:tcPr>
            <w:tcW w:w="1254" w:type="dxa"/>
            <w:tcBorders>
              <w:top w:val="nil"/>
              <w:left w:val="nil"/>
              <w:bottom w:val="nil"/>
              <w:right w:val="single" w:sz="4" w:space="0" w:color="auto"/>
            </w:tcBorders>
            <w:shd w:val="clear" w:color="auto" w:fill="auto"/>
            <w:vAlign w:val="center"/>
            <w:hideMark/>
          </w:tcPr>
          <w:p w14:paraId="3CDF6F85" w14:textId="42ED1AD0" w:rsidR="00D264DA" w:rsidRPr="00B61F35" w:rsidRDefault="00D264DA" w:rsidP="00D264DA">
            <w:pPr>
              <w:spacing w:after="0" w:line="240" w:lineRule="auto"/>
              <w:jc w:val="right"/>
              <w:rPr>
                <w:rFonts w:cs="Arial"/>
                <w:b/>
                <w:bCs/>
                <w:color w:val="000000"/>
                <w:sz w:val="16"/>
                <w:szCs w:val="16"/>
              </w:rPr>
            </w:pPr>
            <w:r>
              <w:rPr>
                <w:rFonts w:cs="Arial"/>
                <w:b/>
                <w:bCs/>
                <w:color w:val="000000"/>
                <w:sz w:val="16"/>
                <w:szCs w:val="16"/>
              </w:rPr>
              <w:t>1 397,8</w:t>
            </w:r>
          </w:p>
        </w:tc>
        <w:tc>
          <w:tcPr>
            <w:tcW w:w="1610" w:type="dxa"/>
            <w:tcBorders>
              <w:top w:val="nil"/>
              <w:left w:val="nil"/>
              <w:bottom w:val="nil"/>
              <w:right w:val="nil"/>
            </w:tcBorders>
            <w:shd w:val="clear" w:color="auto" w:fill="auto"/>
            <w:vAlign w:val="center"/>
            <w:hideMark/>
          </w:tcPr>
          <w:p w14:paraId="62C609C5" w14:textId="02F1080C" w:rsidR="00D264DA" w:rsidRPr="00B61F35" w:rsidRDefault="00D264DA" w:rsidP="00D264DA">
            <w:pPr>
              <w:spacing w:after="0" w:line="240" w:lineRule="auto"/>
              <w:jc w:val="center"/>
              <w:rPr>
                <w:rFonts w:cs="Arial"/>
                <w:b/>
                <w:bCs/>
                <w:color w:val="000000"/>
                <w:sz w:val="16"/>
                <w:szCs w:val="16"/>
              </w:rPr>
            </w:pPr>
            <w:r>
              <w:rPr>
                <w:rFonts w:cs="Arial"/>
                <w:b/>
                <w:bCs/>
                <w:color w:val="000000"/>
                <w:sz w:val="16"/>
                <w:szCs w:val="16"/>
              </w:rPr>
              <w:t>34,5</w:t>
            </w:r>
          </w:p>
        </w:tc>
        <w:tc>
          <w:tcPr>
            <w:tcW w:w="1252" w:type="dxa"/>
            <w:tcBorders>
              <w:top w:val="nil"/>
              <w:left w:val="nil"/>
              <w:bottom w:val="nil"/>
              <w:right w:val="nil"/>
            </w:tcBorders>
            <w:shd w:val="clear" w:color="auto" w:fill="auto"/>
            <w:vAlign w:val="center"/>
            <w:hideMark/>
          </w:tcPr>
          <w:p w14:paraId="6271BD34" w14:textId="5263980B" w:rsidR="00D264DA" w:rsidRPr="00B61F35" w:rsidRDefault="00D264DA" w:rsidP="00D264DA">
            <w:pPr>
              <w:spacing w:after="0" w:line="240" w:lineRule="auto"/>
              <w:jc w:val="center"/>
              <w:rPr>
                <w:rFonts w:cs="Arial"/>
                <w:b/>
                <w:bCs/>
                <w:color w:val="000000"/>
                <w:sz w:val="16"/>
                <w:szCs w:val="16"/>
              </w:rPr>
            </w:pPr>
            <w:r>
              <w:rPr>
                <w:rFonts w:cs="Arial"/>
                <w:b/>
                <w:bCs/>
                <w:color w:val="000000"/>
                <w:sz w:val="16"/>
                <w:szCs w:val="16"/>
              </w:rPr>
              <w:t>32,7</w:t>
            </w:r>
          </w:p>
        </w:tc>
        <w:tc>
          <w:tcPr>
            <w:tcW w:w="1254" w:type="dxa"/>
            <w:tcBorders>
              <w:top w:val="nil"/>
              <w:left w:val="nil"/>
              <w:bottom w:val="nil"/>
              <w:right w:val="nil"/>
            </w:tcBorders>
            <w:shd w:val="clear" w:color="auto" w:fill="auto"/>
            <w:vAlign w:val="center"/>
            <w:hideMark/>
          </w:tcPr>
          <w:p w14:paraId="407470A6" w14:textId="35BB1E28" w:rsidR="00D264DA" w:rsidRPr="00B61F35" w:rsidRDefault="00D264DA" w:rsidP="00D264DA">
            <w:pPr>
              <w:spacing w:after="0" w:line="240" w:lineRule="auto"/>
              <w:jc w:val="center"/>
              <w:rPr>
                <w:rFonts w:cs="Arial"/>
                <w:b/>
                <w:bCs/>
                <w:color w:val="000000"/>
                <w:sz w:val="16"/>
                <w:szCs w:val="16"/>
              </w:rPr>
            </w:pPr>
            <w:r>
              <w:rPr>
                <w:rFonts w:cs="Arial"/>
                <w:b/>
                <w:bCs/>
                <w:color w:val="000000"/>
                <w:sz w:val="16"/>
                <w:szCs w:val="16"/>
              </w:rPr>
              <w:t>36,2</w:t>
            </w:r>
          </w:p>
        </w:tc>
      </w:tr>
      <w:tr w:rsidR="00D264DA" w:rsidRPr="00B61F35" w14:paraId="4172869A"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303A64C0" w14:textId="77777777" w:rsidR="00D264DA" w:rsidRPr="00B61F35" w:rsidRDefault="00D264DA" w:rsidP="00D264DA">
            <w:pPr>
              <w:spacing w:after="0" w:line="240" w:lineRule="auto"/>
              <w:ind w:firstLineChars="100" w:firstLine="160"/>
              <w:rPr>
                <w:rFonts w:cs="Arial"/>
                <w:color w:val="000000"/>
                <w:sz w:val="16"/>
                <w:szCs w:val="16"/>
              </w:rPr>
            </w:pPr>
            <w:r w:rsidRPr="00B61F35">
              <w:rPr>
                <w:rFonts w:cs="Arial"/>
                <w:color w:val="000000"/>
                <w:sz w:val="16"/>
                <w:szCs w:val="16"/>
              </w:rPr>
              <w:t>mladší 20 let</w:t>
            </w:r>
          </w:p>
        </w:tc>
        <w:tc>
          <w:tcPr>
            <w:tcW w:w="1609" w:type="dxa"/>
            <w:tcBorders>
              <w:top w:val="nil"/>
              <w:left w:val="nil"/>
              <w:bottom w:val="nil"/>
              <w:right w:val="nil"/>
            </w:tcBorders>
            <w:shd w:val="clear" w:color="auto" w:fill="auto"/>
            <w:vAlign w:val="center"/>
            <w:hideMark/>
          </w:tcPr>
          <w:p w14:paraId="4B37D6BE" w14:textId="72C6A32F" w:rsidR="00D264DA" w:rsidRPr="00B61F35" w:rsidRDefault="00D264DA" w:rsidP="00D264DA">
            <w:pPr>
              <w:spacing w:after="0" w:line="240" w:lineRule="auto"/>
              <w:jc w:val="right"/>
              <w:rPr>
                <w:rFonts w:cs="Arial"/>
                <w:color w:val="000000"/>
                <w:sz w:val="16"/>
                <w:szCs w:val="16"/>
              </w:rPr>
            </w:pPr>
            <w:r>
              <w:rPr>
                <w:rFonts w:cs="Arial"/>
                <w:color w:val="000000"/>
                <w:sz w:val="16"/>
                <w:szCs w:val="16"/>
              </w:rPr>
              <w:t>29,3</w:t>
            </w:r>
          </w:p>
        </w:tc>
        <w:tc>
          <w:tcPr>
            <w:tcW w:w="1252" w:type="dxa"/>
            <w:tcBorders>
              <w:top w:val="nil"/>
              <w:left w:val="nil"/>
              <w:bottom w:val="nil"/>
              <w:right w:val="nil"/>
            </w:tcBorders>
            <w:shd w:val="clear" w:color="auto" w:fill="auto"/>
            <w:vAlign w:val="center"/>
            <w:hideMark/>
          </w:tcPr>
          <w:p w14:paraId="38360B52" w14:textId="4923D402" w:rsidR="00D264DA" w:rsidRPr="00B61F35" w:rsidRDefault="00D264DA" w:rsidP="00D264DA">
            <w:pPr>
              <w:spacing w:after="0" w:line="240" w:lineRule="auto"/>
              <w:jc w:val="right"/>
              <w:rPr>
                <w:rFonts w:cs="Arial"/>
                <w:color w:val="000000"/>
                <w:sz w:val="16"/>
                <w:szCs w:val="16"/>
              </w:rPr>
            </w:pPr>
            <w:r>
              <w:rPr>
                <w:rFonts w:cs="Arial"/>
                <w:color w:val="000000"/>
                <w:sz w:val="16"/>
                <w:szCs w:val="16"/>
              </w:rPr>
              <w:t>16,9</w:t>
            </w:r>
          </w:p>
        </w:tc>
        <w:tc>
          <w:tcPr>
            <w:tcW w:w="1254" w:type="dxa"/>
            <w:tcBorders>
              <w:top w:val="nil"/>
              <w:left w:val="nil"/>
              <w:bottom w:val="nil"/>
              <w:right w:val="single" w:sz="4" w:space="0" w:color="auto"/>
            </w:tcBorders>
            <w:shd w:val="clear" w:color="auto" w:fill="auto"/>
            <w:vAlign w:val="center"/>
            <w:hideMark/>
          </w:tcPr>
          <w:p w14:paraId="0C5D0988" w14:textId="71DC0FB2" w:rsidR="00D264DA" w:rsidRPr="00B61F35" w:rsidRDefault="00D264DA" w:rsidP="00D264DA">
            <w:pPr>
              <w:spacing w:after="0" w:line="240" w:lineRule="auto"/>
              <w:jc w:val="right"/>
              <w:rPr>
                <w:rFonts w:cs="Arial"/>
                <w:color w:val="000000"/>
                <w:sz w:val="16"/>
                <w:szCs w:val="16"/>
              </w:rPr>
            </w:pPr>
            <w:r>
              <w:rPr>
                <w:rFonts w:cs="Arial"/>
                <w:color w:val="000000"/>
                <w:sz w:val="16"/>
                <w:szCs w:val="16"/>
              </w:rPr>
              <w:t>12,4</w:t>
            </w:r>
          </w:p>
        </w:tc>
        <w:tc>
          <w:tcPr>
            <w:tcW w:w="1610" w:type="dxa"/>
            <w:tcBorders>
              <w:top w:val="nil"/>
              <w:left w:val="nil"/>
              <w:bottom w:val="nil"/>
              <w:right w:val="nil"/>
            </w:tcBorders>
            <w:shd w:val="clear" w:color="auto" w:fill="auto"/>
            <w:vAlign w:val="center"/>
            <w:hideMark/>
          </w:tcPr>
          <w:p w14:paraId="6843577B" w14:textId="6748786E" w:rsidR="00D264DA" w:rsidRPr="00B61F35" w:rsidRDefault="00D264DA" w:rsidP="00D264DA">
            <w:pPr>
              <w:spacing w:after="0" w:line="240" w:lineRule="auto"/>
              <w:jc w:val="center"/>
              <w:rPr>
                <w:rFonts w:cs="Arial"/>
                <w:color w:val="000000"/>
                <w:sz w:val="16"/>
                <w:szCs w:val="16"/>
              </w:rPr>
            </w:pPr>
            <w:r>
              <w:rPr>
                <w:rFonts w:cs="Arial"/>
                <w:color w:val="000000"/>
                <w:sz w:val="16"/>
                <w:szCs w:val="16"/>
              </w:rPr>
              <w:t>16,4</w:t>
            </w:r>
          </w:p>
        </w:tc>
        <w:tc>
          <w:tcPr>
            <w:tcW w:w="1252" w:type="dxa"/>
            <w:tcBorders>
              <w:top w:val="nil"/>
              <w:left w:val="nil"/>
              <w:bottom w:val="nil"/>
              <w:right w:val="nil"/>
            </w:tcBorders>
            <w:shd w:val="clear" w:color="auto" w:fill="auto"/>
            <w:vAlign w:val="center"/>
            <w:hideMark/>
          </w:tcPr>
          <w:p w14:paraId="7A8008E9" w14:textId="75678429" w:rsidR="00D264DA" w:rsidRPr="00B61F35" w:rsidRDefault="00D264DA" w:rsidP="00D264DA">
            <w:pPr>
              <w:spacing w:after="0" w:line="240" w:lineRule="auto"/>
              <w:jc w:val="center"/>
              <w:rPr>
                <w:rFonts w:cs="Arial"/>
                <w:color w:val="000000"/>
                <w:sz w:val="16"/>
                <w:szCs w:val="16"/>
              </w:rPr>
            </w:pPr>
            <w:r>
              <w:rPr>
                <w:rFonts w:cs="Arial"/>
                <w:color w:val="000000"/>
                <w:sz w:val="16"/>
                <w:szCs w:val="16"/>
              </w:rPr>
              <w:t>15,1</w:t>
            </w:r>
          </w:p>
        </w:tc>
        <w:tc>
          <w:tcPr>
            <w:tcW w:w="1254" w:type="dxa"/>
            <w:tcBorders>
              <w:top w:val="nil"/>
              <w:left w:val="nil"/>
              <w:bottom w:val="nil"/>
              <w:right w:val="nil"/>
            </w:tcBorders>
            <w:shd w:val="clear" w:color="auto" w:fill="auto"/>
            <w:vAlign w:val="center"/>
            <w:hideMark/>
          </w:tcPr>
          <w:p w14:paraId="1CE2BCD2" w14:textId="5D5D9B5A" w:rsidR="00D264DA" w:rsidRPr="00B61F35" w:rsidRDefault="00D264DA" w:rsidP="00D264DA">
            <w:pPr>
              <w:spacing w:after="0" w:line="240" w:lineRule="auto"/>
              <w:jc w:val="center"/>
              <w:rPr>
                <w:rFonts w:cs="Arial"/>
                <w:color w:val="000000"/>
                <w:sz w:val="16"/>
                <w:szCs w:val="16"/>
              </w:rPr>
            </w:pPr>
            <w:r>
              <w:rPr>
                <w:rFonts w:cs="Arial"/>
                <w:color w:val="000000"/>
                <w:sz w:val="16"/>
                <w:szCs w:val="16"/>
              </w:rPr>
              <w:t>18,2</w:t>
            </w:r>
          </w:p>
        </w:tc>
      </w:tr>
      <w:tr w:rsidR="00D264DA" w:rsidRPr="00B61F35" w14:paraId="54A5ECC1"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61A29244" w14:textId="77777777" w:rsidR="00D264DA" w:rsidRPr="00B61F35" w:rsidRDefault="00D264DA" w:rsidP="00D264DA">
            <w:pPr>
              <w:spacing w:after="0" w:line="240" w:lineRule="auto"/>
              <w:ind w:firstLineChars="100" w:firstLine="160"/>
              <w:rPr>
                <w:rFonts w:cs="Arial"/>
                <w:color w:val="000000"/>
                <w:sz w:val="16"/>
                <w:szCs w:val="16"/>
              </w:rPr>
            </w:pPr>
            <w:r w:rsidRPr="00B61F35">
              <w:rPr>
                <w:rFonts w:cs="Arial"/>
                <w:color w:val="000000"/>
                <w:sz w:val="16"/>
                <w:szCs w:val="16"/>
              </w:rPr>
              <w:t>20–29 let</w:t>
            </w:r>
          </w:p>
        </w:tc>
        <w:tc>
          <w:tcPr>
            <w:tcW w:w="1609" w:type="dxa"/>
            <w:tcBorders>
              <w:top w:val="nil"/>
              <w:left w:val="nil"/>
              <w:bottom w:val="nil"/>
              <w:right w:val="nil"/>
            </w:tcBorders>
            <w:shd w:val="clear" w:color="auto" w:fill="auto"/>
            <w:vAlign w:val="center"/>
            <w:hideMark/>
          </w:tcPr>
          <w:p w14:paraId="34D2301E" w14:textId="6AF9EF39" w:rsidR="00D264DA" w:rsidRPr="00B61F35" w:rsidRDefault="00D264DA" w:rsidP="00D264DA">
            <w:pPr>
              <w:spacing w:after="0" w:line="240" w:lineRule="auto"/>
              <w:jc w:val="right"/>
              <w:rPr>
                <w:rFonts w:cs="Arial"/>
                <w:color w:val="000000"/>
                <w:sz w:val="16"/>
                <w:szCs w:val="16"/>
              </w:rPr>
            </w:pPr>
            <w:r>
              <w:rPr>
                <w:rFonts w:cs="Arial"/>
                <w:color w:val="000000"/>
                <w:sz w:val="16"/>
                <w:szCs w:val="16"/>
              </w:rPr>
              <w:t>526,2</w:t>
            </w:r>
          </w:p>
        </w:tc>
        <w:tc>
          <w:tcPr>
            <w:tcW w:w="1252" w:type="dxa"/>
            <w:tcBorders>
              <w:top w:val="nil"/>
              <w:left w:val="nil"/>
              <w:bottom w:val="nil"/>
              <w:right w:val="nil"/>
            </w:tcBorders>
            <w:shd w:val="clear" w:color="auto" w:fill="auto"/>
            <w:vAlign w:val="center"/>
            <w:hideMark/>
          </w:tcPr>
          <w:p w14:paraId="7E8CBA93" w14:textId="78FAC7B7" w:rsidR="00D264DA" w:rsidRPr="00B61F35" w:rsidRDefault="00D264DA" w:rsidP="00D264DA">
            <w:pPr>
              <w:spacing w:after="0" w:line="240" w:lineRule="auto"/>
              <w:jc w:val="right"/>
              <w:rPr>
                <w:rFonts w:cs="Arial"/>
                <w:color w:val="000000"/>
                <w:sz w:val="16"/>
                <w:szCs w:val="16"/>
              </w:rPr>
            </w:pPr>
            <w:r>
              <w:rPr>
                <w:rFonts w:cs="Arial"/>
                <w:color w:val="000000"/>
                <w:sz w:val="16"/>
                <w:szCs w:val="16"/>
              </w:rPr>
              <w:t>289,4</w:t>
            </w:r>
          </w:p>
        </w:tc>
        <w:tc>
          <w:tcPr>
            <w:tcW w:w="1254" w:type="dxa"/>
            <w:tcBorders>
              <w:top w:val="nil"/>
              <w:left w:val="nil"/>
              <w:bottom w:val="nil"/>
              <w:right w:val="single" w:sz="4" w:space="0" w:color="auto"/>
            </w:tcBorders>
            <w:shd w:val="clear" w:color="auto" w:fill="auto"/>
            <w:vAlign w:val="center"/>
            <w:hideMark/>
          </w:tcPr>
          <w:p w14:paraId="77DE84C6" w14:textId="1447DF65" w:rsidR="00D264DA" w:rsidRPr="00B61F35" w:rsidRDefault="00D264DA" w:rsidP="00D264DA">
            <w:pPr>
              <w:spacing w:after="0" w:line="240" w:lineRule="auto"/>
              <w:jc w:val="right"/>
              <w:rPr>
                <w:rFonts w:cs="Arial"/>
                <w:color w:val="000000"/>
                <w:sz w:val="16"/>
                <w:szCs w:val="16"/>
              </w:rPr>
            </w:pPr>
            <w:r>
              <w:rPr>
                <w:rFonts w:cs="Arial"/>
                <w:color w:val="000000"/>
                <w:sz w:val="16"/>
                <w:szCs w:val="16"/>
              </w:rPr>
              <w:t>236,8</w:t>
            </w:r>
          </w:p>
        </w:tc>
        <w:tc>
          <w:tcPr>
            <w:tcW w:w="1610" w:type="dxa"/>
            <w:tcBorders>
              <w:top w:val="nil"/>
              <w:left w:val="nil"/>
              <w:bottom w:val="nil"/>
              <w:right w:val="nil"/>
            </w:tcBorders>
            <w:shd w:val="clear" w:color="auto" w:fill="auto"/>
            <w:vAlign w:val="center"/>
            <w:hideMark/>
          </w:tcPr>
          <w:p w14:paraId="2E988502" w14:textId="74B724C3" w:rsidR="00D264DA" w:rsidRPr="00B61F35" w:rsidRDefault="00D264DA" w:rsidP="00D264DA">
            <w:pPr>
              <w:spacing w:after="0" w:line="240" w:lineRule="auto"/>
              <w:jc w:val="center"/>
              <w:rPr>
                <w:rFonts w:cs="Arial"/>
                <w:color w:val="000000"/>
                <w:sz w:val="16"/>
                <w:szCs w:val="16"/>
              </w:rPr>
            </w:pPr>
            <w:r>
              <w:rPr>
                <w:rFonts w:cs="Arial"/>
                <w:color w:val="000000"/>
                <w:sz w:val="16"/>
                <w:szCs w:val="16"/>
              </w:rPr>
              <w:t>22,4</w:t>
            </w:r>
          </w:p>
        </w:tc>
        <w:tc>
          <w:tcPr>
            <w:tcW w:w="1252" w:type="dxa"/>
            <w:tcBorders>
              <w:top w:val="nil"/>
              <w:left w:val="nil"/>
              <w:bottom w:val="nil"/>
              <w:right w:val="nil"/>
            </w:tcBorders>
            <w:shd w:val="clear" w:color="auto" w:fill="auto"/>
            <w:vAlign w:val="center"/>
            <w:hideMark/>
          </w:tcPr>
          <w:p w14:paraId="2C3378EA" w14:textId="71E4600E" w:rsidR="00D264DA" w:rsidRPr="00B61F35" w:rsidRDefault="00D264DA" w:rsidP="00D264DA">
            <w:pPr>
              <w:spacing w:after="0" w:line="240" w:lineRule="auto"/>
              <w:jc w:val="center"/>
              <w:rPr>
                <w:rFonts w:cs="Arial"/>
                <w:color w:val="000000"/>
                <w:sz w:val="16"/>
                <w:szCs w:val="16"/>
              </w:rPr>
            </w:pPr>
            <w:r>
              <w:rPr>
                <w:rFonts w:cs="Arial"/>
                <w:color w:val="000000"/>
                <w:sz w:val="16"/>
                <w:szCs w:val="16"/>
              </w:rPr>
              <w:t>18,9</w:t>
            </w:r>
          </w:p>
        </w:tc>
        <w:tc>
          <w:tcPr>
            <w:tcW w:w="1254" w:type="dxa"/>
            <w:tcBorders>
              <w:top w:val="nil"/>
              <w:left w:val="nil"/>
              <w:bottom w:val="nil"/>
              <w:right w:val="nil"/>
            </w:tcBorders>
            <w:shd w:val="clear" w:color="auto" w:fill="auto"/>
            <w:vAlign w:val="center"/>
            <w:hideMark/>
          </w:tcPr>
          <w:p w14:paraId="4DB28505" w14:textId="53290CD6" w:rsidR="00D264DA" w:rsidRPr="00B61F35" w:rsidRDefault="00D264DA" w:rsidP="00D264DA">
            <w:pPr>
              <w:spacing w:after="0" w:line="240" w:lineRule="auto"/>
              <w:jc w:val="center"/>
              <w:rPr>
                <w:rFonts w:cs="Arial"/>
                <w:color w:val="000000"/>
                <w:sz w:val="16"/>
                <w:szCs w:val="16"/>
              </w:rPr>
            </w:pPr>
            <w:r>
              <w:rPr>
                <w:rFonts w:cs="Arial"/>
                <w:color w:val="000000"/>
                <w:sz w:val="16"/>
                <w:szCs w:val="16"/>
              </w:rPr>
              <w:t>26,7</w:t>
            </w:r>
          </w:p>
        </w:tc>
      </w:tr>
      <w:tr w:rsidR="00D264DA" w:rsidRPr="00B61F35" w14:paraId="07587D55"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7C787D14" w14:textId="77777777" w:rsidR="00D264DA" w:rsidRPr="00B61F35" w:rsidRDefault="00D264DA" w:rsidP="00D264DA">
            <w:pPr>
              <w:spacing w:after="0" w:line="240" w:lineRule="auto"/>
              <w:ind w:firstLineChars="100" w:firstLine="160"/>
              <w:rPr>
                <w:rFonts w:cs="Arial"/>
                <w:color w:val="000000"/>
                <w:sz w:val="16"/>
                <w:szCs w:val="16"/>
              </w:rPr>
            </w:pPr>
            <w:r w:rsidRPr="00B61F35">
              <w:rPr>
                <w:rFonts w:cs="Arial"/>
                <w:color w:val="000000"/>
                <w:sz w:val="16"/>
                <w:szCs w:val="16"/>
              </w:rPr>
              <w:t>30–39 let</w:t>
            </w:r>
          </w:p>
        </w:tc>
        <w:tc>
          <w:tcPr>
            <w:tcW w:w="1609" w:type="dxa"/>
            <w:tcBorders>
              <w:top w:val="nil"/>
              <w:left w:val="nil"/>
              <w:bottom w:val="nil"/>
              <w:right w:val="nil"/>
            </w:tcBorders>
            <w:shd w:val="clear" w:color="auto" w:fill="auto"/>
            <w:vAlign w:val="center"/>
            <w:hideMark/>
          </w:tcPr>
          <w:p w14:paraId="356367B8" w14:textId="31F7161B" w:rsidR="00D264DA" w:rsidRPr="00B61F35" w:rsidRDefault="00D264DA" w:rsidP="00D264DA">
            <w:pPr>
              <w:spacing w:after="0" w:line="240" w:lineRule="auto"/>
              <w:jc w:val="right"/>
              <w:rPr>
                <w:rFonts w:cs="Arial"/>
                <w:color w:val="000000"/>
                <w:sz w:val="16"/>
                <w:szCs w:val="16"/>
              </w:rPr>
            </w:pPr>
            <w:r>
              <w:rPr>
                <w:rFonts w:cs="Arial"/>
                <w:color w:val="000000"/>
                <w:sz w:val="16"/>
                <w:szCs w:val="16"/>
              </w:rPr>
              <w:t>576,3</w:t>
            </w:r>
          </w:p>
        </w:tc>
        <w:tc>
          <w:tcPr>
            <w:tcW w:w="1252" w:type="dxa"/>
            <w:tcBorders>
              <w:top w:val="nil"/>
              <w:left w:val="nil"/>
              <w:bottom w:val="nil"/>
              <w:right w:val="nil"/>
            </w:tcBorders>
            <w:shd w:val="clear" w:color="auto" w:fill="auto"/>
            <w:vAlign w:val="center"/>
            <w:hideMark/>
          </w:tcPr>
          <w:p w14:paraId="418ED6A2" w14:textId="7F073131" w:rsidR="00D264DA" w:rsidRPr="00B61F35" w:rsidRDefault="00D264DA" w:rsidP="00D264DA">
            <w:pPr>
              <w:spacing w:after="0" w:line="240" w:lineRule="auto"/>
              <w:jc w:val="right"/>
              <w:rPr>
                <w:rFonts w:cs="Arial"/>
                <w:color w:val="000000"/>
                <w:sz w:val="16"/>
                <w:szCs w:val="16"/>
              </w:rPr>
            </w:pPr>
            <w:r>
              <w:rPr>
                <w:rFonts w:cs="Arial"/>
                <w:color w:val="000000"/>
                <w:sz w:val="16"/>
                <w:szCs w:val="16"/>
              </w:rPr>
              <w:t>308,6</w:t>
            </w:r>
          </w:p>
        </w:tc>
        <w:tc>
          <w:tcPr>
            <w:tcW w:w="1254" w:type="dxa"/>
            <w:tcBorders>
              <w:top w:val="nil"/>
              <w:left w:val="nil"/>
              <w:bottom w:val="nil"/>
              <w:right w:val="single" w:sz="4" w:space="0" w:color="auto"/>
            </w:tcBorders>
            <w:shd w:val="clear" w:color="auto" w:fill="auto"/>
            <w:vAlign w:val="center"/>
            <w:hideMark/>
          </w:tcPr>
          <w:p w14:paraId="1FCCE80F" w14:textId="139DCEBB" w:rsidR="00D264DA" w:rsidRPr="00B61F35" w:rsidRDefault="00D264DA" w:rsidP="00D264DA">
            <w:pPr>
              <w:spacing w:after="0" w:line="240" w:lineRule="auto"/>
              <w:jc w:val="right"/>
              <w:rPr>
                <w:rFonts w:cs="Arial"/>
                <w:color w:val="000000"/>
                <w:sz w:val="16"/>
                <w:szCs w:val="16"/>
              </w:rPr>
            </w:pPr>
            <w:r>
              <w:rPr>
                <w:rFonts w:cs="Arial"/>
                <w:color w:val="000000"/>
                <w:sz w:val="16"/>
                <w:szCs w:val="16"/>
              </w:rPr>
              <w:t>267,7</w:t>
            </w:r>
          </w:p>
        </w:tc>
        <w:tc>
          <w:tcPr>
            <w:tcW w:w="1610" w:type="dxa"/>
            <w:tcBorders>
              <w:top w:val="nil"/>
              <w:left w:val="nil"/>
              <w:bottom w:val="nil"/>
              <w:right w:val="nil"/>
            </w:tcBorders>
            <w:shd w:val="clear" w:color="auto" w:fill="auto"/>
            <w:vAlign w:val="center"/>
            <w:hideMark/>
          </w:tcPr>
          <w:p w14:paraId="12EF4DCF" w14:textId="1FD30FE1" w:rsidR="00D264DA" w:rsidRPr="00B61F35" w:rsidRDefault="00D264DA" w:rsidP="00D264DA">
            <w:pPr>
              <w:spacing w:after="0" w:line="240" w:lineRule="auto"/>
              <w:jc w:val="center"/>
              <w:rPr>
                <w:rFonts w:cs="Arial"/>
                <w:color w:val="000000"/>
                <w:sz w:val="16"/>
                <w:szCs w:val="16"/>
              </w:rPr>
            </w:pPr>
            <w:r>
              <w:rPr>
                <w:rFonts w:cs="Arial"/>
                <w:color w:val="000000"/>
                <w:sz w:val="16"/>
                <w:szCs w:val="16"/>
              </w:rPr>
              <w:t>27,9</w:t>
            </w:r>
          </w:p>
        </w:tc>
        <w:tc>
          <w:tcPr>
            <w:tcW w:w="1252" w:type="dxa"/>
            <w:tcBorders>
              <w:top w:val="nil"/>
              <w:left w:val="nil"/>
              <w:bottom w:val="nil"/>
              <w:right w:val="nil"/>
            </w:tcBorders>
            <w:shd w:val="clear" w:color="auto" w:fill="auto"/>
            <w:vAlign w:val="center"/>
            <w:hideMark/>
          </w:tcPr>
          <w:p w14:paraId="0188C72F" w14:textId="5E221B36" w:rsidR="00D264DA" w:rsidRPr="00B61F35" w:rsidRDefault="00D264DA" w:rsidP="00D264DA">
            <w:pPr>
              <w:spacing w:after="0" w:line="240" w:lineRule="auto"/>
              <w:jc w:val="center"/>
              <w:rPr>
                <w:rFonts w:cs="Arial"/>
                <w:color w:val="000000"/>
                <w:sz w:val="16"/>
                <w:szCs w:val="16"/>
              </w:rPr>
            </w:pPr>
            <w:r>
              <w:rPr>
                <w:rFonts w:cs="Arial"/>
                <w:color w:val="000000"/>
                <w:sz w:val="16"/>
                <w:szCs w:val="16"/>
              </w:rPr>
              <w:t>24,1</w:t>
            </w:r>
          </w:p>
        </w:tc>
        <w:tc>
          <w:tcPr>
            <w:tcW w:w="1254" w:type="dxa"/>
            <w:tcBorders>
              <w:top w:val="nil"/>
              <w:left w:val="nil"/>
              <w:bottom w:val="nil"/>
              <w:right w:val="nil"/>
            </w:tcBorders>
            <w:shd w:val="clear" w:color="auto" w:fill="auto"/>
            <w:vAlign w:val="center"/>
            <w:hideMark/>
          </w:tcPr>
          <w:p w14:paraId="774E0666" w14:textId="4CB6F1D3" w:rsidR="00D264DA" w:rsidRPr="00B61F35" w:rsidRDefault="00D264DA" w:rsidP="00D264DA">
            <w:pPr>
              <w:spacing w:after="0" w:line="240" w:lineRule="auto"/>
              <w:jc w:val="center"/>
              <w:rPr>
                <w:rFonts w:cs="Arial"/>
                <w:color w:val="000000"/>
                <w:sz w:val="16"/>
                <w:szCs w:val="16"/>
              </w:rPr>
            </w:pPr>
            <w:r>
              <w:rPr>
                <w:rFonts w:cs="Arial"/>
                <w:color w:val="000000"/>
                <w:sz w:val="16"/>
                <w:szCs w:val="16"/>
              </w:rPr>
              <w:t>32,2</w:t>
            </w:r>
          </w:p>
        </w:tc>
      </w:tr>
      <w:tr w:rsidR="00D264DA" w:rsidRPr="00B61F35" w14:paraId="021230B8"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68CCD1B6" w14:textId="77777777" w:rsidR="00D264DA" w:rsidRPr="00B61F35" w:rsidRDefault="00D264DA" w:rsidP="00D264DA">
            <w:pPr>
              <w:spacing w:after="0" w:line="240" w:lineRule="auto"/>
              <w:ind w:firstLineChars="100" w:firstLine="160"/>
              <w:rPr>
                <w:rFonts w:cs="Arial"/>
                <w:color w:val="000000"/>
                <w:sz w:val="16"/>
                <w:szCs w:val="16"/>
              </w:rPr>
            </w:pPr>
            <w:r w:rsidRPr="00B61F35">
              <w:rPr>
                <w:rFonts w:cs="Arial"/>
                <w:color w:val="000000"/>
                <w:sz w:val="16"/>
                <w:szCs w:val="16"/>
              </w:rPr>
              <w:t>40–49 let</w:t>
            </w:r>
          </w:p>
        </w:tc>
        <w:tc>
          <w:tcPr>
            <w:tcW w:w="1609" w:type="dxa"/>
            <w:tcBorders>
              <w:top w:val="nil"/>
              <w:left w:val="nil"/>
              <w:bottom w:val="nil"/>
              <w:right w:val="nil"/>
            </w:tcBorders>
            <w:shd w:val="clear" w:color="auto" w:fill="auto"/>
            <w:vAlign w:val="center"/>
            <w:hideMark/>
          </w:tcPr>
          <w:p w14:paraId="149616ED" w14:textId="315F2526" w:rsidR="00D264DA" w:rsidRPr="00B61F35" w:rsidRDefault="00D264DA" w:rsidP="00D264DA">
            <w:pPr>
              <w:spacing w:after="0" w:line="240" w:lineRule="auto"/>
              <w:jc w:val="right"/>
              <w:rPr>
                <w:rFonts w:cs="Arial"/>
                <w:color w:val="000000"/>
                <w:sz w:val="16"/>
                <w:szCs w:val="16"/>
              </w:rPr>
            </w:pPr>
            <w:r>
              <w:rPr>
                <w:rFonts w:cs="Arial"/>
                <w:color w:val="000000"/>
                <w:sz w:val="16"/>
                <w:szCs w:val="16"/>
              </w:rPr>
              <w:t>763,7</w:t>
            </w:r>
          </w:p>
        </w:tc>
        <w:tc>
          <w:tcPr>
            <w:tcW w:w="1252" w:type="dxa"/>
            <w:tcBorders>
              <w:top w:val="nil"/>
              <w:left w:val="nil"/>
              <w:bottom w:val="nil"/>
              <w:right w:val="nil"/>
            </w:tcBorders>
            <w:shd w:val="clear" w:color="auto" w:fill="auto"/>
            <w:vAlign w:val="center"/>
            <w:hideMark/>
          </w:tcPr>
          <w:p w14:paraId="5CFA3379" w14:textId="4E7D9821" w:rsidR="00D264DA" w:rsidRPr="00B61F35" w:rsidRDefault="00D264DA" w:rsidP="00D264DA">
            <w:pPr>
              <w:spacing w:after="0" w:line="240" w:lineRule="auto"/>
              <w:jc w:val="right"/>
              <w:rPr>
                <w:rFonts w:cs="Arial"/>
                <w:color w:val="000000"/>
                <w:sz w:val="16"/>
                <w:szCs w:val="16"/>
              </w:rPr>
            </w:pPr>
            <w:r>
              <w:rPr>
                <w:rFonts w:cs="Arial"/>
                <w:color w:val="000000"/>
                <w:sz w:val="16"/>
                <w:szCs w:val="16"/>
              </w:rPr>
              <w:t>329,2</w:t>
            </w:r>
          </w:p>
        </w:tc>
        <w:tc>
          <w:tcPr>
            <w:tcW w:w="1254" w:type="dxa"/>
            <w:tcBorders>
              <w:top w:val="nil"/>
              <w:left w:val="nil"/>
              <w:bottom w:val="nil"/>
              <w:right w:val="single" w:sz="4" w:space="0" w:color="auto"/>
            </w:tcBorders>
            <w:shd w:val="clear" w:color="auto" w:fill="auto"/>
            <w:vAlign w:val="center"/>
            <w:hideMark/>
          </w:tcPr>
          <w:p w14:paraId="05959DB3" w14:textId="5900D203" w:rsidR="00D264DA" w:rsidRPr="00B61F35" w:rsidRDefault="00D264DA" w:rsidP="00D264DA">
            <w:pPr>
              <w:spacing w:after="0" w:line="240" w:lineRule="auto"/>
              <w:jc w:val="right"/>
              <w:rPr>
                <w:rFonts w:cs="Arial"/>
                <w:color w:val="000000"/>
                <w:sz w:val="16"/>
                <w:szCs w:val="16"/>
              </w:rPr>
            </w:pPr>
            <w:r>
              <w:rPr>
                <w:rFonts w:cs="Arial"/>
                <w:color w:val="000000"/>
                <w:sz w:val="16"/>
                <w:szCs w:val="16"/>
              </w:rPr>
              <w:t>434,5</w:t>
            </w:r>
          </w:p>
        </w:tc>
        <w:tc>
          <w:tcPr>
            <w:tcW w:w="1610" w:type="dxa"/>
            <w:tcBorders>
              <w:top w:val="nil"/>
              <w:left w:val="nil"/>
              <w:bottom w:val="nil"/>
              <w:right w:val="nil"/>
            </w:tcBorders>
            <w:shd w:val="clear" w:color="auto" w:fill="auto"/>
            <w:vAlign w:val="center"/>
            <w:hideMark/>
          </w:tcPr>
          <w:p w14:paraId="57CF8F5A" w14:textId="12FBFA23" w:rsidR="00D264DA" w:rsidRPr="00B61F35" w:rsidRDefault="00D264DA" w:rsidP="00D264DA">
            <w:pPr>
              <w:spacing w:after="0" w:line="240" w:lineRule="auto"/>
              <w:jc w:val="center"/>
              <w:rPr>
                <w:rFonts w:cs="Arial"/>
                <w:color w:val="000000"/>
                <w:sz w:val="16"/>
                <w:szCs w:val="16"/>
              </w:rPr>
            </w:pPr>
            <w:r>
              <w:rPr>
                <w:rFonts w:cs="Arial"/>
                <w:color w:val="000000"/>
                <w:sz w:val="16"/>
                <w:szCs w:val="16"/>
              </w:rPr>
              <w:t>33,5</w:t>
            </w:r>
          </w:p>
        </w:tc>
        <w:tc>
          <w:tcPr>
            <w:tcW w:w="1252" w:type="dxa"/>
            <w:tcBorders>
              <w:top w:val="nil"/>
              <w:left w:val="nil"/>
              <w:bottom w:val="nil"/>
              <w:right w:val="nil"/>
            </w:tcBorders>
            <w:shd w:val="clear" w:color="auto" w:fill="auto"/>
            <w:vAlign w:val="center"/>
            <w:hideMark/>
          </w:tcPr>
          <w:p w14:paraId="50BB59CB" w14:textId="0FDD1E40" w:rsidR="00D264DA" w:rsidRPr="00B61F35" w:rsidRDefault="00D264DA" w:rsidP="00D264DA">
            <w:pPr>
              <w:spacing w:after="0" w:line="240" w:lineRule="auto"/>
              <w:jc w:val="center"/>
              <w:rPr>
                <w:rFonts w:cs="Arial"/>
                <w:color w:val="000000"/>
                <w:sz w:val="16"/>
                <w:szCs w:val="16"/>
              </w:rPr>
            </w:pPr>
            <w:r>
              <w:rPr>
                <w:rFonts w:cs="Arial"/>
                <w:color w:val="000000"/>
                <w:sz w:val="16"/>
                <w:szCs w:val="16"/>
              </w:rPr>
              <w:t>32,9</w:t>
            </w:r>
          </w:p>
        </w:tc>
        <w:tc>
          <w:tcPr>
            <w:tcW w:w="1254" w:type="dxa"/>
            <w:tcBorders>
              <w:top w:val="nil"/>
              <w:left w:val="nil"/>
              <w:bottom w:val="nil"/>
              <w:right w:val="nil"/>
            </w:tcBorders>
            <w:shd w:val="clear" w:color="auto" w:fill="auto"/>
            <w:vAlign w:val="center"/>
            <w:hideMark/>
          </w:tcPr>
          <w:p w14:paraId="3E70A261" w14:textId="5AA37757" w:rsidR="00D264DA" w:rsidRPr="00B61F35" w:rsidRDefault="00D264DA" w:rsidP="00D264DA">
            <w:pPr>
              <w:spacing w:after="0" w:line="240" w:lineRule="auto"/>
              <w:jc w:val="center"/>
              <w:rPr>
                <w:rFonts w:cs="Arial"/>
                <w:color w:val="000000"/>
                <w:sz w:val="16"/>
                <w:szCs w:val="16"/>
              </w:rPr>
            </w:pPr>
            <w:r>
              <w:rPr>
                <w:rFonts w:cs="Arial"/>
                <w:color w:val="000000"/>
                <w:sz w:val="16"/>
                <w:szCs w:val="16"/>
              </w:rPr>
              <w:t>34,0</w:t>
            </w:r>
          </w:p>
        </w:tc>
      </w:tr>
      <w:tr w:rsidR="00D264DA" w:rsidRPr="00B61F35" w14:paraId="65C22DC9"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0EE3AF48" w14:textId="77777777" w:rsidR="00D264DA" w:rsidRPr="00B61F35" w:rsidRDefault="00D264DA" w:rsidP="00D264DA">
            <w:pPr>
              <w:spacing w:after="0" w:line="240" w:lineRule="auto"/>
              <w:ind w:firstLineChars="100" w:firstLine="160"/>
              <w:rPr>
                <w:rFonts w:cs="Arial"/>
                <w:color w:val="000000"/>
                <w:sz w:val="16"/>
                <w:szCs w:val="16"/>
              </w:rPr>
            </w:pPr>
            <w:r w:rsidRPr="00B61F35">
              <w:rPr>
                <w:rFonts w:cs="Arial"/>
                <w:color w:val="000000"/>
                <w:sz w:val="16"/>
                <w:szCs w:val="16"/>
              </w:rPr>
              <w:t>50–59 let</w:t>
            </w:r>
          </w:p>
        </w:tc>
        <w:tc>
          <w:tcPr>
            <w:tcW w:w="1609" w:type="dxa"/>
            <w:tcBorders>
              <w:top w:val="nil"/>
              <w:left w:val="nil"/>
              <w:bottom w:val="nil"/>
              <w:right w:val="nil"/>
            </w:tcBorders>
            <w:shd w:val="clear" w:color="auto" w:fill="auto"/>
            <w:vAlign w:val="center"/>
            <w:hideMark/>
          </w:tcPr>
          <w:p w14:paraId="4FC8059F" w14:textId="6E7900ED" w:rsidR="00D264DA" w:rsidRPr="00B61F35" w:rsidRDefault="00D264DA" w:rsidP="00D264DA">
            <w:pPr>
              <w:spacing w:after="0" w:line="240" w:lineRule="auto"/>
              <w:jc w:val="right"/>
              <w:rPr>
                <w:rFonts w:cs="Arial"/>
                <w:color w:val="000000"/>
                <w:sz w:val="16"/>
                <w:szCs w:val="16"/>
              </w:rPr>
            </w:pPr>
            <w:r>
              <w:rPr>
                <w:rFonts w:cs="Arial"/>
                <w:color w:val="000000"/>
                <w:sz w:val="16"/>
                <w:szCs w:val="16"/>
              </w:rPr>
              <w:t>633,2</w:t>
            </w:r>
          </w:p>
        </w:tc>
        <w:tc>
          <w:tcPr>
            <w:tcW w:w="1252" w:type="dxa"/>
            <w:tcBorders>
              <w:top w:val="nil"/>
              <w:left w:val="nil"/>
              <w:bottom w:val="nil"/>
              <w:right w:val="nil"/>
            </w:tcBorders>
            <w:shd w:val="clear" w:color="auto" w:fill="auto"/>
            <w:vAlign w:val="center"/>
            <w:hideMark/>
          </w:tcPr>
          <w:p w14:paraId="478C728A" w14:textId="40B056F6" w:rsidR="00D264DA" w:rsidRPr="00B61F35" w:rsidRDefault="00D264DA" w:rsidP="00D264DA">
            <w:pPr>
              <w:spacing w:after="0" w:line="240" w:lineRule="auto"/>
              <w:jc w:val="right"/>
              <w:rPr>
                <w:rFonts w:cs="Arial"/>
                <w:color w:val="000000"/>
                <w:sz w:val="16"/>
                <w:szCs w:val="16"/>
              </w:rPr>
            </w:pPr>
            <w:r>
              <w:rPr>
                <w:rFonts w:cs="Arial"/>
                <w:color w:val="000000"/>
                <w:sz w:val="16"/>
                <w:szCs w:val="16"/>
              </w:rPr>
              <w:t>269,2</w:t>
            </w:r>
          </w:p>
        </w:tc>
        <w:tc>
          <w:tcPr>
            <w:tcW w:w="1254" w:type="dxa"/>
            <w:tcBorders>
              <w:top w:val="nil"/>
              <w:left w:val="nil"/>
              <w:bottom w:val="nil"/>
              <w:right w:val="single" w:sz="4" w:space="0" w:color="auto"/>
            </w:tcBorders>
            <w:shd w:val="clear" w:color="auto" w:fill="auto"/>
            <w:vAlign w:val="center"/>
            <w:hideMark/>
          </w:tcPr>
          <w:p w14:paraId="7212E070" w14:textId="0250D7A5" w:rsidR="00D264DA" w:rsidRPr="00B61F35" w:rsidRDefault="00D264DA" w:rsidP="00D264DA">
            <w:pPr>
              <w:spacing w:after="0" w:line="240" w:lineRule="auto"/>
              <w:jc w:val="right"/>
              <w:rPr>
                <w:rFonts w:cs="Arial"/>
                <w:color w:val="000000"/>
                <w:sz w:val="16"/>
                <w:szCs w:val="16"/>
              </w:rPr>
            </w:pPr>
            <w:r>
              <w:rPr>
                <w:rFonts w:cs="Arial"/>
                <w:color w:val="000000"/>
                <w:sz w:val="16"/>
                <w:szCs w:val="16"/>
              </w:rPr>
              <w:t>364,0</w:t>
            </w:r>
          </w:p>
        </w:tc>
        <w:tc>
          <w:tcPr>
            <w:tcW w:w="1610" w:type="dxa"/>
            <w:tcBorders>
              <w:top w:val="nil"/>
              <w:left w:val="nil"/>
              <w:bottom w:val="nil"/>
              <w:right w:val="nil"/>
            </w:tcBorders>
            <w:shd w:val="clear" w:color="auto" w:fill="auto"/>
            <w:vAlign w:val="center"/>
            <w:hideMark/>
          </w:tcPr>
          <w:p w14:paraId="59390D64" w14:textId="6DD830E6" w:rsidR="00D264DA" w:rsidRPr="00B61F35" w:rsidRDefault="00D264DA" w:rsidP="00D264DA">
            <w:pPr>
              <w:spacing w:after="0" w:line="240" w:lineRule="auto"/>
              <w:jc w:val="center"/>
              <w:rPr>
                <w:rFonts w:cs="Arial"/>
                <w:color w:val="000000"/>
                <w:sz w:val="16"/>
                <w:szCs w:val="16"/>
              </w:rPr>
            </w:pPr>
            <w:r>
              <w:rPr>
                <w:rFonts w:cs="Arial"/>
                <w:color w:val="000000"/>
                <w:sz w:val="16"/>
                <w:szCs w:val="16"/>
              </w:rPr>
              <w:t>45,2</w:t>
            </w:r>
          </w:p>
        </w:tc>
        <w:tc>
          <w:tcPr>
            <w:tcW w:w="1252" w:type="dxa"/>
            <w:tcBorders>
              <w:top w:val="nil"/>
              <w:left w:val="nil"/>
              <w:bottom w:val="nil"/>
              <w:right w:val="nil"/>
            </w:tcBorders>
            <w:shd w:val="clear" w:color="auto" w:fill="auto"/>
            <w:vAlign w:val="center"/>
            <w:hideMark/>
          </w:tcPr>
          <w:p w14:paraId="7CC393F6" w14:textId="2E712F8E" w:rsidR="00D264DA" w:rsidRPr="00B61F35" w:rsidRDefault="00D264DA" w:rsidP="00D264DA">
            <w:pPr>
              <w:spacing w:after="0" w:line="240" w:lineRule="auto"/>
              <w:jc w:val="center"/>
              <w:rPr>
                <w:rFonts w:cs="Arial"/>
                <w:color w:val="000000"/>
                <w:sz w:val="16"/>
                <w:szCs w:val="16"/>
              </w:rPr>
            </w:pPr>
            <w:r>
              <w:rPr>
                <w:rFonts w:cs="Arial"/>
                <w:color w:val="000000"/>
                <w:sz w:val="16"/>
                <w:szCs w:val="16"/>
              </w:rPr>
              <w:t>45,8</w:t>
            </w:r>
          </w:p>
        </w:tc>
        <w:tc>
          <w:tcPr>
            <w:tcW w:w="1254" w:type="dxa"/>
            <w:tcBorders>
              <w:top w:val="nil"/>
              <w:left w:val="nil"/>
              <w:bottom w:val="nil"/>
              <w:right w:val="nil"/>
            </w:tcBorders>
            <w:shd w:val="clear" w:color="auto" w:fill="auto"/>
            <w:vAlign w:val="center"/>
            <w:hideMark/>
          </w:tcPr>
          <w:p w14:paraId="76102E03" w14:textId="1F1F6997" w:rsidR="00D264DA" w:rsidRPr="00B61F35" w:rsidRDefault="00D264DA" w:rsidP="00D264DA">
            <w:pPr>
              <w:spacing w:after="0" w:line="240" w:lineRule="auto"/>
              <w:jc w:val="center"/>
              <w:rPr>
                <w:rFonts w:cs="Arial"/>
                <w:color w:val="000000"/>
                <w:sz w:val="16"/>
                <w:szCs w:val="16"/>
              </w:rPr>
            </w:pPr>
            <w:r>
              <w:rPr>
                <w:rFonts w:cs="Arial"/>
                <w:color w:val="000000"/>
                <w:sz w:val="16"/>
                <w:szCs w:val="16"/>
              </w:rPr>
              <w:t>44,7</w:t>
            </w:r>
          </w:p>
        </w:tc>
      </w:tr>
      <w:tr w:rsidR="00D264DA" w:rsidRPr="00B61F35" w14:paraId="30E68D63"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65636C3B" w14:textId="77777777" w:rsidR="00D264DA" w:rsidRPr="00B61F35" w:rsidRDefault="00D264DA" w:rsidP="00D264DA">
            <w:pPr>
              <w:spacing w:after="0" w:line="240" w:lineRule="auto"/>
              <w:ind w:firstLineChars="100" w:firstLine="160"/>
              <w:rPr>
                <w:rFonts w:cs="Arial"/>
                <w:color w:val="000000"/>
                <w:sz w:val="16"/>
                <w:szCs w:val="16"/>
              </w:rPr>
            </w:pPr>
            <w:r w:rsidRPr="00B61F35">
              <w:rPr>
                <w:rFonts w:cs="Arial"/>
                <w:color w:val="000000"/>
                <w:sz w:val="16"/>
                <w:szCs w:val="16"/>
              </w:rPr>
              <w:t>60 a více let</w:t>
            </w:r>
          </w:p>
        </w:tc>
        <w:tc>
          <w:tcPr>
            <w:tcW w:w="1609" w:type="dxa"/>
            <w:tcBorders>
              <w:top w:val="nil"/>
              <w:left w:val="nil"/>
              <w:bottom w:val="nil"/>
              <w:right w:val="nil"/>
            </w:tcBorders>
            <w:shd w:val="clear" w:color="auto" w:fill="auto"/>
            <w:vAlign w:val="center"/>
            <w:hideMark/>
          </w:tcPr>
          <w:p w14:paraId="323C0912" w14:textId="2FFC7C5E" w:rsidR="00D264DA" w:rsidRPr="00B61F35" w:rsidRDefault="00D264DA" w:rsidP="00D264DA">
            <w:pPr>
              <w:spacing w:after="0" w:line="240" w:lineRule="auto"/>
              <w:jc w:val="right"/>
              <w:rPr>
                <w:rFonts w:cs="Arial"/>
                <w:color w:val="000000"/>
                <w:sz w:val="16"/>
                <w:szCs w:val="16"/>
              </w:rPr>
            </w:pPr>
            <w:r>
              <w:rPr>
                <w:rFonts w:cs="Arial"/>
                <w:color w:val="000000"/>
                <w:sz w:val="16"/>
                <w:szCs w:val="16"/>
              </w:rPr>
              <w:t>189,3</w:t>
            </w:r>
          </w:p>
        </w:tc>
        <w:tc>
          <w:tcPr>
            <w:tcW w:w="1252" w:type="dxa"/>
            <w:tcBorders>
              <w:top w:val="nil"/>
              <w:left w:val="nil"/>
              <w:bottom w:val="nil"/>
              <w:right w:val="nil"/>
            </w:tcBorders>
            <w:shd w:val="clear" w:color="auto" w:fill="auto"/>
            <w:vAlign w:val="center"/>
            <w:hideMark/>
          </w:tcPr>
          <w:p w14:paraId="4434D81F" w14:textId="0905EFB4" w:rsidR="00D264DA" w:rsidRPr="00B61F35" w:rsidRDefault="00D264DA" w:rsidP="00D264DA">
            <w:pPr>
              <w:spacing w:after="0" w:line="240" w:lineRule="auto"/>
              <w:jc w:val="right"/>
              <w:rPr>
                <w:rFonts w:cs="Arial"/>
                <w:color w:val="000000"/>
                <w:sz w:val="16"/>
                <w:szCs w:val="16"/>
              </w:rPr>
            </w:pPr>
            <w:r>
              <w:rPr>
                <w:rFonts w:cs="Arial"/>
                <w:color w:val="000000"/>
                <w:sz w:val="16"/>
                <w:szCs w:val="16"/>
              </w:rPr>
              <w:t>106,9</w:t>
            </w:r>
          </w:p>
        </w:tc>
        <w:tc>
          <w:tcPr>
            <w:tcW w:w="1254" w:type="dxa"/>
            <w:tcBorders>
              <w:top w:val="nil"/>
              <w:left w:val="nil"/>
              <w:bottom w:val="nil"/>
              <w:right w:val="single" w:sz="4" w:space="0" w:color="auto"/>
            </w:tcBorders>
            <w:shd w:val="clear" w:color="auto" w:fill="auto"/>
            <w:vAlign w:val="center"/>
            <w:hideMark/>
          </w:tcPr>
          <w:p w14:paraId="3A53FC45" w14:textId="232FE55A" w:rsidR="00D264DA" w:rsidRPr="00B61F35" w:rsidRDefault="00D264DA" w:rsidP="00D264DA">
            <w:pPr>
              <w:spacing w:after="0" w:line="240" w:lineRule="auto"/>
              <w:jc w:val="right"/>
              <w:rPr>
                <w:rFonts w:cs="Arial"/>
                <w:color w:val="000000"/>
                <w:sz w:val="16"/>
                <w:szCs w:val="16"/>
              </w:rPr>
            </w:pPr>
            <w:r>
              <w:rPr>
                <w:rFonts w:cs="Arial"/>
                <w:color w:val="000000"/>
                <w:sz w:val="16"/>
                <w:szCs w:val="16"/>
              </w:rPr>
              <w:t>82,5</w:t>
            </w:r>
          </w:p>
        </w:tc>
        <w:tc>
          <w:tcPr>
            <w:tcW w:w="1610" w:type="dxa"/>
            <w:tcBorders>
              <w:top w:val="nil"/>
              <w:left w:val="nil"/>
              <w:bottom w:val="nil"/>
              <w:right w:val="nil"/>
            </w:tcBorders>
            <w:shd w:val="clear" w:color="auto" w:fill="auto"/>
            <w:vAlign w:val="center"/>
            <w:hideMark/>
          </w:tcPr>
          <w:p w14:paraId="4301C932" w14:textId="2E430815" w:rsidR="00D264DA" w:rsidRPr="00B61F35" w:rsidRDefault="00D264DA" w:rsidP="00D264DA">
            <w:pPr>
              <w:spacing w:after="0" w:line="240" w:lineRule="auto"/>
              <w:jc w:val="center"/>
              <w:rPr>
                <w:rFonts w:cs="Arial"/>
                <w:color w:val="000000"/>
                <w:sz w:val="16"/>
                <w:szCs w:val="16"/>
              </w:rPr>
            </w:pPr>
            <w:r>
              <w:rPr>
                <w:rFonts w:cs="Arial"/>
                <w:color w:val="000000"/>
                <w:sz w:val="16"/>
                <w:szCs w:val="16"/>
              </w:rPr>
              <w:t>58,8</w:t>
            </w:r>
          </w:p>
        </w:tc>
        <w:tc>
          <w:tcPr>
            <w:tcW w:w="1252" w:type="dxa"/>
            <w:tcBorders>
              <w:top w:val="nil"/>
              <w:left w:val="nil"/>
              <w:bottom w:val="single" w:sz="4" w:space="0" w:color="auto"/>
              <w:right w:val="nil"/>
            </w:tcBorders>
            <w:shd w:val="clear" w:color="auto" w:fill="auto"/>
            <w:vAlign w:val="center"/>
            <w:hideMark/>
          </w:tcPr>
          <w:p w14:paraId="36904CBF" w14:textId="128EEF1A" w:rsidR="00D264DA" w:rsidRPr="00B61F35" w:rsidRDefault="00D264DA" w:rsidP="00D264DA">
            <w:pPr>
              <w:spacing w:after="0" w:line="240" w:lineRule="auto"/>
              <w:jc w:val="center"/>
              <w:rPr>
                <w:rFonts w:cs="Arial"/>
                <w:color w:val="000000"/>
                <w:sz w:val="16"/>
                <w:szCs w:val="16"/>
              </w:rPr>
            </w:pPr>
            <w:r>
              <w:rPr>
                <w:rFonts w:cs="Arial"/>
                <w:color w:val="000000"/>
                <w:sz w:val="16"/>
                <w:szCs w:val="16"/>
              </w:rPr>
              <w:t>63,7</w:t>
            </w:r>
          </w:p>
        </w:tc>
        <w:tc>
          <w:tcPr>
            <w:tcW w:w="1254" w:type="dxa"/>
            <w:tcBorders>
              <w:top w:val="nil"/>
              <w:left w:val="nil"/>
              <w:bottom w:val="nil"/>
              <w:right w:val="nil"/>
            </w:tcBorders>
            <w:shd w:val="clear" w:color="auto" w:fill="auto"/>
            <w:vAlign w:val="center"/>
            <w:hideMark/>
          </w:tcPr>
          <w:p w14:paraId="58DCFD19" w14:textId="5387AAF8" w:rsidR="00D264DA" w:rsidRPr="00B61F35" w:rsidRDefault="00D264DA" w:rsidP="00D264DA">
            <w:pPr>
              <w:spacing w:after="0" w:line="240" w:lineRule="auto"/>
              <w:jc w:val="center"/>
              <w:rPr>
                <w:rFonts w:cs="Arial"/>
                <w:color w:val="000000"/>
                <w:sz w:val="16"/>
                <w:szCs w:val="16"/>
              </w:rPr>
            </w:pPr>
            <w:r>
              <w:rPr>
                <w:rFonts w:cs="Arial"/>
                <w:color w:val="000000"/>
                <w:sz w:val="16"/>
                <w:szCs w:val="16"/>
              </w:rPr>
              <w:t>52,5</w:t>
            </w:r>
          </w:p>
        </w:tc>
      </w:tr>
      <w:tr w:rsidR="00425FEB" w:rsidRPr="00B61F35" w14:paraId="7E4E143B" w14:textId="77777777" w:rsidTr="0097475C">
        <w:trPr>
          <w:trHeight w:val="300"/>
        </w:trPr>
        <w:tc>
          <w:tcPr>
            <w:tcW w:w="1474" w:type="dxa"/>
            <w:tcBorders>
              <w:top w:val="single" w:sz="4" w:space="0" w:color="auto"/>
              <w:left w:val="nil"/>
              <w:bottom w:val="single" w:sz="4" w:space="0" w:color="auto"/>
              <w:right w:val="single" w:sz="4" w:space="0" w:color="auto"/>
            </w:tcBorders>
            <w:shd w:val="clear" w:color="000000" w:fill="F5DADD"/>
            <w:vAlign w:val="center"/>
            <w:hideMark/>
          </w:tcPr>
          <w:p w14:paraId="17CAD89F" w14:textId="77777777" w:rsidR="00425FEB" w:rsidRPr="00B61F35" w:rsidRDefault="00425FEB" w:rsidP="0097475C">
            <w:pPr>
              <w:spacing w:after="0" w:line="240" w:lineRule="auto"/>
              <w:jc w:val="center"/>
              <w:rPr>
                <w:rFonts w:cs="Arial"/>
                <w:color w:val="000000"/>
                <w:sz w:val="16"/>
                <w:szCs w:val="16"/>
              </w:rPr>
            </w:pPr>
            <w:r w:rsidRPr="00B61F35">
              <w:rPr>
                <w:rFonts w:cs="Arial"/>
                <w:color w:val="000000"/>
                <w:sz w:val="16"/>
                <w:szCs w:val="16"/>
              </w:rPr>
              <w:t> </w:t>
            </w:r>
          </w:p>
        </w:tc>
        <w:tc>
          <w:tcPr>
            <w:tcW w:w="8249" w:type="dxa"/>
            <w:gridSpan w:val="7"/>
            <w:tcBorders>
              <w:top w:val="single" w:sz="4" w:space="0" w:color="auto"/>
              <w:left w:val="nil"/>
              <w:bottom w:val="single" w:sz="4" w:space="0" w:color="auto"/>
              <w:right w:val="nil"/>
            </w:tcBorders>
            <w:shd w:val="clear" w:color="000000" w:fill="F2DBDB"/>
            <w:vAlign w:val="center"/>
            <w:hideMark/>
          </w:tcPr>
          <w:p w14:paraId="5BE51471" w14:textId="7E2192CD" w:rsidR="00425FEB" w:rsidRPr="00B61F35" w:rsidRDefault="0097475C" w:rsidP="0097475C">
            <w:pPr>
              <w:spacing w:after="0" w:line="240" w:lineRule="auto"/>
              <w:jc w:val="center"/>
              <w:rPr>
                <w:rFonts w:cs="Arial"/>
                <w:b/>
                <w:bCs/>
                <w:color w:val="000000"/>
                <w:sz w:val="16"/>
                <w:szCs w:val="16"/>
              </w:rPr>
            </w:pPr>
            <w:r>
              <w:rPr>
                <w:rFonts w:cs="Arial"/>
                <w:b/>
                <w:bCs/>
                <w:color w:val="000000"/>
                <w:sz w:val="16"/>
                <w:szCs w:val="16"/>
              </w:rPr>
              <w:t>2023</w:t>
            </w:r>
          </w:p>
        </w:tc>
      </w:tr>
      <w:tr w:rsidR="0097475C" w:rsidRPr="00B61F35" w14:paraId="22D817F3"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146B0BD4" w14:textId="77777777" w:rsidR="0097475C" w:rsidRPr="00B61F35" w:rsidRDefault="0097475C" w:rsidP="0097475C">
            <w:pPr>
              <w:spacing w:after="0" w:line="240" w:lineRule="auto"/>
              <w:rPr>
                <w:rFonts w:cs="Arial"/>
                <w:b/>
                <w:bCs/>
                <w:color w:val="000000"/>
                <w:sz w:val="16"/>
                <w:szCs w:val="16"/>
              </w:rPr>
            </w:pPr>
            <w:r w:rsidRPr="00B61F35">
              <w:rPr>
                <w:rFonts w:cs="Arial"/>
                <w:b/>
                <w:bCs/>
                <w:color w:val="000000"/>
                <w:sz w:val="16"/>
                <w:szCs w:val="16"/>
              </w:rPr>
              <w:t>Celkem</w:t>
            </w:r>
          </w:p>
        </w:tc>
        <w:tc>
          <w:tcPr>
            <w:tcW w:w="1609" w:type="dxa"/>
            <w:tcBorders>
              <w:top w:val="nil"/>
              <w:left w:val="nil"/>
              <w:bottom w:val="nil"/>
              <w:right w:val="nil"/>
            </w:tcBorders>
            <w:shd w:val="clear" w:color="auto" w:fill="auto"/>
            <w:vAlign w:val="center"/>
          </w:tcPr>
          <w:p w14:paraId="69B1892C" w14:textId="2E0CF4BD" w:rsidR="0097475C" w:rsidRPr="00B61F35" w:rsidRDefault="0097475C" w:rsidP="0097475C">
            <w:pPr>
              <w:spacing w:after="0" w:line="240" w:lineRule="auto"/>
              <w:jc w:val="right"/>
              <w:rPr>
                <w:rFonts w:cs="Arial"/>
                <w:b/>
                <w:bCs/>
                <w:color w:val="000000"/>
                <w:sz w:val="16"/>
                <w:szCs w:val="16"/>
              </w:rPr>
            </w:pPr>
            <w:r>
              <w:rPr>
                <w:rFonts w:cs="Arial"/>
                <w:b/>
                <w:bCs/>
                <w:color w:val="000000"/>
                <w:sz w:val="16"/>
                <w:szCs w:val="16"/>
              </w:rPr>
              <w:t>2 528,6</w:t>
            </w:r>
          </w:p>
        </w:tc>
        <w:tc>
          <w:tcPr>
            <w:tcW w:w="1252" w:type="dxa"/>
            <w:tcBorders>
              <w:top w:val="nil"/>
              <w:left w:val="nil"/>
              <w:bottom w:val="nil"/>
              <w:right w:val="nil"/>
            </w:tcBorders>
            <w:shd w:val="clear" w:color="auto" w:fill="auto"/>
            <w:vAlign w:val="center"/>
          </w:tcPr>
          <w:p w14:paraId="5AE84FEC" w14:textId="4215D179" w:rsidR="0097475C" w:rsidRPr="00B61F35" w:rsidRDefault="0097475C" w:rsidP="0097475C">
            <w:pPr>
              <w:spacing w:after="0" w:line="240" w:lineRule="auto"/>
              <w:jc w:val="right"/>
              <w:rPr>
                <w:rFonts w:cs="Arial"/>
                <w:b/>
                <w:bCs/>
                <w:color w:val="000000"/>
                <w:sz w:val="16"/>
                <w:szCs w:val="16"/>
              </w:rPr>
            </w:pPr>
            <w:r>
              <w:rPr>
                <w:rFonts w:cs="Arial"/>
                <w:b/>
                <w:bCs/>
                <w:color w:val="000000"/>
                <w:sz w:val="16"/>
                <w:szCs w:val="16"/>
              </w:rPr>
              <w:t>1 129,0</w:t>
            </w:r>
          </w:p>
        </w:tc>
        <w:tc>
          <w:tcPr>
            <w:tcW w:w="1254" w:type="dxa"/>
            <w:tcBorders>
              <w:top w:val="nil"/>
              <w:left w:val="nil"/>
              <w:bottom w:val="nil"/>
              <w:right w:val="single" w:sz="4" w:space="0" w:color="auto"/>
            </w:tcBorders>
            <w:shd w:val="clear" w:color="auto" w:fill="auto"/>
            <w:vAlign w:val="center"/>
          </w:tcPr>
          <w:p w14:paraId="1D4F0301" w14:textId="5A11EE7D" w:rsidR="0097475C" w:rsidRPr="00B61F35" w:rsidRDefault="0097475C" w:rsidP="0097475C">
            <w:pPr>
              <w:spacing w:after="0" w:line="240" w:lineRule="auto"/>
              <w:jc w:val="right"/>
              <w:rPr>
                <w:rFonts w:cs="Arial"/>
                <w:b/>
                <w:bCs/>
                <w:color w:val="000000"/>
                <w:sz w:val="16"/>
                <w:szCs w:val="16"/>
              </w:rPr>
            </w:pPr>
            <w:r>
              <w:rPr>
                <w:rFonts w:cs="Arial"/>
                <w:b/>
                <w:bCs/>
                <w:color w:val="000000"/>
                <w:sz w:val="16"/>
                <w:szCs w:val="16"/>
              </w:rPr>
              <w:t>1 399,5</w:t>
            </w:r>
          </w:p>
        </w:tc>
        <w:tc>
          <w:tcPr>
            <w:tcW w:w="1610" w:type="dxa"/>
            <w:tcBorders>
              <w:top w:val="nil"/>
              <w:left w:val="nil"/>
              <w:bottom w:val="nil"/>
              <w:right w:val="nil"/>
            </w:tcBorders>
            <w:shd w:val="clear" w:color="auto" w:fill="auto"/>
            <w:vAlign w:val="center"/>
          </w:tcPr>
          <w:p w14:paraId="7B32F0E9" w14:textId="7CF721F3" w:rsidR="0097475C" w:rsidRPr="00B61F35" w:rsidRDefault="0097475C" w:rsidP="0097475C">
            <w:pPr>
              <w:spacing w:after="0" w:line="240" w:lineRule="auto"/>
              <w:jc w:val="center"/>
              <w:rPr>
                <w:rFonts w:cs="Arial"/>
                <w:b/>
                <w:bCs/>
                <w:color w:val="000000"/>
                <w:sz w:val="16"/>
                <w:szCs w:val="16"/>
              </w:rPr>
            </w:pPr>
            <w:r>
              <w:rPr>
                <w:rFonts w:cs="Arial"/>
                <w:b/>
                <w:bCs/>
                <w:color w:val="000000"/>
                <w:sz w:val="16"/>
                <w:szCs w:val="16"/>
              </w:rPr>
              <w:t>31,0</w:t>
            </w:r>
          </w:p>
        </w:tc>
        <w:tc>
          <w:tcPr>
            <w:tcW w:w="1252" w:type="dxa"/>
            <w:tcBorders>
              <w:top w:val="nil"/>
              <w:left w:val="nil"/>
              <w:bottom w:val="nil"/>
              <w:right w:val="nil"/>
            </w:tcBorders>
            <w:shd w:val="clear" w:color="auto" w:fill="auto"/>
            <w:vAlign w:val="center"/>
          </w:tcPr>
          <w:p w14:paraId="6C5119A5" w14:textId="2FDE60BD" w:rsidR="0097475C" w:rsidRPr="00B61F35" w:rsidRDefault="0097475C" w:rsidP="0097475C">
            <w:pPr>
              <w:spacing w:after="0" w:line="240" w:lineRule="auto"/>
              <w:jc w:val="center"/>
              <w:rPr>
                <w:rFonts w:cs="Arial"/>
                <w:b/>
                <w:bCs/>
                <w:color w:val="000000"/>
                <w:sz w:val="16"/>
                <w:szCs w:val="16"/>
              </w:rPr>
            </w:pPr>
            <w:r>
              <w:rPr>
                <w:rFonts w:cs="Arial"/>
                <w:b/>
                <w:bCs/>
                <w:color w:val="000000"/>
                <w:sz w:val="16"/>
                <w:szCs w:val="16"/>
              </w:rPr>
              <w:t>31,3</w:t>
            </w:r>
          </w:p>
        </w:tc>
        <w:tc>
          <w:tcPr>
            <w:tcW w:w="1254" w:type="dxa"/>
            <w:tcBorders>
              <w:top w:val="nil"/>
              <w:left w:val="nil"/>
              <w:bottom w:val="nil"/>
              <w:right w:val="nil"/>
            </w:tcBorders>
            <w:shd w:val="clear" w:color="auto" w:fill="auto"/>
            <w:vAlign w:val="center"/>
          </w:tcPr>
          <w:p w14:paraId="7E51CAA5" w14:textId="0131F713" w:rsidR="0097475C" w:rsidRPr="00B61F35" w:rsidRDefault="0097475C" w:rsidP="0097475C">
            <w:pPr>
              <w:spacing w:after="0" w:line="240" w:lineRule="auto"/>
              <w:jc w:val="center"/>
              <w:rPr>
                <w:rFonts w:cs="Arial"/>
                <w:b/>
                <w:bCs/>
                <w:color w:val="000000"/>
                <w:sz w:val="16"/>
                <w:szCs w:val="16"/>
              </w:rPr>
            </w:pPr>
            <w:r>
              <w:rPr>
                <w:rFonts w:cs="Arial"/>
                <w:b/>
                <w:bCs/>
                <w:color w:val="000000"/>
                <w:sz w:val="16"/>
                <w:szCs w:val="16"/>
              </w:rPr>
              <w:t>30,8</w:t>
            </w:r>
          </w:p>
        </w:tc>
      </w:tr>
      <w:tr w:rsidR="0097475C" w:rsidRPr="00B61F35" w14:paraId="6A4E17F0"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571B906E" w14:textId="77777777" w:rsidR="0097475C" w:rsidRPr="00B61F35" w:rsidRDefault="0097475C" w:rsidP="0097475C">
            <w:pPr>
              <w:spacing w:after="0" w:line="240" w:lineRule="auto"/>
              <w:ind w:firstLineChars="100" w:firstLine="160"/>
              <w:rPr>
                <w:rFonts w:cs="Arial"/>
                <w:color w:val="000000"/>
                <w:sz w:val="16"/>
                <w:szCs w:val="16"/>
              </w:rPr>
            </w:pPr>
            <w:r w:rsidRPr="00B61F35">
              <w:rPr>
                <w:rFonts w:cs="Arial"/>
                <w:color w:val="000000"/>
                <w:sz w:val="16"/>
                <w:szCs w:val="16"/>
              </w:rPr>
              <w:t>mladší 20 let</w:t>
            </w:r>
          </w:p>
        </w:tc>
        <w:tc>
          <w:tcPr>
            <w:tcW w:w="1609" w:type="dxa"/>
            <w:tcBorders>
              <w:top w:val="nil"/>
              <w:left w:val="nil"/>
              <w:bottom w:val="nil"/>
              <w:right w:val="nil"/>
            </w:tcBorders>
            <w:shd w:val="clear" w:color="auto" w:fill="auto"/>
            <w:vAlign w:val="center"/>
          </w:tcPr>
          <w:p w14:paraId="5780ACEB" w14:textId="74E04128" w:rsidR="0097475C" w:rsidRPr="00B61F35" w:rsidRDefault="0097475C" w:rsidP="0097475C">
            <w:pPr>
              <w:spacing w:after="0" w:line="240" w:lineRule="auto"/>
              <w:jc w:val="right"/>
              <w:rPr>
                <w:rFonts w:cs="Arial"/>
                <w:color w:val="000000"/>
                <w:sz w:val="16"/>
                <w:szCs w:val="16"/>
              </w:rPr>
            </w:pPr>
            <w:r>
              <w:rPr>
                <w:rFonts w:cs="Arial"/>
                <w:color w:val="000000"/>
                <w:sz w:val="16"/>
                <w:szCs w:val="16"/>
              </w:rPr>
              <w:t>28,8</w:t>
            </w:r>
          </w:p>
        </w:tc>
        <w:tc>
          <w:tcPr>
            <w:tcW w:w="1252" w:type="dxa"/>
            <w:tcBorders>
              <w:top w:val="nil"/>
              <w:left w:val="nil"/>
              <w:bottom w:val="nil"/>
              <w:right w:val="nil"/>
            </w:tcBorders>
            <w:shd w:val="clear" w:color="auto" w:fill="auto"/>
            <w:vAlign w:val="center"/>
          </w:tcPr>
          <w:p w14:paraId="7E768EDB" w14:textId="5A3090A5" w:rsidR="0097475C" w:rsidRPr="00B61F35" w:rsidRDefault="0097475C" w:rsidP="0097475C">
            <w:pPr>
              <w:spacing w:after="0" w:line="240" w:lineRule="auto"/>
              <w:jc w:val="right"/>
              <w:rPr>
                <w:rFonts w:cs="Arial"/>
                <w:color w:val="000000"/>
                <w:sz w:val="16"/>
                <w:szCs w:val="16"/>
              </w:rPr>
            </w:pPr>
            <w:r>
              <w:rPr>
                <w:rFonts w:cs="Arial"/>
                <w:color w:val="000000"/>
                <w:sz w:val="16"/>
                <w:szCs w:val="16"/>
              </w:rPr>
              <w:t>15,7</w:t>
            </w:r>
          </w:p>
        </w:tc>
        <w:tc>
          <w:tcPr>
            <w:tcW w:w="1254" w:type="dxa"/>
            <w:tcBorders>
              <w:top w:val="nil"/>
              <w:left w:val="nil"/>
              <w:bottom w:val="nil"/>
              <w:right w:val="single" w:sz="4" w:space="0" w:color="auto"/>
            </w:tcBorders>
            <w:shd w:val="clear" w:color="auto" w:fill="auto"/>
            <w:vAlign w:val="center"/>
          </w:tcPr>
          <w:p w14:paraId="25535F72" w14:textId="1429EBBA" w:rsidR="0097475C" w:rsidRPr="00B61F35" w:rsidRDefault="0097475C" w:rsidP="0097475C">
            <w:pPr>
              <w:spacing w:after="0" w:line="240" w:lineRule="auto"/>
              <w:jc w:val="right"/>
              <w:rPr>
                <w:rFonts w:cs="Arial"/>
                <w:color w:val="000000"/>
                <w:sz w:val="16"/>
                <w:szCs w:val="16"/>
              </w:rPr>
            </w:pPr>
            <w:r>
              <w:rPr>
                <w:rFonts w:cs="Arial"/>
                <w:color w:val="000000"/>
                <w:sz w:val="16"/>
                <w:szCs w:val="16"/>
              </w:rPr>
              <w:t>13,1</w:t>
            </w:r>
          </w:p>
        </w:tc>
        <w:tc>
          <w:tcPr>
            <w:tcW w:w="1610" w:type="dxa"/>
            <w:tcBorders>
              <w:top w:val="nil"/>
              <w:left w:val="nil"/>
              <w:bottom w:val="nil"/>
              <w:right w:val="nil"/>
            </w:tcBorders>
            <w:shd w:val="clear" w:color="auto" w:fill="auto"/>
            <w:vAlign w:val="center"/>
          </w:tcPr>
          <w:p w14:paraId="0A8163DF" w14:textId="2744F39F" w:rsidR="0097475C" w:rsidRPr="00B61F35" w:rsidRDefault="0097475C" w:rsidP="0097475C">
            <w:pPr>
              <w:spacing w:after="0" w:line="240" w:lineRule="auto"/>
              <w:jc w:val="center"/>
              <w:rPr>
                <w:rFonts w:cs="Arial"/>
                <w:color w:val="000000"/>
                <w:sz w:val="16"/>
                <w:szCs w:val="16"/>
              </w:rPr>
            </w:pPr>
            <w:r>
              <w:rPr>
                <w:rFonts w:cs="Arial"/>
                <w:color w:val="000000"/>
                <w:sz w:val="16"/>
                <w:szCs w:val="16"/>
              </w:rPr>
              <w:t>14,2</w:t>
            </w:r>
          </w:p>
        </w:tc>
        <w:tc>
          <w:tcPr>
            <w:tcW w:w="1252" w:type="dxa"/>
            <w:tcBorders>
              <w:top w:val="nil"/>
              <w:left w:val="nil"/>
              <w:bottom w:val="nil"/>
              <w:right w:val="nil"/>
            </w:tcBorders>
            <w:shd w:val="clear" w:color="auto" w:fill="auto"/>
            <w:vAlign w:val="center"/>
          </w:tcPr>
          <w:p w14:paraId="20E1121E" w14:textId="1B42E551" w:rsidR="0097475C" w:rsidRPr="00B61F35" w:rsidRDefault="0097475C" w:rsidP="0097475C">
            <w:pPr>
              <w:spacing w:after="0" w:line="240" w:lineRule="auto"/>
              <w:jc w:val="center"/>
              <w:rPr>
                <w:rFonts w:cs="Arial"/>
                <w:color w:val="000000"/>
                <w:sz w:val="16"/>
                <w:szCs w:val="16"/>
              </w:rPr>
            </w:pPr>
            <w:r>
              <w:rPr>
                <w:rFonts w:cs="Arial"/>
                <w:color w:val="000000"/>
                <w:sz w:val="16"/>
                <w:szCs w:val="16"/>
              </w:rPr>
              <w:t>13,2</w:t>
            </w:r>
          </w:p>
        </w:tc>
        <w:tc>
          <w:tcPr>
            <w:tcW w:w="1254" w:type="dxa"/>
            <w:tcBorders>
              <w:top w:val="nil"/>
              <w:left w:val="nil"/>
              <w:bottom w:val="nil"/>
              <w:right w:val="nil"/>
            </w:tcBorders>
            <w:shd w:val="clear" w:color="auto" w:fill="auto"/>
            <w:vAlign w:val="center"/>
          </w:tcPr>
          <w:p w14:paraId="7580D3E6" w14:textId="706423FF" w:rsidR="0097475C" w:rsidRPr="00B61F35" w:rsidRDefault="0097475C" w:rsidP="0097475C">
            <w:pPr>
              <w:spacing w:after="0" w:line="240" w:lineRule="auto"/>
              <w:jc w:val="center"/>
              <w:rPr>
                <w:rFonts w:cs="Arial"/>
                <w:color w:val="000000"/>
                <w:sz w:val="16"/>
                <w:szCs w:val="16"/>
              </w:rPr>
            </w:pPr>
            <w:r>
              <w:rPr>
                <w:rFonts w:cs="Arial"/>
                <w:color w:val="000000"/>
                <w:sz w:val="16"/>
                <w:szCs w:val="16"/>
              </w:rPr>
              <w:t>15,4</w:t>
            </w:r>
          </w:p>
        </w:tc>
      </w:tr>
      <w:tr w:rsidR="0097475C" w:rsidRPr="00B61F35" w14:paraId="398C1CD5"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50F935EB" w14:textId="77777777" w:rsidR="0097475C" w:rsidRPr="00B61F35" w:rsidRDefault="0097475C" w:rsidP="0097475C">
            <w:pPr>
              <w:spacing w:after="0" w:line="240" w:lineRule="auto"/>
              <w:ind w:firstLineChars="100" w:firstLine="160"/>
              <w:rPr>
                <w:rFonts w:cs="Arial"/>
                <w:color w:val="000000"/>
                <w:sz w:val="16"/>
                <w:szCs w:val="16"/>
              </w:rPr>
            </w:pPr>
            <w:r w:rsidRPr="00B61F35">
              <w:rPr>
                <w:rFonts w:cs="Arial"/>
                <w:color w:val="000000"/>
                <w:sz w:val="16"/>
                <w:szCs w:val="16"/>
              </w:rPr>
              <w:t>20–29 let</w:t>
            </w:r>
          </w:p>
        </w:tc>
        <w:tc>
          <w:tcPr>
            <w:tcW w:w="1609" w:type="dxa"/>
            <w:tcBorders>
              <w:top w:val="nil"/>
              <w:left w:val="nil"/>
              <w:bottom w:val="nil"/>
              <w:right w:val="nil"/>
            </w:tcBorders>
            <w:shd w:val="clear" w:color="auto" w:fill="auto"/>
            <w:vAlign w:val="center"/>
          </w:tcPr>
          <w:p w14:paraId="03964926" w14:textId="4CC5EA18" w:rsidR="0097475C" w:rsidRPr="00B61F35" w:rsidRDefault="0097475C" w:rsidP="0097475C">
            <w:pPr>
              <w:spacing w:after="0" w:line="240" w:lineRule="auto"/>
              <w:jc w:val="right"/>
              <w:rPr>
                <w:rFonts w:cs="Arial"/>
                <w:color w:val="000000"/>
                <w:sz w:val="16"/>
                <w:szCs w:val="16"/>
              </w:rPr>
            </w:pPr>
            <w:r>
              <w:rPr>
                <w:rFonts w:cs="Arial"/>
                <w:color w:val="000000"/>
                <w:sz w:val="16"/>
                <w:szCs w:val="16"/>
              </w:rPr>
              <w:t>481,4</w:t>
            </w:r>
          </w:p>
        </w:tc>
        <w:tc>
          <w:tcPr>
            <w:tcW w:w="1252" w:type="dxa"/>
            <w:tcBorders>
              <w:top w:val="nil"/>
              <w:left w:val="nil"/>
              <w:bottom w:val="nil"/>
              <w:right w:val="nil"/>
            </w:tcBorders>
            <w:shd w:val="clear" w:color="auto" w:fill="auto"/>
            <w:vAlign w:val="center"/>
          </w:tcPr>
          <w:p w14:paraId="3780E2F0" w14:textId="5FB26951" w:rsidR="0097475C" w:rsidRPr="00B61F35" w:rsidRDefault="0097475C" w:rsidP="0097475C">
            <w:pPr>
              <w:spacing w:after="0" w:line="240" w:lineRule="auto"/>
              <w:jc w:val="right"/>
              <w:rPr>
                <w:rFonts w:cs="Arial"/>
                <w:color w:val="000000"/>
                <w:sz w:val="16"/>
                <w:szCs w:val="16"/>
              </w:rPr>
            </w:pPr>
            <w:r>
              <w:rPr>
                <w:rFonts w:cs="Arial"/>
                <w:color w:val="000000"/>
                <w:sz w:val="16"/>
                <w:szCs w:val="16"/>
              </w:rPr>
              <w:t>244,6</w:t>
            </w:r>
          </w:p>
        </w:tc>
        <w:tc>
          <w:tcPr>
            <w:tcW w:w="1254" w:type="dxa"/>
            <w:tcBorders>
              <w:top w:val="nil"/>
              <w:left w:val="nil"/>
              <w:bottom w:val="nil"/>
              <w:right w:val="single" w:sz="4" w:space="0" w:color="auto"/>
            </w:tcBorders>
            <w:shd w:val="clear" w:color="auto" w:fill="auto"/>
            <w:vAlign w:val="center"/>
          </w:tcPr>
          <w:p w14:paraId="668EEA80" w14:textId="5A7F3705" w:rsidR="0097475C" w:rsidRPr="00B61F35" w:rsidRDefault="0097475C" w:rsidP="0097475C">
            <w:pPr>
              <w:spacing w:after="0" w:line="240" w:lineRule="auto"/>
              <w:jc w:val="right"/>
              <w:rPr>
                <w:rFonts w:cs="Arial"/>
                <w:color w:val="000000"/>
                <w:sz w:val="16"/>
                <w:szCs w:val="16"/>
              </w:rPr>
            </w:pPr>
            <w:r>
              <w:rPr>
                <w:rFonts w:cs="Arial"/>
                <w:color w:val="000000"/>
                <w:sz w:val="16"/>
                <w:szCs w:val="16"/>
              </w:rPr>
              <w:t>236,8</w:t>
            </w:r>
          </w:p>
        </w:tc>
        <w:tc>
          <w:tcPr>
            <w:tcW w:w="1610" w:type="dxa"/>
            <w:tcBorders>
              <w:top w:val="nil"/>
              <w:left w:val="nil"/>
              <w:bottom w:val="nil"/>
              <w:right w:val="nil"/>
            </w:tcBorders>
            <w:shd w:val="clear" w:color="auto" w:fill="auto"/>
            <w:vAlign w:val="center"/>
          </w:tcPr>
          <w:p w14:paraId="13C71E20" w14:textId="5D6E988D" w:rsidR="0097475C" w:rsidRPr="00B61F35" w:rsidRDefault="0097475C" w:rsidP="0097475C">
            <w:pPr>
              <w:spacing w:after="0" w:line="240" w:lineRule="auto"/>
              <w:jc w:val="center"/>
              <w:rPr>
                <w:rFonts w:cs="Arial"/>
                <w:color w:val="000000"/>
                <w:sz w:val="16"/>
                <w:szCs w:val="16"/>
              </w:rPr>
            </w:pPr>
            <w:r>
              <w:rPr>
                <w:rFonts w:cs="Arial"/>
                <w:color w:val="000000"/>
                <w:sz w:val="16"/>
                <w:szCs w:val="16"/>
              </w:rPr>
              <w:t>18,8</w:t>
            </w:r>
          </w:p>
        </w:tc>
        <w:tc>
          <w:tcPr>
            <w:tcW w:w="1252" w:type="dxa"/>
            <w:tcBorders>
              <w:top w:val="nil"/>
              <w:left w:val="nil"/>
              <w:bottom w:val="nil"/>
              <w:right w:val="nil"/>
            </w:tcBorders>
            <w:shd w:val="clear" w:color="auto" w:fill="auto"/>
            <w:vAlign w:val="center"/>
          </w:tcPr>
          <w:p w14:paraId="58DB5B22" w14:textId="76DF3BFA" w:rsidR="0097475C" w:rsidRPr="00B61F35" w:rsidRDefault="0097475C" w:rsidP="0097475C">
            <w:pPr>
              <w:spacing w:after="0" w:line="240" w:lineRule="auto"/>
              <w:jc w:val="center"/>
              <w:rPr>
                <w:rFonts w:cs="Arial"/>
                <w:color w:val="000000"/>
                <w:sz w:val="16"/>
                <w:szCs w:val="16"/>
              </w:rPr>
            </w:pPr>
            <w:r>
              <w:rPr>
                <w:rFonts w:cs="Arial"/>
                <w:color w:val="000000"/>
                <w:sz w:val="16"/>
                <w:szCs w:val="16"/>
              </w:rPr>
              <w:t>16,5</w:t>
            </w:r>
          </w:p>
        </w:tc>
        <w:tc>
          <w:tcPr>
            <w:tcW w:w="1254" w:type="dxa"/>
            <w:tcBorders>
              <w:top w:val="nil"/>
              <w:left w:val="nil"/>
              <w:bottom w:val="nil"/>
              <w:right w:val="nil"/>
            </w:tcBorders>
            <w:shd w:val="clear" w:color="auto" w:fill="auto"/>
            <w:vAlign w:val="center"/>
          </w:tcPr>
          <w:p w14:paraId="72441951" w14:textId="6D0CCF18" w:rsidR="0097475C" w:rsidRPr="00B61F35" w:rsidRDefault="0097475C" w:rsidP="0097475C">
            <w:pPr>
              <w:spacing w:after="0" w:line="240" w:lineRule="auto"/>
              <w:jc w:val="center"/>
              <w:rPr>
                <w:rFonts w:cs="Arial"/>
                <w:color w:val="000000"/>
                <w:sz w:val="16"/>
                <w:szCs w:val="16"/>
              </w:rPr>
            </w:pPr>
            <w:r>
              <w:rPr>
                <w:rFonts w:cs="Arial"/>
                <w:color w:val="000000"/>
                <w:sz w:val="16"/>
                <w:szCs w:val="16"/>
              </w:rPr>
              <w:t>21,2</w:t>
            </w:r>
          </w:p>
        </w:tc>
      </w:tr>
      <w:tr w:rsidR="0097475C" w:rsidRPr="00B61F35" w14:paraId="4F5A32AF"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4F3ADA24" w14:textId="77777777" w:rsidR="0097475C" w:rsidRPr="00B61F35" w:rsidRDefault="0097475C" w:rsidP="0097475C">
            <w:pPr>
              <w:spacing w:after="0" w:line="240" w:lineRule="auto"/>
              <w:ind w:firstLineChars="100" w:firstLine="160"/>
              <w:rPr>
                <w:rFonts w:cs="Arial"/>
                <w:color w:val="000000"/>
                <w:sz w:val="16"/>
                <w:szCs w:val="16"/>
              </w:rPr>
            </w:pPr>
            <w:r w:rsidRPr="00B61F35">
              <w:rPr>
                <w:rFonts w:cs="Arial"/>
                <w:color w:val="000000"/>
                <w:sz w:val="16"/>
                <w:szCs w:val="16"/>
              </w:rPr>
              <w:t>30–39 let</w:t>
            </w:r>
          </w:p>
        </w:tc>
        <w:tc>
          <w:tcPr>
            <w:tcW w:w="1609" w:type="dxa"/>
            <w:tcBorders>
              <w:top w:val="nil"/>
              <w:left w:val="nil"/>
              <w:bottom w:val="nil"/>
              <w:right w:val="nil"/>
            </w:tcBorders>
            <w:shd w:val="clear" w:color="auto" w:fill="auto"/>
            <w:vAlign w:val="center"/>
          </w:tcPr>
          <w:p w14:paraId="1FCF6ADA" w14:textId="1F71AD81" w:rsidR="0097475C" w:rsidRPr="00B61F35" w:rsidRDefault="0097475C" w:rsidP="0097475C">
            <w:pPr>
              <w:spacing w:after="0" w:line="240" w:lineRule="auto"/>
              <w:jc w:val="right"/>
              <w:rPr>
                <w:rFonts w:cs="Arial"/>
                <w:color w:val="000000"/>
                <w:sz w:val="16"/>
                <w:szCs w:val="16"/>
              </w:rPr>
            </w:pPr>
            <w:r>
              <w:rPr>
                <w:rFonts w:cs="Arial"/>
                <w:color w:val="000000"/>
                <w:sz w:val="16"/>
                <w:szCs w:val="16"/>
              </w:rPr>
              <w:t>555,4</w:t>
            </w:r>
          </w:p>
        </w:tc>
        <w:tc>
          <w:tcPr>
            <w:tcW w:w="1252" w:type="dxa"/>
            <w:tcBorders>
              <w:top w:val="nil"/>
              <w:left w:val="nil"/>
              <w:bottom w:val="nil"/>
              <w:right w:val="nil"/>
            </w:tcBorders>
            <w:shd w:val="clear" w:color="auto" w:fill="auto"/>
            <w:vAlign w:val="center"/>
          </w:tcPr>
          <w:p w14:paraId="7342E384" w14:textId="6719E2FC" w:rsidR="0097475C" w:rsidRPr="00B61F35" w:rsidRDefault="0097475C" w:rsidP="0097475C">
            <w:pPr>
              <w:spacing w:after="0" w:line="240" w:lineRule="auto"/>
              <w:jc w:val="right"/>
              <w:rPr>
                <w:rFonts w:cs="Arial"/>
                <w:color w:val="000000"/>
                <w:sz w:val="16"/>
                <w:szCs w:val="16"/>
              </w:rPr>
            </w:pPr>
            <w:r>
              <w:rPr>
                <w:rFonts w:cs="Arial"/>
                <w:color w:val="000000"/>
                <w:sz w:val="16"/>
                <w:szCs w:val="16"/>
              </w:rPr>
              <w:t>275,7</w:t>
            </w:r>
          </w:p>
        </w:tc>
        <w:tc>
          <w:tcPr>
            <w:tcW w:w="1254" w:type="dxa"/>
            <w:tcBorders>
              <w:top w:val="nil"/>
              <w:left w:val="nil"/>
              <w:bottom w:val="nil"/>
              <w:right w:val="single" w:sz="4" w:space="0" w:color="auto"/>
            </w:tcBorders>
            <w:shd w:val="clear" w:color="auto" w:fill="auto"/>
            <w:vAlign w:val="center"/>
          </w:tcPr>
          <w:p w14:paraId="681F333D" w14:textId="6725D56E" w:rsidR="0097475C" w:rsidRPr="00B61F35" w:rsidRDefault="0097475C" w:rsidP="0097475C">
            <w:pPr>
              <w:spacing w:after="0" w:line="240" w:lineRule="auto"/>
              <w:jc w:val="right"/>
              <w:rPr>
                <w:rFonts w:cs="Arial"/>
                <w:color w:val="000000"/>
                <w:sz w:val="16"/>
                <w:szCs w:val="16"/>
              </w:rPr>
            </w:pPr>
            <w:r>
              <w:rPr>
                <w:rFonts w:cs="Arial"/>
                <w:color w:val="000000"/>
                <w:sz w:val="16"/>
                <w:szCs w:val="16"/>
              </w:rPr>
              <w:t>279,7</w:t>
            </w:r>
          </w:p>
        </w:tc>
        <w:tc>
          <w:tcPr>
            <w:tcW w:w="1610" w:type="dxa"/>
            <w:tcBorders>
              <w:top w:val="nil"/>
              <w:left w:val="nil"/>
              <w:bottom w:val="nil"/>
              <w:right w:val="nil"/>
            </w:tcBorders>
            <w:shd w:val="clear" w:color="auto" w:fill="auto"/>
            <w:vAlign w:val="center"/>
          </w:tcPr>
          <w:p w14:paraId="0FFDA7C5" w14:textId="3179CEC7" w:rsidR="0097475C" w:rsidRPr="00B61F35" w:rsidRDefault="0097475C" w:rsidP="0097475C">
            <w:pPr>
              <w:spacing w:after="0" w:line="240" w:lineRule="auto"/>
              <w:jc w:val="center"/>
              <w:rPr>
                <w:rFonts w:cs="Arial"/>
                <w:color w:val="000000"/>
                <w:sz w:val="16"/>
                <w:szCs w:val="16"/>
              </w:rPr>
            </w:pPr>
            <w:r>
              <w:rPr>
                <w:rFonts w:cs="Arial"/>
                <w:color w:val="000000"/>
                <w:sz w:val="16"/>
                <w:szCs w:val="16"/>
              </w:rPr>
              <w:t>23,7</w:t>
            </w:r>
          </w:p>
        </w:tc>
        <w:tc>
          <w:tcPr>
            <w:tcW w:w="1252" w:type="dxa"/>
            <w:tcBorders>
              <w:top w:val="nil"/>
              <w:left w:val="nil"/>
              <w:bottom w:val="nil"/>
              <w:right w:val="nil"/>
            </w:tcBorders>
            <w:shd w:val="clear" w:color="auto" w:fill="auto"/>
            <w:vAlign w:val="center"/>
          </w:tcPr>
          <w:p w14:paraId="1119E6AB" w14:textId="28FE7EC3" w:rsidR="0097475C" w:rsidRPr="00B61F35" w:rsidRDefault="0097475C" w:rsidP="0097475C">
            <w:pPr>
              <w:spacing w:after="0" w:line="240" w:lineRule="auto"/>
              <w:jc w:val="center"/>
              <w:rPr>
                <w:rFonts w:cs="Arial"/>
                <w:color w:val="000000"/>
                <w:sz w:val="16"/>
                <w:szCs w:val="16"/>
              </w:rPr>
            </w:pPr>
            <w:r>
              <w:rPr>
                <w:rFonts w:cs="Arial"/>
                <w:color w:val="000000"/>
                <w:sz w:val="16"/>
                <w:szCs w:val="16"/>
              </w:rPr>
              <w:t>21,7</w:t>
            </w:r>
          </w:p>
        </w:tc>
        <w:tc>
          <w:tcPr>
            <w:tcW w:w="1254" w:type="dxa"/>
            <w:tcBorders>
              <w:top w:val="nil"/>
              <w:left w:val="nil"/>
              <w:bottom w:val="nil"/>
              <w:right w:val="nil"/>
            </w:tcBorders>
            <w:shd w:val="clear" w:color="auto" w:fill="auto"/>
            <w:vAlign w:val="center"/>
          </w:tcPr>
          <w:p w14:paraId="29B2E725" w14:textId="4651C9D8" w:rsidR="0097475C" w:rsidRPr="00B61F35" w:rsidRDefault="0097475C" w:rsidP="0097475C">
            <w:pPr>
              <w:spacing w:after="0" w:line="240" w:lineRule="auto"/>
              <w:jc w:val="center"/>
              <w:rPr>
                <w:rFonts w:cs="Arial"/>
                <w:color w:val="000000"/>
                <w:sz w:val="16"/>
                <w:szCs w:val="16"/>
              </w:rPr>
            </w:pPr>
            <w:r>
              <w:rPr>
                <w:rFonts w:cs="Arial"/>
                <w:color w:val="000000"/>
                <w:sz w:val="16"/>
                <w:szCs w:val="16"/>
              </w:rPr>
              <w:t>25,8</w:t>
            </w:r>
          </w:p>
        </w:tc>
      </w:tr>
      <w:tr w:rsidR="0097475C" w:rsidRPr="00B61F35" w14:paraId="19E646EF"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52573EE9" w14:textId="77777777" w:rsidR="0097475C" w:rsidRPr="00B61F35" w:rsidRDefault="0097475C" w:rsidP="0097475C">
            <w:pPr>
              <w:spacing w:after="0" w:line="240" w:lineRule="auto"/>
              <w:ind w:firstLineChars="100" w:firstLine="160"/>
              <w:rPr>
                <w:rFonts w:cs="Arial"/>
                <w:color w:val="000000"/>
                <w:sz w:val="16"/>
                <w:szCs w:val="16"/>
              </w:rPr>
            </w:pPr>
            <w:r w:rsidRPr="00B61F35">
              <w:rPr>
                <w:rFonts w:cs="Arial"/>
                <w:color w:val="000000"/>
                <w:sz w:val="16"/>
                <w:szCs w:val="16"/>
              </w:rPr>
              <w:t>40–49 let</w:t>
            </w:r>
          </w:p>
        </w:tc>
        <w:tc>
          <w:tcPr>
            <w:tcW w:w="1609" w:type="dxa"/>
            <w:tcBorders>
              <w:top w:val="nil"/>
              <w:left w:val="nil"/>
              <w:bottom w:val="nil"/>
              <w:right w:val="nil"/>
            </w:tcBorders>
            <w:shd w:val="clear" w:color="auto" w:fill="auto"/>
            <w:vAlign w:val="center"/>
          </w:tcPr>
          <w:p w14:paraId="78155A97" w14:textId="4AB9367D" w:rsidR="0097475C" w:rsidRPr="00B61F35" w:rsidRDefault="0097475C" w:rsidP="0097475C">
            <w:pPr>
              <w:spacing w:after="0" w:line="240" w:lineRule="auto"/>
              <w:jc w:val="right"/>
              <w:rPr>
                <w:rFonts w:cs="Arial"/>
                <w:color w:val="000000"/>
                <w:sz w:val="16"/>
                <w:szCs w:val="16"/>
              </w:rPr>
            </w:pPr>
            <w:r>
              <w:rPr>
                <w:rFonts w:cs="Arial"/>
                <w:color w:val="000000"/>
                <w:sz w:val="16"/>
                <w:szCs w:val="16"/>
              </w:rPr>
              <w:t>651,9</w:t>
            </w:r>
          </w:p>
        </w:tc>
        <w:tc>
          <w:tcPr>
            <w:tcW w:w="1252" w:type="dxa"/>
            <w:tcBorders>
              <w:top w:val="nil"/>
              <w:left w:val="nil"/>
              <w:bottom w:val="nil"/>
              <w:right w:val="nil"/>
            </w:tcBorders>
            <w:shd w:val="clear" w:color="auto" w:fill="auto"/>
            <w:vAlign w:val="center"/>
          </w:tcPr>
          <w:p w14:paraId="66414CE9" w14:textId="3E6C3D24" w:rsidR="0097475C" w:rsidRPr="00B61F35" w:rsidRDefault="0097475C" w:rsidP="0097475C">
            <w:pPr>
              <w:spacing w:after="0" w:line="240" w:lineRule="auto"/>
              <w:jc w:val="right"/>
              <w:rPr>
                <w:rFonts w:cs="Arial"/>
                <w:color w:val="000000"/>
                <w:sz w:val="16"/>
                <w:szCs w:val="16"/>
              </w:rPr>
            </w:pPr>
            <w:r>
              <w:rPr>
                <w:rFonts w:cs="Arial"/>
                <w:color w:val="000000"/>
                <w:sz w:val="16"/>
                <w:szCs w:val="16"/>
              </w:rPr>
              <w:t>263,4</w:t>
            </w:r>
          </w:p>
        </w:tc>
        <w:tc>
          <w:tcPr>
            <w:tcW w:w="1254" w:type="dxa"/>
            <w:tcBorders>
              <w:top w:val="nil"/>
              <w:left w:val="nil"/>
              <w:bottom w:val="nil"/>
              <w:right w:val="single" w:sz="4" w:space="0" w:color="auto"/>
            </w:tcBorders>
            <w:shd w:val="clear" w:color="auto" w:fill="auto"/>
            <w:vAlign w:val="center"/>
          </w:tcPr>
          <w:p w14:paraId="723082CC" w14:textId="59725ED9" w:rsidR="0097475C" w:rsidRPr="00B61F35" w:rsidRDefault="0097475C" w:rsidP="0097475C">
            <w:pPr>
              <w:spacing w:after="0" w:line="240" w:lineRule="auto"/>
              <w:jc w:val="right"/>
              <w:rPr>
                <w:rFonts w:cs="Arial"/>
                <w:color w:val="000000"/>
                <w:sz w:val="16"/>
                <w:szCs w:val="16"/>
              </w:rPr>
            </w:pPr>
            <w:r>
              <w:rPr>
                <w:rFonts w:cs="Arial"/>
                <w:color w:val="000000"/>
                <w:sz w:val="16"/>
                <w:szCs w:val="16"/>
              </w:rPr>
              <w:t>388,5</w:t>
            </w:r>
          </w:p>
        </w:tc>
        <w:tc>
          <w:tcPr>
            <w:tcW w:w="1610" w:type="dxa"/>
            <w:tcBorders>
              <w:top w:val="nil"/>
              <w:left w:val="nil"/>
              <w:bottom w:val="nil"/>
              <w:right w:val="nil"/>
            </w:tcBorders>
            <w:shd w:val="clear" w:color="auto" w:fill="auto"/>
            <w:vAlign w:val="center"/>
          </w:tcPr>
          <w:p w14:paraId="4A16CB7D" w14:textId="13ADA3B2" w:rsidR="0097475C" w:rsidRPr="00B61F35" w:rsidRDefault="0097475C" w:rsidP="0097475C">
            <w:pPr>
              <w:spacing w:after="0" w:line="240" w:lineRule="auto"/>
              <w:jc w:val="center"/>
              <w:rPr>
                <w:rFonts w:cs="Arial"/>
                <w:color w:val="000000"/>
                <w:sz w:val="16"/>
                <w:szCs w:val="16"/>
              </w:rPr>
            </w:pPr>
            <w:r>
              <w:rPr>
                <w:rFonts w:cs="Arial"/>
                <w:color w:val="000000"/>
                <w:sz w:val="16"/>
                <w:szCs w:val="16"/>
              </w:rPr>
              <w:t>30,9</w:t>
            </w:r>
          </w:p>
        </w:tc>
        <w:tc>
          <w:tcPr>
            <w:tcW w:w="1252" w:type="dxa"/>
            <w:tcBorders>
              <w:top w:val="nil"/>
              <w:left w:val="nil"/>
              <w:bottom w:val="nil"/>
              <w:right w:val="nil"/>
            </w:tcBorders>
            <w:shd w:val="clear" w:color="auto" w:fill="auto"/>
            <w:vAlign w:val="center"/>
          </w:tcPr>
          <w:p w14:paraId="67894C28" w14:textId="076D969E" w:rsidR="0097475C" w:rsidRPr="00B61F35" w:rsidRDefault="0097475C" w:rsidP="0097475C">
            <w:pPr>
              <w:spacing w:after="0" w:line="240" w:lineRule="auto"/>
              <w:jc w:val="center"/>
              <w:rPr>
                <w:rFonts w:cs="Arial"/>
                <w:color w:val="000000"/>
                <w:sz w:val="16"/>
                <w:szCs w:val="16"/>
              </w:rPr>
            </w:pPr>
            <w:r>
              <w:rPr>
                <w:rFonts w:cs="Arial"/>
                <w:color w:val="000000"/>
                <w:sz w:val="16"/>
                <w:szCs w:val="16"/>
              </w:rPr>
              <w:t>32,7</w:t>
            </w:r>
          </w:p>
        </w:tc>
        <w:tc>
          <w:tcPr>
            <w:tcW w:w="1254" w:type="dxa"/>
            <w:tcBorders>
              <w:top w:val="nil"/>
              <w:left w:val="nil"/>
              <w:bottom w:val="nil"/>
              <w:right w:val="nil"/>
            </w:tcBorders>
            <w:shd w:val="clear" w:color="auto" w:fill="auto"/>
            <w:vAlign w:val="center"/>
          </w:tcPr>
          <w:p w14:paraId="193B7AE4" w14:textId="1237F2A9" w:rsidR="0097475C" w:rsidRPr="00B61F35" w:rsidRDefault="0097475C" w:rsidP="0097475C">
            <w:pPr>
              <w:spacing w:after="0" w:line="240" w:lineRule="auto"/>
              <w:jc w:val="center"/>
              <w:rPr>
                <w:rFonts w:cs="Arial"/>
                <w:color w:val="000000"/>
                <w:sz w:val="16"/>
                <w:szCs w:val="16"/>
              </w:rPr>
            </w:pPr>
            <w:r>
              <w:rPr>
                <w:rFonts w:cs="Arial"/>
                <w:color w:val="000000"/>
                <w:sz w:val="16"/>
                <w:szCs w:val="16"/>
              </w:rPr>
              <w:t>29,8</w:t>
            </w:r>
          </w:p>
        </w:tc>
      </w:tr>
      <w:tr w:rsidR="0097475C" w:rsidRPr="00B61F35" w14:paraId="6B48EC4B"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323C0AF4" w14:textId="77777777" w:rsidR="0097475C" w:rsidRPr="00B61F35" w:rsidRDefault="0097475C" w:rsidP="0097475C">
            <w:pPr>
              <w:spacing w:after="0" w:line="240" w:lineRule="auto"/>
              <w:ind w:firstLineChars="100" w:firstLine="160"/>
              <w:rPr>
                <w:rFonts w:cs="Arial"/>
                <w:color w:val="000000"/>
                <w:sz w:val="16"/>
                <w:szCs w:val="16"/>
              </w:rPr>
            </w:pPr>
            <w:r w:rsidRPr="00B61F35">
              <w:rPr>
                <w:rFonts w:cs="Arial"/>
                <w:color w:val="000000"/>
                <w:sz w:val="16"/>
                <w:szCs w:val="16"/>
              </w:rPr>
              <w:t>50–59 let</w:t>
            </w:r>
          </w:p>
        </w:tc>
        <w:tc>
          <w:tcPr>
            <w:tcW w:w="1609" w:type="dxa"/>
            <w:tcBorders>
              <w:top w:val="nil"/>
              <w:left w:val="nil"/>
              <w:right w:val="nil"/>
            </w:tcBorders>
            <w:shd w:val="clear" w:color="auto" w:fill="auto"/>
            <w:vAlign w:val="center"/>
          </w:tcPr>
          <w:p w14:paraId="447CFB19" w14:textId="0764E6E9" w:rsidR="0097475C" w:rsidRPr="00B61F35" w:rsidRDefault="0097475C" w:rsidP="0097475C">
            <w:pPr>
              <w:spacing w:after="0" w:line="240" w:lineRule="auto"/>
              <w:jc w:val="right"/>
              <w:rPr>
                <w:rFonts w:cs="Arial"/>
                <w:color w:val="000000"/>
                <w:sz w:val="16"/>
                <w:szCs w:val="16"/>
              </w:rPr>
            </w:pPr>
            <w:r>
              <w:rPr>
                <w:rFonts w:cs="Arial"/>
                <w:color w:val="000000"/>
                <w:sz w:val="16"/>
                <w:szCs w:val="16"/>
              </w:rPr>
              <w:t>610,1</w:t>
            </w:r>
          </w:p>
        </w:tc>
        <w:tc>
          <w:tcPr>
            <w:tcW w:w="1252" w:type="dxa"/>
            <w:tcBorders>
              <w:top w:val="nil"/>
              <w:left w:val="nil"/>
              <w:right w:val="nil"/>
            </w:tcBorders>
            <w:shd w:val="clear" w:color="auto" w:fill="auto"/>
            <w:vAlign w:val="center"/>
          </w:tcPr>
          <w:p w14:paraId="09B9BA5D" w14:textId="44FB1DE2" w:rsidR="0097475C" w:rsidRPr="00B61F35" w:rsidRDefault="0097475C" w:rsidP="0097475C">
            <w:pPr>
              <w:spacing w:after="0" w:line="240" w:lineRule="auto"/>
              <w:jc w:val="right"/>
              <w:rPr>
                <w:rFonts w:cs="Arial"/>
                <w:color w:val="000000"/>
                <w:sz w:val="16"/>
                <w:szCs w:val="16"/>
              </w:rPr>
            </w:pPr>
            <w:r>
              <w:rPr>
                <w:rFonts w:cs="Arial"/>
                <w:color w:val="000000"/>
                <w:sz w:val="16"/>
                <w:szCs w:val="16"/>
              </w:rPr>
              <w:t>231,8</w:t>
            </w:r>
          </w:p>
        </w:tc>
        <w:tc>
          <w:tcPr>
            <w:tcW w:w="1254" w:type="dxa"/>
            <w:tcBorders>
              <w:top w:val="nil"/>
              <w:left w:val="nil"/>
              <w:right w:val="single" w:sz="4" w:space="0" w:color="auto"/>
            </w:tcBorders>
            <w:shd w:val="clear" w:color="auto" w:fill="auto"/>
            <w:vAlign w:val="center"/>
          </w:tcPr>
          <w:p w14:paraId="352F31D1" w14:textId="70B64B81" w:rsidR="0097475C" w:rsidRPr="00B61F35" w:rsidRDefault="0097475C" w:rsidP="0097475C">
            <w:pPr>
              <w:spacing w:after="0" w:line="240" w:lineRule="auto"/>
              <w:jc w:val="right"/>
              <w:rPr>
                <w:rFonts w:cs="Arial"/>
                <w:color w:val="000000"/>
                <w:sz w:val="16"/>
                <w:szCs w:val="16"/>
              </w:rPr>
            </w:pPr>
            <w:r>
              <w:rPr>
                <w:rFonts w:cs="Arial"/>
                <w:color w:val="000000"/>
                <w:sz w:val="16"/>
                <w:szCs w:val="16"/>
              </w:rPr>
              <w:t>378,2</w:t>
            </w:r>
          </w:p>
        </w:tc>
        <w:tc>
          <w:tcPr>
            <w:tcW w:w="1610" w:type="dxa"/>
            <w:tcBorders>
              <w:top w:val="nil"/>
              <w:left w:val="nil"/>
              <w:right w:val="nil"/>
            </w:tcBorders>
            <w:shd w:val="clear" w:color="auto" w:fill="auto"/>
            <w:vAlign w:val="center"/>
          </w:tcPr>
          <w:p w14:paraId="6E96E2F5" w14:textId="1C7B7CFD" w:rsidR="0097475C" w:rsidRPr="00B61F35" w:rsidRDefault="0097475C" w:rsidP="0097475C">
            <w:pPr>
              <w:spacing w:after="0" w:line="240" w:lineRule="auto"/>
              <w:jc w:val="center"/>
              <w:rPr>
                <w:rFonts w:cs="Arial"/>
                <w:color w:val="000000"/>
                <w:sz w:val="16"/>
                <w:szCs w:val="16"/>
              </w:rPr>
            </w:pPr>
            <w:r>
              <w:rPr>
                <w:rFonts w:cs="Arial"/>
                <w:color w:val="000000"/>
                <w:sz w:val="16"/>
                <w:szCs w:val="16"/>
              </w:rPr>
              <w:t>41,6</w:t>
            </w:r>
          </w:p>
        </w:tc>
        <w:tc>
          <w:tcPr>
            <w:tcW w:w="1252" w:type="dxa"/>
            <w:tcBorders>
              <w:top w:val="nil"/>
              <w:left w:val="nil"/>
              <w:right w:val="nil"/>
            </w:tcBorders>
            <w:shd w:val="clear" w:color="auto" w:fill="auto"/>
            <w:vAlign w:val="center"/>
          </w:tcPr>
          <w:p w14:paraId="2D8DCE83" w14:textId="4876C9C1" w:rsidR="0097475C" w:rsidRPr="00B61F35" w:rsidRDefault="0097475C" w:rsidP="0097475C">
            <w:pPr>
              <w:spacing w:after="0" w:line="240" w:lineRule="auto"/>
              <w:jc w:val="center"/>
              <w:rPr>
                <w:rFonts w:cs="Arial"/>
                <w:color w:val="000000"/>
                <w:sz w:val="16"/>
                <w:szCs w:val="16"/>
              </w:rPr>
            </w:pPr>
            <w:r>
              <w:rPr>
                <w:rFonts w:cs="Arial"/>
                <w:color w:val="000000"/>
                <w:sz w:val="16"/>
                <w:szCs w:val="16"/>
              </w:rPr>
              <w:t>46,5</w:t>
            </w:r>
          </w:p>
        </w:tc>
        <w:tc>
          <w:tcPr>
            <w:tcW w:w="1254" w:type="dxa"/>
            <w:tcBorders>
              <w:top w:val="nil"/>
              <w:left w:val="nil"/>
              <w:right w:val="nil"/>
            </w:tcBorders>
            <w:shd w:val="clear" w:color="auto" w:fill="auto"/>
            <w:vAlign w:val="center"/>
          </w:tcPr>
          <w:p w14:paraId="343834A8" w14:textId="1026D4C5" w:rsidR="0097475C" w:rsidRPr="00B61F35" w:rsidRDefault="0097475C" w:rsidP="0097475C">
            <w:pPr>
              <w:spacing w:after="0" w:line="240" w:lineRule="auto"/>
              <w:jc w:val="center"/>
              <w:rPr>
                <w:rFonts w:cs="Arial"/>
                <w:color w:val="000000"/>
                <w:sz w:val="16"/>
                <w:szCs w:val="16"/>
              </w:rPr>
            </w:pPr>
            <w:r>
              <w:rPr>
                <w:rFonts w:cs="Arial"/>
                <w:color w:val="000000"/>
                <w:sz w:val="16"/>
                <w:szCs w:val="16"/>
              </w:rPr>
              <w:t>38,6</w:t>
            </w:r>
          </w:p>
        </w:tc>
      </w:tr>
      <w:tr w:rsidR="0097475C" w:rsidRPr="00B61F35" w14:paraId="5F9370FB" w14:textId="77777777" w:rsidTr="0097475C">
        <w:trPr>
          <w:gridAfter w:val="1"/>
          <w:wAfter w:w="18" w:type="dxa"/>
          <w:trHeight w:val="300"/>
        </w:trPr>
        <w:tc>
          <w:tcPr>
            <w:tcW w:w="1474" w:type="dxa"/>
            <w:tcBorders>
              <w:top w:val="nil"/>
              <w:left w:val="nil"/>
              <w:bottom w:val="nil"/>
              <w:right w:val="single" w:sz="4" w:space="0" w:color="auto"/>
            </w:tcBorders>
            <w:shd w:val="clear" w:color="auto" w:fill="auto"/>
            <w:vAlign w:val="center"/>
            <w:hideMark/>
          </w:tcPr>
          <w:p w14:paraId="679DDC39" w14:textId="77777777" w:rsidR="0097475C" w:rsidRPr="00B61F35" w:rsidRDefault="0097475C" w:rsidP="0097475C">
            <w:pPr>
              <w:spacing w:after="0" w:line="240" w:lineRule="auto"/>
              <w:ind w:firstLineChars="100" w:firstLine="160"/>
              <w:rPr>
                <w:rFonts w:cs="Arial"/>
                <w:color w:val="000000"/>
                <w:sz w:val="16"/>
                <w:szCs w:val="16"/>
              </w:rPr>
            </w:pPr>
            <w:r w:rsidRPr="00B61F35">
              <w:rPr>
                <w:rFonts w:cs="Arial"/>
                <w:color w:val="000000"/>
                <w:sz w:val="16"/>
                <w:szCs w:val="16"/>
              </w:rPr>
              <w:t>60 a více let</w:t>
            </w:r>
          </w:p>
        </w:tc>
        <w:tc>
          <w:tcPr>
            <w:tcW w:w="1609" w:type="dxa"/>
            <w:tcBorders>
              <w:top w:val="nil"/>
              <w:left w:val="nil"/>
              <w:right w:val="nil"/>
            </w:tcBorders>
            <w:shd w:val="clear" w:color="auto" w:fill="auto"/>
            <w:vAlign w:val="center"/>
          </w:tcPr>
          <w:p w14:paraId="2E1674F6" w14:textId="3CBD535F" w:rsidR="0097475C" w:rsidRPr="00B61F35" w:rsidRDefault="0097475C" w:rsidP="0097475C">
            <w:pPr>
              <w:spacing w:after="0" w:line="240" w:lineRule="auto"/>
              <w:jc w:val="right"/>
              <w:rPr>
                <w:rFonts w:cs="Arial"/>
                <w:color w:val="000000"/>
                <w:sz w:val="16"/>
                <w:szCs w:val="16"/>
              </w:rPr>
            </w:pPr>
            <w:r>
              <w:rPr>
                <w:rFonts w:cs="Arial"/>
                <w:color w:val="000000"/>
                <w:sz w:val="16"/>
                <w:szCs w:val="16"/>
              </w:rPr>
              <w:t>201,0</w:t>
            </w:r>
          </w:p>
        </w:tc>
        <w:tc>
          <w:tcPr>
            <w:tcW w:w="1252" w:type="dxa"/>
            <w:tcBorders>
              <w:top w:val="nil"/>
              <w:left w:val="nil"/>
              <w:right w:val="nil"/>
            </w:tcBorders>
            <w:shd w:val="clear" w:color="auto" w:fill="auto"/>
            <w:vAlign w:val="center"/>
          </w:tcPr>
          <w:p w14:paraId="2E91DDAE" w14:textId="46343A21" w:rsidR="0097475C" w:rsidRPr="00B61F35" w:rsidRDefault="0097475C" w:rsidP="0097475C">
            <w:pPr>
              <w:spacing w:after="0" w:line="240" w:lineRule="auto"/>
              <w:jc w:val="right"/>
              <w:rPr>
                <w:rFonts w:cs="Arial"/>
                <w:color w:val="000000"/>
                <w:sz w:val="16"/>
                <w:szCs w:val="16"/>
              </w:rPr>
            </w:pPr>
            <w:r>
              <w:rPr>
                <w:rFonts w:cs="Arial"/>
                <w:color w:val="000000"/>
                <w:sz w:val="16"/>
                <w:szCs w:val="16"/>
              </w:rPr>
              <w:t>97,9</w:t>
            </w:r>
          </w:p>
        </w:tc>
        <w:tc>
          <w:tcPr>
            <w:tcW w:w="1254" w:type="dxa"/>
            <w:tcBorders>
              <w:top w:val="nil"/>
              <w:left w:val="nil"/>
              <w:right w:val="single" w:sz="4" w:space="0" w:color="auto"/>
            </w:tcBorders>
            <w:shd w:val="clear" w:color="auto" w:fill="auto"/>
            <w:vAlign w:val="center"/>
          </w:tcPr>
          <w:p w14:paraId="2CF22DA9" w14:textId="5CA6DCED" w:rsidR="0097475C" w:rsidRPr="00B61F35" w:rsidRDefault="0097475C" w:rsidP="0097475C">
            <w:pPr>
              <w:spacing w:after="0" w:line="240" w:lineRule="auto"/>
              <w:jc w:val="right"/>
              <w:rPr>
                <w:rFonts w:cs="Arial"/>
                <w:color w:val="000000"/>
                <w:sz w:val="16"/>
                <w:szCs w:val="16"/>
              </w:rPr>
            </w:pPr>
            <w:r>
              <w:rPr>
                <w:rFonts w:cs="Arial"/>
                <w:color w:val="000000"/>
                <w:sz w:val="16"/>
                <w:szCs w:val="16"/>
              </w:rPr>
              <w:t>103,1</w:t>
            </w:r>
          </w:p>
        </w:tc>
        <w:tc>
          <w:tcPr>
            <w:tcW w:w="1610" w:type="dxa"/>
            <w:tcBorders>
              <w:top w:val="nil"/>
              <w:left w:val="nil"/>
              <w:right w:val="nil"/>
            </w:tcBorders>
            <w:shd w:val="clear" w:color="auto" w:fill="auto"/>
            <w:vAlign w:val="center"/>
          </w:tcPr>
          <w:p w14:paraId="61CE70E1" w14:textId="0876613E" w:rsidR="0097475C" w:rsidRPr="00B61F35" w:rsidRDefault="0097475C" w:rsidP="0097475C">
            <w:pPr>
              <w:spacing w:after="0" w:line="240" w:lineRule="auto"/>
              <w:jc w:val="center"/>
              <w:rPr>
                <w:rFonts w:cs="Arial"/>
                <w:color w:val="000000"/>
                <w:sz w:val="16"/>
                <w:szCs w:val="16"/>
              </w:rPr>
            </w:pPr>
            <w:r>
              <w:rPr>
                <w:rFonts w:cs="Arial"/>
                <w:color w:val="000000"/>
                <w:sz w:val="16"/>
                <w:szCs w:val="16"/>
              </w:rPr>
              <w:t>50,7</w:t>
            </w:r>
          </w:p>
        </w:tc>
        <w:tc>
          <w:tcPr>
            <w:tcW w:w="1252" w:type="dxa"/>
            <w:tcBorders>
              <w:top w:val="nil"/>
              <w:left w:val="nil"/>
              <w:right w:val="nil"/>
            </w:tcBorders>
            <w:shd w:val="clear" w:color="auto" w:fill="auto"/>
            <w:vAlign w:val="center"/>
          </w:tcPr>
          <w:p w14:paraId="47CD4254" w14:textId="407D45A4" w:rsidR="0097475C" w:rsidRPr="00B61F35" w:rsidRDefault="0097475C" w:rsidP="0097475C">
            <w:pPr>
              <w:spacing w:after="0" w:line="240" w:lineRule="auto"/>
              <w:jc w:val="center"/>
              <w:rPr>
                <w:rFonts w:cs="Arial"/>
                <w:color w:val="000000"/>
                <w:sz w:val="16"/>
                <w:szCs w:val="16"/>
              </w:rPr>
            </w:pPr>
            <w:r>
              <w:rPr>
                <w:rFonts w:cs="Arial"/>
                <w:color w:val="000000"/>
                <w:sz w:val="16"/>
                <w:szCs w:val="16"/>
              </w:rPr>
              <w:t>58,6</w:t>
            </w:r>
          </w:p>
        </w:tc>
        <w:tc>
          <w:tcPr>
            <w:tcW w:w="1254" w:type="dxa"/>
            <w:tcBorders>
              <w:top w:val="nil"/>
              <w:left w:val="nil"/>
              <w:right w:val="nil"/>
            </w:tcBorders>
            <w:shd w:val="clear" w:color="auto" w:fill="auto"/>
            <w:vAlign w:val="center"/>
          </w:tcPr>
          <w:p w14:paraId="28765B25" w14:textId="20E56E4F" w:rsidR="0097475C" w:rsidRPr="00B61F35" w:rsidRDefault="0097475C" w:rsidP="0097475C">
            <w:pPr>
              <w:spacing w:after="0" w:line="240" w:lineRule="auto"/>
              <w:jc w:val="center"/>
              <w:rPr>
                <w:rFonts w:cs="Arial"/>
                <w:color w:val="000000"/>
                <w:sz w:val="16"/>
                <w:szCs w:val="16"/>
              </w:rPr>
            </w:pPr>
            <w:r>
              <w:rPr>
                <w:rFonts w:cs="Arial"/>
                <w:color w:val="000000"/>
                <w:sz w:val="16"/>
                <w:szCs w:val="16"/>
              </w:rPr>
              <w:t>43,3</w:t>
            </w:r>
          </w:p>
        </w:tc>
      </w:tr>
    </w:tbl>
    <w:p w14:paraId="7311CE37" w14:textId="23F57F10" w:rsidR="00425FEB" w:rsidRDefault="00425FEB" w:rsidP="00425FEB">
      <w:pPr>
        <w:spacing w:before="120"/>
        <w:rPr>
          <w:sz w:val="16"/>
        </w:rPr>
      </w:pPr>
      <w:r w:rsidRPr="00B61F35">
        <w:rPr>
          <w:sz w:val="16"/>
        </w:rPr>
        <w:t>Zdroj: ČSSZ</w:t>
      </w:r>
    </w:p>
    <w:p w14:paraId="50A8B4C9" w14:textId="06A451A4" w:rsidR="00C20328" w:rsidRDefault="00C20328" w:rsidP="00344573">
      <w:pPr>
        <w:spacing w:before="120" w:after="120"/>
        <w:jc w:val="both"/>
        <w:rPr>
          <w:b/>
        </w:rPr>
      </w:pPr>
      <w:r w:rsidRPr="00251BF8">
        <w:lastRenderedPageBreak/>
        <w:t xml:space="preserve">Z hlediska </w:t>
      </w:r>
      <w:r w:rsidRPr="00251BF8">
        <w:rPr>
          <w:b/>
        </w:rPr>
        <w:t>pohlaví</w:t>
      </w:r>
      <w:r w:rsidRPr="00251BF8">
        <w:t xml:space="preserve"> je výskyt pracovní neschopnosti četnější u žen, v roce 2023 ženy zaznamenaly 1 400 tis. ukončených případů pracovní neschopnosti, muži 1</w:t>
      </w:r>
      <w:r w:rsidR="00D05A05">
        <w:t> </w:t>
      </w:r>
      <w:r w:rsidRPr="00251BF8">
        <w:t>129 tis. neschopenek. Výraznější rozdíl v pracovní neschopnosti podle pohlaví se objevuje u nemocí močové a pohlavní soustavy, kdy je počet ukončených případů u mužů oproti ženám 3,5krát nižší. Duševní onemocnění vedoucí k pracovní neschopnosti byly v roce 2023 téměř dvakrát častější u žen. Muži jsou naopak náchylnější na nemoci oběhové, trávicí soustavy či úrazy a otravy. U posledně jmenované skupiny diagnóz zaznamenali 123 tis. neschopenek, zatímco ženy 78 tis.</w:t>
      </w:r>
    </w:p>
    <w:p w14:paraId="4AE79B76" w14:textId="6601084F" w:rsidR="00452914" w:rsidRDefault="0097475C" w:rsidP="00D744C7">
      <w:pPr>
        <w:spacing w:before="120" w:after="120"/>
        <w:jc w:val="both"/>
        <w:rPr>
          <w:b/>
        </w:rPr>
      </w:pPr>
      <w:r w:rsidRPr="0097475C">
        <w:rPr>
          <w:b/>
        </w:rPr>
        <w:t>Tab. 3.3: Ukončené případy dočasné pracovní neschopnosti podle skupin diagnóz a pohlaví, 2023</w:t>
      </w:r>
    </w:p>
    <w:tbl>
      <w:tblPr>
        <w:tblW w:w="9637" w:type="dxa"/>
        <w:tblCellMar>
          <w:left w:w="70" w:type="dxa"/>
          <w:right w:w="70" w:type="dxa"/>
        </w:tblCellMar>
        <w:tblLook w:val="04A0" w:firstRow="1" w:lastRow="0" w:firstColumn="1" w:lastColumn="0" w:noHBand="0" w:noVBand="1"/>
      </w:tblPr>
      <w:tblGrid>
        <w:gridCol w:w="4195"/>
        <w:gridCol w:w="907"/>
        <w:gridCol w:w="907"/>
        <w:gridCol w:w="907"/>
        <w:gridCol w:w="907"/>
        <w:gridCol w:w="907"/>
        <w:gridCol w:w="907"/>
      </w:tblGrid>
      <w:tr w:rsidR="0097475C" w:rsidRPr="003018A3" w14:paraId="34245031" w14:textId="77777777" w:rsidTr="0097475C">
        <w:trPr>
          <w:trHeight w:val="525"/>
        </w:trPr>
        <w:tc>
          <w:tcPr>
            <w:tcW w:w="4195" w:type="dxa"/>
            <w:vMerge w:val="restart"/>
            <w:tcBorders>
              <w:top w:val="single" w:sz="4" w:space="0" w:color="auto"/>
              <w:left w:val="nil"/>
              <w:bottom w:val="single" w:sz="4" w:space="0" w:color="000000"/>
              <w:right w:val="single" w:sz="4" w:space="0" w:color="auto"/>
            </w:tcBorders>
            <w:shd w:val="clear" w:color="000000" w:fill="F5DADD"/>
            <w:vAlign w:val="center"/>
            <w:hideMark/>
          </w:tcPr>
          <w:p w14:paraId="06985EE1" w14:textId="77777777" w:rsidR="0097475C" w:rsidRPr="003018A3" w:rsidRDefault="0097475C" w:rsidP="0097475C">
            <w:pPr>
              <w:spacing w:after="0" w:line="240" w:lineRule="auto"/>
              <w:jc w:val="center"/>
              <w:rPr>
                <w:rFonts w:cs="Arial"/>
                <w:color w:val="000000"/>
                <w:sz w:val="16"/>
                <w:szCs w:val="16"/>
              </w:rPr>
            </w:pPr>
            <w:r w:rsidRPr="003018A3">
              <w:rPr>
                <w:rFonts w:cs="Arial"/>
                <w:color w:val="000000"/>
                <w:sz w:val="16"/>
                <w:szCs w:val="16"/>
              </w:rPr>
              <w:t>Skupiny diagnóz (kapitoly podle MKN-10)</w:t>
            </w:r>
          </w:p>
        </w:tc>
        <w:tc>
          <w:tcPr>
            <w:tcW w:w="2721" w:type="dxa"/>
            <w:gridSpan w:val="3"/>
            <w:tcBorders>
              <w:top w:val="single" w:sz="4" w:space="0" w:color="auto"/>
              <w:left w:val="nil"/>
              <w:bottom w:val="single" w:sz="4" w:space="0" w:color="auto"/>
              <w:right w:val="single" w:sz="4" w:space="0" w:color="000000"/>
            </w:tcBorders>
            <w:shd w:val="clear" w:color="000000" w:fill="F2DBDB"/>
            <w:vAlign w:val="center"/>
            <w:hideMark/>
          </w:tcPr>
          <w:p w14:paraId="1E7C7F4F" w14:textId="77777777" w:rsidR="0097475C" w:rsidRPr="003018A3" w:rsidRDefault="0097475C" w:rsidP="0097475C">
            <w:pPr>
              <w:spacing w:after="0" w:line="240" w:lineRule="auto"/>
              <w:jc w:val="center"/>
              <w:rPr>
                <w:rFonts w:cs="Arial"/>
                <w:color w:val="000000"/>
                <w:sz w:val="16"/>
                <w:szCs w:val="16"/>
              </w:rPr>
            </w:pPr>
            <w:r w:rsidRPr="003018A3">
              <w:rPr>
                <w:rFonts w:cs="Arial"/>
                <w:color w:val="000000"/>
                <w:sz w:val="16"/>
                <w:szCs w:val="16"/>
              </w:rPr>
              <w:t xml:space="preserve">Počet </w:t>
            </w:r>
            <w:r>
              <w:rPr>
                <w:rFonts w:cs="Arial"/>
                <w:color w:val="000000"/>
                <w:sz w:val="16"/>
                <w:szCs w:val="16"/>
              </w:rPr>
              <w:t xml:space="preserve">ukončených </w:t>
            </w:r>
            <w:r w:rsidRPr="003018A3">
              <w:rPr>
                <w:rFonts w:cs="Arial"/>
                <w:color w:val="000000"/>
                <w:sz w:val="16"/>
                <w:szCs w:val="16"/>
              </w:rPr>
              <w:t>případů DPN (tis.)</w:t>
            </w:r>
          </w:p>
        </w:tc>
        <w:tc>
          <w:tcPr>
            <w:tcW w:w="2721" w:type="dxa"/>
            <w:gridSpan w:val="3"/>
            <w:tcBorders>
              <w:top w:val="single" w:sz="4" w:space="0" w:color="auto"/>
              <w:left w:val="nil"/>
              <w:bottom w:val="single" w:sz="4" w:space="0" w:color="auto"/>
              <w:right w:val="nil"/>
            </w:tcBorders>
            <w:shd w:val="clear" w:color="000000" w:fill="F2DBDB"/>
            <w:vAlign w:val="center"/>
            <w:hideMark/>
          </w:tcPr>
          <w:p w14:paraId="292CBB90" w14:textId="6A9591A0" w:rsidR="0097475C" w:rsidRPr="003018A3" w:rsidRDefault="0097475C" w:rsidP="0097475C">
            <w:pPr>
              <w:spacing w:after="0" w:line="240" w:lineRule="auto"/>
              <w:jc w:val="center"/>
              <w:rPr>
                <w:rFonts w:cs="Arial"/>
                <w:color w:val="000000"/>
                <w:sz w:val="16"/>
                <w:szCs w:val="16"/>
              </w:rPr>
            </w:pPr>
            <w:r w:rsidRPr="003018A3">
              <w:rPr>
                <w:rFonts w:cs="Arial"/>
                <w:color w:val="000000"/>
                <w:sz w:val="16"/>
                <w:szCs w:val="16"/>
              </w:rPr>
              <w:t xml:space="preserve">Průměrná délka trvání </w:t>
            </w:r>
            <w:r>
              <w:rPr>
                <w:rFonts w:cs="Arial"/>
                <w:color w:val="000000"/>
                <w:sz w:val="16"/>
                <w:szCs w:val="16"/>
              </w:rPr>
              <w:t xml:space="preserve">1 </w:t>
            </w:r>
            <w:r w:rsidRPr="003018A3">
              <w:rPr>
                <w:rFonts w:cs="Arial"/>
                <w:color w:val="000000"/>
                <w:sz w:val="16"/>
                <w:szCs w:val="16"/>
              </w:rPr>
              <w:t>případu DPN ve dnech</w:t>
            </w:r>
          </w:p>
        </w:tc>
      </w:tr>
      <w:tr w:rsidR="0097475C" w:rsidRPr="003018A3" w14:paraId="1B4CF656" w14:textId="77777777" w:rsidTr="0097475C">
        <w:trPr>
          <w:trHeight w:val="300"/>
        </w:trPr>
        <w:tc>
          <w:tcPr>
            <w:tcW w:w="4195" w:type="dxa"/>
            <w:vMerge/>
            <w:tcBorders>
              <w:top w:val="single" w:sz="4" w:space="0" w:color="auto"/>
              <w:left w:val="nil"/>
              <w:bottom w:val="single" w:sz="4" w:space="0" w:color="000000"/>
              <w:right w:val="single" w:sz="4" w:space="0" w:color="auto"/>
            </w:tcBorders>
            <w:vAlign w:val="center"/>
            <w:hideMark/>
          </w:tcPr>
          <w:p w14:paraId="70252936" w14:textId="77777777" w:rsidR="0097475C" w:rsidRPr="003018A3" w:rsidRDefault="0097475C" w:rsidP="0097475C">
            <w:pPr>
              <w:spacing w:after="0" w:line="240" w:lineRule="auto"/>
              <w:rPr>
                <w:rFonts w:cs="Arial"/>
                <w:color w:val="000000"/>
                <w:sz w:val="16"/>
                <w:szCs w:val="16"/>
              </w:rPr>
            </w:pPr>
          </w:p>
        </w:tc>
        <w:tc>
          <w:tcPr>
            <w:tcW w:w="907" w:type="dxa"/>
            <w:vMerge w:val="restart"/>
            <w:tcBorders>
              <w:top w:val="nil"/>
              <w:left w:val="single" w:sz="4" w:space="0" w:color="auto"/>
              <w:bottom w:val="single" w:sz="4" w:space="0" w:color="000000"/>
              <w:right w:val="nil"/>
            </w:tcBorders>
            <w:shd w:val="clear" w:color="000000" w:fill="F2DBDB"/>
            <w:vAlign w:val="center"/>
            <w:hideMark/>
          </w:tcPr>
          <w:p w14:paraId="5CAAEC69" w14:textId="77777777" w:rsidR="0097475C" w:rsidRPr="003018A3" w:rsidRDefault="0097475C" w:rsidP="0097475C">
            <w:pPr>
              <w:spacing w:after="0" w:line="240" w:lineRule="auto"/>
              <w:jc w:val="center"/>
              <w:rPr>
                <w:rFonts w:cs="Arial"/>
                <w:b/>
                <w:bCs/>
                <w:color w:val="000000"/>
                <w:sz w:val="16"/>
                <w:szCs w:val="16"/>
              </w:rPr>
            </w:pPr>
            <w:r w:rsidRPr="003018A3">
              <w:rPr>
                <w:rFonts w:cs="Arial"/>
                <w:b/>
                <w:bCs/>
                <w:color w:val="000000"/>
                <w:sz w:val="16"/>
                <w:szCs w:val="16"/>
              </w:rPr>
              <w:t>Celkem</w:t>
            </w:r>
          </w:p>
        </w:tc>
        <w:tc>
          <w:tcPr>
            <w:tcW w:w="1814" w:type="dxa"/>
            <w:gridSpan w:val="2"/>
            <w:tcBorders>
              <w:top w:val="single" w:sz="4" w:space="0" w:color="auto"/>
              <w:left w:val="single" w:sz="4" w:space="0" w:color="auto"/>
              <w:bottom w:val="single" w:sz="4" w:space="0" w:color="auto"/>
              <w:right w:val="single" w:sz="4" w:space="0" w:color="auto"/>
            </w:tcBorders>
            <w:shd w:val="clear" w:color="000000" w:fill="F2DBDB"/>
            <w:vAlign w:val="center"/>
            <w:hideMark/>
          </w:tcPr>
          <w:p w14:paraId="243C5249" w14:textId="77777777" w:rsidR="0097475C" w:rsidRPr="003018A3" w:rsidRDefault="0097475C" w:rsidP="0097475C">
            <w:pPr>
              <w:spacing w:after="0" w:line="240" w:lineRule="auto"/>
              <w:jc w:val="center"/>
              <w:rPr>
                <w:rFonts w:cs="Arial"/>
                <w:color w:val="000000"/>
                <w:sz w:val="16"/>
                <w:szCs w:val="16"/>
              </w:rPr>
            </w:pPr>
            <w:r w:rsidRPr="003018A3">
              <w:rPr>
                <w:rFonts w:cs="Arial"/>
                <w:color w:val="000000"/>
                <w:sz w:val="16"/>
                <w:szCs w:val="16"/>
              </w:rPr>
              <w:t>podle pohlaví</w:t>
            </w:r>
          </w:p>
        </w:tc>
        <w:tc>
          <w:tcPr>
            <w:tcW w:w="907" w:type="dxa"/>
            <w:vMerge w:val="restart"/>
            <w:tcBorders>
              <w:top w:val="nil"/>
              <w:left w:val="single" w:sz="4" w:space="0" w:color="auto"/>
              <w:right w:val="nil"/>
            </w:tcBorders>
            <w:shd w:val="clear" w:color="000000" w:fill="F2DBDB"/>
            <w:vAlign w:val="center"/>
            <w:hideMark/>
          </w:tcPr>
          <w:p w14:paraId="392D81B4" w14:textId="77777777" w:rsidR="0097475C" w:rsidRPr="003018A3" w:rsidRDefault="0097475C" w:rsidP="0097475C">
            <w:pPr>
              <w:spacing w:after="0" w:line="240" w:lineRule="auto"/>
              <w:jc w:val="center"/>
              <w:rPr>
                <w:rFonts w:cs="Arial"/>
                <w:b/>
                <w:bCs/>
                <w:color w:val="000000"/>
                <w:sz w:val="16"/>
                <w:szCs w:val="16"/>
              </w:rPr>
            </w:pPr>
            <w:r w:rsidRPr="003018A3">
              <w:rPr>
                <w:rFonts w:cs="Arial"/>
                <w:b/>
                <w:bCs/>
                <w:color w:val="000000"/>
                <w:sz w:val="16"/>
                <w:szCs w:val="16"/>
              </w:rPr>
              <w:t>Celkem</w:t>
            </w:r>
          </w:p>
        </w:tc>
        <w:tc>
          <w:tcPr>
            <w:tcW w:w="1814" w:type="dxa"/>
            <w:gridSpan w:val="2"/>
            <w:tcBorders>
              <w:top w:val="single" w:sz="4" w:space="0" w:color="auto"/>
              <w:left w:val="single" w:sz="4" w:space="0" w:color="auto"/>
              <w:bottom w:val="single" w:sz="4" w:space="0" w:color="auto"/>
            </w:tcBorders>
            <w:shd w:val="clear" w:color="000000" w:fill="F2DBDB"/>
            <w:vAlign w:val="center"/>
            <w:hideMark/>
          </w:tcPr>
          <w:p w14:paraId="21D59F4C" w14:textId="77777777" w:rsidR="0097475C" w:rsidRPr="003018A3" w:rsidRDefault="0097475C" w:rsidP="0097475C">
            <w:pPr>
              <w:spacing w:after="0" w:line="240" w:lineRule="auto"/>
              <w:jc w:val="center"/>
              <w:rPr>
                <w:rFonts w:cs="Arial"/>
                <w:color w:val="000000"/>
                <w:sz w:val="16"/>
                <w:szCs w:val="16"/>
              </w:rPr>
            </w:pPr>
            <w:r w:rsidRPr="003018A3">
              <w:rPr>
                <w:rFonts w:cs="Arial"/>
                <w:color w:val="000000"/>
                <w:sz w:val="16"/>
                <w:szCs w:val="16"/>
              </w:rPr>
              <w:t>podle pohlaví</w:t>
            </w:r>
          </w:p>
        </w:tc>
      </w:tr>
      <w:tr w:rsidR="0097475C" w:rsidRPr="003018A3" w14:paraId="4CE9D5BF" w14:textId="77777777" w:rsidTr="0097475C">
        <w:trPr>
          <w:trHeight w:val="300"/>
        </w:trPr>
        <w:tc>
          <w:tcPr>
            <w:tcW w:w="4195" w:type="dxa"/>
            <w:vMerge/>
            <w:tcBorders>
              <w:top w:val="single" w:sz="4" w:space="0" w:color="auto"/>
              <w:left w:val="nil"/>
              <w:bottom w:val="single" w:sz="4" w:space="0" w:color="000000"/>
              <w:right w:val="single" w:sz="4" w:space="0" w:color="auto"/>
            </w:tcBorders>
            <w:vAlign w:val="center"/>
            <w:hideMark/>
          </w:tcPr>
          <w:p w14:paraId="7292FEE8" w14:textId="77777777" w:rsidR="0097475C" w:rsidRPr="003018A3" w:rsidRDefault="0097475C" w:rsidP="0097475C">
            <w:pPr>
              <w:spacing w:after="0" w:line="240" w:lineRule="auto"/>
              <w:rPr>
                <w:rFonts w:cs="Arial"/>
                <w:color w:val="000000"/>
                <w:sz w:val="16"/>
                <w:szCs w:val="16"/>
              </w:rPr>
            </w:pPr>
          </w:p>
        </w:tc>
        <w:tc>
          <w:tcPr>
            <w:tcW w:w="907" w:type="dxa"/>
            <w:vMerge/>
            <w:tcBorders>
              <w:top w:val="nil"/>
              <w:left w:val="single" w:sz="4" w:space="0" w:color="auto"/>
              <w:bottom w:val="single" w:sz="4" w:space="0" w:color="000000"/>
              <w:right w:val="nil"/>
            </w:tcBorders>
            <w:vAlign w:val="center"/>
            <w:hideMark/>
          </w:tcPr>
          <w:p w14:paraId="0C49F6EE" w14:textId="77777777" w:rsidR="0097475C" w:rsidRPr="003018A3" w:rsidRDefault="0097475C" w:rsidP="0097475C">
            <w:pPr>
              <w:spacing w:after="0" w:line="240" w:lineRule="auto"/>
              <w:rPr>
                <w:rFonts w:cs="Arial"/>
                <w:b/>
                <w:bCs/>
                <w:color w:val="000000"/>
                <w:sz w:val="16"/>
                <w:szCs w:val="16"/>
              </w:rPr>
            </w:pPr>
          </w:p>
        </w:tc>
        <w:tc>
          <w:tcPr>
            <w:tcW w:w="907" w:type="dxa"/>
            <w:tcBorders>
              <w:top w:val="nil"/>
              <w:left w:val="single" w:sz="4" w:space="0" w:color="auto"/>
              <w:bottom w:val="single" w:sz="4" w:space="0" w:color="auto"/>
              <w:right w:val="single" w:sz="4" w:space="0" w:color="auto"/>
            </w:tcBorders>
            <w:shd w:val="clear" w:color="000000" w:fill="F2DBDB"/>
            <w:vAlign w:val="center"/>
            <w:hideMark/>
          </w:tcPr>
          <w:p w14:paraId="0C92CAA0" w14:textId="77777777" w:rsidR="0097475C" w:rsidRPr="003018A3" w:rsidRDefault="0097475C" w:rsidP="0097475C">
            <w:pPr>
              <w:spacing w:after="0" w:line="240" w:lineRule="auto"/>
              <w:jc w:val="center"/>
              <w:rPr>
                <w:rFonts w:cs="Arial"/>
                <w:color w:val="000000"/>
                <w:sz w:val="16"/>
                <w:szCs w:val="16"/>
              </w:rPr>
            </w:pPr>
            <w:r w:rsidRPr="003018A3">
              <w:rPr>
                <w:rFonts w:cs="Arial"/>
                <w:color w:val="000000"/>
                <w:sz w:val="16"/>
                <w:szCs w:val="16"/>
              </w:rPr>
              <w:t>muži</w:t>
            </w:r>
          </w:p>
        </w:tc>
        <w:tc>
          <w:tcPr>
            <w:tcW w:w="907" w:type="dxa"/>
            <w:tcBorders>
              <w:top w:val="nil"/>
              <w:left w:val="nil"/>
              <w:bottom w:val="single" w:sz="4" w:space="0" w:color="auto"/>
              <w:right w:val="single" w:sz="4" w:space="0" w:color="auto"/>
            </w:tcBorders>
            <w:shd w:val="clear" w:color="000000" w:fill="F2DBDB"/>
            <w:vAlign w:val="center"/>
            <w:hideMark/>
          </w:tcPr>
          <w:p w14:paraId="76741E82" w14:textId="77777777" w:rsidR="0097475C" w:rsidRPr="003018A3" w:rsidRDefault="0097475C" w:rsidP="0097475C">
            <w:pPr>
              <w:spacing w:after="0" w:line="240" w:lineRule="auto"/>
              <w:jc w:val="center"/>
              <w:rPr>
                <w:rFonts w:cs="Arial"/>
                <w:color w:val="000000"/>
                <w:sz w:val="16"/>
                <w:szCs w:val="16"/>
              </w:rPr>
            </w:pPr>
            <w:r w:rsidRPr="003018A3">
              <w:rPr>
                <w:rFonts w:cs="Arial"/>
                <w:color w:val="000000"/>
                <w:sz w:val="16"/>
                <w:szCs w:val="16"/>
              </w:rPr>
              <w:t>ženy</w:t>
            </w:r>
          </w:p>
        </w:tc>
        <w:tc>
          <w:tcPr>
            <w:tcW w:w="907" w:type="dxa"/>
            <w:vMerge/>
            <w:tcBorders>
              <w:left w:val="single" w:sz="4" w:space="0" w:color="auto"/>
              <w:bottom w:val="single" w:sz="4" w:space="0" w:color="000000"/>
              <w:right w:val="nil"/>
            </w:tcBorders>
            <w:vAlign w:val="center"/>
            <w:hideMark/>
          </w:tcPr>
          <w:p w14:paraId="5FC35EE1" w14:textId="77777777" w:rsidR="0097475C" w:rsidRPr="003018A3" w:rsidRDefault="0097475C" w:rsidP="0097475C">
            <w:pPr>
              <w:spacing w:after="0" w:line="240" w:lineRule="auto"/>
              <w:rPr>
                <w:rFonts w:cs="Arial"/>
                <w:b/>
                <w:bCs/>
                <w:color w:val="000000"/>
                <w:sz w:val="16"/>
                <w:szCs w:val="16"/>
              </w:rPr>
            </w:pPr>
          </w:p>
        </w:tc>
        <w:tc>
          <w:tcPr>
            <w:tcW w:w="907" w:type="dxa"/>
            <w:tcBorders>
              <w:top w:val="nil"/>
              <w:left w:val="single" w:sz="4" w:space="0" w:color="auto"/>
              <w:bottom w:val="single" w:sz="4" w:space="0" w:color="auto"/>
              <w:right w:val="single" w:sz="4" w:space="0" w:color="auto"/>
            </w:tcBorders>
            <w:shd w:val="clear" w:color="000000" w:fill="F2DBDB"/>
            <w:vAlign w:val="center"/>
            <w:hideMark/>
          </w:tcPr>
          <w:p w14:paraId="651BCF1A" w14:textId="77777777" w:rsidR="0097475C" w:rsidRPr="003018A3" w:rsidRDefault="0097475C" w:rsidP="0097475C">
            <w:pPr>
              <w:spacing w:after="0" w:line="240" w:lineRule="auto"/>
              <w:jc w:val="center"/>
              <w:rPr>
                <w:rFonts w:cs="Arial"/>
                <w:color w:val="000000"/>
                <w:sz w:val="16"/>
                <w:szCs w:val="16"/>
              </w:rPr>
            </w:pPr>
            <w:r w:rsidRPr="003018A3">
              <w:rPr>
                <w:rFonts w:cs="Arial"/>
                <w:color w:val="000000"/>
                <w:sz w:val="16"/>
                <w:szCs w:val="16"/>
              </w:rPr>
              <w:t>muži</w:t>
            </w:r>
          </w:p>
        </w:tc>
        <w:tc>
          <w:tcPr>
            <w:tcW w:w="907" w:type="dxa"/>
            <w:tcBorders>
              <w:top w:val="nil"/>
              <w:left w:val="nil"/>
              <w:bottom w:val="single" w:sz="4" w:space="0" w:color="auto"/>
              <w:right w:val="nil"/>
            </w:tcBorders>
            <w:shd w:val="clear" w:color="000000" w:fill="F2DBDB"/>
            <w:vAlign w:val="center"/>
            <w:hideMark/>
          </w:tcPr>
          <w:p w14:paraId="76E511D3" w14:textId="77777777" w:rsidR="0097475C" w:rsidRPr="003018A3" w:rsidRDefault="0097475C" w:rsidP="0097475C">
            <w:pPr>
              <w:spacing w:after="0" w:line="240" w:lineRule="auto"/>
              <w:jc w:val="center"/>
              <w:rPr>
                <w:rFonts w:cs="Arial"/>
                <w:color w:val="000000"/>
                <w:sz w:val="16"/>
                <w:szCs w:val="16"/>
              </w:rPr>
            </w:pPr>
            <w:r w:rsidRPr="003018A3">
              <w:rPr>
                <w:rFonts w:cs="Arial"/>
                <w:color w:val="000000"/>
                <w:sz w:val="16"/>
                <w:szCs w:val="16"/>
              </w:rPr>
              <w:t>ženy</w:t>
            </w:r>
          </w:p>
        </w:tc>
      </w:tr>
      <w:tr w:rsidR="0097475C" w:rsidRPr="003018A3" w14:paraId="502DEB64" w14:textId="77777777" w:rsidTr="0097475C">
        <w:trPr>
          <w:trHeight w:val="300"/>
        </w:trPr>
        <w:tc>
          <w:tcPr>
            <w:tcW w:w="4195" w:type="dxa"/>
            <w:tcBorders>
              <w:top w:val="nil"/>
              <w:left w:val="nil"/>
              <w:bottom w:val="nil"/>
              <w:right w:val="nil"/>
            </w:tcBorders>
            <w:shd w:val="clear" w:color="auto" w:fill="auto"/>
            <w:noWrap/>
            <w:vAlign w:val="bottom"/>
            <w:hideMark/>
          </w:tcPr>
          <w:p w14:paraId="41B9D13C" w14:textId="6A11DBD0" w:rsidR="0097475C" w:rsidRPr="003018A3" w:rsidRDefault="0097475C" w:rsidP="0097475C">
            <w:pPr>
              <w:spacing w:after="0" w:line="240" w:lineRule="auto"/>
              <w:rPr>
                <w:rFonts w:cs="Arial"/>
                <w:b/>
                <w:bCs/>
                <w:color w:val="000000"/>
                <w:sz w:val="16"/>
                <w:szCs w:val="16"/>
              </w:rPr>
            </w:pPr>
            <w:r>
              <w:rPr>
                <w:rFonts w:cs="Arial"/>
                <w:b/>
                <w:bCs/>
                <w:color w:val="000000"/>
                <w:sz w:val="16"/>
                <w:szCs w:val="16"/>
              </w:rPr>
              <w:t>Celkem</w:t>
            </w:r>
          </w:p>
        </w:tc>
        <w:tc>
          <w:tcPr>
            <w:tcW w:w="907" w:type="dxa"/>
            <w:tcBorders>
              <w:top w:val="nil"/>
              <w:left w:val="single" w:sz="4" w:space="0" w:color="auto"/>
              <w:bottom w:val="nil"/>
              <w:right w:val="nil"/>
            </w:tcBorders>
            <w:shd w:val="clear" w:color="auto" w:fill="auto"/>
            <w:noWrap/>
            <w:vAlign w:val="bottom"/>
            <w:hideMark/>
          </w:tcPr>
          <w:p w14:paraId="109CC444" w14:textId="6071CF3B" w:rsidR="0097475C" w:rsidRPr="003018A3" w:rsidRDefault="0097475C" w:rsidP="0097475C">
            <w:pPr>
              <w:spacing w:after="0" w:line="240" w:lineRule="auto"/>
              <w:jc w:val="right"/>
              <w:rPr>
                <w:rFonts w:cs="Arial"/>
                <w:b/>
                <w:bCs/>
                <w:color w:val="000000"/>
                <w:sz w:val="16"/>
                <w:szCs w:val="16"/>
              </w:rPr>
            </w:pPr>
            <w:r>
              <w:rPr>
                <w:rFonts w:cs="Arial"/>
                <w:b/>
                <w:bCs/>
                <w:color w:val="000000"/>
                <w:sz w:val="16"/>
                <w:szCs w:val="16"/>
              </w:rPr>
              <w:t>2 528,6</w:t>
            </w:r>
          </w:p>
        </w:tc>
        <w:tc>
          <w:tcPr>
            <w:tcW w:w="907" w:type="dxa"/>
            <w:tcBorders>
              <w:top w:val="nil"/>
              <w:left w:val="nil"/>
              <w:bottom w:val="nil"/>
              <w:right w:val="nil"/>
            </w:tcBorders>
            <w:shd w:val="clear" w:color="auto" w:fill="auto"/>
            <w:noWrap/>
            <w:vAlign w:val="bottom"/>
            <w:hideMark/>
          </w:tcPr>
          <w:p w14:paraId="69221388" w14:textId="5F388BE1" w:rsidR="0097475C" w:rsidRPr="003018A3" w:rsidRDefault="0097475C" w:rsidP="0097475C">
            <w:pPr>
              <w:spacing w:after="0" w:line="240" w:lineRule="auto"/>
              <w:jc w:val="right"/>
              <w:rPr>
                <w:rFonts w:cs="Arial"/>
                <w:b/>
                <w:bCs/>
                <w:color w:val="000000"/>
                <w:sz w:val="16"/>
                <w:szCs w:val="16"/>
              </w:rPr>
            </w:pPr>
            <w:r>
              <w:rPr>
                <w:rFonts w:cs="Arial"/>
                <w:b/>
                <w:bCs/>
                <w:color w:val="000000"/>
                <w:sz w:val="16"/>
                <w:szCs w:val="16"/>
              </w:rPr>
              <w:t>1 129,0</w:t>
            </w:r>
          </w:p>
        </w:tc>
        <w:tc>
          <w:tcPr>
            <w:tcW w:w="907" w:type="dxa"/>
            <w:tcBorders>
              <w:top w:val="nil"/>
              <w:left w:val="nil"/>
              <w:bottom w:val="nil"/>
              <w:right w:val="single" w:sz="4" w:space="0" w:color="auto"/>
            </w:tcBorders>
            <w:shd w:val="clear" w:color="auto" w:fill="auto"/>
            <w:noWrap/>
            <w:vAlign w:val="bottom"/>
            <w:hideMark/>
          </w:tcPr>
          <w:p w14:paraId="5B543666" w14:textId="1C47278D" w:rsidR="0097475C" w:rsidRPr="003018A3" w:rsidRDefault="0097475C" w:rsidP="0097475C">
            <w:pPr>
              <w:spacing w:after="0" w:line="240" w:lineRule="auto"/>
              <w:jc w:val="right"/>
              <w:rPr>
                <w:rFonts w:cs="Arial"/>
                <w:b/>
                <w:bCs/>
                <w:color w:val="000000"/>
                <w:sz w:val="16"/>
                <w:szCs w:val="16"/>
              </w:rPr>
            </w:pPr>
            <w:r>
              <w:rPr>
                <w:rFonts w:cs="Arial"/>
                <w:b/>
                <w:bCs/>
                <w:color w:val="000000"/>
                <w:sz w:val="16"/>
                <w:szCs w:val="16"/>
              </w:rPr>
              <w:t>1 399,5</w:t>
            </w:r>
          </w:p>
        </w:tc>
        <w:tc>
          <w:tcPr>
            <w:tcW w:w="907" w:type="dxa"/>
            <w:tcBorders>
              <w:top w:val="nil"/>
              <w:left w:val="nil"/>
              <w:bottom w:val="nil"/>
              <w:right w:val="nil"/>
            </w:tcBorders>
            <w:shd w:val="clear" w:color="auto" w:fill="auto"/>
            <w:noWrap/>
            <w:vAlign w:val="bottom"/>
            <w:hideMark/>
          </w:tcPr>
          <w:p w14:paraId="48B7D9C5" w14:textId="53134ADC" w:rsidR="0097475C" w:rsidRPr="003018A3" w:rsidRDefault="0097475C" w:rsidP="0097475C">
            <w:pPr>
              <w:spacing w:after="0" w:line="240" w:lineRule="auto"/>
              <w:jc w:val="right"/>
              <w:rPr>
                <w:rFonts w:cs="Arial"/>
                <w:b/>
                <w:bCs/>
                <w:color w:val="000000"/>
                <w:sz w:val="16"/>
                <w:szCs w:val="16"/>
              </w:rPr>
            </w:pPr>
            <w:r>
              <w:rPr>
                <w:rFonts w:cs="Arial"/>
                <w:b/>
                <w:bCs/>
                <w:color w:val="000000"/>
                <w:sz w:val="16"/>
                <w:szCs w:val="16"/>
              </w:rPr>
              <w:t>31,0</w:t>
            </w:r>
          </w:p>
        </w:tc>
        <w:tc>
          <w:tcPr>
            <w:tcW w:w="907" w:type="dxa"/>
            <w:tcBorders>
              <w:top w:val="nil"/>
              <w:left w:val="nil"/>
              <w:bottom w:val="nil"/>
              <w:right w:val="nil"/>
            </w:tcBorders>
            <w:shd w:val="clear" w:color="auto" w:fill="auto"/>
            <w:noWrap/>
            <w:vAlign w:val="bottom"/>
            <w:hideMark/>
          </w:tcPr>
          <w:p w14:paraId="502A37ED" w14:textId="75CFCF2E" w:rsidR="0097475C" w:rsidRPr="003018A3" w:rsidRDefault="0097475C" w:rsidP="0097475C">
            <w:pPr>
              <w:spacing w:after="0" w:line="240" w:lineRule="auto"/>
              <w:jc w:val="right"/>
              <w:rPr>
                <w:rFonts w:cs="Arial"/>
                <w:b/>
                <w:bCs/>
                <w:color w:val="000000"/>
                <w:sz w:val="16"/>
                <w:szCs w:val="16"/>
              </w:rPr>
            </w:pPr>
            <w:r>
              <w:rPr>
                <w:rFonts w:cs="Arial"/>
                <w:b/>
                <w:bCs/>
                <w:color w:val="000000"/>
                <w:sz w:val="16"/>
                <w:szCs w:val="16"/>
              </w:rPr>
              <w:t>31,3</w:t>
            </w:r>
          </w:p>
        </w:tc>
        <w:tc>
          <w:tcPr>
            <w:tcW w:w="907" w:type="dxa"/>
            <w:tcBorders>
              <w:top w:val="nil"/>
              <w:left w:val="nil"/>
              <w:bottom w:val="nil"/>
              <w:right w:val="nil"/>
            </w:tcBorders>
            <w:shd w:val="clear" w:color="auto" w:fill="auto"/>
            <w:noWrap/>
            <w:vAlign w:val="bottom"/>
            <w:hideMark/>
          </w:tcPr>
          <w:p w14:paraId="7EB0655F" w14:textId="428EBA22" w:rsidR="0097475C" w:rsidRPr="003018A3" w:rsidRDefault="0097475C" w:rsidP="0097475C">
            <w:pPr>
              <w:spacing w:after="0" w:line="240" w:lineRule="auto"/>
              <w:jc w:val="right"/>
              <w:rPr>
                <w:rFonts w:cs="Arial"/>
                <w:b/>
                <w:bCs/>
                <w:color w:val="000000"/>
                <w:sz w:val="16"/>
                <w:szCs w:val="16"/>
              </w:rPr>
            </w:pPr>
            <w:r>
              <w:rPr>
                <w:rFonts w:cs="Arial"/>
                <w:b/>
                <w:bCs/>
                <w:color w:val="000000"/>
                <w:sz w:val="16"/>
                <w:szCs w:val="16"/>
              </w:rPr>
              <w:t>30,8</w:t>
            </w:r>
          </w:p>
        </w:tc>
      </w:tr>
      <w:tr w:rsidR="0097475C" w:rsidRPr="003018A3" w14:paraId="642542AC" w14:textId="77777777" w:rsidTr="0097475C">
        <w:trPr>
          <w:trHeight w:val="300"/>
        </w:trPr>
        <w:tc>
          <w:tcPr>
            <w:tcW w:w="4195" w:type="dxa"/>
            <w:tcBorders>
              <w:top w:val="nil"/>
              <w:left w:val="nil"/>
              <w:bottom w:val="nil"/>
              <w:right w:val="nil"/>
            </w:tcBorders>
            <w:shd w:val="clear" w:color="auto" w:fill="auto"/>
            <w:noWrap/>
            <w:vAlign w:val="bottom"/>
            <w:hideMark/>
          </w:tcPr>
          <w:p w14:paraId="0CAC3B2A" w14:textId="02D5B2BE"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Tuberkulóza</w:t>
            </w:r>
          </w:p>
        </w:tc>
        <w:tc>
          <w:tcPr>
            <w:tcW w:w="907" w:type="dxa"/>
            <w:tcBorders>
              <w:top w:val="nil"/>
              <w:left w:val="single" w:sz="4" w:space="0" w:color="auto"/>
              <w:bottom w:val="nil"/>
              <w:right w:val="nil"/>
            </w:tcBorders>
            <w:shd w:val="clear" w:color="auto" w:fill="auto"/>
            <w:noWrap/>
            <w:vAlign w:val="bottom"/>
            <w:hideMark/>
          </w:tcPr>
          <w:p w14:paraId="466679F2" w14:textId="623CF942" w:rsidR="0097475C" w:rsidRPr="003018A3" w:rsidRDefault="0097475C" w:rsidP="0097475C">
            <w:pPr>
              <w:spacing w:after="0" w:line="240" w:lineRule="auto"/>
              <w:jc w:val="right"/>
              <w:rPr>
                <w:rFonts w:cs="Arial"/>
                <w:color w:val="000000"/>
                <w:sz w:val="16"/>
                <w:szCs w:val="16"/>
              </w:rPr>
            </w:pPr>
            <w:r>
              <w:rPr>
                <w:rFonts w:cs="Arial"/>
                <w:color w:val="000000"/>
                <w:sz w:val="16"/>
                <w:szCs w:val="16"/>
              </w:rPr>
              <w:t>0,1</w:t>
            </w:r>
          </w:p>
        </w:tc>
        <w:tc>
          <w:tcPr>
            <w:tcW w:w="907" w:type="dxa"/>
            <w:tcBorders>
              <w:top w:val="nil"/>
              <w:left w:val="nil"/>
              <w:bottom w:val="nil"/>
              <w:right w:val="nil"/>
            </w:tcBorders>
            <w:shd w:val="clear" w:color="auto" w:fill="auto"/>
            <w:noWrap/>
            <w:vAlign w:val="bottom"/>
            <w:hideMark/>
          </w:tcPr>
          <w:p w14:paraId="646121E3" w14:textId="4219CC1A" w:rsidR="0097475C" w:rsidRPr="003018A3" w:rsidRDefault="0097475C" w:rsidP="0097475C">
            <w:pPr>
              <w:spacing w:after="0" w:line="240" w:lineRule="auto"/>
              <w:jc w:val="right"/>
              <w:rPr>
                <w:rFonts w:cs="Arial"/>
                <w:color w:val="000000"/>
                <w:sz w:val="16"/>
                <w:szCs w:val="16"/>
              </w:rPr>
            </w:pPr>
            <w:r>
              <w:rPr>
                <w:rFonts w:cs="Arial"/>
                <w:color w:val="000000"/>
                <w:sz w:val="16"/>
                <w:szCs w:val="16"/>
              </w:rPr>
              <w:t>0,1</w:t>
            </w:r>
          </w:p>
        </w:tc>
        <w:tc>
          <w:tcPr>
            <w:tcW w:w="907" w:type="dxa"/>
            <w:tcBorders>
              <w:top w:val="nil"/>
              <w:left w:val="nil"/>
              <w:bottom w:val="nil"/>
              <w:right w:val="single" w:sz="4" w:space="0" w:color="auto"/>
            </w:tcBorders>
            <w:shd w:val="clear" w:color="auto" w:fill="auto"/>
            <w:noWrap/>
            <w:vAlign w:val="bottom"/>
            <w:hideMark/>
          </w:tcPr>
          <w:p w14:paraId="7D5DEDA8" w14:textId="1358A634" w:rsidR="0097475C" w:rsidRPr="003018A3" w:rsidRDefault="0097475C" w:rsidP="0097475C">
            <w:pPr>
              <w:spacing w:after="0" w:line="240" w:lineRule="auto"/>
              <w:jc w:val="right"/>
              <w:rPr>
                <w:rFonts w:cs="Arial"/>
                <w:color w:val="000000"/>
                <w:sz w:val="16"/>
                <w:szCs w:val="16"/>
              </w:rPr>
            </w:pPr>
            <w:r>
              <w:rPr>
                <w:rFonts w:cs="Arial"/>
                <w:color w:val="000000"/>
                <w:sz w:val="16"/>
                <w:szCs w:val="16"/>
              </w:rPr>
              <w:t>0,0</w:t>
            </w:r>
          </w:p>
        </w:tc>
        <w:tc>
          <w:tcPr>
            <w:tcW w:w="907" w:type="dxa"/>
            <w:tcBorders>
              <w:top w:val="nil"/>
              <w:left w:val="nil"/>
              <w:bottom w:val="nil"/>
              <w:right w:val="nil"/>
            </w:tcBorders>
            <w:shd w:val="clear" w:color="auto" w:fill="auto"/>
            <w:noWrap/>
            <w:vAlign w:val="bottom"/>
            <w:hideMark/>
          </w:tcPr>
          <w:p w14:paraId="17735153" w14:textId="789A0D21" w:rsidR="0097475C" w:rsidRPr="003018A3" w:rsidRDefault="0097475C" w:rsidP="0097475C">
            <w:pPr>
              <w:spacing w:after="0" w:line="240" w:lineRule="auto"/>
              <w:jc w:val="right"/>
              <w:rPr>
                <w:rFonts w:cs="Arial"/>
                <w:color w:val="000000"/>
                <w:sz w:val="16"/>
                <w:szCs w:val="16"/>
              </w:rPr>
            </w:pPr>
            <w:r>
              <w:rPr>
                <w:rFonts w:cs="Arial"/>
                <w:color w:val="000000"/>
                <w:sz w:val="16"/>
                <w:szCs w:val="16"/>
              </w:rPr>
              <w:t>162,9</w:t>
            </w:r>
          </w:p>
        </w:tc>
        <w:tc>
          <w:tcPr>
            <w:tcW w:w="907" w:type="dxa"/>
            <w:tcBorders>
              <w:top w:val="nil"/>
              <w:left w:val="nil"/>
              <w:bottom w:val="nil"/>
              <w:right w:val="nil"/>
            </w:tcBorders>
            <w:shd w:val="clear" w:color="auto" w:fill="auto"/>
            <w:noWrap/>
            <w:vAlign w:val="bottom"/>
            <w:hideMark/>
          </w:tcPr>
          <w:p w14:paraId="3E03AA67" w14:textId="387A1AEA" w:rsidR="0097475C" w:rsidRPr="003018A3" w:rsidRDefault="0097475C" w:rsidP="0097475C">
            <w:pPr>
              <w:spacing w:after="0" w:line="240" w:lineRule="auto"/>
              <w:jc w:val="right"/>
              <w:rPr>
                <w:rFonts w:cs="Arial"/>
                <w:color w:val="000000"/>
                <w:sz w:val="16"/>
                <w:szCs w:val="16"/>
              </w:rPr>
            </w:pPr>
            <w:r>
              <w:rPr>
                <w:rFonts w:cs="Arial"/>
                <w:color w:val="000000"/>
                <w:sz w:val="16"/>
                <w:szCs w:val="16"/>
              </w:rPr>
              <w:t>167,6</w:t>
            </w:r>
          </w:p>
        </w:tc>
        <w:tc>
          <w:tcPr>
            <w:tcW w:w="907" w:type="dxa"/>
            <w:tcBorders>
              <w:top w:val="nil"/>
              <w:left w:val="nil"/>
              <w:bottom w:val="nil"/>
              <w:right w:val="nil"/>
            </w:tcBorders>
            <w:shd w:val="clear" w:color="auto" w:fill="auto"/>
            <w:noWrap/>
            <w:vAlign w:val="bottom"/>
            <w:hideMark/>
          </w:tcPr>
          <w:p w14:paraId="2DAD15AC" w14:textId="7811C8A7" w:rsidR="0097475C" w:rsidRPr="003018A3" w:rsidRDefault="0097475C" w:rsidP="0097475C">
            <w:pPr>
              <w:spacing w:after="0" w:line="240" w:lineRule="auto"/>
              <w:jc w:val="right"/>
              <w:rPr>
                <w:rFonts w:cs="Arial"/>
                <w:color w:val="000000"/>
                <w:sz w:val="16"/>
                <w:szCs w:val="16"/>
              </w:rPr>
            </w:pPr>
            <w:r>
              <w:rPr>
                <w:rFonts w:cs="Arial"/>
                <w:color w:val="000000"/>
                <w:sz w:val="16"/>
                <w:szCs w:val="16"/>
              </w:rPr>
              <w:t>154,0</w:t>
            </w:r>
          </w:p>
        </w:tc>
      </w:tr>
      <w:tr w:rsidR="0097475C" w:rsidRPr="003018A3" w14:paraId="51FA1586" w14:textId="77777777" w:rsidTr="0097475C">
        <w:trPr>
          <w:trHeight w:val="300"/>
        </w:trPr>
        <w:tc>
          <w:tcPr>
            <w:tcW w:w="4195" w:type="dxa"/>
            <w:tcBorders>
              <w:top w:val="nil"/>
              <w:left w:val="nil"/>
              <w:bottom w:val="nil"/>
              <w:right w:val="nil"/>
            </w:tcBorders>
            <w:shd w:val="clear" w:color="auto" w:fill="auto"/>
            <w:noWrap/>
            <w:vAlign w:val="bottom"/>
            <w:hideMark/>
          </w:tcPr>
          <w:p w14:paraId="047B9C80" w14:textId="39A6282C"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Zhoubné novotvary</w:t>
            </w:r>
          </w:p>
        </w:tc>
        <w:tc>
          <w:tcPr>
            <w:tcW w:w="907" w:type="dxa"/>
            <w:tcBorders>
              <w:top w:val="nil"/>
              <w:left w:val="single" w:sz="4" w:space="0" w:color="auto"/>
              <w:bottom w:val="nil"/>
              <w:right w:val="nil"/>
            </w:tcBorders>
            <w:shd w:val="clear" w:color="auto" w:fill="auto"/>
            <w:noWrap/>
            <w:vAlign w:val="bottom"/>
            <w:hideMark/>
          </w:tcPr>
          <w:p w14:paraId="152F9014" w14:textId="1B700048" w:rsidR="0097475C" w:rsidRPr="003018A3" w:rsidRDefault="0097475C" w:rsidP="0097475C">
            <w:pPr>
              <w:spacing w:after="0" w:line="240" w:lineRule="auto"/>
              <w:jc w:val="right"/>
              <w:rPr>
                <w:rFonts w:cs="Arial"/>
                <w:color w:val="000000"/>
                <w:sz w:val="16"/>
                <w:szCs w:val="16"/>
              </w:rPr>
            </w:pPr>
            <w:r>
              <w:rPr>
                <w:rFonts w:cs="Arial"/>
                <w:color w:val="000000"/>
                <w:sz w:val="16"/>
                <w:szCs w:val="16"/>
              </w:rPr>
              <w:t>16,3</w:t>
            </w:r>
          </w:p>
        </w:tc>
        <w:tc>
          <w:tcPr>
            <w:tcW w:w="907" w:type="dxa"/>
            <w:tcBorders>
              <w:top w:val="nil"/>
              <w:left w:val="nil"/>
              <w:bottom w:val="nil"/>
              <w:right w:val="nil"/>
            </w:tcBorders>
            <w:shd w:val="clear" w:color="auto" w:fill="auto"/>
            <w:noWrap/>
            <w:vAlign w:val="bottom"/>
            <w:hideMark/>
          </w:tcPr>
          <w:p w14:paraId="5CB6FDDF" w14:textId="2EC32CA1" w:rsidR="0097475C" w:rsidRPr="003018A3" w:rsidRDefault="0097475C" w:rsidP="0097475C">
            <w:pPr>
              <w:spacing w:after="0" w:line="240" w:lineRule="auto"/>
              <w:jc w:val="right"/>
              <w:rPr>
                <w:rFonts w:cs="Arial"/>
                <w:color w:val="000000"/>
                <w:sz w:val="16"/>
                <w:szCs w:val="16"/>
              </w:rPr>
            </w:pPr>
            <w:r>
              <w:rPr>
                <w:rFonts w:cs="Arial"/>
                <w:color w:val="000000"/>
                <w:sz w:val="16"/>
                <w:szCs w:val="16"/>
              </w:rPr>
              <w:t>7,1</w:t>
            </w:r>
          </w:p>
        </w:tc>
        <w:tc>
          <w:tcPr>
            <w:tcW w:w="907" w:type="dxa"/>
            <w:tcBorders>
              <w:top w:val="nil"/>
              <w:left w:val="nil"/>
              <w:bottom w:val="nil"/>
              <w:right w:val="single" w:sz="4" w:space="0" w:color="auto"/>
            </w:tcBorders>
            <w:shd w:val="clear" w:color="auto" w:fill="auto"/>
            <w:noWrap/>
            <w:vAlign w:val="bottom"/>
            <w:hideMark/>
          </w:tcPr>
          <w:p w14:paraId="73362D19" w14:textId="17AB62B3" w:rsidR="0097475C" w:rsidRPr="003018A3" w:rsidRDefault="0097475C" w:rsidP="0097475C">
            <w:pPr>
              <w:spacing w:after="0" w:line="240" w:lineRule="auto"/>
              <w:jc w:val="right"/>
              <w:rPr>
                <w:rFonts w:cs="Arial"/>
                <w:color w:val="000000"/>
                <w:sz w:val="16"/>
                <w:szCs w:val="16"/>
              </w:rPr>
            </w:pPr>
            <w:r>
              <w:rPr>
                <w:rFonts w:cs="Arial"/>
                <w:color w:val="000000"/>
                <w:sz w:val="16"/>
                <w:szCs w:val="16"/>
              </w:rPr>
              <w:t>9,2</w:t>
            </w:r>
          </w:p>
        </w:tc>
        <w:tc>
          <w:tcPr>
            <w:tcW w:w="907" w:type="dxa"/>
            <w:tcBorders>
              <w:top w:val="nil"/>
              <w:left w:val="nil"/>
              <w:bottom w:val="nil"/>
              <w:right w:val="nil"/>
            </w:tcBorders>
            <w:shd w:val="clear" w:color="auto" w:fill="auto"/>
            <w:noWrap/>
            <w:vAlign w:val="bottom"/>
            <w:hideMark/>
          </w:tcPr>
          <w:p w14:paraId="006D172A" w14:textId="11CB20B8" w:rsidR="0097475C" w:rsidRPr="003018A3" w:rsidRDefault="0097475C" w:rsidP="0097475C">
            <w:pPr>
              <w:spacing w:after="0" w:line="240" w:lineRule="auto"/>
              <w:jc w:val="right"/>
              <w:rPr>
                <w:rFonts w:cs="Arial"/>
                <w:color w:val="000000"/>
                <w:sz w:val="16"/>
                <w:szCs w:val="16"/>
              </w:rPr>
            </w:pPr>
            <w:r>
              <w:rPr>
                <w:rFonts w:cs="Arial"/>
                <w:color w:val="000000"/>
                <w:sz w:val="16"/>
                <w:szCs w:val="16"/>
              </w:rPr>
              <w:t>169,6</w:t>
            </w:r>
          </w:p>
        </w:tc>
        <w:tc>
          <w:tcPr>
            <w:tcW w:w="907" w:type="dxa"/>
            <w:tcBorders>
              <w:top w:val="nil"/>
              <w:left w:val="nil"/>
              <w:bottom w:val="nil"/>
              <w:right w:val="nil"/>
            </w:tcBorders>
            <w:shd w:val="clear" w:color="auto" w:fill="auto"/>
            <w:noWrap/>
            <w:vAlign w:val="bottom"/>
            <w:hideMark/>
          </w:tcPr>
          <w:p w14:paraId="741E5C21" w14:textId="431DBF3F" w:rsidR="0097475C" w:rsidRPr="003018A3" w:rsidRDefault="0097475C" w:rsidP="0097475C">
            <w:pPr>
              <w:spacing w:after="0" w:line="240" w:lineRule="auto"/>
              <w:jc w:val="right"/>
              <w:rPr>
                <w:rFonts w:cs="Arial"/>
                <w:color w:val="000000"/>
                <w:sz w:val="16"/>
                <w:szCs w:val="16"/>
              </w:rPr>
            </w:pPr>
            <w:r>
              <w:rPr>
                <w:rFonts w:cs="Arial"/>
                <w:color w:val="000000"/>
                <w:sz w:val="16"/>
                <w:szCs w:val="16"/>
              </w:rPr>
              <w:t>159,7</w:t>
            </w:r>
          </w:p>
        </w:tc>
        <w:tc>
          <w:tcPr>
            <w:tcW w:w="907" w:type="dxa"/>
            <w:tcBorders>
              <w:top w:val="nil"/>
              <w:left w:val="nil"/>
              <w:bottom w:val="nil"/>
              <w:right w:val="nil"/>
            </w:tcBorders>
            <w:shd w:val="clear" w:color="auto" w:fill="auto"/>
            <w:noWrap/>
            <w:vAlign w:val="bottom"/>
            <w:hideMark/>
          </w:tcPr>
          <w:p w14:paraId="4BC14ED5" w14:textId="67BE8B38" w:rsidR="0097475C" w:rsidRPr="003018A3" w:rsidRDefault="0097475C" w:rsidP="0097475C">
            <w:pPr>
              <w:spacing w:after="0" w:line="240" w:lineRule="auto"/>
              <w:jc w:val="right"/>
              <w:rPr>
                <w:rFonts w:cs="Arial"/>
                <w:color w:val="000000"/>
                <w:sz w:val="16"/>
                <w:szCs w:val="16"/>
              </w:rPr>
            </w:pPr>
            <w:r>
              <w:rPr>
                <w:rFonts w:cs="Arial"/>
                <w:color w:val="000000"/>
                <w:sz w:val="16"/>
                <w:szCs w:val="16"/>
              </w:rPr>
              <w:t>177,2</w:t>
            </w:r>
          </w:p>
        </w:tc>
      </w:tr>
      <w:tr w:rsidR="0097475C" w:rsidRPr="003018A3" w14:paraId="7E513DAE" w14:textId="77777777" w:rsidTr="0097475C">
        <w:trPr>
          <w:trHeight w:val="300"/>
        </w:trPr>
        <w:tc>
          <w:tcPr>
            <w:tcW w:w="4195" w:type="dxa"/>
            <w:tcBorders>
              <w:top w:val="nil"/>
              <w:left w:val="nil"/>
              <w:bottom w:val="nil"/>
              <w:right w:val="nil"/>
            </w:tcBorders>
            <w:shd w:val="clear" w:color="auto" w:fill="auto"/>
            <w:noWrap/>
            <w:vAlign w:val="bottom"/>
            <w:hideMark/>
          </w:tcPr>
          <w:p w14:paraId="02188ED9" w14:textId="716A0C86"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Nemoci duševní</w:t>
            </w:r>
          </w:p>
        </w:tc>
        <w:tc>
          <w:tcPr>
            <w:tcW w:w="907" w:type="dxa"/>
            <w:tcBorders>
              <w:top w:val="nil"/>
              <w:left w:val="single" w:sz="4" w:space="0" w:color="auto"/>
              <w:bottom w:val="nil"/>
              <w:right w:val="nil"/>
            </w:tcBorders>
            <w:shd w:val="clear" w:color="auto" w:fill="auto"/>
            <w:noWrap/>
            <w:vAlign w:val="bottom"/>
            <w:hideMark/>
          </w:tcPr>
          <w:p w14:paraId="032CD428" w14:textId="2A86BD0F" w:rsidR="0097475C" w:rsidRPr="003018A3" w:rsidRDefault="0097475C" w:rsidP="0097475C">
            <w:pPr>
              <w:spacing w:after="0" w:line="240" w:lineRule="auto"/>
              <w:jc w:val="right"/>
              <w:rPr>
                <w:rFonts w:cs="Arial"/>
                <w:color w:val="000000"/>
                <w:sz w:val="16"/>
                <w:szCs w:val="16"/>
              </w:rPr>
            </w:pPr>
            <w:r>
              <w:rPr>
                <w:rFonts w:cs="Arial"/>
                <w:color w:val="000000"/>
                <w:sz w:val="16"/>
                <w:szCs w:val="16"/>
              </w:rPr>
              <w:t>57,4</w:t>
            </w:r>
          </w:p>
        </w:tc>
        <w:tc>
          <w:tcPr>
            <w:tcW w:w="907" w:type="dxa"/>
            <w:tcBorders>
              <w:top w:val="nil"/>
              <w:left w:val="nil"/>
              <w:bottom w:val="nil"/>
              <w:right w:val="nil"/>
            </w:tcBorders>
            <w:shd w:val="clear" w:color="auto" w:fill="auto"/>
            <w:noWrap/>
            <w:vAlign w:val="bottom"/>
            <w:hideMark/>
          </w:tcPr>
          <w:p w14:paraId="69D3B449" w14:textId="0C139447" w:rsidR="0097475C" w:rsidRPr="003018A3" w:rsidRDefault="0097475C" w:rsidP="0097475C">
            <w:pPr>
              <w:spacing w:after="0" w:line="240" w:lineRule="auto"/>
              <w:jc w:val="right"/>
              <w:rPr>
                <w:rFonts w:cs="Arial"/>
                <w:color w:val="000000"/>
                <w:sz w:val="16"/>
                <w:szCs w:val="16"/>
              </w:rPr>
            </w:pPr>
            <w:r>
              <w:rPr>
                <w:rFonts w:cs="Arial"/>
                <w:color w:val="000000"/>
                <w:sz w:val="16"/>
                <w:szCs w:val="16"/>
              </w:rPr>
              <w:t>20,0</w:t>
            </w:r>
          </w:p>
        </w:tc>
        <w:tc>
          <w:tcPr>
            <w:tcW w:w="907" w:type="dxa"/>
            <w:tcBorders>
              <w:top w:val="nil"/>
              <w:left w:val="nil"/>
              <w:bottom w:val="nil"/>
              <w:right w:val="single" w:sz="4" w:space="0" w:color="auto"/>
            </w:tcBorders>
            <w:shd w:val="clear" w:color="auto" w:fill="auto"/>
            <w:noWrap/>
            <w:vAlign w:val="bottom"/>
            <w:hideMark/>
          </w:tcPr>
          <w:p w14:paraId="79B8365E" w14:textId="436CEB44" w:rsidR="0097475C" w:rsidRPr="003018A3" w:rsidRDefault="0097475C" w:rsidP="0097475C">
            <w:pPr>
              <w:spacing w:after="0" w:line="240" w:lineRule="auto"/>
              <w:jc w:val="right"/>
              <w:rPr>
                <w:rFonts w:cs="Arial"/>
                <w:color w:val="000000"/>
                <w:sz w:val="16"/>
                <w:szCs w:val="16"/>
              </w:rPr>
            </w:pPr>
            <w:r>
              <w:rPr>
                <w:rFonts w:cs="Arial"/>
                <w:color w:val="000000"/>
                <w:sz w:val="16"/>
                <w:szCs w:val="16"/>
              </w:rPr>
              <w:t>37,3</w:t>
            </w:r>
          </w:p>
        </w:tc>
        <w:tc>
          <w:tcPr>
            <w:tcW w:w="907" w:type="dxa"/>
            <w:tcBorders>
              <w:top w:val="nil"/>
              <w:left w:val="nil"/>
              <w:bottom w:val="nil"/>
              <w:right w:val="nil"/>
            </w:tcBorders>
            <w:shd w:val="clear" w:color="auto" w:fill="auto"/>
            <w:noWrap/>
            <w:vAlign w:val="bottom"/>
            <w:hideMark/>
          </w:tcPr>
          <w:p w14:paraId="2B0AB540" w14:textId="0E335D55" w:rsidR="0097475C" w:rsidRPr="003018A3" w:rsidRDefault="0097475C" w:rsidP="0097475C">
            <w:pPr>
              <w:spacing w:after="0" w:line="240" w:lineRule="auto"/>
              <w:jc w:val="right"/>
              <w:rPr>
                <w:rFonts w:cs="Arial"/>
                <w:color w:val="000000"/>
                <w:sz w:val="16"/>
                <w:szCs w:val="16"/>
              </w:rPr>
            </w:pPr>
            <w:r>
              <w:rPr>
                <w:rFonts w:cs="Arial"/>
                <w:color w:val="000000"/>
                <w:sz w:val="16"/>
                <w:szCs w:val="16"/>
              </w:rPr>
              <w:t>80,9</w:t>
            </w:r>
          </w:p>
        </w:tc>
        <w:tc>
          <w:tcPr>
            <w:tcW w:w="907" w:type="dxa"/>
            <w:tcBorders>
              <w:top w:val="nil"/>
              <w:left w:val="nil"/>
              <w:bottom w:val="nil"/>
              <w:right w:val="nil"/>
            </w:tcBorders>
            <w:shd w:val="clear" w:color="auto" w:fill="auto"/>
            <w:noWrap/>
            <w:vAlign w:val="bottom"/>
            <w:hideMark/>
          </w:tcPr>
          <w:p w14:paraId="54D830E4" w14:textId="31CC6903" w:rsidR="0097475C" w:rsidRPr="003018A3" w:rsidRDefault="0097475C" w:rsidP="0097475C">
            <w:pPr>
              <w:spacing w:after="0" w:line="240" w:lineRule="auto"/>
              <w:jc w:val="right"/>
              <w:rPr>
                <w:rFonts w:cs="Arial"/>
                <w:color w:val="000000"/>
                <w:sz w:val="16"/>
                <w:szCs w:val="16"/>
              </w:rPr>
            </w:pPr>
            <w:r>
              <w:rPr>
                <w:rFonts w:cs="Arial"/>
                <w:color w:val="000000"/>
                <w:sz w:val="16"/>
                <w:szCs w:val="16"/>
              </w:rPr>
              <w:t>78,8</w:t>
            </w:r>
          </w:p>
        </w:tc>
        <w:tc>
          <w:tcPr>
            <w:tcW w:w="907" w:type="dxa"/>
            <w:tcBorders>
              <w:top w:val="nil"/>
              <w:left w:val="nil"/>
              <w:bottom w:val="nil"/>
              <w:right w:val="nil"/>
            </w:tcBorders>
            <w:shd w:val="clear" w:color="auto" w:fill="auto"/>
            <w:noWrap/>
            <w:vAlign w:val="bottom"/>
            <w:hideMark/>
          </w:tcPr>
          <w:p w14:paraId="04D8701A" w14:textId="4139B5AD" w:rsidR="0097475C" w:rsidRPr="003018A3" w:rsidRDefault="0097475C" w:rsidP="0097475C">
            <w:pPr>
              <w:spacing w:after="0" w:line="240" w:lineRule="auto"/>
              <w:jc w:val="right"/>
              <w:rPr>
                <w:rFonts w:cs="Arial"/>
                <w:color w:val="000000"/>
                <w:sz w:val="16"/>
                <w:szCs w:val="16"/>
              </w:rPr>
            </w:pPr>
            <w:r>
              <w:rPr>
                <w:rFonts w:cs="Arial"/>
                <w:color w:val="000000"/>
                <w:sz w:val="16"/>
                <w:szCs w:val="16"/>
              </w:rPr>
              <w:t>82,0</w:t>
            </w:r>
          </w:p>
        </w:tc>
      </w:tr>
      <w:tr w:rsidR="0097475C" w:rsidRPr="003018A3" w14:paraId="298FC9E9" w14:textId="77777777" w:rsidTr="0097475C">
        <w:trPr>
          <w:trHeight w:val="300"/>
        </w:trPr>
        <w:tc>
          <w:tcPr>
            <w:tcW w:w="4195" w:type="dxa"/>
            <w:tcBorders>
              <w:top w:val="nil"/>
              <w:left w:val="nil"/>
              <w:bottom w:val="nil"/>
              <w:right w:val="nil"/>
            </w:tcBorders>
            <w:shd w:val="clear" w:color="auto" w:fill="auto"/>
            <w:noWrap/>
            <w:vAlign w:val="bottom"/>
            <w:hideMark/>
          </w:tcPr>
          <w:p w14:paraId="0DB82ACF" w14:textId="17EA0195"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Nemoci nervové soustavy</w:t>
            </w:r>
          </w:p>
        </w:tc>
        <w:tc>
          <w:tcPr>
            <w:tcW w:w="907" w:type="dxa"/>
            <w:tcBorders>
              <w:top w:val="nil"/>
              <w:left w:val="single" w:sz="4" w:space="0" w:color="auto"/>
              <w:bottom w:val="nil"/>
              <w:right w:val="nil"/>
            </w:tcBorders>
            <w:shd w:val="clear" w:color="auto" w:fill="auto"/>
            <w:noWrap/>
            <w:vAlign w:val="bottom"/>
            <w:hideMark/>
          </w:tcPr>
          <w:p w14:paraId="6D4EFE92" w14:textId="7575DC6A" w:rsidR="0097475C" w:rsidRPr="003018A3" w:rsidRDefault="0097475C" w:rsidP="0097475C">
            <w:pPr>
              <w:spacing w:after="0" w:line="240" w:lineRule="auto"/>
              <w:jc w:val="right"/>
              <w:rPr>
                <w:rFonts w:cs="Arial"/>
                <w:color w:val="000000"/>
                <w:sz w:val="16"/>
                <w:szCs w:val="16"/>
              </w:rPr>
            </w:pPr>
            <w:r>
              <w:rPr>
                <w:rFonts w:cs="Arial"/>
                <w:color w:val="000000"/>
                <w:sz w:val="16"/>
                <w:szCs w:val="16"/>
              </w:rPr>
              <w:t>33,4</w:t>
            </w:r>
          </w:p>
        </w:tc>
        <w:tc>
          <w:tcPr>
            <w:tcW w:w="907" w:type="dxa"/>
            <w:tcBorders>
              <w:top w:val="nil"/>
              <w:left w:val="nil"/>
              <w:bottom w:val="nil"/>
              <w:right w:val="nil"/>
            </w:tcBorders>
            <w:shd w:val="clear" w:color="auto" w:fill="auto"/>
            <w:noWrap/>
            <w:vAlign w:val="bottom"/>
            <w:hideMark/>
          </w:tcPr>
          <w:p w14:paraId="0A8909CC" w14:textId="1BFA7264" w:rsidR="0097475C" w:rsidRPr="003018A3" w:rsidRDefault="0097475C" w:rsidP="0097475C">
            <w:pPr>
              <w:spacing w:after="0" w:line="240" w:lineRule="auto"/>
              <w:jc w:val="right"/>
              <w:rPr>
                <w:rFonts w:cs="Arial"/>
                <w:color w:val="000000"/>
                <w:sz w:val="16"/>
                <w:szCs w:val="16"/>
              </w:rPr>
            </w:pPr>
            <w:r>
              <w:rPr>
                <w:rFonts w:cs="Arial"/>
                <w:color w:val="000000"/>
                <w:sz w:val="16"/>
                <w:szCs w:val="16"/>
              </w:rPr>
              <w:t>13,0</w:t>
            </w:r>
          </w:p>
        </w:tc>
        <w:tc>
          <w:tcPr>
            <w:tcW w:w="907" w:type="dxa"/>
            <w:tcBorders>
              <w:top w:val="nil"/>
              <w:left w:val="nil"/>
              <w:bottom w:val="nil"/>
              <w:right w:val="single" w:sz="4" w:space="0" w:color="auto"/>
            </w:tcBorders>
            <w:shd w:val="clear" w:color="auto" w:fill="auto"/>
            <w:noWrap/>
            <w:vAlign w:val="bottom"/>
            <w:hideMark/>
          </w:tcPr>
          <w:p w14:paraId="46499A2C" w14:textId="7E3DCBC5" w:rsidR="0097475C" w:rsidRPr="003018A3" w:rsidRDefault="0097475C" w:rsidP="0097475C">
            <w:pPr>
              <w:spacing w:after="0" w:line="240" w:lineRule="auto"/>
              <w:jc w:val="right"/>
              <w:rPr>
                <w:rFonts w:cs="Arial"/>
                <w:color w:val="000000"/>
                <w:sz w:val="16"/>
                <w:szCs w:val="16"/>
              </w:rPr>
            </w:pPr>
            <w:r>
              <w:rPr>
                <w:rFonts w:cs="Arial"/>
                <w:color w:val="000000"/>
                <w:sz w:val="16"/>
                <w:szCs w:val="16"/>
              </w:rPr>
              <w:t>20,5</w:t>
            </w:r>
          </w:p>
        </w:tc>
        <w:tc>
          <w:tcPr>
            <w:tcW w:w="907" w:type="dxa"/>
            <w:tcBorders>
              <w:top w:val="nil"/>
              <w:left w:val="nil"/>
              <w:bottom w:val="nil"/>
              <w:right w:val="nil"/>
            </w:tcBorders>
            <w:shd w:val="clear" w:color="auto" w:fill="auto"/>
            <w:noWrap/>
            <w:vAlign w:val="bottom"/>
            <w:hideMark/>
          </w:tcPr>
          <w:p w14:paraId="10AC5344" w14:textId="7984E4EB" w:rsidR="0097475C" w:rsidRPr="003018A3" w:rsidRDefault="0097475C" w:rsidP="0097475C">
            <w:pPr>
              <w:spacing w:after="0" w:line="240" w:lineRule="auto"/>
              <w:jc w:val="right"/>
              <w:rPr>
                <w:rFonts w:cs="Arial"/>
                <w:color w:val="000000"/>
                <w:sz w:val="16"/>
                <w:szCs w:val="16"/>
              </w:rPr>
            </w:pPr>
            <w:r>
              <w:rPr>
                <w:rFonts w:cs="Arial"/>
                <w:color w:val="000000"/>
                <w:sz w:val="16"/>
                <w:szCs w:val="16"/>
              </w:rPr>
              <w:t>69,9</w:t>
            </w:r>
          </w:p>
        </w:tc>
        <w:tc>
          <w:tcPr>
            <w:tcW w:w="907" w:type="dxa"/>
            <w:tcBorders>
              <w:top w:val="nil"/>
              <w:left w:val="nil"/>
              <w:bottom w:val="nil"/>
              <w:right w:val="nil"/>
            </w:tcBorders>
            <w:shd w:val="clear" w:color="auto" w:fill="auto"/>
            <w:noWrap/>
            <w:vAlign w:val="bottom"/>
            <w:hideMark/>
          </w:tcPr>
          <w:p w14:paraId="3E0323E8" w14:textId="4242DD31" w:rsidR="0097475C" w:rsidRPr="003018A3" w:rsidRDefault="0097475C" w:rsidP="0097475C">
            <w:pPr>
              <w:spacing w:after="0" w:line="240" w:lineRule="auto"/>
              <w:jc w:val="right"/>
              <w:rPr>
                <w:rFonts w:cs="Arial"/>
                <w:color w:val="000000"/>
                <w:sz w:val="16"/>
                <w:szCs w:val="16"/>
              </w:rPr>
            </w:pPr>
            <w:r>
              <w:rPr>
                <w:rFonts w:cs="Arial"/>
                <w:color w:val="000000"/>
                <w:sz w:val="16"/>
                <w:szCs w:val="16"/>
              </w:rPr>
              <w:t>76,1</w:t>
            </w:r>
          </w:p>
        </w:tc>
        <w:tc>
          <w:tcPr>
            <w:tcW w:w="907" w:type="dxa"/>
            <w:tcBorders>
              <w:top w:val="nil"/>
              <w:left w:val="nil"/>
              <w:bottom w:val="nil"/>
              <w:right w:val="nil"/>
            </w:tcBorders>
            <w:shd w:val="clear" w:color="auto" w:fill="auto"/>
            <w:noWrap/>
            <w:vAlign w:val="bottom"/>
            <w:hideMark/>
          </w:tcPr>
          <w:p w14:paraId="19854AB5" w14:textId="36614326" w:rsidR="0097475C" w:rsidRPr="003018A3" w:rsidRDefault="0097475C" w:rsidP="0097475C">
            <w:pPr>
              <w:spacing w:after="0" w:line="240" w:lineRule="auto"/>
              <w:jc w:val="right"/>
              <w:rPr>
                <w:rFonts w:cs="Arial"/>
                <w:color w:val="000000"/>
                <w:sz w:val="16"/>
                <w:szCs w:val="16"/>
              </w:rPr>
            </w:pPr>
            <w:r>
              <w:rPr>
                <w:rFonts w:cs="Arial"/>
                <w:color w:val="000000"/>
                <w:sz w:val="16"/>
                <w:szCs w:val="16"/>
              </w:rPr>
              <w:t>66,0</w:t>
            </w:r>
          </w:p>
        </w:tc>
      </w:tr>
      <w:tr w:rsidR="0097475C" w:rsidRPr="003018A3" w14:paraId="3D0046BB" w14:textId="77777777" w:rsidTr="0097475C">
        <w:trPr>
          <w:trHeight w:val="300"/>
        </w:trPr>
        <w:tc>
          <w:tcPr>
            <w:tcW w:w="4195" w:type="dxa"/>
            <w:tcBorders>
              <w:top w:val="nil"/>
              <w:left w:val="nil"/>
              <w:bottom w:val="nil"/>
              <w:right w:val="nil"/>
            </w:tcBorders>
            <w:shd w:val="clear" w:color="auto" w:fill="auto"/>
            <w:noWrap/>
            <w:vAlign w:val="bottom"/>
            <w:hideMark/>
          </w:tcPr>
          <w:p w14:paraId="0C41C66A" w14:textId="2E9AEE26"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Nemoci oběhové soustavy</w:t>
            </w:r>
          </w:p>
        </w:tc>
        <w:tc>
          <w:tcPr>
            <w:tcW w:w="907" w:type="dxa"/>
            <w:tcBorders>
              <w:top w:val="nil"/>
              <w:left w:val="single" w:sz="4" w:space="0" w:color="auto"/>
              <w:bottom w:val="nil"/>
              <w:right w:val="nil"/>
            </w:tcBorders>
            <w:shd w:val="clear" w:color="auto" w:fill="auto"/>
            <w:noWrap/>
            <w:vAlign w:val="bottom"/>
            <w:hideMark/>
          </w:tcPr>
          <w:p w14:paraId="52659105" w14:textId="3D51E371" w:rsidR="0097475C" w:rsidRPr="003018A3" w:rsidRDefault="0097475C" w:rsidP="0097475C">
            <w:pPr>
              <w:spacing w:after="0" w:line="240" w:lineRule="auto"/>
              <w:jc w:val="right"/>
              <w:rPr>
                <w:rFonts w:cs="Arial"/>
                <w:color w:val="000000"/>
                <w:sz w:val="16"/>
                <w:szCs w:val="16"/>
              </w:rPr>
            </w:pPr>
            <w:r>
              <w:rPr>
                <w:rFonts w:cs="Arial"/>
                <w:color w:val="000000"/>
                <w:sz w:val="16"/>
                <w:szCs w:val="16"/>
              </w:rPr>
              <w:t>53,2</w:t>
            </w:r>
          </w:p>
        </w:tc>
        <w:tc>
          <w:tcPr>
            <w:tcW w:w="907" w:type="dxa"/>
            <w:tcBorders>
              <w:top w:val="nil"/>
              <w:left w:val="nil"/>
              <w:bottom w:val="nil"/>
              <w:right w:val="nil"/>
            </w:tcBorders>
            <w:shd w:val="clear" w:color="auto" w:fill="auto"/>
            <w:noWrap/>
            <w:vAlign w:val="bottom"/>
            <w:hideMark/>
          </w:tcPr>
          <w:p w14:paraId="1D7955B8" w14:textId="55CCB3EF" w:rsidR="0097475C" w:rsidRPr="003018A3" w:rsidRDefault="0097475C" w:rsidP="0097475C">
            <w:pPr>
              <w:spacing w:after="0" w:line="240" w:lineRule="auto"/>
              <w:jc w:val="right"/>
              <w:rPr>
                <w:rFonts w:cs="Arial"/>
                <w:color w:val="000000"/>
                <w:sz w:val="16"/>
                <w:szCs w:val="16"/>
              </w:rPr>
            </w:pPr>
            <w:r>
              <w:rPr>
                <w:rFonts w:cs="Arial"/>
                <w:color w:val="000000"/>
                <w:sz w:val="16"/>
                <w:szCs w:val="16"/>
              </w:rPr>
              <w:t>29,4</w:t>
            </w:r>
          </w:p>
        </w:tc>
        <w:tc>
          <w:tcPr>
            <w:tcW w:w="907" w:type="dxa"/>
            <w:tcBorders>
              <w:top w:val="nil"/>
              <w:left w:val="nil"/>
              <w:bottom w:val="nil"/>
              <w:right w:val="single" w:sz="4" w:space="0" w:color="auto"/>
            </w:tcBorders>
            <w:shd w:val="clear" w:color="auto" w:fill="auto"/>
            <w:noWrap/>
            <w:vAlign w:val="bottom"/>
            <w:hideMark/>
          </w:tcPr>
          <w:p w14:paraId="52DA32B5" w14:textId="3FB61B04" w:rsidR="0097475C" w:rsidRPr="003018A3" w:rsidRDefault="0097475C" w:rsidP="0097475C">
            <w:pPr>
              <w:spacing w:after="0" w:line="240" w:lineRule="auto"/>
              <w:jc w:val="right"/>
              <w:rPr>
                <w:rFonts w:cs="Arial"/>
                <w:color w:val="000000"/>
                <w:sz w:val="16"/>
                <w:szCs w:val="16"/>
              </w:rPr>
            </w:pPr>
            <w:r>
              <w:rPr>
                <w:rFonts w:cs="Arial"/>
                <w:color w:val="000000"/>
                <w:sz w:val="16"/>
                <w:szCs w:val="16"/>
              </w:rPr>
              <w:t>23,8</w:t>
            </w:r>
          </w:p>
        </w:tc>
        <w:tc>
          <w:tcPr>
            <w:tcW w:w="907" w:type="dxa"/>
            <w:tcBorders>
              <w:top w:val="nil"/>
              <w:left w:val="nil"/>
              <w:bottom w:val="nil"/>
              <w:right w:val="nil"/>
            </w:tcBorders>
            <w:shd w:val="clear" w:color="auto" w:fill="auto"/>
            <w:noWrap/>
            <w:vAlign w:val="bottom"/>
            <w:hideMark/>
          </w:tcPr>
          <w:p w14:paraId="17D832CE" w14:textId="0BC03FDE" w:rsidR="0097475C" w:rsidRPr="003018A3" w:rsidRDefault="0097475C" w:rsidP="0097475C">
            <w:pPr>
              <w:spacing w:after="0" w:line="240" w:lineRule="auto"/>
              <w:jc w:val="right"/>
              <w:rPr>
                <w:rFonts w:cs="Arial"/>
                <w:color w:val="000000"/>
                <w:sz w:val="16"/>
                <w:szCs w:val="16"/>
              </w:rPr>
            </w:pPr>
            <w:r>
              <w:rPr>
                <w:rFonts w:cs="Arial"/>
                <w:color w:val="000000"/>
                <w:sz w:val="16"/>
                <w:szCs w:val="16"/>
              </w:rPr>
              <w:t>69,8</w:t>
            </w:r>
          </w:p>
        </w:tc>
        <w:tc>
          <w:tcPr>
            <w:tcW w:w="907" w:type="dxa"/>
            <w:tcBorders>
              <w:top w:val="nil"/>
              <w:left w:val="nil"/>
              <w:bottom w:val="nil"/>
              <w:right w:val="nil"/>
            </w:tcBorders>
            <w:shd w:val="clear" w:color="auto" w:fill="auto"/>
            <w:noWrap/>
            <w:vAlign w:val="bottom"/>
            <w:hideMark/>
          </w:tcPr>
          <w:p w14:paraId="5C21D5A3" w14:textId="79BB0D41" w:rsidR="0097475C" w:rsidRPr="003018A3" w:rsidRDefault="0097475C" w:rsidP="0097475C">
            <w:pPr>
              <w:spacing w:after="0" w:line="240" w:lineRule="auto"/>
              <w:jc w:val="right"/>
              <w:rPr>
                <w:rFonts w:cs="Arial"/>
                <w:color w:val="000000"/>
                <w:sz w:val="16"/>
                <w:szCs w:val="16"/>
              </w:rPr>
            </w:pPr>
            <w:r>
              <w:rPr>
                <w:rFonts w:cs="Arial"/>
                <w:color w:val="000000"/>
                <w:sz w:val="16"/>
                <w:szCs w:val="16"/>
              </w:rPr>
              <w:t>79,8</w:t>
            </w:r>
          </w:p>
        </w:tc>
        <w:tc>
          <w:tcPr>
            <w:tcW w:w="907" w:type="dxa"/>
            <w:tcBorders>
              <w:top w:val="nil"/>
              <w:left w:val="nil"/>
              <w:bottom w:val="nil"/>
              <w:right w:val="nil"/>
            </w:tcBorders>
            <w:shd w:val="clear" w:color="auto" w:fill="auto"/>
            <w:noWrap/>
            <w:vAlign w:val="bottom"/>
            <w:hideMark/>
          </w:tcPr>
          <w:p w14:paraId="190DAF06" w14:textId="3323B3F7" w:rsidR="0097475C" w:rsidRPr="003018A3" w:rsidRDefault="0097475C" w:rsidP="0097475C">
            <w:pPr>
              <w:spacing w:after="0" w:line="240" w:lineRule="auto"/>
              <w:jc w:val="right"/>
              <w:rPr>
                <w:rFonts w:cs="Arial"/>
                <w:color w:val="000000"/>
                <w:sz w:val="16"/>
                <w:szCs w:val="16"/>
              </w:rPr>
            </w:pPr>
            <w:r>
              <w:rPr>
                <w:rFonts w:cs="Arial"/>
                <w:color w:val="000000"/>
                <w:sz w:val="16"/>
                <w:szCs w:val="16"/>
              </w:rPr>
              <w:t>57,4</w:t>
            </w:r>
          </w:p>
        </w:tc>
      </w:tr>
      <w:tr w:rsidR="0097475C" w:rsidRPr="003018A3" w14:paraId="6D84FBB9" w14:textId="77777777" w:rsidTr="0097475C">
        <w:trPr>
          <w:trHeight w:val="300"/>
        </w:trPr>
        <w:tc>
          <w:tcPr>
            <w:tcW w:w="4195" w:type="dxa"/>
            <w:tcBorders>
              <w:top w:val="nil"/>
              <w:left w:val="nil"/>
              <w:bottom w:val="nil"/>
              <w:right w:val="nil"/>
            </w:tcBorders>
            <w:shd w:val="clear" w:color="auto" w:fill="auto"/>
            <w:noWrap/>
            <w:vAlign w:val="bottom"/>
            <w:hideMark/>
          </w:tcPr>
          <w:p w14:paraId="4EA64DB2" w14:textId="70FD7510" w:rsidR="0097475C" w:rsidRPr="003018A3" w:rsidRDefault="0097475C" w:rsidP="0097475C">
            <w:pPr>
              <w:spacing w:after="0" w:line="240" w:lineRule="auto"/>
              <w:ind w:firstLineChars="200" w:firstLine="320"/>
              <w:rPr>
                <w:rFonts w:cs="Arial"/>
                <w:color w:val="000000"/>
                <w:sz w:val="16"/>
                <w:szCs w:val="16"/>
              </w:rPr>
            </w:pPr>
            <w:r>
              <w:rPr>
                <w:rFonts w:cs="Arial"/>
                <w:color w:val="000000"/>
                <w:sz w:val="16"/>
                <w:szCs w:val="16"/>
              </w:rPr>
              <w:t xml:space="preserve"> hypertenze</w:t>
            </w:r>
          </w:p>
        </w:tc>
        <w:tc>
          <w:tcPr>
            <w:tcW w:w="907" w:type="dxa"/>
            <w:tcBorders>
              <w:top w:val="nil"/>
              <w:left w:val="single" w:sz="4" w:space="0" w:color="auto"/>
              <w:bottom w:val="nil"/>
              <w:right w:val="nil"/>
            </w:tcBorders>
            <w:shd w:val="clear" w:color="auto" w:fill="auto"/>
            <w:noWrap/>
            <w:vAlign w:val="bottom"/>
            <w:hideMark/>
          </w:tcPr>
          <w:p w14:paraId="5CFF96BB" w14:textId="59ACDBE4" w:rsidR="0097475C" w:rsidRPr="003018A3" w:rsidRDefault="0097475C" w:rsidP="0097475C">
            <w:pPr>
              <w:spacing w:after="0" w:line="240" w:lineRule="auto"/>
              <w:jc w:val="right"/>
              <w:rPr>
                <w:rFonts w:cs="Arial"/>
                <w:color w:val="000000"/>
                <w:sz w:val="16"/>
                <w:szCs w:val="16"/>
              </w:rPr>
            </w:pPr>
            <w:r>
              <w:rPr>
                <w:rFonts w:cs="Arial"/>
                <w:color w:val="000000"/>
                <w:sz w:val="16"/>
                <w:szCs w:val="16"/>
              </w:rPr>
              <w:t>15,1</w:t>
            </w:r>
          </w:p>
        </w:tc>
        <w:tc>
          <w:tcPr>
            <w:tcW w:w="907" w:type="dxa"/>
            <w:tcBorders>
              <w:top w:val="nil"/>
              <w:left w:val="nil"/>
              <w:bottom w:val="nil"/>
              <w:right w:val="nil"/>
            </w:tcBorders>
            <w:shd w:val="clear" w:color="auto" w:fill="auto"/>
            <w:noWrap/>
            <w:vAlign w:val="bottom"/>
            <w:hideMark/>
          </w:tcPr>
          <w:p w14:paraId="54466171" w14:textId="60A17FA5" w:rsidR="0097475C" w:rsidRPr="003018A3" w:rsidRDefault="0097475C" w:rsidP="0097475C">
            <w:pPr>
              <w:spacing w:after="0" w:line="240" w:lineRule="auto"/>
              <w:jc w:val="right"/>
              <w:rPr>
                <w:rFonts w:cs="Arial"/>
                <w:color w:val="000000"/>
                <w:sz w:val="16"/>
                <w:szCs w:val="16"/>
              </w:rPr>
            </w:pPr>
            <w:r>
              <w:rPr>
                <w:rFonts w:cs="Arial"/>
                <w:color w:val="000000"/>
                <w:sz w:val="16"/>
                <w:szCs w:val="16"/>
              </w:rPr>
              <w:t>7,8</w:t>
            </w:r>
          </w:p>
        </w:tc>
        <w:tc>
          <w:tcPr>
            <w:tcW w:w="907" w:type="dxa"/>
            <w:tcBorders>
              <w:top w:val="nil"/>
              <w:left w:val="nil"/>
              <w:bottom w:val="nil"/>
              <w:right w:val="single" w:sz="4" w:space="0" w:color="auto"/>
            </w:tcBorders>
            <w:shd w:val="clear" w:color="auto" w:fill="auto"/>
            <w:noWrap/>
            <w:vAlign w:val="bottom"/>
            <w:hideMark/>
          </w:tcPr>
          <w:p w14:paraId="2B152044" w14:textId="6A1E1B31" w:rsidR="0097475C" w:rsidRPr="003018A3" w:rsidRDefault="0097475C" w:rsidP="0097475C">
            <w:pPr>
              <w:spacing w:after="0" w:line="240" w:lineRule="auto"/>
              <w:jc w:val="right"/>
              <w:rPr>
                <w:rFonts w:cs="Arial"/>
                <w:color w:val="000000"/>
                <w:sz w:val="16"/>
                <w:szCs w:val="16"/>
              </w:rPr>
            </w:pPr>
            <w:r>
              <w:rPr>
                <w:rFonts w:cs="Arial"/>
                <w:color w:val="000000"/>
                <w:sz w:val="16"/>
                <w:szCs w:val="16"/>
              </w:rPr>
              <w:t>7,4</w:t>
            </w:r>
          </w:p>
        </w:tc>
        <w:tc>
          <w:tcPr>
            <w:tcW w:w="907" w:type="dxa"/>
            <w:tcBorders>
              <w:top w:val="nil"/>
              <w:left w:val="nil"/>
              <w:bottom w:val="nil"/>
              <w:right w:val="nil"/>
            </w:tcBorders>
            <w:shd w:val="clear" w:color="auto" w:fill="auto"/>
            <w:noWrap/>
            <w:vAlign w:val="bottom"/>
            <w:hideMark/>
          </w:tcPr>
          <w:p w14:paraId="64839FFA" w14:textId="24306446" w:rsidR="0097475C" w:rsidRPr="003018A3" w:rsidRDefault="0097475C" w:rsidP="0097475C">
            <w:pPr>
              <w:spacing w:after="0" w:line="240" w:lineRule="auto"/>
              <w:jc w:val="right"/>
              <w:rPr>
                <w:rFonts w:cs="Arial"/>
                <w:color w:val="000000"/>
                <w:sz w:val="16"/>
                <w:szCs w:val="16"/>
              </w:rPr>
            </w:pPr>
            <w:r>
              <w:rPr>
                <w:rFonts w:cs="Arial"/>
                <w:color w:val="000000"/>
                <w:sz w:val="16"/>
                <w:szCs w:val="16"/>
              </w:rPr>
              <w:t>43,7</w:t>
            </w:r>
          </w:p>
        </w:tc>
        <w:tc>
          <w:tcPr>
            <w:tcW w:w="907" w:type="dxa"/>
            <w:tcBorders>
              <w:top w:val="nil"/>
              <w:left w:val="nil"/>
              <w:bottom w:val="nil"/>
              <w:right w:val="nil"/>
            </w:tcBorders>
            <w:shd w:val="clear" w:color="auto" w:fill="auto"/>
            <w:noWrap/>
            <w:vAlign w:val="bottom"/>
            <w:hideMark/>
          </w:tcPr>
          <w:p w14:paraId="289D1A68" w14:textId="26FB4283" w:rsidR="0097475C" w:rsidRPr="003018A3" w:rsidRDefault="0097475C" w:rsidP="0097475C">
            <w:pPr>
              <w:spacing w:after="0" w:line="240" w:lineRule="auto"/>
              <w:jc w:val="right"/>
              <w:rPr>
                <w:rFonts w:cs="Arial"/>
                <w:color w:val="000000"/>
                <w:sz w:val="16"/>
                <w:szCs w:val="16"/>
              </w:rPr>
            </w:pPr>
            <w:r>
              <w:rPr>
                <w:rFonts w:cs="Arial"/>
                <w:color w:val="000000"/>
                <w:sz w:val="16"/>
                <w:szCs w:val="16"/>
              </w:rPr>
              <w:t>47,4</w:t>
            </w:r>
          </w:p>
        </w:tc>
        <w:tc>
          <w:tcPr>
            <w:tcW w:w="907" w:type="dxa"/>
            <w:tcBorders>
              <w:top w:val="nil"/>
              <w:left w:val="nil"/>
              <w:bottom w:val="nil"/>
              <w:right w:val="nil"/>
            </w:tcBorders>
            <w:shd w:val="clear" w:color="auto" w:fill="auto"/>
            <w:noWrap/>
            <w:vAlign w:val="bottom"/>
            <w:hideMark/>
          </w:tcPr>
          <w:p w14:paraId="2E0AC06E" w14:textId="1CBA81D9" w:rsidR="0097475C" w:rsidRPr="003018A3" w:rsidRDefault="0097475C" w:rsidP="0097475C">
            <w:pPr>
              <w:spacing w:after="0" w:line="240" w:lineRule="auto"/>
              <w:jc w:val="right"/>
              <w:rPr>
                <w:rFonts w:cs="Arial"/>
                <w:color w:val="000000"/>
                <w:sz w:val="16"/>
                <w:szCs w:val="16"/>
              </w:rPr>
            </w:pPr>
            <w:r>
              <w:rPr>
                <w:rFonts w:cs="Arial"/>
                <w:color w:val="000000"/>
                <w:sz w:val="16"/>
                <w:szCs w:val="16"/>
              </w:rPr>
              <w:t>39,8</w:t>
            </w:r>
          </w:p>
        </w:tc>
      </w:tr>
      <w:tr w:rsidR="0097475C" w:rsidRPr="003018A3" w14:paraId="658D1F9F" w14:textId="77777777" w:rsidTr="0097475C">
        <w:trPr>
          <w:trHeight w:val="300"/>
        </w:trPr>
        <w:tc>
          <w:tcPr>
            <w:tcW w:w="4195" w:type="dxa"/>
            <w:tcBorders>
              <w:top w:val="nil"/>
              <w:left w:val="nil"/>
              <w:bottom w:val="nil"/>
              <w:right w:val="nil"/>
            </w:tcBorders>
            <w:shd w:val="clear" w:color="auto" w:fill="auto"/>
            <w:noWrap/>
            <w:vAlign w:val="bottom"/>
            <w:hideMark/>
          </w:tcPr>
          <w:p w14:paraId="21B9D827" w14:textId="328A6674" w:rsidR="0097475C" w:rsidRPr="003018A3" w:rsidRDefault="0097475C" w:rsidP="0097475C">
            <w:pPr>
              <w:spacing w:after="0" w:line="240" w:lineRule="auto"/>
              <w:ind w:firstLineChars="200" w:firstLine="320"/>
              <w:rPr>
                <w:rFonts w:cs="Arial"/>
                <w:color w:val="000000"/>
                <w:sz w:val="16"/>
                <w:szCs w:val="16"/>
              </w:rPr>
            </w:pPr>
            <w:r>
              <w:rPr>
                <w:rFonts w:cs="Arial"/>
                <w:color w:val="000000"/>
                <w:sz w:val="16"/>
                <w:szCs w:val="16"/>
              </w:rPr>
              <w:t xml:space="preserve"> ischemická choroba srdeční</w:t>
            </w:r>
          </w:p>
        </w:tc>
        <w:tc>
          <w:tcPr>
            <w:tcW w:w="907" w:type="dxa"/>
            <w:tcBorders>
              <w:top w:val="nil"/>
              <w:left w:val="single" w:sz="4" w:space="0" w:color="auto"/>
              <w:bottom w:val="nil"/>
              <w:right w:val="nil"/>
            </w:tcBorders>
            <w:shd w:val="clear" w:color="auto" w:fill="auto"/>
            <w:noWrap/>
            <w:vAlign w:val="bottom"/>
            <w:hideMark/>
          </w:tcPr>
          <w:p w14:paraId="71A61207" w14:textId="67D0F4E3" w:rsidR="0097475C" w:rsidRPr="003018A3" w:rsidRDefault="0097475C" w:rsidP="0097475C">
            <w:pPr>
              <w:spacing w:after="0" w:line="240" w:lineRule="auto"/>
              <w:jc w:val="right"/>
              <w:rPr>
                <w:rFonts w:cs="Arial"/>
                <w:color w:val="000000"/>
                <w:sz w:val="16"/>
                <w:szCs w:val="16"/>
              </w:rPr>
            </w:pPr>
            <w:r>
              <w:rPr>
                <w:rFonts w:cs="Arial"/>
                <w:color w:val="000000"/>
                <w:sz w:val="16"/>
                <w:szCs w:val="16"/>
              </w:rPr>
              <w:t>6,3</w:t>
            </w:r>
          </w:p>
        </w:tc>
        <w:tc>
          <w:tcPr>
            <w:tcW w:w="907" w:type="dxa"/>
            <w:tcBorders>
              <w:top w:val="nil"/>
              <w:left w:val="nil"/>
              <w:bottom w:val="nil"/>
              <w:right w:val="nil"/>
            </w:tcBorders>
            <w:shd w:val="clear" w:color="auto" w:fill="auto"/>
            <w:noWrap/>
            <w:vAlign w:val="bottom"/>
            <w:hideMark/>
          </w:tcPr>
          <w:p w14:paraId="0B0E89C9" w14:textId="48265AE2" w:rsidR="0097475C" w:rsidRPr="003018A3" w:rsidRDefault="0097475C" w:rsidP="0097475C">
            <w:pPr>
              <w:spacing w:after="0" w:line="240" w:lineRule="auto"/>
              <w:jc w:val="right"/>
              <w:rPr>
                <w:rFonts w:cs="Arial"/>
                <w:color w:val="000000"/>
                <w:sz w:val="16"/>
                <w:szCs w:val="16"/>
              </w:rPr>
            </w:pPr>
            <w:r>
              <w:rPr>
                <w:rFonts w:cs="Arial"/>
                <w:color w:val="000000"/>
                <w:sz w:val="16"/>
                <w:szCs w:val="16"/>
              </w:rPr>
              <w:t>4,8</w:t>
            </w:r>
          </w:p>
        </w:tc>
        <w:tc>
          <w:tcPr>
            <w:tcW w:w="907" w:type="dxa"/>
            <w:tcBorders>
              <w:top w:val="nil"/>
              <w:left w:val="nil"/>
              <w:bottom w:val="nil"/>
              <w:right w:val="single" w:sz="4" w:space="0" w:color="auto"/>
            </w:tcBorders>
            <w:shd w:val="clear" w:color="auto" w:fill="auto"/>
            <w:noWrap/>
            <w:vAlign w:val="bottom"/>
            <w:hideMark/>
          </w:tcPr>
          <w:p w14:paraId="47C8A595" w14:textId="07A2AB90" w:rsidR="0097475C" w:rsidRPr="003018A3" w:rsidRDefault="0097475C" w:rsidP="0097475C">
            <w:pPr>
              <w:spacing w:after="0" w:line="240" w:lineRule="auto"/>
              <w:jc w:val="right"/>
              <w:rPr>
                <w:rFonts w:cs="Arial"/>
                <w:color w:val="000000"/>
                <w:sz w:val="16"/>
                <w:szCs w:val="16"/>
              </w:rPr>
            </w:pPr>
            <w:r>
              <w:rPr>
                <w:rFonts w:cs="Arial"/>
                <w:color w:val="000000"/>
                <w:sz w:val="16"/>
                <w:szCs w:val="16"/>
              </w:rPr>
              <w:t>1,4</w:t>
            </w:r>
          </w:p>
        </w:tc>
        <w:tc>
          <w:tcPr>
            <w:tcW w:w="907" w:type="dxa"/>
            <w:tcBorders>
              <w:top w:val="nil"/>
              <w:left w:val="nil"/>
              <w:bottom w:val="nil"/>
              <w:right w:val="nil"/>
            </w:tcBorders>
            <w:shd w:val="clear" w:color="auto" w:fill="auto"/>
            <w:noWrap/>
            <w:vAlign w:val="bottom"/>
            <w:hideMark/>
          </w:tcPr>
          <w:p w14:paraId="77851C7E" w14:textId="37ECA9E3" w:rsidR="0097475C" w:rsidRPr="003018A3" w:rsidRDefault="0097475C" w:rsidP="0097475C">
            <w:pPr>
              <w:spacing w:after="0" w:line="240" w:lineRule="auto"/>
              <w:jc w:val="right"/>
              <w:rPr>
                <w:rFonts w:cs="Arial"/>
                <w:color w:val="000000"/>
                <w:sz w:val="16"/>
                <w:szCs w:val="16"/>
              </w:rPr>
            </w:pPr>
            <w:r>
              <w:rPr>
                <w:rFonts w:cs="Arial"/>
                <w:color w:val="000000"/>
                <w:sz w:val="16"/>
                <w:szCs w:val="16"/>
              </w:rPr>
              <w:t>110,6</w:t>
            </w:r>
          </w:p>
        </w:tc>
        <w:tc>
          <w:tcPr>
            <w:tcW w:w="907" w:type="dxa"/>
            <w:tcBorders>
              <w:top w:val="nil"/>
              <w:left w:val="nil"/>
              <w:bottom w:val="nil"/>
              <w:right w:val="nil"/>
            </w:tcBorders>
            <w:shd w:val="clear" w:color="auto" w:fill="auto"/>
            <w:noWrap/>
            <w:vAlign w:val="bottom"/>
            <w:hideMark/>
          </w:tcPr>
          <w:p w14:paraId="48A30608" w14:textId="27C9B70F" w:rsidR="0097475C" w:rsidRPr="003018A3" w:rsidRDefault="0097475C" w:rsidP="0097475C">
            <w:pPr>
              <w:spacing w:after="0" w:line="240" w:lineRule="auto"/>
              <w:jc w:val="right"/>
              <w:rPr>
                <w:rFonts w:cs="Arial"/>
                <w:color w:val="000000"/>
                <w:sz w:val="16"/>
                <w:szCs w:val="16"/>
              </w:rPr>
            </w:pPr>
            <w:r>
              <w:rPr>
                <w:rFonts w:cs="Arial"/>
                <w:color w:val="000000"/>
                <w:sz w:val="16"/>
                <w:szCs w:val="16"/>
              </w:rPr>
              <w:t>114,8</w:t>
            </w:r>
          </w:p>
        </w:tc>
        <w:tc>
          <w:tcPr>
            <w:tcW w:w="907" w:type="dxa"/>
            <w:tcBorders>
              <w:top w:val="nil"/>
              <w:left w:val="nil"/>
              <w:bottom w:val="nil"/>
              <w:right w:val="nil"/>
            </w:tcBorders>
            <w:shd w:val="clear" w:color="auto" w:fill="auto"/>
            <w:noWrap/>
            <w:vAlign w:val="bottom"/>
            <w:hideMark/>
          </w:tcPr>
          <w:p w14:paraId="312B4F47" w14:textId="5C08779E" w:rsidR="0097475C" w:rsidRPr="003018A3" w:rsidRDefault="0097475C" w:rsidP="0097475C">
            <w:pPr>
              <w:spacing w:after="0" w:line="240" w:lineRule="auto"/>
              <w:jc w:val="right"/>
              <w:rPr>
                <w:rFonts w:cs="Arial"/>
                <w:color w:val="000000"/>
                <w:sz w:val="16"/>
                <w:szCs w:val="16"/>
              </w:rPr>
            </w:pPr>
            <w:r>
              <w:rPr>
                <w:rFonts w:cs="Arial"/>
                <w:color w:val="000000"/>
                <w:sz w:val="16"/>
                <w:szCs w:val="16"/>
              </w:rPr>
              <w:t>96,2</w:t>
            </w:r>
          </w:p>
        </w:tc>
      </w:tr>
      <w:tr w:rsidR="0097475C" w:rsidRPr="003018A3" w14:paraId="70418353" w14:textId="77777777" w:rsidTr="0097475C">
        <w:trPr>
          <w:trHeight w:val="300"/>
        </w:trPr>
        <w:tc>
          <w:tcPr>
            <w:tcW w:w="4195" w:type="dxa"/>
            <w:tcBorders>
              <w:top w:val="nil"/>
              <w:left w:val="nil"/>
              <w:bottom w:val="nil"/>
              <w:right w:val="nil"/>
            </w:tcBorders>
            <w:shd w:val="clear" w:color="auto" w:fill="auto"/>
            <w:noWrap/>
            <w:vAlign w:val="bottom"/>
            <w:hideMark/>
          </w:tcPr>
          <w:p w14:paraId="720305E1" w14:textId="3343A8FD" w:rsidR="0097475C" w:rsidRPr="003018A3" w:rsidRDefault="0097475C" w:rsidP="0097475C">
            <w:pPr>
              <w:spacing w:after="0" w:line="240" w:lineRule="auto"/>
              <w:ind w:firstLineChars="200" w:firstLine="320"/>
              <w:rPr>
                <w:rFonts w:cs="Arial"/>
                <w:color w:val="000000"/>
                <w:sz w:val="16"/>
                <w:szCs w:val="16"/>
              </w:rPr>
            </w:pPr>
            <w:r>
              <w:rPr>
                <w:rFonts w:cs="Arial"/>
                <w:color w:val="000000"/>
                <w:sz w:val="16"/>
                <w:szCs w:val="16"/>
              </w:rPr>
              <w:t xml:space="preserve"> cévní nemoci mozku</w:t>
            </w:r>
          </w:p>
        </w:tc>
        <w:tc>
          <w:tcPr>
            <w:tcW w:w="907" w:type="dxa"/>
            <w:tcBorders>
              <w:top w:val="nil"/>
              <w:left w:val="single" w:sz="4" w:space="0" w:color="auto"/>
              <w:bottom w:val="nil"/>
              <w:right w:val="nil"/>
            </w:tcBorders>
            <w:shd w:val="clear" w:color="auto" w:fill="auto"/>
            <w:noWrap/>
            <w:vAlign w:val="bottom"/>
            <w:hideMark/>
          </w:tcPr>
          <w:p w14:paraId="790570E3" w14:textId="10A7D6F1" w:rsidR="0097475C" w:rsidRPr="003018A3" w:rsidRDefault="0097475C" w:rsidP="0097475C">
            <w:pPr>
              <w:spacing w:after="0" w:line="240" w:lineRule="auto"/>
              <w:jc w:val="right"/>
              <w:rPr>
                <w:rFonts w:cs="Arial"/>
                <w:color w:val="000000"/>
                <w:sz w:val="16"/>
                <w:szCs w:val="16"/>
              </w:rPr>
            </w:pPr>
            <w:r>
              <w:rPr>
                <w:rFonts w:cs="Arial"/>
                <w:color w:val="000000"/>
                <w:sz w:val="16"/>
                <w:szCs w:val="16"/>
              </w:rPr>
              <w:t>3,3</w:t>
            </w:r>
          </w:p>
        </w:tc>
        <w:tc>
          <w:tcPr>
            <w:tcW w:w="907" w:type="dxa"/>
            <w:tcBorders>
              <w:top w:val="nil"/>
              <w:left w:val="nil"/>
              <w:bottom w:val="nil"/>
              <w:right w:val="nil"/>
            </w:tcBorders>
            <w:shd w:val="clear" w:color="auto" w:fill="auto"/>
            <w:noWrap/>
            <w:vAlign w:val="bottom"/>
            <w:hideMark/>
          </w:tcPr>
          <w:p w14:paraId="60C8A0E2" w14:textId="63FBF58A" w:rsidR="0097475C" w:rsidRPr="003018A3" w:rsidRDefault="0097475C" w:rsidP="0097475C">
            <w:pPr>
              <w:spacing w:after="0" w:line="240" w:lineRule="auto"/>
              <w:jc w:val="right"/>
              <w:rPr>
                <w:rFonts w:cs="Arial"/>
                <w:color w:val="000000"/>
                <w:sz w:val="16"/>
                <w:szCs w:val="16"/>
              </w:rPr>
            </w:pPr>
            <w:r>
              <w:rPr>
                <w:rFonts w:cs="Arial"/>
                <w:color w:val="000000"/>
                <w:sz w:val="16"/>
                <w:szCs w:val="16"/>
              </w:rPr>
              <w:t>2,1</w:t>
            </w:r>
          </w:p>
        </w:tc>
        <w:tc>
          <w:tcPr>
            <w:tcW w:w="907" w:type="dxa"/>
            <w:tcBorders>
              <w:top w:val="nil"/>
              <w:left w:val="nil"/>
              <w:bottom w:val="nil"/>
              <w:right w:val="single" w:sz="4" w:space="0" w:color="auto"/>
            </w:tcBorders>
            <w:shd w:val="clear" w:color="auto" w:fill="auto"/>
            <w:noWrap/>
            <w:vAlign w:val="bottom"/>
            <w:hideMark/>
          </w:tcPr>
          <w:p w14:paraId="0BD0F803" w14:textId="401E8A21" w:rsidR="0097475C" w:rsidRPr="003018A3" w:rsidRDefault="0097475C" w:rsidP="0097475C">
            <w:pPr>
              <w:spacing w:after="0" w:line="240" w:lineRule="auto"/>
              <w:jc w:val="right"/>
              <w:rPr>
                <w:rFonts w:cs="Arial"/>
                <w:color w:val="000000"/>
                <w:sz w:val="16"/>
                <w:szCs w:val="16"/>
              </w:rPr>
            </w:pPr>
            <w:r>
              <w:rPr>
                <w:rFonts w:cs="Arial"/>
                <w:color w:val="000000"/>
                <w:sz w:val="16"/>
                <w:szCs w:val="16"/>
              </w:rPr>
              <w:t>1,2</w:t>
            </w:r>
          </w:p>
        </w:tc>
        <w:tc>
          <w:tcPr>
            <w:tcW w:w="907" w:type="dxa"/>
            <w:tcBorders>
              <w:top w:val="nil"/>
              <w:left w:val="nil"/>
              <w:bottom w:val="nil"/>
              <w:right w:val="nil"/>
            </w:tcBorders>
            <w:shd w:val="clear" w:color="auto" w:fill="auto"/>
            <w:noWrap/>
            <w:vAlign w:val="bottom"/>
            <w:hideMark/>
          </w:tcPr>
          <w:p w14:paraId="6AC752DE" w14:textId="6E907076" w:rsidR="0097475C" w:rsidRPr="003018A3" w:rsidRDefault="0097475C" w:rsidP="0097475C">
            <w:pPr>
              <w:spacing w:after="0" w:line="240" w:lineRule="auto"/>
              <w:jc w:val="right"/>
              <w:rPr>
                <w:rFonts w:cs="Arial"/>
                <w:color w:val="000000"/>
                <w:sz w:val="16"/>
                <w:szCs w:val="16"/>
              </w:rPr>
            </w:pPr>
            <w:r>
              <w:rPr>
                <w:rFonts w:cs="Arial"/>
                <w:color w:val="000000"/>
                <w:sz w:val="16"/>
                <w:szCs w:val="16"/>
              </w:rPr>
              <w:t>155,1</w:t>
            </w:r>
          </w:p>
        </w:tc>
        <w:tc>
          <w:tcPr>
            <w:tcW w:w="907" w:type="dxa"/>
            <w:tcBorders>
              <w:top w:val="nil"/>
              <w:left w:val="nil"/>
              <w:bottom w:val="nil"/>
              <w:right w:val="nil"/>
            </w:tcBorders>
            <w:shd w:val="clear" w:color="auto" w:fill="auto"/>
            <w:noWrap/>
            <w:vAlign w:val="bottom"/>
            <w:hideMark/>
          </w:tcPr>
          <w:p w14:paraId="7BC30F4C" w14:textId="032A9F9A" w:rsidR="0097475C" w:rsidRPr="003018A3" w:rsidRDefault="0097475C" w:rsidP="0097475C">
            <w:pPr>
              <w:spacing w:after="0" w:line="240" w:lineRule="auto"/>
              <w:jc w:val="right"/>
              <w:rPr>
                <w:rFonts w:cs="Arial"/>
                <w:color w:val="000000"/>
                <w:sz w:val="16"/>
                <w:szCs w:val="16"/>
              </w:rPr>
            </w:pPr>
            <w:r>
              <w:rPr>
                <w:rFonts w:cs="Arial"/>
                <w:color w:val="000000"/>
                <w:sz w:val="16"/>
                <w:szCs w:val="16"/>
              </w:rPr>
              <w:t>160,0</w:t>
            </w:r>
          </w:p>
        </w:tc>
        <w:tc>
          <w:tcPr>
            <w:tcW w:w="907" w:type="dxa"/>
            <w:tcBorders>
              <w:top w:val="nil"/>
              <w:left w:val="nil"/>
              <w:bottom w:val="nil"/>
              <w:right w:val="nil"/>
            </w:tcBorders>
            <w:shd w:val="clear" w:color="auto" w:fill="auto"/>
            <w:noWrap/>
            <w:vAlign w:val="bottom"/>
            <w:hideMark/>
          </w:tcPr>
          <w:p w14:paraId="052ED22C" w14:textId="5D99AAB9" w:rsidR="0097475C" w:rsidRPr="003018A3" w:rsidRDefault="0097475C" w:rsidP="0097475C">
            <w:pPr>
              <w:spacing w:after="0" w:line="240" w:lineRule="auto"/>
              <w:jc w:val="right"/>
              <w:rPr>
                <w:rFonts w:cs="Arial"/>
                <w:color w:val="000000"/>
                <w:sz w:val="16"/>
                <w:szCs w:val="16"/>
              </w:rPr>
            </w:pPr>
            <w:r>
              <w:rPr>
                <w:rFonts w:cs="Arial"/>
                <w:color w:val="000000"/>
                <w:sz w:val="16"/>
                <w:szCs w:val="16"/>
              </w:rPr>
              <w:t>146,7</w:t>
            </w:r>
          </w:p>
        </w:tc>
      </w:tr>
      <w:tr w:rsidR="0097475C" w:rsidRPr="003018A3" w14:paraId="22DBC74D" w14:textId="77777777" w:rsidTr="0097475C">
        <w:trPr>
          <w:trHeight w:val="300"/>
        </w:trPr>
        <w:tc>
          <w:tcPr>
            <w:tcW w:w="4195" w:type="dxa"/>
            <w:tcBorders>
              <w:top w:val="nil"/>
              <w:left w:val="nil"/>
              <w:bottom w:val="nil"/>
              <w:right w:val="nil"/>
            </w:tcBorders>
            <w:shd w:val="clear" w:color="auto" w:fill="auto"/>
            <w:noWrap/>
            <w:vAlign w:val="bottom"/>
            <w:hideMark/>
          </w:tcPr>
          <w:p w14:paraId="1C5800D7" w14:textId="47A65DEC" w:rsidR="0097475C" w:rsidRPr="003018A3" w:rsidRDefault="0097475C" w:rsidP="0097475C">
            <w:pPr>
              <w:spacing w:after="0" w:line="240" w:lineRule="auto"/>
              <w:ind w:firstLineChars="200" w:firstLine="320"/>
              <w:rPr>
                <w:rFonts w:cs="Arial"/>
                <w:color w:val="000000"/>
                <w:sz w:val="16"/>
                <w:szCs w:val="16"/>
              </w:rPr>
            </w:pPr>
            <w:r>
              <w:rPr>
                <w:rFonts w:cs="Arial"/>
                <w:color w:val="000000"/>
                <w:sz w:val="16"/>
                <w:szCs w:val="16"/>
              </w:rPr>
              <w:t xml:space="preserve"> jiné nemoci oběhové soustavy</w:t>
            </w:r>
          </w:p>
        </w:tc>
        <w:tc>
          <w:tcPr>
            <w:tcW w:w="907" w:type="dxa"/>
            <w:tcBorders>
              <w:top w:val="nil"/>
              <w:left w:val="single" w:sz="4" w:space="0" w:color="auto"/>
              <w:bottom w:val="nil"/>
              <w:right w:val="nil"/>
            </w:tcBorders>
            <w:shd w:val="clear" w:color="auto" w:fill="auto"/>
            <w:noWrap/>
            <w:vAlign w:val="bottom"/>
            <w:hideMark/>
          </w:tcPr>
          <w:p w14:paraId="7724EAFB" w14:textId="1DED387D" w:rsidR="0097475C" w:rsidRPr="003018A3" w:rsidRDefault="0097475C" w:rsidP="0097475C">
            <w:pPr>
              <w:spacing w:after="0" w:line="240" w:lineRule="auto"/>
              <w:jc w:val="right"/>
              <w:rPr>
                <w:rFonts w:cs="Arial"/>
                <w:color w:val="000000"/>
                <w:sz w:val="16"/>
                <w:szCs w:val="16"/>
              </w:rPr>
            </w:pPr>
            <w:r>
              <w:rPr>
                <w:rFonts w:cs="Arial"/>
                <w:color w:val="000000"/>
                <w:sz w:val="16"/>
                <w:szCs w:val="16"/>
              </w:rPr>
              <w:t>28,4</w:t>
            </w:r>
          </w:p>
        </w:tc>
        <w:tc>
          <w:tcPr>
            <w:tcW w:w="907" w:type="dxa"/>
            <w:tcBorders>
              <w:top w:val="nil"/>
              <w:left w:val="nil"/>
              <w:bottom w:val="nil"/>
              <w:right w:val="nil"/>
            </w:tcBorders>
            <w:shd w:val="clear" w:color="auto" w:fill="auto"/>
            <w:noWrap/>
            <w:vAlign w:val="bottom"/>
            <w:hideMark/>
          </w:tcPr>
          <w:p w14:paraId="5E5785D5" w14:textId="090E0992" w:rsidR="0097475C" w:rsidRPr="003018A3" w:rsidRDefault="0097475C" w:rsidP="0097475C">
            <w:pPr>
              <w:spacing w:after="0" w:line="240" w:lineRule="auto"/>
              <w:jc w:val="right"/>
              <w:rPr>
                <w:rFonts w:cs="Arial"/>
                <w:color w:val="000000"/>
                <w:sz w:val="16"/>
                <w:szCs w:val="16"/>
              </w:rPr>
            </w:pPr>
            <w:r>
              <w:rPr>
                <w:rFonts w:cs="Arial"/>
                <w:color w:val="000000"/>
                <w:sz w:val="16"/>
                <w:szCs w:val="16"/>
              </w:rPr>
              <w:t>14,7</w:t>
            </w:r>
          </w:p>
        </w:tc>
        <w:tc>
          <w:tcPr>
            <w:tcW w:w="907" w:type="dxa"/>
            <w:tcBorders>
              <w:top w:val="nil"/>
              <w:left w:val="nil"/>
              <w:bottom w:val="nil"/>
              <w:right w:val="single" w:sz="4" w:space="0" w:color="auto"/>
            </w:tcBorders>
            <w:shd w:val="clear" w:color="auto" w:fill="auto"/>
            <w:noWrap/>
            <w:vAlign w:val="bottom"/>
            <w:hideMark/>
          </w:tcPr>
          <w:p w14:paraId="5EB636E3" w14:textId="4B324D84" w:rsidR="0097475C" w:rsidRPr="003018A3" w:rsidRDefault="0097475C" w:rsidP="0097475C">
            <w:pPr>
              <w:spacing w:after="0" w:line="240" w:lineRule="auto"/>
              <w:jc w:val="right"/>
              <w:rPr>
                <w:rFonts w:cs="Arial"/>
                <w:color w:val="000000"/>
                <w:sz w:val="16"/>
                <w:szCs w:val="16"/>
              </w:rPr>
            </w:pPr>
            <w:r>
              <w:rPr>
                <w:rFonts w:cs="Arial"/>
                <w:color w:val="000000"/>
                <w:sz w:val="16"/>
                <w:szCs w:val="16"/>
              </w:rPr>
              <w:t>13,7</w:t>
            </w:r>
          </w:p>
        </w:tc>
        <w:tc>
          <w:tcPr>
            <w:tcW w:w="907" w:type="dxa"/>
            <w:tcBorders>
              <w:top w:val="nil"/>
              <w:left w:val="nil"/>
              <w:bottom w:val="nil"/>
              <w:right w:val="nil"/>
            </w:tcBorders>
            <w:shd w:val="clear" w:color="auto" w:fill="auto"/>
            <w:noWrap/>
            <w:vAlign w:val="bottom"/>
            <w:hideMark/>
          </w:tcPr>
          <w:p w14:paraId="0F647BA2" w14:textId="71178ED3" w:rsidR="0097475C" w:rsidRPr="003018A3" w:rsidRDefault="0097475C" w:rsidP="0097475C">
            <w:pPr>
              <w:spacing w:after="0" w:line="240" w:lineRule="auto"/>
              <w:jc w:val="right"/>
              <w:rPr>
                <w:rFonts w:cs="Arial"/>
                <w:color w:val="000000"/>
                <w:sz w:val="16"/>
                <w:szCs w:val="16"/>
              </w:rPr>
            </w:pPr>
            <w:r>
              <w:rPr>
                <w:rFonts w:cs="Arial"/>
                <w:color w:val="000000"/>
                <w:sz w:val="16"/>
                <w:szCs w:val="16"/>
              </w:rPr>
              <w:t>64,7</w:t>
            </w:r>
          </w:p>
        </w:tc>
        <w:tc>
          <w:tcPr>
            <w:tcW w:w="907" w:type="dxa"/>
            <w:tcBorders>
              <w:top w:val="nil"/>
              <w:left w:val="nil"/>
              <w:bottom w:val="nil"/>
              <w:right w:val="nil"/>
            </w:tcBorders>
            <w:shd w:val="clear" w:color="auto" w:fill="auto"/>
            <w:noWrap/>
            <w:vAlign w:val="bottom"/>
            <w:hideMark/>
          </w:tcPr>
          <w:p w14:paraId="1CE7AF2D" w14:textId="3AB2CCBD" w:rsidR="0097475C" w:rsidRPr="003018A3" w:rsidRDefault="0097475C" w:rsidP="0097475C">
            <w:pPr>
              <w:spacing w:after="0" w:line="240" w:lineRule="auto"/>
              <w:jc w:val="right"/>
              <w:rPr>
                <w:rFonts w:cs="Arial"/>
                <w:color w:val="000000"/>
                <w:sz w:val="16"/>
                <w:szCs w:val="16"/>
              </w:rPr>
            </w:pPr>
            <w:r>
              <w:rPr>
                <w:rFonts w:cs="Arial"/>
                <w:color w:val="000000"/>
                <w:sz w:val="16"/>
                <w:szCs w:val="16"/>
              </w:rPr>
              <w:t>74,1</w:t>
            </w:r>
          </w:p>
        </w:tc>
        <w:tc>
          <w:tcPr>
            <w:tcW w:w="907" w:type="dxa"/>
            <w:tcBorders>
              <w:top w:val="nil"/>
              <w:left w:val="nil"/>
              <w:bottom w:val="nil"/>
              <w:right w:val="nil"/>
            </w:tcBorders>
            <w:shd w:val="clear" w:color="auto" w:fill="auto"/>
            <w:noWrap/>
            <w:vAlign w:val="bottom"/>
            <w:hideMark/>
          </w:tcPr>
          <w:p w14:paraId="7F380319" w14:textId="5EC69D40" w:rsidR="0097475C" w:rsidRPr="003018A3" w:rsidRDefault="0097475C" w:rsidP="0097475C">
            <w:pPr>
              <w:spacing w:after="0" w:line="240" w:lineRule="auto"/>
              <w:jc w:val="right"/>
              <w:rPr>
                <w:rFonts w:cs="Arial"/>
                <w:color w:val="000000"/>
                <w:sz w:val="16"/>
                <w:szCs w:val="16"/>
              </w:rPr>
            </w:pPr>
            <w:r>
              <w:rPr>
                <w:rFonts w:cs="Arial"/>
                <w:color w:val="000000"/>
                <w:sz w:val="16"/>
                <w:szCs w:val="16"/>
              </w:rPr>
              <w:t>54,7</w:t>
            </w:r>
          </w:p>
        </w:tc>
      </w:tr>
      <w:tr w:rsidR="0097475C" w:rsidRPr="003018A3" w14:paraId="6FF745B0" w14:textId="77777777" w:rsidTr="0097475C">
        <w:trPr>
          <w:trHeight w:val="300"/>
        </w:trPr>
        <w:tc>
          <w:tcPr>
            <w:tcW w:w="4195" w:type="dxa"/>
            <w:tcBorders>
              <w:top w:val="nil"/>
              <w:left w:val="nil"/>
              <w:bottom w:val="nil"/>
              <w:right w:val="nil"/>
            </w:tcBorders>
            <w:shd w:val="clear" w:color="auto" w:fill="auto"/>
            <w:noWrap/>
            <w:vAlign w:val="bottom"/>
            <w:hideMark/>
          </w:tcPr>
          <w:p w14:paraId="64799A21" w14:textId="78B774EB"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Nemoci dýchací soustavy</w:t>
            </w:r>
          </w:p>
        </w:tc>
        <w:tc>
          <w:tcPr>
            <w:tcW w:w="907" w:type="dxa"/>
            <w:tcBorders>
              <w:top w:val="nil"/>
              <w:left w:val="single" w:sz="4" w:space="0" w:color="auto"/>
              <w:bottom w:val="nil"/>
              <w:right w:val="nil"/>
            </w:tcBorders>
            <w:shd w:val="clear" w:color="auto" w:fill="auto"/>
            <w:noWrap/>
            <w:vAlign w:val="bottom"/>
            <w:hideMark/>
          </w:tcPr>
          <w:p w14:paraId="281AD6EE" w14:textId="658DCA08" w:rsidR="0097475C" w:rsidRPr="003018A3" w:rsidRDefault="0097475C" w:rsidP="0097475C">
            <w:pPr>
              <w:spacing w:after="0" w:line="240" w:lineRule="auto"/>
              <w:jc w:val="right"/>
              <w:rPr>
                <w:rFonts w:cs="Arial"/>
                <w:color w:val="000000"/>
                <w:sz w:val="16"/>
                <w:szCs w:val="16"/>
              </w:rPr>
            </w:pPr>
            <w:r>
              <w:rPr>
                <w:rFonts w:cs="Arial"/>
                <w:color w:val="000000"/>
                <w:sz w:val="16"/>
                <w:szCs w:val="16"/>
              </w:rPr>
              <w:t>1 069,9</w:t>
            </w:r>
          </w:p>
        </w:tc>
        <w:tc>
          <w:tcPr>
            <w:tcW w:w="907" w:type="dxa"/>
            <w:tcBorders>
              <w:top w:val="nil"/>
              <w:left w:val="nil"/>
              <w:bottom w:val="nil"/>
              <w:right w:val="nil"/>
            </w:tcBorders>
            <w:shd w:val="clear" w:color="auto" w:fill="auto"/>
            <w:noWrap/>
            <w:vAlign w:val="bottom"/>
            <w:hideMark/>
          </w:tcPr>
          <w:p w14:paraId="28B4345D" w14:textId="2750323D" w:rsidR="0097475C" w:rsidRPr="003018A3" w:rsidRDefault="0097475C" w:rsidP="0097475C">
            <w:pPr>
              <w:spacing w:after="0" w:line="240" w:lineRule="auto"/>
              <w:jc w:val="right"/>
              <w:rPr>
                <w:rFonts w:cs="Arial"/>
                <w:color w:val="000000"/>
                <w:sz w:val="16"/>
                <w:szCs w:val="16"/>
              </w:rPr>
            </w:pPr>
            <w:r>
              <w:rPr>
                <w:rFonts w:cs="Arial"/>
                <w:color w:val="000000"/>
                <w:sz w:val="16"/>
                <w:szCs w:val="16"/>
              </w:rPr>
              <w:t>459,6</w:t>
            </w:r>
          </w:p>
        </w:tc>
        <w:tc>
          <w:tcPr>
            <w:tcW w:w="907" w:type="dxa"/>
            <w:tcBorders>
              <w:top w:val="nil"/>
              <w:left w:val="nil"/>
              <w:bottom w:val="nil"/>
              <w:right w:val="single" w:sz="4" w:space="0" w:color="auto"/>
            </w:tcBorders>
            <w:shd w:val="clear" w:color="auto" w:fill="auto"/>
            <w:noWrap/>
            <w:vAlign w:val="bottom"/>
            <w:hideMark/>
          </w:tcPr>
          <w:p w14:paraId="2449ADB3" w14:textId="14DC0DFB" w:rsidR="0097475C" w:rsidRPr="003018A3" w:rsidRDefault="0097475C" w:rsidP="0097475C">
            <w:pPr>
              <w:spacing w:after="0" w:line="240" w:lineRule="auto"/>
              <w:jc w:val="right"/>
              <w:rPr>
                <w:rFonts w:cs="Arial"/>
                <w:color w:val="000000"/>
                <w:sz w:val="16"/>
                <w:szCs w:val="16"/>
              </w:rPr>
            </w:pPr>
            <w:r>
              <w:rPr>
                <w:rFonts w:cs="Arial"/>
                <w:color w:val="000000"/>
                <w:sz w:val="16"/>
                <w:szCs w:val="16"/>
              </w:rPr>
              <w:t>610,3</w:t>
            </w:r>
          </w:p>
        </w:tc>
        <w:tc>
          <w:tcPr>
            <w:tcW w:w="907" w:type="dxa"/>
            <w:tcBorders>
              <w:top w:val="nil"/>
              <w:left w:val="nil"/>
              <w:bottom w:val="nil"/>
              <w:right w:val="nil"/>
            </w:tcBorders>
            <w:shd w:val="clear" w:color="auto" w:fill="auto"/>
            <w:noWrap/>
            <w:vAlign w:val="bottom"/>
            <w:hideMark/>
          </w:tcPr>
          <w:p w14:paraId="399984AB" w14:textId="7CD4D3C3" w:rsidR="0097475C" w:rsidRPr="003018A3" w:rsidRDefault="0097475C" w:rsidP="0097475C">
            <w:pPr>
              <w:spacing w:after="0" w:line="240" w:lineRule="auto"/>
              <w:jc w:val="right"/>
              <w:rPr>
                <w:rFonts w:cs="Arial"/>
                <w:color w:val="000000"/>
                <w:sz w:val="16"/>
                <w:szCs w:val="16"/>
              </w:rPr>
            </w:pPr>
            <w:r>
              <w:rPr>
                <w:rFonts w:cs="Arial"/>
                <w:color w:val="000000"/>
                <w:sz w:val="16"/>
                <w:szCs w:val="16"/>
              </w:rPr>
              <w:t>11,8</w:t>
            </w:r>
          </w:p>
        </w:tc>
        <w:tc>
          <w:tcPr>
            <w:tcW w:w="907" w:type="dxa"/>
            <w:tcBorders>
              <w:top w:val="nil"/>
              <w:left w:val="nil"/>
              <w:bottom w:val="nil"/>
              <w:right w:val="nil"/>
            </w:tcBorders>
            <w:shd w:val="clear" w:color="auto" w:fill="auto"/>
            <w:noWrap/>
            <w:vAlign w:val="bottom"/>
            <w:hideMark/>
          </w:tcPr>
          <w:p w14:paraId="51836964" w14:textId="4DFDF4D8" w:rsidR="0097475C" w:rsidRPr="003018A3" w:rsidRDefault="0097475C" w:rsidP="0097475C">
            <w:pPr>
              <w:spacing w:after="0" w:line="240" w:lineRule="auto"/>
              <w:jc w:val="right"/>
              <w:rPr>
                <w:rFonts w:cs="Arial"/>
                <w:color w:val="000000"/>
                <w:sz w:val="16"/>
                <w:szCs w:val="16"/>
              </w:rPr>
            </w:pPr>
            <w:r>
              <w:rPr>
                <w:rFonts w:cs="Arial"/>
                <w:color w:val="000000"/>
                <w:sz w:val="16"/>
                <w:szCs w:val="16"/>
              </w:rPr>
              <w:t>11,9</w:t>
            </w:r>
          </w:p>
        </w:tc>
        <w:tc>
          <w:tcPr>
            <w:tcW w:w="907" w:type="dxa"/>
            <w:tcBorders>
              <w:top w:val="nil"/>
              <w:left w:val="nil"/>
              <w:bottom w:val="nil"/>
              <w:right w:val="nil"/>
            </w:tcBorders>
            <w:shd w:val="clear" w:color="auto" w:fill="auto"/>
            <w:noWrap/>
            <w:vAlign w:val="bottom"/>
            <w:hideMark/>
          </w:tcPr>
          <w:p w14:paraId="396EEFEE" w14:textId="75AF3C42" w:rsidR="0097475C" w:rsidRPr="003018A3" w:rsidRDefault="0097475C" w:rsidP="0097475C">
            <w:pPr>
              <w:spacing w:after="0" w:line="240" w:lineRule="auto"/>
              <w:jc w:val="right"/>
              <w:rPr>
                <w:rFonts w:cs="Arial"/>
                <w:color w:val="000000"/>
                <w:sz w:val="16"/>
                <w:szCs w:val="16"/>
              </w:rPr>
            </w:pPr>
            <w:r>
              <w:rPr>
                <w:rFonts w:cs="Arial"/>
                <w:color w:val="000000"/>
                <w:sz w:val="16"/>
                <w:szCs w:val="16"/>
              </w:rPr>
              <w:t>11,7</w:t>
            </w:r>
          </w:p>
        </w:tc>
      </w:tr>
      <w:tr w:rsidR="0097475C" w:rsidRPr="003018A3" w14:paraId="1D3AB46C" w14:textId="77777777" w:rsidTr="0097475C">
        <w:trPr>
          <w:trHeight w:val="300"/>
        </w:trPr>
        <w:tc>
          <w:tcPr>
            <w:tcW w:w="4195" w:type="dxa"/>
            <w:tcBorders>
              <w:top w:val="nil"/>
              <w:left w:val="nil"/>
              <w:bottom w:val="nil"/>
              <w:right w:val="nil"/>
            </w:tcBorders>
            <w:shd w:val="clear" w:color="auto" w:fill="auto"/>
            <w:noWrap/>
            <w:vAlign w:val="bottom"/>
            <w:hideMark/>
          </w:tcPr>
          <w:p w14:paraId="7C397508" w14:textId="5F7B24C6" w:rsidR="0097475C" w:rsidRPr="003018A3" w:rsidRDefault="0097475C" w:rsidP="0097475C">
            <w:pPr>
              <w:spacing w:after="0" w:line="240" w:lineRule="auto"/>
              <w:ind w:firstLineChars="200" w:firstLine="320"/>
              <w:rPr>
                <w:rFonts w:cs="Arial"/>
                <w:color w:val="000000"/>
                <w:sz w:val="16"/>
                <w:szCs w:val="16"/>
              </w:rPr>
            </w:pPr>
            <w:r>
              <w:rPr>
                <w:rFonts w:cs="Arial"/>
                <w:color w:val="000000"/>
                <w:sz w:val="16"/>
                <w:szCs w:val="16"/>
              </w:rPr>
              <w:t xml:space="preserve"> akutní infekce dýchacích cest</w:t>
            </w:r>
          </w:p>
        </w:tc>
        <w:tc>
          <w:tcPr>
            <w:tcW w:w="907" w:type="dxa"/>
            <w:tcBorders>
              <w:top w:val="nil"/>
              <w:left w:val="single" w:sz="4" w:space="0" w:color="auto"/>
              <w:bottom w:val="nil"/>
              <w:right w:val="nil"/>
            </w:tcBorders>
            <w:shd w:val="clear" w:color="auto" w:fill="auto"/>
            <w:noWrap/>
            <w:vAlign w:val="bottom"/>
            <w:hideMark/>
          </w:tcPr>
          <w:p w14:paraId="434BBD1A" w14:textId="07F3FCDA" w:rsidR="0097475C" w:rsidRPr="003018A3" w:rsidRDefault="0097475C" w:rsidP="0097475C">
            <w:pPr>
              <w:spacing w:after="0" w:line="240" w:lineRule="auto"/>
              <w:jc w:val="right"/>
              <w:rPr>
                <w:rFonts w:cs="Arial"/>
                <w:color w:val="000000"/>
                <w:sz w:val="16"/>
                <w:szCs w:val="16"/>
              </w:rPr>
            </w:pPr>
            <w:r>
              <w:rPr>
                <w:rFonts w:cs="Arial"/>
                <w:color w:val="000000"/>
                <w:sz w:val="16"/>
                <w:szCs w:val="16"/>
              </w:rPr>
              <w:t>946,9</w:t>
            </w:r>
          </w:p>
        </w:tc>
        <w:tc>
          <w:tcPr>
            <w:tcW w:w="907" w:type="dxa"/>
            <w:tcBorders>
              <w:top w:val="nil"/>
              <w:left w:val="nil"/>
              <w:bottom w:val="nil"/>
              <w:right w:val="nil"/>
            </w:tcBorders>
            <w:shd w:val="clear" w:color="auto" w:fill="auto"/>
            <w:noWrap/>
            <w:vAlign w:val="bottom"/>
            <w:hideMark/>
          </w:tcPr>
          <w:p w14:paraId="4BA25866" w14:textId="1B606C94" w:rsidR="0097475C" w:rsidRPr="003018A3" w:rsidRDefault="0097475C" w:rsidP="0097475C">
            <w:pPr>
              <w:spacing w:after="0" w:line="240" w:lineRule="auto"/>
              <w:jc w:val="right"/>
              <w:rPr>
                <w:rFonts w:cs="Arial"/>
                <w:color w:val="000000"/>
                <w:sz w:val="16"/>
                <w:szCs w:val="16"/>
              </w:rPr>
            </w:pPr>
            <w:r>
              <w:rPr>
                <w:rFonts w:cs="Arial"/>
                <w:color w:val="000000"/>
                <w:sz w:val="16"/>
                <w:szCs w:val="16"/>
              </w:rPr>
              <w:t>402,1</w:t>
            </w:r>
          </w:p>
        </w:tc>
        <w:tc>
          <w:tcPr>
            <w:tcW w:w="907" w:type="dxa"/>
            <w:tcBorders>
              <w:top w:val="nil"/>
              <w:left w:val="nil"/>
              <w:bottom w:val="nil"/>
              <w:right w:val="single" w:sz="4" w:space="0" w:color="auto"/>
            </w:tcBorders>
            <w:shd w:val="clear" w:color="auto" w:fill="auto"/>
            <w:noWrap/>
            <w:vAlign w:val="bottom"/>
            <w:hideMark/>
          </w:tcPr>
          <w:p w14:paraId="2E26259C" w14:textId="6AAC163F" w:rsidR="0097475C" w:rsidRPr="003018A3" w:rsidRDefault="0097475C" w:rsidP="0097475C">
            <w:pPr>
              <w:spacing w:after="0" w:line="240" w:lineRule="auto"/>
              <w:jc w:val="right"/>
              <w:rPr>
                <w:rFonts w:cs="Arial"/>
                <w:color w:val="000000"/>
                <w:sz w:val="16"/>
                <w:szCs w:val="16"/>
              </w:rPr>
            </w:pPr>
            <w:r>
              <w:rPr>
                <w:rFonts w:cs="Arial"/>
                <w:color w:val="000000"/>
                <w:sz w:val="16"/>
                <w:szCs w:val="16"/>
              </w:rPr>
              <w:t>544,8</w:t>
            </w:r>
          </w:p>
        </w:tc>
        <w:tc>
          <w:tcPr>
            <w:tcW w:w="907" w:type="dxa"/>
            <w:tcBorders>
              <w:top w:val="nil"/>
              <w:left w:val="nil"/>
              <w:bottom w:val="nil"/>
              <w:right w:val="nil"/>
            </w:tcBorders>
            <w:shd w:val="clear" w:color="auto" w:fill="auto"/>
            <w:noWrap/>
            <w:vAlign w:val="bottom"/>
            <w:hideMark/>
          </w:tcPr>
          <w:p w14:paraId="087DA260" w14:textId="7E4FF769" w:rsidR="0097475C" w:rsidRPr="003018A3" w:rsidRDefault="0097475C" w:rsidP="0097475C">
            <w:pPr>
              <w:spacing w:after="0" w:line="240" w:lineRule="auto"/>
              <w:jc w:val="right"/>
              <w:rPr>
                <w:rFonts w:cs="Arial"/>
                <w:color w:val="000000"/>
                <w:sz w:val="16"/>
                <w:szCs w:val="16"/>
              </w:rPr>
            </w:pPr>
            <w:r>
              <w:rPr>
                <w:rFonts w:cs="Arial"/>
                <w:color w:val="000000"/>
                <w:sz w:val="16"/>
                <w:szCs w:val="16"/>
              </w:rPr>
              <w:t>11,2</w:t>
            </w:r>
          </w:p>
        </w:tc>
        <w:tc>
          <w:tcPr>
            <w:tcW w:w="907" w:type="dxa"/>
            <w:tcBorders>
              <w:top w:val="nil"/>
              <w:left w:val="nil"/>
              <w:bottom w:val="nil"/>
              <w:right w:val="nil"/>
            </w:tcBorders>
            <w:shd w:val="clear" w:color="auto" w:fill="auto"/>
            <w:noWrap/>
            <w:vAlign w:val="bottom"/>
            <w:hideMark/>
          </w:tcPr>
          <w:p w14:paraId="56CAE20A" w14:textId="395F6E97" w:rsidR="0097475C" w:rsidRPr="003018A3" w:rsidRDefault="0097475C" w:rsidP="0097475C">
            <w:pPr>
              <w:spacing w:after="0" w:line="240" w:lineRule="auto"/>
              <w:jc w:val="right"/>
              <w:rPr>
                <w:rFonts w:cs="Arial"/>
                <w:color w:val="000000"/>
                <w:sz w:val="16"/>
                <w:szCs w:val="16"/>
              </w:rPr>
            </w:pPr>
            <w:r>
              <w:rPr>
                <w:rFonts w:cs="Arial"/>
                <w:color w:val="000000"/>
                <w:sz w:val="16"/>
                <w:szCs w:val="16"/>
              </w:rPr>
              <w:t>11,1</w:t>
            </w:r>
          </w:p>
        </w:tc>
        <w:tc>
          <w:tcPr>
            <w:tcW w:w="907" w:type="dxa"/>
            <w:tcBorders>
              <w:top w:val="nil"/>
              <w:left w:val="nil"/>
              <w:bottom w:val="nil"/>
              <w:right w:val="nil"/>
            </w:tcBorders>
            <w:shd w:val="clear" w:color="auto" w:fill="auto"/>
            <w:noWrap/>
            <w:vAlign w:val="bottom"/>
            <w:hideMark/>
          </w:tcPr>
          <w:p w14:paraId="404E7712" w14:textId="4ED9BC5C" w:rsidR="0097475C" w:rsidRPr="003018A3" w:rsidRDefault="0097475C" w:rsidP="0097475C">
            <w:pPr>
              <w:spacing w:after="0" w:line="240" w:lineRule="auto"/>
              <w:jc w:val="right"/>
              <w:rPr>
                <w:rFonts w:cs="Arial"/>
                <w:color w:val="000000"/>
                <w:sz w:val="16"/>
                <w:szCs w:val="16"/>
              </w:rPr>
            </w:pPr>
            <w:r>
              <w:rPr>
                <w:rFonts w:cs="Arial"/>
                <w:color w:val="000000"/>
                <w:sz w:val="16"/>
                <w:szCs w:val="16"/>
              </w:rPr>
              <w:t>11,2</w:t>
            </w:r>
          </w:p>
        </w:tc>
      </w:tr>
      <w:tr w:rsidR="0097475C" w:rsidRPr="003018A3" w14:paraId="6ABE85FB" w14:textId="77777777" w:rsidTr="0097475C">
        <w:trPr>
          <w:trHeight w:val="300"/>
        </w:trPr>
        <w:tc>
          <w:tcPr>
            <w:tcW w:w="4195" w:type="dxa"/>
            <w:tcBorders>
              <w:top w:val="nil"/>
              <w:left w:val="nil"/>
              <w:bottom w:val="nil"/>
              <w:right w:val="nil"/>
            </w:tcBorders>
            <w:shd w:val="clear" w:color="auto" w:fill="auto"/>
            <w:noWrap/>
            <w:vAlign w:val="bottom"/>
            <w:hideMark/>
          </w:tcPr>
          <w:p w14:paraId="702866A0" w14:textId="550A0B43" w:rsidR="0097475C" w:rsidRPr="003018A3" w:rsidRDefault="0097475C" w:rsidP="0097475C">
            <w:pPr>
              <w:spacing w:after="0" w:line="240" w:lineRule="auto"/>
              <w:ind w:firstLineChars="200" w:firstLine="320"/>
              <w:rPr>
                <w:rFonts w:cs="Arial"/>
                <w:color w:val="000000"/>
                <w:sz w:val="16"/>
                <w:szCs w:val="16"/>
              </w:rPr>
            </w:pPr>
            <w:r>
              <w:rPr>
                <w:rFonts w:cs="Arial"/>
                <w:color w:val="000000"/>
                <w:sz w:val="16"/>
                <w:szCs w:val="16"/>
              </w:rPr>
              <w:t xml:space="preserve"> chřipka</w:t>
            </w:r>
          </w:p>
        </w:tc>
        <w:tc>
          <w:tcPr>
            <w:tcW w:w="907" w:type="dxa"/>
            <w:tcBorders>
              <w:top w:val="nil"/>
              <w:left w:val="single" w:sz="4" w:space="0" w:color="auto"/>
              <w:bottom w:val="nil"/>
              <w:right w:val="nil"/>
            </w:tcBorders>
            <w:shd w:val="clear" w:color="auto" w:fill="auto"/>
            <w:noWrap/>
            <w:vAlign w:val="bottom"/>
            <w:hideMark/>
          </w:tcPr>
          <w:p w14:paraId="58F60EB2" w14:textId="3B8355CA" w:rsidR="0097475C" w:rsidRPr="003018A3" w:rsidRDefault="0097475C" w:rsidP="0097475C">
            <w:pPr>
              <w:spacing w:after="0" w:line="240" w:lineRule="auto"/>
              <w:jc w:val="right"/>
              <w:rPr>
                <w:rFonts w:cs="Arial"/>
                <w:color w:val="000000"/>
                <w:sz w:val="16"/>
                <w:szCs w:val="16"/>
              </w:rPr>
            </w:pPr>
            <w:r>
              <w:rPr>
                <w:rFonts w:cs="Arial"/>
                <w:color w:val="000000"/>
                <w:sz w:val="16"/>
                <w:szCs w:val="16"/>
              </w:rPr>
              <w:t>100,6</w:t>
            </w:r>
          </w:p>
        </w:tc>
        <w:tc>
          <w:tcPr>
            <w:tcW w:w="907" w:type="dxa"/>
            <w:tcBorders>
              <w:top w:val="nil"/>
              <w:left w:val="nil"/>
              <w:bottom w:val="nil"/>
              <w:right w:val="nil"/>
            </w:tcBorders>
            <w:shd w:val="clear" w:color="auto" w:fill="auto"/>
            <w:noWrap/>
            <w:vAlign w:val="bottom"/>
            <w:hideMark/>
          </w:tcPr>
          <w:p w14:paraId="729EA531" w14:textId="7B101E30" w:rsidR="0097475C" w:rsidRPr="003018A3" w:rsidRDefault="0097475C" w:rsidP="0097475C">
            <w:pPr>
              <w:spacing w:after="0" w:line="240" w:lineRule="auto"/>
              <w:jc w:val="right"/>
              <w:rPr>
                <w:rFonts w:cs="Arial"/>
                <w:color w:val="000000"/>
                <w:sz w:val="16"/>
                <w:szCs w:val="16"/>
              </w:rPr>
            </w:pPr>
            <w:r>
              <w:rPr>
                <w:rFonts w:cs="Arial"/>
                <w:color w:val="000000"/>
                <w:sz w:val="16"/>
                <w:szCs w:val="16"/>
              </w:rPr>
              <w:t>46,8</w:t>
            </w:r>
          </w:p>
        </w:tc>
        <w:tc>
          <w:tcPr>
            <w:tcW w:w="907" w:type="dxa"/>
            <w:tcBorders>
              <w:top w:val="nil"/>
              <w:left w:val="nil"/>
              <w:bottom w:val="nil"/>
              <w:right w:val="single" w:sz="4" w:space="0" w:color="auto"/>
            </w:tcBorders>
            <w:shd w:val="clear" w:color="auto" w:fill="auto"/>
            <w:noWrap/>
            <w:vAlign w:val="bottom"/>
            <w:hideMark/>
          </w:tcPr>
          <w:p w14:paraId="4B344388" w14:textId="55A361F3" w:rsidR="0097475C" w:rsidRPr="003018A3" w:rsidRDefault="0097475C" w:rsidP="0097475C">
            <w:pPr>
              <w:spacing w:after="0" w:line="240" w:lineRule="auto"/>
              <w:jc w:val="right"/>
              <w:rPr>
                <w:rFonts w:cs="Arial"/>
                <w:color w:val="000000"/>
                <w:sz w:val="16"/>
                <w:szCs w:val="16"/>
              </w:rPr>
            </w:pPr>
            <w:r>
              <w:rPr>
                <w:rFonts w:cs="Arial"/>
                <w:color w:val="000000"/>
                <w:sz w:val="16"/>
                <w:szCs w:val="16"/>
              </w:rPr>
              <w:t>53,8</w:t>
            </w:r>
          </w:p>
        </w:tc>
        <w:tc>
          <w:tcPr>
            <w:tcW w:w="907" w:type="dxa"/>
            <w:tcBorders>
              <w:top w:val="nil"/>
              <w:left w:val="nil"/>
              <w:bottom w:val="nil"/>
              <w:right w:val="nil"/>
            </w:tcBorders>
            <w:shd w:val="clear" w:color="auto" w:fill="auto"/>
            <w:noWrap/>
            <w:vAlign w:val="bottom"/>
            <w:hideMark/>
          </w:tcPr>
          <w:p w14:paraId="2F0FA6A1" w14:textId="0785C6FA" w:rsidR="0097475C" w:rsidRPr="003018A3" w:rsidRDefault="0097475C" w:rsidP="0097475C">
            <w:pPr>
              <w:spacing w:after="0" w:line="240" w:lineRule="auto"/>
              <w:jc w:val="right"/>
              <w:rPr>
                <w:rFonts w:cs="Arial"/>
                <w:color w:val="000000"/>
                <w:sz w:val="16"/>
                <w:szCs w:val="16"/>
              </w:rPr>
            </w:pPr>
            <w:r>
              <w:rPr>
                <w:rFonts w:cs="Arial"/>
                <w:color w:val="000000"/>
                <w:sz w:val="16"/>
                <w:szCs w:val="16"/>
              </w:rPr>
              <w:t>12,8</w:t>
            </w:r>
          </w:p>
        </w:tc>
        <w:tc>
          <w:tcPr>
            <w:tcW w:w="907" w:type="dxa"/>
            <w:tcBorders>
              <w:top w:val="nil"/>
              <w:left w:val="nil"/>
              <w:bottom w:val="nil"/>
              <w:right w:val="nil"/>
            </w:tcBorders>
            <w:shd w:val="clear" w:color="auto" w:fill="auto"/>
            <w:noWrap/>
            <w:vAlign w:val="bottom"/>
            <w:hideMark/>
          </w:tcPr>
          <w:p w14:paraId="06782963" w14:textId="56B50B66" w:rsidR="0097475C" w:rsidRPr="003018A3" w:rsidRDefault="0097475C" w:rsidP="0097475C">
            <w:pPr>
              <w:spacing w:after="0" w:line="240" w:lineRule="auto"/>
              <w:jc w:val="right"/>
              <w:rPr>
                <w:rFonts w:cs="Arial"/>
                <w:color w:val="000000"/>
                <w:sz w:val="16"/>
                <w:szCs w:val="16"/>
              </w:rPr>
            </w:pPr>
            <w:r>
              <w:rPr>
                <w:rFonts w:cs="Arial"/>
                <w:color w:val="000000"/>
                <w:sz w:val="16"/>
                <w:szCs w:val="16"/>
              </w:rPr>
              <w:t>13,0</w:t>
            </w:r>
          </w:p>
        </w:tc>
        <w:tc>
          <w:tcPr>
            <w:tcW w:w="907" w:type="dxa"/>
            <w:tcBorders>
              <w:top w:val="nil"/>
              <w:left w:val="nil"/>
              <w:bottom w:val="nil"/>
              <w:right w:val="nil"/>
            </w:tcBorders>
            <w:shd w:val="clear" w:color="auto" w:fill="auto"/>
            <w:noWrap/>
            <w:vAlign w:val="bottom"/>
            <w:hideMark/>
          </w:tcPr>
          <w:p w14:paraId="4AD86599" w14:textId="12D22A36" w:rsidR="0097475C" w:rsidRPr="003018A3" w:rsidRDefault="0097475C" w:rsidP="0097475C">
            <w:pPr>
              <w:spacing w:after="0" w:line="240" w:lineRule="auto"/>
              <w:jc w:val="right"/>
              <w:rPr>
                <w:rFonts w:cs="Arial"/>
                <w:color w:val="000000"/>
                <w:sz w:val="16"/>
                <w:szCs w:val="16"/>
              </w:rPr>
            </w:pPr>
            <w:r>
              <w:rPr>
                <w:rFonts w:cs="Arial"/>
                <w:color w:val="000000"/>
                <w:sz w:val="16"/>
                <w:szCs w:val="16"/>
              </w:rPr>
              <w:t>12,6</w:t>
            </w:r>
          </w:p>
        </w:tc>
      </w:tr>
      <w:tr w:rsidR="0097475C" w:rsidRPr="003018A3" w14:paraId="5EF083A5" w14:textId="77777777" w:rsidTr="0097475C">
        <w:trPr>
          <w:trHeight w:val="300"/>
        </w:trPr>
        <w:tc>
          <w:tcPr>
            <w:tcW w:w="4195" w:type="dxa"/>
            <w:tcBorders>
              <w:top w:val="nil"/>
              <w:left w:val="nil"/>
              <w:bottom w:val="nil"/>
              <w:right w:val="nil"/>
            </w:tcBorders>
            <w:shd w:val="clear" w:color="auto" w:fill="auto"/>
            <w:noWrap/>
            <w:vAlign w:val="bottom"/>
            <w:hideMark/>
          </w:tcPr>
          <w:p w14:paraId="2A26E180" w14:textId="51237C98" w:rsidR="0097475C" w:rsidRPr="003018A3" w:rsidRDefault="0097475C" w:rsidP="0097475C">
            <w:pPr>
              <w:spacing w:after="0" w:line="240" w:lineRule="auto"/>
              <w:ind w:firstLineChars="200" w:firstLine="320"/>
              <w:rPr>
                <w:rFonts w:cs="Arial"/>
                <w:color w:val="000000"/>
                <w:sz w:val="16"/>
                <w:szCs w:val="16"/>
              </w:rPr>
            </w:pPr>
            <w:r>
              <w:rPr>
                <w:rFonts w:cs="Arial"/>
                <w:color w:val="000000"/>
                <w:sz w:val="16"/>
                <w:szCs w:val="16"/>
              </w:rPr>
              <w:t xml:space="preserve"> chronické nemoci dolních dýchacích cest</w:t>
            </w:r>
          </w:p>
        </w:tc>
        <w:tc>
          <w:tcPr>
            <w:tcW w:w="907" w:type="dxa"/>
            <w:tcBorders>
              <w:top w:val="nil"/>
              <w:left w:val="single" w:sz="4" w:space="0" w:color="auto"/>
              <w:bottom w:val="nil"/>
              <w:right w:val="nil"/>
            </w:tcBorders>
            <w:shd w:val="clear" w:color="auto" w:fill="auto"/>
            <w:noWrap/>
            <w:vAlign w:val="bottom"/>
            <w:hideMark/>
          </w:tcPr>
          <w:p w14:paraId="30A5B3E2" w14:textId="2AF039E7" w:rsidR="0097475C" w:rsidRPr="003018A3" w:rsidRDefault="0097475C" w:rsidP="0097475C">
            <w:pPr>
              <w:spacing w:after="0" w:line="240" w:lineRule="auto"/>
              <w:jc w:val="right"/>
              <w:rPr>
                <w:rFonts w:cs="Arial"/>
                <w:color w:val="000000"/>
                <w:sz w:val="16"/>
                <w:szCs w:val="16"/>
              </w:rPr>
            </w:pPr>
            <w:r>
              <w:rPr>
                <w:rFonts w:cs="Arial"/>
                <w:color w:val="000000"/>
                <w:sz w:val="16"/>
                <w:szCs w:val="16"/>
              </w:rPr>
              <w:t>10,4</w:t>
            </w:r>
          </w:p>
        </w:tc>
        <w:tc>
          <w:tcPr>
            <w:tcW w:w="907" w:type="dxa"/>
            <w:tcBorders>
              <w:top w:val="nil"/>
              <w:left w:val="nil"/>
              <w:bottom w:val="nil"/>
              <w:right w:val="nil"/>
            </w:tcBorders>
            <w:shd w:val="clear" w:color="auto" w:fill="auto"/>
            <w:noWrap/>
            <w:vAlign w:val="bottom"/>
            <w:hideMark/>
          </w:tcPr>
          <w:p w14:paraId="5FF2AA69" w14:textId="198E1C29" w:rsidR="0097475C" w:rsidRPr="003018A3" w:rsidRDefault="0097475C" w:rsidP="0097475C">
            <w:pPr>
              <w:spacing w:after="0" w:line="240" w:lineRule="auto"/>
              <w:jc w:val="right"/>
              <w:rPr>
                <w:rFonts w:cs="Arial"/>
                <w:color w:val="000000"/>
                <w:sz w:val="16"/>
                <w:szCs w:val="16"/>
              </w:rPr>
            </w:pPr>
            <w:r>
              <w:rPr>
                <w:rFonts w:cs="Arial"/>
                <w:color w:val="000000"/>
                <w:sz w:val="16"/>
                <w:szCs w:val="16"/>
              </w:rPr>
              <w:t>4,5</w:t>
            </w:r>
          </w:p>
        </w:tc>
        <w:tc>
          <w:tcPr>
            <w:tcW w:w="907" w:type="dxa"/>
            <w:tcBorders>
              <w:top w:val="nil"/>
              <w:left w:val="nil"/>
              <w:bottom w:val="nil"/>
              <w:right w:val="single" w:sz="4" w:space="0" w:color="auto"/>
            </w:tcBorders>
            <w:shd w:val="clear" w:color="auto" w:fill="auto"/>
            <w:noWrap/>
            <w:vAlign w:val="bottom"/>
            <w:hideMark/>
          </w:tcPr>
          <w:p w14:paraId="7B8058A8" w14:textId="1B4C4D4F" w:rsidR="0097475C" w:rsidRPr="003018A3" w:rsidRDefault="0097475C" w:rsidP="0097475C">
            <w:pPr>
              <w:spacing w:after="0" w:line="240" w:lineRule="auto"/>
              <w:jc w:val="right"/>
              <w:rPr>
                <w:rFonts w:cs="Arial"/>
                <w:color w:val="000000"/>
                <w:sz w:val="16"/>
                <w:szCs w:val="16"/>
              </w:rPr>
            </w:pPr>
            <w:r>
              <w:rPr>
                <w:rFonts w:cs="Arial"/>
                <w:color w:val="000000"/>
                <w:sz w:val="16"/>
                <w:szCs w:val="16"/>
              </w:rPr>
              <w:t>5,9</w:t>
            </w:r>
          </w:p>
        </w:tc>
        <w:tc>
          <w:tcPr>
            <w:tcW w:w="907" w:type="dxa"/>
            <w:tcBorders>
              <w:top w:val="nil"/>
              <w:left w:val="nil"/>
              <w:bottom w:val="nil"/>
              <w:right w:val="nil"/>
            </w:tcBorders>
            <w:shd w:val="clear" w:color="auto" w:fill="auto"/>
            <w:noWrap/>
            <w:vAlign w:val="bottom"/>
            <w:hideMark/>
          </w:tcPr>
          <w:p w14:paraId="05D60F0F" w14:textId="4F889804" w:rsidR="0097475C" w:rsidRPr="003018A3" w:rsidRDefault="0097475C" w:rsidP="0097475C">
            <w:pPr>
              <w:spacing w:after="0" w:line="240" w:lineRule="auto"/>
              <w:jc w:val="right"/>
              <w:rPr>
                <w:rFonts w:cs="Arial"/>
                <w:color w:val="000000"/>
                <w:sz w:val="16"/>
                <w:szCs w:val="16"/>
              </w:rPr>
            </w:pPr>
            <w:r>
              <w:rPr>
                <w:rFonts w:cs="Arial"/>
                <w:color w:val="000000"/>
                <w:sz w:val="16"/>
                <w:szCs w:val="16"/>
              </w:rPr>
              <w:t>43,3</w:t>
            </w:r>
          </w:p>
        </w:tc>
        <w:tc>
          <w:tcPr>
            <w:tcW w:w="907" w:type="dxa"/>
            <w:tcBorders>
              <w:top w:val="nil"/>
              <w:left w:val="nil"/>
              <w:bottom w:val="nil"/>
              <w:right w:val="nil"/>
            </w:tcBorders>
            <w:shd w:val="clear" w:color="auto" w:fill="auto"/>
            <w:noWrap/>
            <w:vAlign w:val="bottom"/>
            <w:hideMark/>
          </w:tcPr>
          <w:p w14:paraId="000C66D4" w14:textId="238C4B01" w:rsidR="0097475C" w:rsidRPr="003018A3" w:rsidRDefault="0097475C" w:rsidP="0097475C">
            <w:pPr>
              <w:spacing w:after="0" w:line="240" w:lineRule="auto"/>
              <w:jc w:val="right"/>
              <w:rPr>
                <w:rFonts w:cs="Arial"/>
                <w:color w:val="000000"/>
                <w:sz w:val="16"/>
                <w:szCs w:val="16"/>
              </w:rPr>
            </w:pPr>
            <w:r>
              <w:rPr>
                <w:rFonts w:cs="Arial"/>
                <w:color w:val="000000"/>
                <w:sz w:val="16"/>
                <w:szCs w:val="16"/>
              </w:rPr>
              <w:t>47,2</w:t>
            </w:r>
          </w:p>
        </w:tc>
        <w:tc>
          <w:tcPr>
            <w:tcW w:w="907" w:type="dxa"/>
            <w:tcBorders>
              <w:top w:val="nil"/>
              <w:left w:val="nil"/>
              <w:bottom w:val="nil"/>
              <w:right w:val="nil"/>
            </w:tcBorders>
            <w:shd w:val="clear" w:color="auto" w:fill="auto"/>
            <w:noWrap/>
            <w:vAlign w:val="bottom"/>
            <w:hideMark/>
          </w:tcPr>
          <w:p w14:paraId="76D18537" w14:textId="487CC2D0" w:rsidR="0097475C" w:rsidRPr="003018A3" w:rsidRDefault="0097475C" w:rsidP="0097475C">
            <w:pPr>
              <w:spacing w:after="0" w:line="240" w:lineRule="auto"/>
              <w:jc w:val="right"/>
              <w:rPr>
                <w:rFonts w:cs="Arial"/>
                <w:color w:val="000000"/>
                <w:sz w:val="16"/>
                <w:szCs w:val="16"/>
              </w:rPr>
            </w:pPr>
            <w:r>
              <w:rPr>
                <w:rFonts w:cs="Arial"/>
                <w:color w:val="000000"/>
                <w:sz w:val="16"/>
                <w:szCs w:val="16"/>
              </w:rPr>
              <w:t>40,2</w:t>
            </w:r>
          </w:p>
        </w:tc>
      </w:tr>
      <w:tr w:rsidR="0097475C" w:rsidRPr="003018A3" w14:paraId="14CDD920" w14:textId="77777777" w:rsidTr="0097475C">
        <w:trPr>
          <w:trHeight w:val="300"/>
        </w:trPr>
        <w:tc>
          <w:tcPr>
            <w:tcW w:w="4195" w:type="dxa"/>
            <w:tcBorders>
              <w:top w:val="nil"/>
              <w:left w:val="nil"/>
              <w:bottom w:val="nil"/>
              <w:right w:val="nil"/>
            </w:tcBorders>
            <w:shd w:val="clear" w:color="auto" w:fill="auto"/>
            <w:noWrap/>
            <w:vAlign w:val="bottom"/>
            <w:hideMark/>
          </w:tcPr>
          <w:p w14:paraId="4BF73160" w14:textId="45262E2D" w:rsidR="0097475C" w:rsidRPr="003018A3" w:rsidRDefault="0097475C" w:rsidP="0097475C">
            <w:pPr>
              <w:spacing w:after="0" w:line="240" w:lineRule="auto"/>
              <w:ind w:firstLineChars="200" w:firstLine="320"/>
              <w:rPr>
                <w:rFonts w:cs="Arial"/>
                <w:color w:val="000000"/>
                <w:sz w:val="16"/>
                <w:szCs w:val="16"/>
              </w:rPr>
            </w:pPr>
            <w:r>
              <w:rPr>
                <w:rFonts w:cs="Arial"/>
                <w:color w:val="000000"/>
                <w:sz w:val="16"/>
                <w:szCs w:val="16"/>
              </w:rPr>
              <w:t xml:space="preserve"> jiné nemoci dýchacích cest</w:t>
            </w:r>
          </w:p>
        </w:tc>
        <w:tc>
          <w:tcPr>
            <w:tcW w:w="907" w:type="dxa"/>
            <w:tcBorders>
              <w:top w:val="nil"/>
              <w:left w:val="single" w:sz="4" w:space="0" w:color="auto"/>
              <w:bottom w:val="nil"/>
              <w:right w:val="nil"/>
            </w:tcBorders>
            <w:shd w:val="clear" w:color="auto" w:fill="auto"/>
            <w:noWrap/>
            <w:vAlign w:val="bottom"/>
            <w:hideMark/>
          </w:tcPr>
          <w:p w14:paraId="652E00F2" w14:textId="28CEC0CC" w:rsidR="0097475C" w:rsidRPr="003018A3" w:rsidRDefault="0097475C" w:rsidP="0097475C">
            <w:pPr>
              <w:spacing w:after="0" w:line="240" w:lineRule="auto"/>
              <w:jc w:val="right"/>
              <w:rPr>
                <w:rFonts w:cs="Arial"/>
                <w:color w:val="000000"/>
                <w:sz w:val="16"/>
                <w:szCs w:val="16"/>
              </w:rPr>
            </w:pPr>
            <w:r>
              <w:rPr>
                <w:rFonts w:cs="Arial"/>
                <w:color w:val="000000"/>
                <w:sz w:val="16"/>
                <w:szCs w:val="16"/>
              </w:rPr>
              <w:t>12,0</w:t>
            </w:r>
          </w:p>
        </w:tc>
        <w:tc>
          <w:tcPr>
            <w:tcW w:w="907" w:type="dxa"/>
            <w:tcBorders>
              <w:top w:val="nil"/>
              <w:left w:val="nil"/>
              <w:bottom w:val="nil"/>
              <w:right w:val="nil"/>
            </w:tcBorders>
            <w:shd w:val="clear" w:color="auto" w:fill="auto"/>
            <w:noWrap/>
            <w:vAlign w:val="bottom"/>
            <w:hideMark/>
          </w:tcPr>
          <w:p w14:paraId="30E73249" w14:textId="58BD28A8" w:rsidR="0097475C" w:rsidRPr="003018A3" w:rsidRDefault="0097475C" w:rsidP="0097475C">
            <w:pPr>
              <w:spacing w:after="0" w:line="240" w:lineRule="auto"/>
              <w:jc w:val="right"/>
              <w:rPr>
                <w:rFonts w:cs="Arial"/>
                <w:color w:val="000000"/>
                <w:sz w:val="16"/>
                <w:szCs w:val="16"/>
              </w:rPr>
            </w:pPr>
            <w:r>
              <w:rPr>
                <w:rFonts w:cs="Arial"/>
                <w:color w:val="000000"/>
                <w:sz w:val="16"/>
                <w:szCs w:val="16"/>
              </w:rPr>
              <w:t>6,1</w:t>
            </w:r>
          </w:p>
        </w:tc>
        <w:tc>
          <w:tcPr>
            <w:tcW w:w="907" w:type="dxa"/>
            <w:tcBorders>
              <w:top w:val="nil"/>
              <w:left w:val="nil"/>
              <w:bottom w:val="nil"/>
              <w:right w:val="single" w:sz="4" w:space="0" w:color="auto"/>
            </w:tcBorders>
            <w:shd w:val="clear" w:color="auto" w:fill="auto"/>
            <w:noWrap/>
            <w:vAlign w:val="bottom"/>
            <w:hideMark/>
          </w:tcPr>
          <w:p w14:paraId="3080E35A" w14:textId="4A16B9DA" w:rsidR="0097475C" w:rsidRPr="003018A3" w:rsidRDefault="0097475C" w:rsidP="0097475C">
            <w:pPr>
              <w:spacing w:after="0" w:line="240" w:lineRule="auto"/>
              <w:jc w:val="right"/>
              <w:rPr>
                <w:rFonts w:cs="Arial"/>
                <w:color w:val="000000"/>
                <w:sz w:val="16"/>
                <w:szCs w:val="16"/>
              </w:rPr>
            </w:pPr>
            <w:r>
              <w:rPr>
                <w:rFonts w:cs="Arial"/>
                <w:color w:val="000000"/>
                <w:sz w:val="16"/>
                <w:szCs w:val="16"/>
              </w:rPr>
              <w:t>5,9</w:t>
            </w:r>
          </w:p>
        </w:tc>
        <w:tc>
          <w:tcPr>
            <w:tcW w:w="907" w:type="dxa"/>
            <w:tcBorders>
              <w:top w:val="nil"/>
              <w:left w:val="nil"/>
              <w:bottom w:val="nil"/>
              <w:right w:val="nil"/>
            </w:tcBorders>
            <w:shd w:val="clear" w:color="auto" w:fill="auto"/>
            <w:noWrap/>
            <w:vAlign w:val="bottom"/>
            <w:hideMark/>
          </w:tcPr>
          <w:p w14:paraId="5B9EBC73" w14:textId="37DE24A1" w:rsidR="0097475C" w:rsidRPr="003018A3" w:rsidRDefault="0097475C" w:rsidP="0097475C">
            <w:pPr>
              <w:spacing w:after="0" w:line="240" w:lineRule="auto"/>
              <w:jc w:val="right"/>
              <w:rPr>
                <w:rFonts w:cs="Arial"/>
                <w:color w:val="000000"/>
                <w:sz w:val="16"/>
                <w:szCs w:val="16"/>
              </w:rPr>
            </w:pPr>
            <w:r>
              <w:rPr>
                <w:rFonts w:cs="Arial"/>
                <w:color w:val="000000"/>
                <w:sz w:val="16"/>
                <w:szCs w:val="16"/>
              </w:rPr>
              <w:t>25,0</w:t>
            </w:r>
          </w:p>
        </w:tc>
        <w:tc>
          <w:tcPr>
            <w:tcW w:w="907" w:type="dxa"/>
            <w:tcBorders>
              <w:top w:val="nil"/>
              <w:left w:val="nil"/>
              <w:bottom w:val="nil"/>
              <w:right w:val="nil"/>
            </w:tcBorders>
            <w:shd w:val="clear" w:color="auto" w:fill="auto"/>
            <w:noWrap/>
            <w:vAlign w:val="bottom"/>
            <w:hideMark/>
          </w:tcPr>
          <w:p w14:paraId="73B06FED" w14:textId="2D71CBE6" w:rsidR="0097475C" w:rsidRPr="003018A3" w:rsidRDefault="0097475C" w:rsidP="0097475C">
            <w:pPr>
              <w:spacing w:after="0" w:line="240" w:lineRule="auto"/>
              <w:jc w:val="right"/>
              <w:rPr>
                <w:rFonts w:cs="Arial"/>
                <w:color w:val="000000"/>
                <w:sz w:val="16"/>
                <w:szCs w:val="16"/>
              </w:rPr>
            </w:pPr>
            <w:r>
              <w:rPr>
                <w:rFonts w:cs="Arial"/>
                <w:color w:val="000000"/>
                <w:sz w:val="16"/>
                <w:szCs w:val="16"/>
              </w:rPr>
              <w:t>27,9</w:t>
            </w:r>
          </w:p>
        </w:tc>
        <w:tc>
          <w:tcPr>
            <w:tcW w:w="907" w:type="dxa"/>
            <w:tcBorders>
              <w:top w:val="nil"/>
              <w:left w:val="nil"/>
              <w:bottom w:val="nil"/>
              <w:right w:val="nil"/>
            </w:tcBorders>
            <w:shd w:val="clear" w:color="auto" w:fill="auto"/>
            <w:noWrap/>
            <w:vAlign w:val="bottom"/>
            <w:hideMark/>
          </w:tcPr>
          <w:p w14:paraId="52C2C35E" w14:textId="23F1EDC0" w:rsidR="0097475C" w:rsidRPr="003018A3" w:rsidRDefault="0097475C" w:rsidP="0097475C">
            <w:pPr>
              <w:spacing w:after="0" w:line="240" w:lineRule="auto"/>
              <w:jc w:val="right"/>
              <w:rPr>
                <w:rFonts w:cs="Arial"/>
                <w:color w:val="000000"/>
                <w:sz w:val="16"/>
                <w:szCs w:val="16"/>
              </w:rPr>
            </w:pPr>
            <w:r>
              <w:rPr>
                <w:rFonts w:cs="Arial"/>
                <w:color w:val="000000"/>
                <w:sz w:val="16"/>
                <w:szCs w:val="16"/>
              </w:rPr>
              <w:t>22,0</w:t>
            </w:r>
          </w:p>
        </w:tc>
      </w:tr>
      <w:tr w:rsidR="0097475C" w:rsidRPr="003018A3" w14:paraId="7F6CECD0" w14:textId="77777777" w:rsidTr="0097475C">
        <w:trPr>
          <w:trHeight w:val="300"/>
        </w:trPr>
        <w:tc>
          <w:tcPr>
            <w:tcW w:w="4195" w:type="dxa"/>
            <w:tcBorders>
              <w:top w:val="nil"/>
              <w:left w:val="nil"/>
              <w:bottom w:val="nil"/>
              <w:right w:val="nil"/>
            </w:tcBorders>
            <w:shd w:val="clear" w:color="auto" w:fill="auto"/>
            <w:noWrap/>
            <w:vAlign w:val="bottom"/>
            <w:hideMark/>
          </w:tcPr>
          <w:p w14:paraId="380F4A49" w14:textId="4B1F4030"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Nemoci trávicí soustavy</w:t>
            </w:r>
          </w:p>
        </w:tc>
        <w:tc>
          <w:tcPr>
            <w:tcW w:w="907" w:type="dxa"/>
            <w:tcBorders>
              <w:top w:val="nil"/>
              <w:left w:val="single" w:sz="4" w:space="0" w:color="auto"/>
              <w:bottom w:val="nil"/>
              <w:right w:val="nil"/>
            </w:tcBorders>
            <w:shd w:val="clear" w:color="auto" w:fill="auto"/>
            <w:noWrap/>
            <w:vAlign w:val="bottom"/>
            <w:hideMark/>
          </w:tcPr>
          <w:p w14:paraId="3DA1AC0F" w14:textId="3B082AB4" w:rsidR="0097475C" w:rsidRPr="003018A3" w:rsidRDefault="0097475C" w:rsidP="0097475C">
            <w:pPr>
              <w:spacing w:after="0" w:line="240" w:lineRule="auto"/>
              <w:jc w:val="right"/>
              <w:rPr>
                <w:rFonts w:cs="Arial"/>
                <w:color w:val="000000"/>
                <w:sz w:val="16"/>
                <w:szCs w:val="16"/>
              </w:rPr>
            </w:pPr>
            <w:r>
              <w:rPr>
                <w:rFonts w:cs="Arial"/>
                <w:color w:val="000000"/>
                <w:sz w:val="16"/>
                <w:szCs w:val="16"/>
              </w:rPr>
              <w:t>154,7</w:t>
            </w:r>
          </w:p>
        </w:tc>
        <w:tc>
          <w:tcPr>
            <w:tcW w:w="907" w:type="dxa"/>
            <w:tcBorders>
              <w:top w:val="nil"/>
              <w:left w:val="nil"/>
              <w:bottom w:val="nil"/>
              <w:right w:val="nil"/>
            </w:tcBorders>
            <w:shd w:val="clear" w:color="auto" w:fill="auto"/>
            <w:noWrap/>
            <w:vAlign w:val="bottom"/>
            <w:hideMark/>
          </w:tcPr>
          <w:p w14:paraId="7E52979C" w14:textId="1644E163" w:rsidR="0097475C" w:rsidRPr="003018A3" w:rsidRDefault="0097475C" w:rsidP="0097475C">
            <w:pPr>
              <w:spacing w:after="0" w:line="240" w:lineRule="auto"/>
              <w:jc w:val="right"/>
              <w:rPr>
                <w:rFonts w:cs="Arial"/>
                <w:color w:val="000000"/>
                <w:sz w:val="16"/>
                <w:szCs w:val="16"/>
              </w:rPr>
            </w:pPr>
            <w:r>
              <w:rPr>
                <w:rFonts w:cs="Arial"/>
                <w:color w:val="000000"/>
                <w:sz w:val="16"/>
                <w:szCs w:val="16"/>
              </w:rPr>
              <w:t>79,7</w:t>
            </w:r>
          </w:p>
        </w:tc>
        <w:tc>
          <w:tcPr>
            <w:tcW w:w="907" w:type="dxa"/>
            <w:tcBorders>
              <w:top w:val="nil"/>
              <w:left w:val="nil"/>
              <w:bottom w:val="nil"/>
              <w:right w:val="single" w:sz="4" w:space="0" w:color="auto"/>
            </w:tcBorders>
            <w:shd w:val="clear" w:color="auto" w:fill="auto"/>
            <w:noWrap/>
            <w:vAlign w:val="bottom"/>
            <w:hideMark/>
          </w:tcPr>
          <w:p w14:paraId="418F258C" w14:textId="41835941" w:rsidR="0097475C" w:rsidRPr="003018A3" w:rsidRDefault="0097475C" w:rsidP="0097475C">
            <w:pPr>
              <w:spacing w:after="0" w:line="240" w:lineRule="auto"/>
              <w:jc w:val="right"/>
              <w:rPr>
                <w:rFonts w:cs="Arial"/>
                <w:color w:val="000000"/>
                <w:sz w:val="16"/>
                <w:szCs w:val="16"/>
              </w:rPr>
            </w:pPr>
            <w:r>
              <w:rPr>
                <w:rFonts w:cs="Arial"/>
                <w:color w:val="000000"/>
                <w:sz w:val="16"/>
                <w:szCs w:val="16"/>
              </w:rPr>
              <w:t>74,9</w:t>
            </w:r>
          </w:p>
        </w:tc>
        <w:tc>
          <w:tcPr>
            <w:tcW w:w="907" w:type="dxa"/>
            <w:tcBorders>
              <w:top w:val="nil"/>
              <w:left w:val="nil"/>
              <w:bottom w:val="nil"/>
              <w:right w:val="nil"/>
            </w:tcBorders>
            <w:shd w:val="clear" w:color="auto" w:fill="auto"/>
            <w:noWrap/>
            <w:vAlign w:val="bottom"/>
            <w:hideMark/>
          </w:tcPr>
          <w:p w14:paraId="2BA038AA" w14:textId="1D78E578" w:rsidR="0097475C" w:rsidRPr="003018A3" w:rsidRDefault="0097475C" w:rsidP="0097475C">
            <w:pPr>
              <w:spacing w:after="0" w:line="240" w:lineRule="auto"/>
              <w:jc w:val="right"/>
              <w:rPr>
                <w:rFonts w:cs="Arial"/>
                <w:color w:val="000000"/>
                <w:sz w:val="16"/>
                <w:szCs w:val="16"/>
              </w:rPr>
            </w:pPr>
            <w:r>
              <w:rPr>
                <w:rFonts w:cs="Arial"/>
                <w:color w:val="000000"/>
                <w:sz w:val="16"/>
                <w:szCs w:val="16"/>
              </w:rPr>
              <w:t>24,4</w:t>
            </w:r>
          </w:p>
        </w:tc>
        <w:tc>
          <w:tcPr>
            <w:tcW w:w="907" w:type="dxa"/>
            <w:tcBorders>
              <w:top w:val="nil"/>
              <w:left w:val="nil"/>
              <w:bottom w:val="nil"/>
              <w:right w:val="nil"/>
            </w:tcBorders>
            <w:shd w:val="clear" w:color="auto" w:fill="auto"/>
            <w:noWrap/>
            <w:vAlign w:val="bottom"/>
            <w:hideMark/>
          </w:tcPr>
          <w:p w14:paraId="3CAA8C34" w14:textId="45708A16" w:rsidR="0097475C" w:rsidRPr="003018A3" w:rsidRDefault="0097475C" w:rsidP="0097475C">
            <w:pPr>
              <w:spacing w:after="0" w:line="240" w:lineRule="auto"/>
              <w:jc w:val="right"/>
              <w:rPr>
                <w:rFonts w:cs="Arial"/>
                <w:color w:val="000000"/>
                <w:sz w:val="16"/>
                <w:szCs w:val="16"/>
              </w:rPr>
            </w:pPr>
            <w:r>
              <w:rPr>
                <w:rFonts w:cs="Arial"/>
                <w:color w:val="000000"/>
                <w:sz w:val="16"/>
                <w:szCs w:val="16"/>
              </w:rPr>
              <w:t>26,0</w:t>
            </w:r>
          </w:p>
        </w:tc>
        <w:tc>
          <w:tcPr>
            <w:tcW w:w="907" w:type="dxa"/>
            <w:tcBorders>
              <w:top w:val="nil"/>
              <w:left w:val="nil"/>
              <w:bottom w:val="nil"/>
              <w:right w:val="nil"/>
            </w:tcBorders>
            <w:shd w:val="clear" w:color="auto" w:fill="auto"/>
            <w:noWrap/>
            <w:vAlign w:val="bottom"/>
            <w:hideMark/>
          </w:tcPr>
          <w:p w14:paraId="75D17470" w14:textId="686FF4E9" w:rsidR="0097475C" w:rsidRPr="003018A3" w:rsidRDefault="0097475C" w:rsidP="0097475C">
            <w:pPr>
              <w:spacing w:after="0" w:line="240" w:lineRule="auto"/>
              <w:jc w:val="right"/>
              <w:rPr>
                <w:rFonts w:cs="Arial"/>
                <w:color w:val="000000"/>
                <w:sz w:val="16"/>
                <w:szCs w:val="16"/>
              </w:rPr>
            </w:pPr>
            <w:r>
              <w:rPr>
                <w:rFonts w:cs="Arial"/>
                <w:color w:val="000000"/>
                <w:sz w:val="16"/>
                <w:szCs w:val="16"/>
              </w:rPr>
              <w:t>22,6</w:t>
            </w:r>
          </w:p>
        </w:tc>
      </w:tr>
      <w:tr w:rsidR="0097475C" w:rsidRPr="003018A3" w14:paraId="69876B18" w14:textId="77777777" w:rsidTr="0097475C">
        <w:trPr>
          <w:trHeight w:val="300"/>
        </w:trPr>
        <w:tc>
          <w:tcPr>
            <w:tcW w:w="4195" w:type="dxa"/>
            <w:tcBorders>
              <w:top w:val="nil"/>
              <w:left w:val="nil"/>
              <w:bottom w:val="nil"/>
              <w:right w:val="nil"/>
            </w:tcBorders>
            <w:shd w:val="clear" w:color="auto" w:fill="auto"/>
            <w:noWrap/>
            <w:vAlign w:val="bottom"/>
            <w:hideMark/>
          </w:tcPr>
          <w:p w14:paraId="10C5D8C8" w14:textId="462068C5"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Nemoci kůže</w:t>
            </w:r>
          </w:p>
        </w:tc>
        <w:tc>
          <w:tcPr>
            <w:tcW w:w="907" w:type="dxa"/>
            <w:tcBorders>
              <w:top w:val="nil"/>
              <w:left w:val="single" w:sz="4" w:space="0" w:color="auto"/>
              <w:bottom w:val="nil"/>
              <w:right w:val="nil"/>
            </w:tcBorders>
            <w:shd w:val="clear" w:color="auto" w:fill="auto"/>
            <w:noWrap/>
            <w:vAlign w:val="bottom"/>
            <w:hideMark/>
          </w:tcPr>
          <w:p w14:paraId="111A35D1" w14:textId="58198F59" w:rsidR="0097475C" w:rsidRPr="003018A3" w:rsidRDefault="0097475C" w:rsidP="0097475C">
            <w:pPr>
              <w:spacing w:after="0" w:line="240" w:lineRule="auto"/>
              <w:jc w:val="right"/>
              <w:rPr>
                <w:rFonts w:cs="Arial"/>
                <w:color w:val="000000"/>
                <w:sz w:val="16"/>
                <w:szCs w:val="16"/>
              </w:rPr>
            </w:pPr>
            <w:r>
              <w:rPr>
                <w:rFonts w:cs="Arial"/>
                <w:color w:val="000000"/>
                <w:sz w:val="16"/>
                <w:szCs w:val="16"/>
              </w:rPr>
              <w:t>33,6</w:t>
            </w:r>
          </w:p>
        </w:tc>
        <w:tc>
          <w:tcPr>
            <w:tcW w:w="907" w:type="dxa"/>
            <w:tcBorders>
              <w:top w:val="nil"/>
              <w:left w:val="nil"/>
              <w:bottom w:val="nil"/>
              <w:right w:val="nil"/>
            </w:tcBorders>
            <w:shd w:val="clear" w:color="auto" w:fill="auto"/>
            <w:noWrap/>
            <w:vAlign w:val="bottom"/>
            <w:hideMark/>
          </w:tcPr>
          <w:p w14:paraId="358F5F81" w14:textId="14B6C580" w:rsidR="0097475C" w:rsidRPr="003018A3" w:rsidRDefault="0097475C" w:rsidP="0097475C">
            <w:pPr>
              <w:spacing w:after="0" w:line="240" w:lineRule="auto"/>
              <w:jc w:val="right"/>
              <w:rPr>
                <w:rFonts w:cs="Arial"/>
                <w:color w:val="000000"/>
                <w:sz w:val="16"/>
                <w:szCs w:val="16"/>
              </w:rPr>
            </w:pPr>
            <w:r>
              <w:rPr>
                <w:rFonts w:cs="Arial"/>
                <w:color w:val="000000"/>
                <w:sz w:val="16"/>
                <w:szCs w:val="16"/>
              </w:rPr>
              <w:t>19,1</w:t>
            </w:r>
          </w:p>
        </w:tc>
        <w:tc>
          <w:tcPr>
            <w:tcW w:w="907" w:type="dxa"/>
            <w:tcBorders>
              <w:top w:val="nil"/>
              <w:left w:val="nil"/>
              <w:bottom w:val="nil"/>
              <w:right w:val="single" w:sz="4" w:space="0" w:color="auto"/>
            </w:tcBorders>
            <w:shd w:val="clear" w:color="auto" w:fill="auto"/>
            <w:noWrap/>
            <w:vAlign w:val="bottom"/>
            <w:hideMark/>
          </w:tcPr>
          <w:p w14:paraId="584FA3C4" w14:textId="6197160A" w:rsidR="0097475C" w:rsidRPr="003018A3" w:rsidRDefault="0097475C" w:rsidP="0097475C">
            <w:pPr>
              <w:spacing w:after="0" w:line="240" w:lineRule="auto"/>
              <w:jc w:val="right"/>
              <w:rPr>
                <w:rFonts w:cs="Arial"/>
                <w:color w:val="000000"/>
                <w:sz w:val="16"/>
                <w:szCs w:val="16"/>
              </w:rPr>
            </w:pPr>
            <w:r>
              <w:rPr>
                <w:rFonts w:cs="Arial"/>
                <w:color w:val="000000"/>
                <w:sz w:val="16"/>
                <w:szCs w:val="16"/>
              </w:rPr>
              <w:t>14,5</w:t>
            </w:r>
          </w:p>
        </w:tc>
        <w:tc>
          <w:tcPr>
            <w:tcW w:w="907" w:type="dxa"/>
            <w:tcBorders>
              <w:top w:val="nil"/>
              <w:left w:val="nil"/>
              <w:bottom w:val="nil"/>
              <w:right w:val="nil"/>
            </w:tcBorders>
            <w:shd w:val="clear" w:color="auto" w:fill="auto"/>
            <w:noWrap/>
            <w:vAlign w:val="bottom"/>
            <w:hideMark/>
          </w:tcPr>
          <w:p w14:paraId="024A701F" w14:textId="2774B718" w:rsidR="0097475C" w:rsidRPr="003018A3" w:rsidRDefault="0097475C" w:rsidP="0097475C">
            <w:pPr>
              <w:spacing w:after="0" w:line="240" w:lineRule="auto"/>
              <w:jc w:val="right"/>
              <w:rPr>
                <w:rFonts w:cs="Arial"/>
                <w:color w:val="000000"/>
                <w:sz w:val="16"/>
                <w:szCs w:val="16"/>
              </w:rPr>
            </w:pPr>
            <w:r>
              <w:rPr>
                <w:rFonts w:cs="Arial"/>
                <w:color w:val="000000"/>
                <w:sz w:val="16"/>
                <w:szCs w:val="16"/>
              </w:rPr>
              <w:t>29,3</w:t>
            </w:r>
          </w:p>
        </w:tc>
        <w:tc>
          <w:tcPr>
            <w:tcW w:w="907" w:type="dxa"/>
            <w:tcBorders>
              <w:top w:val="nil"/>
              <w:left w:val="nil"/>
              <w:bottom w:val="nil"/>
              <w:right w:val="nil"/>
            </w:tcBorders>
            <w:shd w:val="clear" w:color="auto" w:fill="auto"/>
            <w:noWrap/>
            <w:vAlign w:val="bottom"/>
            <w:hideMark/>
          </w:tcPr>
          <w:p w14:paraId="7CBC0789" w14:textId="0C8A7DDF" w:rsidR="0097475C" w:rsidRPr="003018A3" w:rsidRDefault="0097475C" w:rsidP="0097475C">
            <w:pPr>
              <w:spacing w:after="0" w:line="240" w:lineRule="auto"/>
              <w:jc w:val="right"/>
              <w:rPr>
                <w:rFonts w:cs="Arial"/>
                <w:color w:val="000000"/>
                <w:sz w:val="16"/>
                <w:szCs w:val="16"/>
              </w:rPr>
            </w:pPr>
            <w:r>
              <w:rPr>
                <w:rFonts w:cs="Arial"/>
                <w:color w:val="000000"/>
                <w:sz w:val="16"/>
                <w:szCs w:val="16"/>
              </w:rPr>
              <w:t>30,3</w:t>
            </w:r>
          </w:p>
        </w:tc>
        <w:tc>
          <w:tcPr>
            <w:tcW w:w="907" w:type="dxa"/>
            <w:tcBorders>
              <w:top w:val="nil"/>
              <w:left w:val="nil"/>
              <w:bottom w:val="nil"/>
              <w:right w:val="nil"/>
            </w:tcBorders>
            <w:shd w:val="clear" w:color="auto" w:fill="auto"/>
            <w:noWrap/>
            <w:vAlign w:val="bottom"/>
            <w:hideMark/>
          </w:tcPr>
          <w:p w14:paraId="547A0E67" w14:textId="2CEC5CFF" w:rsidR="0097475C" w:rsidRPr="003018A3" w:rsidRDefault="0097475C" w:rsidP="0097475C">
            <w:pPr>
              <w:spacing w:after="0" w:line="240" w:lineRule="auto"/>
              <w:jc w:val="right"/>
              <w:rPr>
                <w:rFonts w:cs="Arial"/>
                <w:color w:val="000000"/>
                <w:sz w:val="16"/>
                <w:szCs w:val="16"/>
              </w:rPr>
            </w:pPr>
            <w:r>
              <w:rPr>
                <w:rFonts w:cs="Arial"/>
                <w:color w:val="000000"/>
                <w:sz w:val="16"/>
                <w:szCs w:val="16"/>
              </w:rPr>
              <w:t>28,0</w:t>
            </w:r>
          </w:p>
        </w:tc>
      </w:tr>
      <w:tr w:rsidR="0097475C" w:rsidRPr="003018A3" w14:paraId="29D530FE" w14:textId="77777777" w:rsidTr="0097475C">
        <w:trPr>
          <w:trHeight w:val="300"/>
        </w:trPr>
        <w:tc>
          <w:tcPr>
            <w:tcW w:w="4195" w:type="dxa"/>
            <w:tcBorders>
              <w:top w:val="nil"/>
              <w:left w:val="nil"/>
              <w:bottom w:val="nil"/>
              <w:right w:val="nil"/>
            </w:tcBorders>
            <w:shd w:val="clear" w:color="auto" w:fill="auto"/>
            <w:noWrap/>
            <w:vAlign w:val="bottom"/>
            <w:hideMark/>
          </w:tcPr>
          <w:p w14:paraId="0B246438" w14:textId="7AF3A155"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Nemoci pohybové soustavy</w:t>
            </w:r>
          </w:p>
        </w:tc>
        <w:tc>
          <w:tcPr>
            <w:tcW w:w="907" w:type="dxa"/>
            <w:tcBorders>
              <w:top w:val="nil"/>
              <w:left w:val="single" w:sz="4" w:space="0" w:color="auto"/>
              <w:bottom w:val="nil"/>
              <w:right w:val="nil"/>
            </w:tcBorders>
            <w:shd w:val="clear" w:color="auto" w:fill="auto"/>
            <w:noWrap/>
            <w:vAlign w:val="bottom"/>
            <w:hideMark/>
          </w:tcPr>
          <w:p w14:paraId="0E256C6C" w14:textId="4C505849" w:rsidR="0097475C" w:rsidRPr="003018A3" w:rsidRDefault="0097475C" w:rsidP="0097475C">
            <w:pPr>
              <w:spacing w:after="0" w:line="240" w:lineRule="auto"/>
              <w:jc w:val="right"/>
              <w:rPr>
                <w:rFonts w:cs="Arial"/>
                <w:color w:val="000000"/>
                <w:sz w:val="16"/>
                <w:szCs w:val="16"/>
              </w:rPr>
            </w:pPr>
            <w:r>
              <w:rPr>
                <w:rFonts w:cs="Arial"/>
                <w:color w:val="000000"/>
                <w:sz w:val="16"/>
                <w:szCs w:val="16"/>
              </w:rPr>
              <w:t>377,5</w:t>
            </w:r>
          </w:p>
        </w:tc>
        <w:tc>
          <w:tcPr>
            <w:tcW w:w="907" w:type="dxa"/>
            <w:tcBorders>
              <w:top w:val="nil"/>
              <w:left w:val="nil"/>
              <w:bottom w:val="nil"/>
              <w:right w:val="nil"/>
            </w:tcBorders>
            <w:shd w:val="clear" w:color="auto" w:fill="auto"/>
            <w:noWrap/>
            <w:vAlign w:val="bottom"/>
            <w:hideMark/>
          </w:tcPr>
          <w:p w14:paraId="4CBD27ED" w14:textId="5F520EE2" w:rsidR="0097475C" w:rsidRPr="003018A3" w:rsidRDefault="0097475C" w:rsidP="0097475C">
            <w:pPr>
              <w:spacing w:after="0" w:line="240" w:lineRule="auto"/>
              <w:jc w:val="right"/>
              <w:rPr>
                <w:rFonts w:cs="Arial"/>
                <w:color w:val="000000"/>
                <w:sz w:val="16"/>
                <w:szCs w:val="16"/>
              </w:rPr>
            </w:pPr>
            <w:r>
              <w:rPr>
                <w:rFonts w:cs="Arial"/>
                <w:color w:val="000000"/>
                <w:sz w:val="16"/>
                <w:szCs w:val="16"/>
              </w:rPr>
              <w:t>190,0</w:t>
            </w:r>
          </w:p>
        </w:tc>
        <w:tc>
          <w:tcPr>
            <w:tcW w:w="907" w:type="dxa"/>
            <w:tcBorders>
              <w:top w:val="nil"/>
              <w:left w:val="nil"/>
              <w:bottom w:val="nil"/>
              <w:right w:val="single" w:sz="4" w:space="0" w:color="auto"/>
            </w:tcBorders>
            <w:shd w:val="clear" w:color="auto" w:fill="auto"/>
            <w:noWrap/>
            <w:vAlign w:val="bottom"/>
            <w:hideMark/>
          </w:tcPr>
          <w:p w14:paraId="0FB18DE3" w14:textId="4CDEF121" w:rsidR="0097475C" w:rsidRPr="003018A3" w:rsidRDefault="0097475C" w:rsidP="0097475C">
            <w:pPr>
              <w:spacing w:after="0" w:line="240" w:lineRule="auto"/>
              <w:jc w:val="right"/>
              <w:rPr>
                <w:rFonts w:cs="Arial"/>
                <w:color w:val="000000"/>
                <w:sz w:val="16"/>
                <w:szCs w:val="16"/>
              </w:rPr>
            </w:pPr>
            <w:r>
              <w:rPr>
                <w:rFonts w:cs="Arial"/>
                <w:color w:val="000000"/>
                <w:sz w:val="16"/>
                <w:szCs w:val="16"/>
              </w:rPr>
              <w:t>187,5</w:t>
            </w:r>
          </w:p>
        </w:tc>
        <w:tc>
          <w:tcPr>
            <w:tcW w:w="907" w:type="dxa"/>
            <w:tcBorders>
              <w:top w:val="nil"/>
              <w:left w:val="nil"/>
              <w:bottom w:val="nil"/>
              <w:right w:val="nil"/>
            </w:tcBorders>
            <w:shd w:val="clear" w:color="auto" w:fill="auto"/>
            <w:noWrap/>
            <w:vAlign w:val="bottom"/>
            <w:hideMark/>
          </w:tcPr>
          <w:p w14:paraId="299CE853" w14:textId="580AFFAF" w:rsidR="0097475C" w:rsidRPr="003018A3" w:rsidRDefault="0097475C" w:rsidP="0097475C">
            <w:pPr>
              <w:spacing w:after="0" w:line="240" w:lineRule="auto"/>
              <w:jc w:val="right"/>
              <w:rPr>
                <w:rFonts w:cs="Arial"/>
                <w:color w:val="000000"/>
                <w:sz w:val="16"/>
                <w:szCs w:val="16"/>
              </w:rPr>
            </w:pPr>
            <w:r>
              <w:rPr>
                <w:rFonts w:cs="Arial"/>
                <w:color w:val="000000"/>
                <w:sz w:val="16"/>
                <w:szCs w:val="16"/>
              </w:rPr>
              <w:t>62,2</w:t>
            </w:r>
          </w:p>
        </w:tc>
        <w:tc>
          <w:tcPr>
            <w:tcW w:w="907" w:type="dxa"/>
            <w:tcBorders>
              <w:top w:val="nil"/>
              <w:left w:val="nil"/>
              <w:bottom w:val="nil"/>
              <w:right w:val="nil"/>
            </w:tcBorders>
            <w:shd w:val="clear" w:color="auto" w:fill="auto"/>
            <w:noWrap/>
            <w:vAlign w:val="bottom"/>
            <w:hideMark/>
          </w:tcPr>
          <w:p w14:paraId="03898E19" w14:textId="480DEF43" w:rsidR="0097475C" w:rsidRPr="003018A3" w:rsidRDefault="0097475C" w:rsidP="0097475C">
            <w:pPr>
              <w:spacing w:after="0" w:line="240" w:lineRule="auto"/>
              <w:jc w:val="right"/>
              <w:rPr>
                <w:rFonts w:cs="Arial"/>
                <w:color w:val="000000"/>
                <w:sz w:val="16"/>
                <w:szCs w:val="16"/>
              </w:rPr>
            </w:pPr>
            <w:r>
              <w:rPr>
                <w:rFonts w:cs="Arial"/>
                <w:color w:val="000000"/>
                <w:sz w:val="16"/>
                <w:szCs w:val="16"/>
              </w:rPr>
              <w:t>58,2</w:t>
            </w:r>
          </w:p>
        </w:tc>
        <w:tc>
          <w:tcPr>
            <w:tcW w:w="907" w:type="dxa"/>
            <w:tcBorders>
              <w:top w:val="nil"/>
              <w:left w:val="nil"/>
              <w:bottom w:val="nil"/>
              <w:right w:val="nil"/>
            </w:tcBorders>
            <w:shd w:val="clear" w:color="auto" w:fill="auto"/>
            <w:noWrap/>
            <w:vAlign w:val="bottom"/>
            <w:hideMark/>
          </w:tcPr>
          <w:p w14:paraId="4F1D15AB" w14:textId="0589326C" w:rsidR="0097475C" w:rsidRPr="003018A3" w:rsidRDefault="0097475C" w:rsidP="0097475C">
            <w:pPr>
              <w:spacing w:after="0" w:line="240" w:lineRule="auto"/>
              <w:jc w:val="right"/>
              <w:rPr>
                <w:rFonts w:cs="Arial"/>
                <w:color w:val="000000"/>
                <w:sz w:val="16"/>
                <w:szCs w:val="16"/>
              </w:rPr>
            </w:pPr>
            <w:r>
              <w:rPr>
                <w:rFonts w:cs="Arial"/>
                <w:color w:val="000000"/>
                <w:sz w:val="16"/>
                <w:szCs w:val="16"/>
              </w:rPr>
              <w:t>66,3</w:t>
            </w:r>
          </w:p>
        </w:tc>
      </w:tr>
      <w:tr w:rsidR="0097475C" w:rsidRPr="003018A3" w14:paraId="786C749A" w14:textId="77777777" w:rsidTr="0097475C">
        <w:trPr>
          <w:trHeight w:val="300"/>
        </w:trPr>
        <w:tc>
          <w:tcPr>
            <w:tcW w:w="4195" w:type="dxa"/>
            <w:tcBorders>
              <w:top w:val="nil"/>
              <w:left w:val="nil"/>
              <w:bottom w:val="nil"/>
              <w:right w:val="nil"/>
            </w:tcBorders>
            <w:shd w:val="clear" w:color="auto" w:fill="auto"/>
            <w:noWrap/>
            <w:vAlign w:val="bottom"/>
            <w:hideMark/>
          </w:tcPr>
          <w:p w14:paraId="72C53B04" w14:textId="2DF43DE1" w:rsidR="0097475C" w:rsidRPr="003018A3" w:rsidRDefault="0097475C" w:rsidP="0097475C">
            <w:pPr>
              <w:spacing w:after="0" w:line="240" w:lineRule="auto"/>
              <w:ind w:firstLineChars="200" w:firstLine="320"/>
              <w:rPr>
                <w:rFonts w:cs="Arial"/>
                <w:color w:val="000000"/>
                <w:sz w:val="16"/>
                <w:szCs w:val="16"/>
              </w:rPr>
            </w:pPr>
            <w:r>
              <w:rPr>
                <w:rFonts w:cs="Arial"/>
                <w:color w:val="000000"/>
                <w:sz w:val="16"/>
                <w:szCs w:val="16"/>
              </w:rPr>
              <w:t xml:space="preserve"> nemoci páteře</w:t>
            </w:r>
          </w:p>
        </w:tc>
        <w:tc>
          <w:tcPr>
            <w:tcW w:w="907" w:type="dxa"/>
            <w:tcBorders>
              <w:top w:val="nil"/>
              <w:left w:val="single" w:sz="4" w:space="0" w:color="auto"/>
              <w:bottom w:val="nil"/>
              <w:right w:val="nil"/>
            </w:tcBorders>
            <w:shd w:val="clear" w:color="auto" w:fill="auto"/>
            <w:noWrap/>
            <w:vAlign w:val="bottom"/>
            <w:hideMark/>
          </w:tcPr>
          <w:p w14:paraId="1375F1E1" w14:textId="49BD3B57" w:rsidR="0097475C" w:rsidRPr="003018A3" w:rsidRDefault="0097475C" w:rsidP="0097475C">
            <w:pPr>
              <w:spacing w:after="0" w:line="240" w:lineRule="auto"/>
              <w:jc w:val="right"/>
              <w:rPr>
                <w:rFonts w:cs="Arial"/>
                <w:color w:val="000000"/>
                <w:sz w:val="16"/>
                <w:szCs w:val="16"/>
              </w:rPr>
            </w:pPr>
            <w:r>
              <w:rPr>
                <w:rFonts w:cs="Arial"/>
                <w:color w:val="000000"/>
                <w:sz w:val="16"/>
                <w:szCs w:val="16"/>
              </w:rPr>
              <w:t>245,3</w:t>
            </w:r>
          </w:p>
        </w:tc>
        <w:tc>
          <w:tcPr>
            <w:tcW w:w="907" w:type="dxa"/>
            <w:tcBorders>
              <w:top w:val="nil"/>
              <w:left w:val="nil"/>
              <w:bottom w:val="nil"/>
              <w:right w:val="nil"/>
            </w:tcBorders>
            <w:shd w:val="clear" w:color="auto" w:fill="auto"/>
            <w:noWrap/>
            <w:vAlign w:val="bottom"/>
            <w:hideMark/>
          </w:tcPr>
          <w:p w14:paraId="2ECD0E18" w14:textId="6928FECB" w:rsidR="0097475C" w:rsidRPr="003018A3" w:rsidRDefault="0097475C" w:rsidP="0097475C">
            <w:pPr>
              <w:spacing w:after="0" w:line="240" w:lineRule="auto"/>
              <w:jc w:val="right"/>
              <w:rPr>
                <w:rFonts w:cs="Arial"/>
                <w:color w:val="000000"/>
                <w:sz w:val="16"/>
                <w:szCs w:val="16"/>
              </w:rPr>
            </w:pPr>
            <w:r>
              <w:rPr>
                <w:rFonts w:cs="Arial"/>
                <w:color w:val="000000"/>
                <w:sz w:val="16"/>
                <w:szCs w:val="16"/>
              </w:rPr>
              <w:t>123,2</w:t>
            </w:r>
          </w:p>
        </w:tc>
        <w:tc>
          <w:tcPr>
            <w:tcW w:w="907" w:type="dxa"/>
            <w:tcBorders>
              <w:top w:val="nil"/>
              <w:left w:val="nil"/>
              <w:bottom w:val="nil"/>
              <w:right w:val="single" w:sz="4" w:space="0" w:color="auto"/>
            </w:tcBorders>
            <w:shd w:val="clear" w:color="auto" w:fill="auto"/>
            <w:noWrap/>
            <w:vAlign w:val="bottom"/>
            <w:hideMark/>
          </w:tcPr>
          <w:p w14:paraId="0BA281E5" w14:textId="3EF6B255" w:rsidR="0097475C" w:rsidRPr="003018A3" w:rsidRDefault="0097475C" w:rsidP="0097475C">
            <w:pPr>
              <w:spacing w:after="0" w:line="240" w:lineRule="auto"/>
              <w:jc w:val="right"/>
              <w:rPr>
                <w:rFonts w:cs="Arial"/>
                <w:color w:val="000000"/>
                <w:sz w:val="16"/>
                <w:szCs w:val="16"/>
              </w:rPr>
            </w:pPr>
            <w:r>
              <w:rPr>
                <w:rFonts w:cs="Arial"/>
                <w:color w:val="000000"/>
                <w:sz w:val="16"/>
                <w:szCs w:val="16"/>
              </w:rPr>
              <w:t>122,1</w:t>
            </w:r>
          </w:p>
        </w:tc>
        <w:tc>
          <w:tcPr>
            <w:tcW w:w="907" w:type="dxa"/>
            <w:tcBorders>
              <w:top w:val="nil"/>
              <w:left w:val="nil"/>
              <w:bottom w:val="nil"/>
              <w:right w:val="nil"/>
            </w:tcBorders>
            <w:shd w:val="clear" w:color="auto" w:fill="auto"/>
            <w:noWrap/>
            <w:vAlign w:val="bottom"/>
            <w:hideMark/>
          </w:tcPr>
          <w:p w14:paraId="745DD321" w14:textId="20EA4C77" w:rsidR="0097475C" w:rsidRPr="003018A3" w:rsidRDefault="0097475C" w:rsidP="0097475C">
            <w:pPr>
              <w:spacing w:after="0" w:line="240" w:lineRule="auto"/>
              <w:jc w:val="right"/>
              <w:rPr>
                <w:rFonts w:cs="Arial"/>
                <w:color w:val="000000"/>
                <w:sz w:val="16"/>
                <w:szCs w:val="16"/>
              </w:rPr>
            </w:pPr>
            <w:r>
              <w:rPr>
                <w:rFonts w:cs="Arial"/>
                <w:color w:val="000000"/>
                <w:sz w:val="16"/>
                <w:szCs w:val="16"/>
              </w:rPr>
              <w:t>56,4</w:t>
            </w:r>
          </w:p>
        </w:tc>
        <w:tc>
          <w:tcPr>
            <w:tcW w:w="907" w:type="dxa"/>
            <w:tcBorders>
              <w:top w:val="nil"/>
              <w:left w:val="nil"/>
              <w:bottom w:val="nil"/>
              <w:right w:val="nil"/>
            </w:tcBorders>
            <w:shd w:val="clear" w:color="auto" w:fill="auto"/>
            <w:noWrap/>
            <w:vAlign w:val="bottom"/>
            <w:hideMark/>
          </w:tcPr>
          <w:p w14:paraId="4E7987E2" w14:textId="038C84EA" w:rsidR="0097475C" w:rsidRPr="003018A3" w:rsidRDefault="0097475C" w:rsidP="0097475C">
            <w:pPr>
              <w:spacing w:after="0" w:line="240" w:lineRule="auto"/>
              <w:jc w:val="right"/>
              <w:rPr>
                <w:rFonts w:cs="Arial"/>
                <w:color w:val="000000"/>
                <w:sz w:val="16"/>
                <w:szCs w:val="16"/>
              </w:rPr>
            </w:pPr>
            <w:r>
              <w:rPr>
                <w:rFonts w:cs="Arial"/>
                <w:color w:val="000000"/>
                <w:sz w:val="16"/>
                <w:szCs w:val="16"/>
              </w:rPr>
              <w:t>52,3</w:t>
            </w:r>
          </w:p>
        </w:tc>
        <w:tc>
          <w:tcPr>
            <w:tcW w:w="907" w:type="dxa"/>
            <w:tcBorders>
              <w:top w:val="nil"/>
              <w:left w:val="nil"/>
              <w:bottom w:val="nil"/>
              <w:right w:val="nil"/>
            </w:tcBorders>
            <w:shd w:val="clear" w:color="auto" w:fill="auto"/>
            <w:noWrap/>
            <w:vAlign w:val="bottom"/>
            <w:hideMark/>
          </w:tcPr>
          <w:p w14:paraId="275EBC59" w14:textId="12CF9BF3" w:rsidR="0097475C" w:rsidRPr="003018A3" w:rsidRDefault="0097475C" w:rsidP="0097475C">
            <w:pPr>
              <w:spacing w:after="0" w:line="240" w:lineRule="auto"/>
              <w:jc w:val="right"/>
              <w:rPr>
                <w:rFonts w:cs="Arial"/>
                <w:color w:val="000000"/>
                <w:sz w:val="16"/>
                <w:szCs w:val="16"/>
              </w:rPr>
            </w:pPr>
            <w:r>
              <w:rPr>
                <w:rFonts w:cs="Arial"/>
                <w:color w:val="000000"/>
                <w:sz w:val="16"/>
                <w:szCs w:val="16"/>
              </w:rPr>
              <w:t>60,5</w:t>
            </w:r>
          </w:p>
        </w:tc>
      </w:tr>
      <w:tr w:rsidR="0097475C" w:rsidRPr="003018A3" w14:paraId="5FCE0CD0" w14:textId="77777777" w:rsidTr="0097475C">
        <w:trPr>
          <w:trHeight w:val="300"/>
        </w:trPr>
        <w:tc>
          <w:tcPr>
            <w:tcW w:w="4195" w:type="dxa"/>
            <w:tcBorders>
              <w:top w:val="nil"/>
              <w:left w:val="nil"/>
              <w:bottom w:val="nil"/>
              <w:right w:val="nil"/>
            </w:tcBorders>
            <w:shd w:val="clear" w:color="auto" w:fill="auto"/>
            <w:noWrap/>
            <w:vAlign w:val="bottom"/>
            <w:hideMark/>
          </w:tcPr>
          <w:p w14:paraId="73C222B7" w14:textId="7745E832" w:rsidR="0097475C" w:rsidRPr="003018A3" w:rsidRDefault="0097475C" w:rsidP="0097475C">
            <w:pPr>
              <w:spacing w:after="0" w:line="240" w:lineRule="auto"/>
              <w:ind w:firstLineChars="200" w:firstLine="320"/>
              <w:rPr>
                <w:rFonts w:cs="Arial"/>
                <w:color w:val="000000"/>
                <w:sz w:val="16"/>
                <w:szCs w:val="16"/>
              </w:rPr>
            </w:pPr>
            <w:r>
              <w:rPr>
                <w:rFonts w:cs="Arial"/>
                <w:color w:val="000000"/>
                <w:sz w:val="16"/>
                <w:szCs w:val="16"/>
              </w:rPr>
              <w:t xml:space="preserve"> jiné nemoci pohybové soustavy</w:t>
            </w:r>
          </w:p>
        </w:tc>
        <w:tc>
          <w:tcPr>
            <w:tcW w:w="907" w:type="dxa"/>
            <w:tcBorders>
              <w:top w:val="nil"/>
              <w:left w:val="single" w:sz="4" w:space="0" w:color="auto"/>
              <w:bottom w:val="nil"/>
              <w:right w:val="nil"/>
            </w:tcBorders>
            <w:shd w:val="clear" w:color="auto" w:fill="auto"/>
            <w:noWrap/>
            <w:vAlign w:val="bottom"/>
            <w:hideMark/>
          </w:tcPr>
          <w:p w14:paraId="79BAC089" w14:textId="52D9BF05" w:rsidR="0097475C" w:rsidRPr="003018A3" w:rsidRDefault="0097475C" w:rsidP="0097475C">
            <w:pPr>
              <w:spacing w:after="0" w:line="240" w:lineRule="auto"/>
              <w:jc w:val="right"/>
              <w:rPr>
                <w:rFonts w:cs="Arial"/>
                <w:color w:val="000000"/>
                <w:sz w:val="16"/>
                <w:szCs w:val="16"/>
              </w:rPr>
            </w:pPr>
            <w:r>
              <w:rPr>
                <w:rFonts w:cs="Arial"/>
                <w:color w:val="000000"/>
                <w:sz w:val="16"/>
                <w:szCs w:val="16"/>
              </w:rPr>
              <w:t>132,1</w:t>
            </w:r>
          </w:p>
        </w:tc>
        <w:tc>
          <w:tcPr>
            <w:tcW w:w="907" w:type="dxa"/>
            <w:tcBorders>
              <w:top w:val="nil"/>
              <w:left w:val="nil"/>
              <w:bottom w:val="nil"/>
              <w:right w:val="nil"/>
            </w:tcBorders>
            <w:shd w:val="clear" w:color="auto" w:fill="auto"/>
            <w:noWrap/>
            <w:vAlign w:val="bottom"/>
            <w:hideMark/>
          </w:tcPr>
          <w:p w14:paraId="0C7943EE" w14:textId="45AC54D9" w:rsidR="0097475C" w:rsidRPr="003018A3" w:rsidRDefault="0097475C" w:rsidP="0097475C">
            <w:pPr>
              <w:spacing w:after="0" w:line="240" w:lineRule="auto"/>
              <w:jc w:val="right"/>
              <w:rPr>
                <w:rFonts w:cs="Arial"/>
                <w:color w:val="000000"/>
                <w:sz w:val="16"/>
                <w:szCs w:val="16"/>
              </w:rPr>
            </w:pPr>
            <w:r>
              <w:rPr>
                <w:rFonts w:cs="Arial"/>
                <w:color w:val="000000"/>
                <w:sz w:val="16"/>
                <w:szCs w:val="16"/>
              </w:rPr>
              <w:t>66,8</w:t>
            </w:r>
          </w:p>
        </w:tc>
        <w:tc>
          <w:tcPr>
            <w:tcW w:w="907" w:type="dxa"/>
            <w:tcBorders>
              <w:top w:val="nil"/>
              <w:left w:val="nil"/>
              <w:bottom w:val="nil"/>
              <w:right w:val="single" w:sz="4" w:space="0" w:color="auto"/>
            </w:tcBorders>
            <w:shd w:val="clear" w:color="auto" w:fill="auto"/>
            <w:noWrap/>
            <w:vAlign w:val="bottom"/>
            <w:hideMark/>
          </w:tcPr>
          <w:p w14:paraId="232FB431" w14:textId="4FF35D26" w:rsidR="0097475C" w:rsidRPr="003018A3" w:rsidRDefault="0097475C" w:rsidP="0097475C">
            <w:pPr>
              <w:spacing w:after="0" w:line="240" w:lineRule="auto"/>
              <w:jc w:val="right"/>
              <w:rPr>
                <w:rFonts w:cs="Arial"/>
                <w:color w:val="000000"/>
                <w:sz w:val="16"/>
                <w:szCs w:val="16"/>
              </w:rPr>
            </w:pPr>
            <w:r>
              <w:rPr>
                <w:rFonts w:cs="Arial"/>
                <w:color w:val="000000"/>
                <w:sz w:val="16"/>
                <w:szCs w:val="16"/>
              </w:rPr>
              <w:t>65,4</w:t>
            </w:r>
          </w:p>
        </w:tc>
        <w:tc>
          <w:tcPr>
            <w:tcW w:w="907" w:type="dxa"/>
            <w:tcBorders>
              <w:top w:val="nil"/>
              <w:left w:val="nil"/>
              <w:bottom w:val="nil"/>
              <w:right w:val="nil"/>
            </w:tcBorders>
            <w:shd w:val="clear" w:color="auto" w:fill="auto"/>
            <w:noWrap/>
            <w:vAlign w:val="bottom"/>
            <w:hideMark/>
          </w:tcPr>
          <w:p w14:paraId="78206E26" w14:textId="06F34799" w:rsidR="0097475C" w:rsidRPr="003018A3" w:rsidRDefault="0097475C" w:rsidP="0097475C">
            <w:pPr>
              <w:spacing w:after="0" w:line="240" w:lineRule="auto"/>
              <w:jc w:val="right"/>
              <w:rPr>
                <w:rFonts w:cs="Arial"/>
                <w:color w:val="000000"/>
                <w:sz w:val="16"/>
                <w:szCs w:val="16"/>
              </w:rPr>
            </w:pPr>
            <w:r>
              <w:rPr>
                <w:rFonts w:cs="Arial"/>
                <w:color w:val="000000"/>
                <w:sz w:val="16"/>
                <w:szCs w:val="16"/>
              </w:rPr>
              <w:t>73,1</w:t>
            </w:r>
          </w:p>
        </w:tc>
        <w:tc>
          <w:tcPr>
            <w:tcW w:w="907" w:type="dxa"/>
            <w:tcBorders>
              <w:top w:val="nil"/>
              <w:left w:val="nil"/>
              <w:bottom w:val="nil"/>
              <w:right w:val="nil"/>
            </w:tcBorders>
            <w:shd w:val="clear" w:color="auto" w:fill="auto"/>
            <w:noWrap/>
            <w:vAlign w:val="bottom"/>
            <w:hideMark/>
          </w:tcPr>
          <w:p w14:paraId="0F2EAA68" w14:textId="4C373765" w:rsidR="0097475C" w:rsidRPr="003018A3" w:rsidRDefault="0097475C" w:rsidP="0097475C">
            <w:pPr>
              <w:spacing w:after="0" w:line="240" w:lineRule="auto"/>
              <w:jc w:val="right"/>
              <w:rPr>
                <w:rFonts w:cs="Arial"/>
                <w:color w:val="000000"/>
                <w:sz w:val="16"/>
                <w:szCs w:val="16"/>
              </w:rPr>
            </w:pPr>
            <w:r>
              <w:rPr>
                <w:rFonts w:cs="Arial"/>
                <w:color w:val="000000"/>
                <w:sz w:val="16"/>
                <w:szCs w:val="16"/>
              </w:rPr>
              <w:t>69,1</w:t>
            </w:r>
          </w:p>
        </w:tc>
        <w:tc>
          <w:tcPr>
            <w:tcW w:w="907" w:type="dxa"/>
            <w:tcBorders>
              <w:top w:val="nil"/>
              <w:left w:val="nil"/>
              <w:bottom w:val="nil"/>
              <w:right w:val="nil"/>
            </w:tcBorders>
            <w:shd w:val="clear" w:color="auto" w:fill="auto"/>
            <w:noWrap/>
            <w:vAlign w:val="bottom"/>
            <w:hideMark/>
          </w:tcPr>
          <w:p w14:paraId="0C4C2257" w14:textId="3F52B1F5" w:rsidR="0097475C" w:rsidRPr="003018A3" w:rsidRDefault="0097475C" w:rsidP="0097475C">
            <w:pPr>
              <w:spacing w:after="0" w:line="240" w:lineRule="auto"/>
              <w:jc w:val="right"/>
              <w:rPr>
                <w:rFonts w:cs="Arial"/>
                <w:color w:val="000000"/>
                <w:sz w:val="16"/>
                <w:szCs w:val="16"/>
              </w:rPr>
            </w:pPr>
            <w:r>
              <w:rPr>
                <w:rFonts w:cs="Arial"/>
                <w:color w:val="000000"/>
                <w:sz w:val="16"/>
                <w:szCs w:val="16"/>
              </w:rPr>
              <w:t>77,2</w:t>
            </w:r>
          </w:p>
        </w:tc>
      </w:tr>
      <w:tr w:rsidR="0097475C" w:rsidRPr="003018A3" w14:paraId="204FA6BD" w14:textId="77777777" w:rsidTr="0097475C">
        <w:trPr>
          <w:trHeight w:val="300"/>
        </w:trPr>
        <w:tc>
          <w:tcPr>
            <w:tcW w:w="4195" w:type="dxa"/>
            <w:tcBorders>
              <w:top w:val="nil"/>
              <w:left w:val="nil"/>
              <w:bottom w:val="nil"/>
              <w:right w:val="nil"/>
            </w:tcBorders>
            <w:shd w:val="clear" w:color="auto" w:fill="auto"/>
            <w:noWrap/>
            <w:vAlign w:val="bottom"/>
            <w:hideMark/>
          </w:tcPr>
          <w:p w14:paraId="7ECE8404" w14:textId="2C5EEB2D"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Nemoci močové a pohlavní soustavy</w:t>
            </w:r>
          </w:p>
        </w:tc>
        <w:tc>
          <w:tcPr>
            <w:tcW w:w="907" w:type="dxa"/>
            <w:tcBorders>
              <w:top w:val="nil"/>
              <w:left w:val="single" w:sz="4" w:space="0" w:color="auto"/>
              <w:bottom w:val="nil"/>
              <w:right w:val="nil"/>
            </w:tcBorders>
            <w:shd w:val="clear" w:color="auto" w:fill="auto"/>
            <w:noWrap/>
            <w:vAlign w:val="bottom"/>
            <w:hideMark/>
          </w:tcPr>
          <w:p w14:paraId="53AB8257" w14:textId="154126B8" w:rsidR="0097475C" w:rsidRPr="003018A3" w:rsidRDefault="0097475C" w:rsidP="0097475C">
            <w:pPr>
              <w:spacing w:after="0" w:line="240" w:lineRule="auto"/>
              <w:jc w:val="right"/>
              <w:rPr>
                <w:rFonts w:cs="Arial"/>
                <w:color w:val="000000"/>
                <w:sz w:val="16"/>
                <w:szCs w:val="16"/>
              </w:rPr>
            </w:pPr>
            <w:r>
              <w:rPr>
                <w:rFonts w:cs="Arial"/>
                <w:color w:val="000000"/>
                <w:sz w:val="16"/>
                <w:szCs w:val="16"/>
              </w:rPr>
              <w:t>83,2</w:t>
            </w:r>
          </w:p>
        </w:tc>
        <w:tc>
          <w:tcPr>
            <w:tcW w:w="907" w:type="dxa"/>
            <w:tcBorders>
              <w:top w:val="nil"/>
              <w:left w:val="nil"/>
              <w:bottom w:val="nil"/>
              <w:right w:val="nil"/>
            </w:tcBorders>
            <w:shd w:val="clear" w:color="auto" w:fill="auto"/>
            <w:noWrap/>
            <w:vAlign w:val="bottom"/>
            <w:hideMark/>
          </w:tcPr>
          <w:p w14:paraId="75B42B3A" w14:textId="1A752FDF" w:rsidR="0097475C" w:rsidRPr="003018A3" w:rsidRDefault="0097475C" w:rsidP="0097475C">
            <w:pPr>
              <w:spacing w:after="0" w:line="240" w:lineRule="auto"/>
              <w:jc w:val="right"/>
              <w:rPr>
                <w:rFonts w:cs="Arial"/>
                <w:color w:val="000000"/>
                <w:sz w:val="16"/>
                <w:szCs w:val="16"/>
              </w:rPr>
            </w:pPr>
            <w:r>
              <w:rPr>
                <w:rFonts w:cs="Arial"/>
                <w:color w:val="000000"/>
                <w:sz w:val="16"/>
                <w:szCs w:val="16"/>
              </w:rPr>
              <w:t>18,3</w:t>
            </w:r>
          </w:p>
        </w:tc>
        <w:tc>
          <w:tcPr>
            <w:tcW w:w="907" w:type="dxa"/>
            <w:tcBorders>
              <w:top w:val="nil"/>
              <w:left w:val="nil"/>
              <w:bottom w:val="nil"/>
              <w:right w:val="single" w:sz="4" w:space="0" w:color="auto"/>
            </w:tcBorders>
            <w:shd w:val="clear" w:color="auto" w:fill="auto"/>
            <w:noWrap/>
            <w:vAlign w:val="bottom"/>
            <w:hideMark/>
          </w:tcPr>
          <w:p w14:paraId="1BEB584B" w14:textId="30AFBB90" w:rsidR="0097475C" w:rsidRPr="003018A3" w:rsidRDefault="0097475C" w:rsidP="0097475C">
            <w:pPr>
              <w:spacing w:after="0" w:line="240" w:lineRule="auto"/>
              <w:jc w:val="right"/>
              <w:rPr>
                <w:rFonts w:cs="Arial"/>
                <w:color w:val="000000"/>
                <w:sz w:val="16"/>
                <w:szCs w:val="16"/>
              </w:rPr>
            </w:pPr>
            <w:r>
              <w:rPr>
                <w:rFonts w:cs="Arial"/>
                <w:color w:val="000000"/>
                <w:sz w:val="16"/>
                <w:szCs w:val="16"/>
              </w:rPr>
              <w:t>64,9</w:t>
            </w:r>
          </w:p>
        </w:tc>
        <w:tc>
          <w:tcPr>
            <w:tcW w:w="907" w:type="dxa"/>
            <w:tcBorders>
              <w:top w:val="nil"/>
              <w:left w:val="nil"/>
              <w:bottom w:val="nil"/>
              <w:right w:val="nil"/>
            </w:tcBorders>
            <w:shd w:val="clear" w:color="auto" w:fill="auto"/>
            <w:noWrap/>
            <w:vAlign w:val="bottom"/>
            <w:hideMark/>
          </w:tcPr>
          <w:p w14:paraId="2EA6F16A" w14:textId="0CDACAE6" w:rsidR="0097475C" w:rsidRPr="003018A3" w:rsidRDefault="0097475C" w:rsidP="0097475C">
            <w:pPr>
              <w:spacing w:after="0" w:line="240" w:lineRule="auto"/>
              <w:jc w:val="right"/>
              <w:rPr>
                <w:rFonts w:cs="Arial"/>
                <w:color w:val="000000"/>
                <w:sz w:val="16"/>
                <w:szCs w:val="16"/>
              </w:rPr>
            </w:pPr>
            <w:r>
              <w:rPr>
                <w:rFonts w:cs="Arial"/>
                <w:color w:val="000000"/>
                <w:sz w:val="16"/>
                <w:szCs w:val="16"/>
              </w:rPr>
              <w:t>28,7</w:t>
            </w:r>
          </w:p>
        </w:tc>
        <w:tc>
          <w:tcPr>
            <w:tcW w:w="907" w:type="dxa"/>
            <w:tcBorders>
              <w:top w:val="nil"/>
              <w:left w:val="nil"/>
              <w:bottom w:val="nil"/>
              <w:right w:val="nil"/>
            </w:tcBorders>
            <w:shd w:val="clear" w:color="auto" w:fill="auto"/>
            <w:noWrap/>
            <w:vAlign w:val="bottom"/>
            <w:hideMark/>
          </w:tcPr>
          <w:p w14:paraId="558843E0" w14:textId="504F3FA6" w:rsidR="0097475C" w:rsidRPr="003018A3" w:rsidRDefault="0097475C" w:rsidP="0097475C">
            <w:pPr>
              <w:spacing w:after="0" w:line="240" w:lineRule="auto"/>
              <w:jc w:val="right"/>
              <w:rPr>
                <w:rFonts w:cs="Arial"/>
                <w:color w:val="000000"/>
                <w:sz w:val="16"/>
                <w:szCs w:val="16"/>
              </w:rPr>
            </w:pPr>
            <w:r>
              <w:rPr>
                <w:rFonts w:cs="Arial"/>
                <w:color w:val="000000"/>
                <w:sz w:val="16"/>
                <w:szCs w:val="16"/>
              </w:rPr>
              <w:t>32,3</w:t>
            </w:r>
          </w:p>
        </w:tc>
        <w:tc>
          <w:tcPr>
            <w:tcW w:w="907" w:type="dxa"/>
            <w:tcBorders>
              <w:top w:val="nil"/>
              <w:left w:val="nil"/>
              <w:bottom w:val="nil"/>
              <w:right w:val="nil"/>
            </w:tcBorders>
            <w:shd w:val="clear" w:color="auto" w:fill="auto"/>
            <w:noWrap/>
            <w:vAlign w:val="bottom"/>
            <w:hideMark/>
          </w:tcPr>
          <w:p w14:paraId="67A0D671" w14:textId="206F3984" w:rsidR="0097475C" w:rsidRPr="003018A3" w:rsidRDefault="0097475C" w:rsidP="0097475C">
            <w:pPr>
              <w:spacing w:after="0" w:line="240" w:lineRule="auto"/>
              <w:jc w:val="right"/>
              <w:rPr>
                <w:rFonts w:cs="Arial"/>
                <w:color w:val="000000"/>
                <w:sz w:val="16"/>
                <w:szCs w:val="16"/>
              </w:rPr>
            </w:pPr>
            <w:r>
              <w:rPr>
                <w:rFonts w:cs="Arial"/>
                <w:color w:val="000000"/>
                <w:sz w:val="16"/>
                <w:szCs w:val="16"/>
              </w:rPr>
              <w:t>27,7</w:t>
            </w:r>
          </w:p>
        </w:tc>
      </w:tr>
      <w:tr w:rsidR="0097475C" w:rsidRPr="003018A3" w14:paraId="4D6239A2" w14:textId="77777777" w:rsidTr="0097475C">
        <w:trPr>
          <w:trHeight w:val="300"/>
        </w:trPr>
        <w:tc>
          <w:tcPr>
            <w:tcW w:w="4195" w:type="dxa"/>
            <w:tcBorders>
              <w:top w:val="nil"/>
              <w:left w:val="nil"/>
              <w:bottom w:val="nil"/>
              <w:right w:val="nil"/>
            </w:tcBorders>
            <w:shd w:val="clear" w:color="auto" w:fill="auto"/>
            <w:noWrap/>
            <w:vAlign w:val="bottom"/>
            <w:hideMark/>
          </w:tcPr>
          <w:p w14:paraId="2ABC538A" w14:textId="642A36E8"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Těhotenství, porod, šestinedělí</w:t>
            </w:r>
          </w:p>
        </w:tc>
        <w:tc>
          <w:tcPr>
            <w:tcW w:w="907" w:type="dxa"/>
            <w:tcBorders>
              <w:top w:val="nil"/>
              <w:left w:val="single" w:sz="4" w:space="0" w:color="auto"/>
              <w:bottom w:val="nil"/>
              <w:right w:val="nil"/>
            </w:tcBorders>
            <w:shd w:val="clear" w:color="auto" w:fill="auto"/>
            <w:noWrap/>
            <w:vAlign w:val="bottom"/>
            <w:hideMark/>
          </w:tcPr>
          <w:p w14:paraId="15DD956D" w14:textId="2824684B" w:rsidR="0097475C" w:rsidRPr="003018A3" w:rsidRDefault="0097475C" w:rsidP="0097475C">
            <w:pPr>
              <w:spacing w:after="0" w:line="240" w:lineRule="auto"/>
              <w:jc w:val="right"/>
              <w:rPr>
                <w:rFonts w:cs="Arial"/>
                <w:color w:val="000000"/>
                <w:sz w:val="16"/>
                <w:szCs w:val="16"/>
              </w:rPr>
            </w:pPr>
            <w:r>
              <w:rPr>
                <w:rFonts w:cs="Arial"/>
                <w:color w:val="000000"/>
                <w:sz w:val="16"/>
                <w:szCs w:val="16"/>
              </w:rPr>
              <w:t>24,5</w:t>
            </w:r>
          </w:p>
        </w:tc>
        <w:tc>
          <w:tcPr>
            <w:tcW w:w="907" w:type="dxa"/>
            <w:tcBorders>
              <w:top w:val="nil"/>
              <w:left w:val="nil"/>
              <w:bottom w:val="nil"/>
              <w:right w:val="nil"/>
            </w:tcBorders>
            <w:shd w:val="clear" w:color="auto" w:fill="auto"/>
            <w:noWrap/>
            <w:vAlign w:val="bottom"/>
            <w:hideMark/>
          </w:tcPr>
          <w:p w14:paraId="70BA243A" w14:textId="02C929FB" w:rsidR="0097475C" w:rsidRPr="003018A3" w:rsidRDefault="0097475C" w:rsidP="0097475C">
            <w:pPr>
              <w:spacing w:after="0" w:line="240" w:lineRule="auto"/>
              <w:jc w:val="right"/>
              <w:rPr>
                <w:rFonts w:ascii="Calibri" w:hAnsi="Calibri" w:cs="Calibri"/>
                <w:color w:val="000000"/>
                <w:sz w:val="16"/>
                <w:szCs w:val="16"/>
              </w:rPr>
            </w:pPr>
            <w:r>
              <w:rPr>
                <w:rFonts w:cs="Arial"/>
                <w:color w:val="000000"/>
                <w:sz w:val="16"/>
                <w:szCs w:val="16"/>
              </w:rPr>
              <w:t>x</w:t>
            </w:r>
          </w:p>
        </w:tc>
        <w:tc>
          <w:tcPr>
            <w:tcW w:w="907" w:type="dxa"/>
            <w:tcBorders>
              <w:top w:val="nil"/>
              <w:left w:val="nil"/>
              <w:bottom w:val="nil"/>
              <w:right w:val="single" w:sz="4" w:space="0" w:color="auto"/>
            </w:tcBorders>
            <w:shd w:val="clear" w:color="auto" w:fill="auto"/>
            <w:noWrap/>
            <w:vAlign w:val="bottom"/>
            <w:hideMark/>
          </w:tcPr>
          <w:p w14:paraId="300CB6AA" w14:textId="3CEB386F" w:rsidR="0097475C" w:rsidRPr="003018A3" w:rsidRDefault="0097475C" w:rsidP="0097475C">
            <w:pPr>
              <w:spacing w:after="0" w:line="240" w:lineRule="auto"/>
              <w:jc w:val="right"/>
              <w:rPr>
                <w:rFonts w:cs="Arial"/>
                <w:color w:val="000000"/>
                <w:sz w:val="16"/>
                <w:szCs w:val="16"/>
              </w:rPr>
            </w:pPr>
            <w:r>
              <w:rPr>
                <w:rFonts w:cs="Arial"/>
                <w:color w:val="000000"/>
                <w:sz w:val="16"/>
                <w:szCs w:val="16"/>
              </w:rPr>
              <w:t>24,5</w:t>
            </w:r>
          </w:p>
        </w:tc>
        <w:tc>
          <w:tcPr>
            <w:tcW w:w="907" w:type="dxa"/>
            <w:tcBorders>
              <w:top w:val="nil"/>
              <w:left w:val="nil"/>
              <w:bottom w:val="nil"/>
              <w:right w:val="nil"/>
            </w:tcBorders>
            <w:shd w:val="clear" w:color="auto" w:fill="auto"/>
            <w:noWrap/>
            <w:vAlign w:val="bottom"/>
            <w:hideMark/>
          </w:tcPr>
          <w:p w14:paraId="72C85951" w14:textId="19522B47" w:rsidR="0097475C" w:rsidRPr="003018A3" w:rsidRDefault="0097475C" w:rsidP="0097475C">
            <w:pPr>
              <w:spacing w:after="0" w:line="240" w:lineRule="auto"/>
              <w:jc w:val="right"/>
              <w:rPr>
                <w:rFonts w:cs="Arial"/>
                <w:color w:val="000000"/>
                <w:sz w:val="16"/>
                <w:szCs w:val="16"/>
              </w:rPr>
            </w:pPr>
            <w:r>
              <w:rPr>
                <w:rFonts w:cs="Arial"/>
                <w:color w:val="000000"/>
                <w:sz w:val="16"/>
                <w:szCs w:val="16"/>
              </w:rPr>
              <w:t>92,3</w:t>
            </w:r>
          </w:p>
        </w:tc>
        <w:tc>
          <w:tcPr>
            <w:tcW w:w="907" w:type="dxa"/>
            <w:tcBorders>
              <w:top w:val="nil"/>
              <w:left w:val="nil"/>
              <w:bottom w:val="nil"/>
              <w:right w:val="nil"/>
            </w:tcBorders>
            <w:shd w:val="clear" w:color="auto" w:fill="auto"/>
            <w:noWrap/>
            <w:vAlign w:val="bottom"/>
            <w:hideMark/>
          </w:tcPr>
          <w:p w14:paraId="0B177629" w14:textId="0D172034" w:rsidR="0097475C" w:rsidRPr="003018A3" w:rsidRDefault="0097475C" w:rsidP="0097475C">
            <w:pPr>
              <w:spacing w:after="0" w:line="240" w:lineRule="auto"/>
              <w:jc w:val="right"/>
              <w:rPr>
                <w:rFonts w:cs="Arial"/>
                <w:color w:val="000000"/>
                <w:sz w:val="16"/>
                <w:szCs w:val="16"/>
              </w:rPr>
            </w:pPr>
            <w:r>
              <w:rPr>
                <w:rFonts w:ascii="Calibri" w:hAnsi="Calibri" w:cs="Calibri"/>
                <w:color w:val="000000"/>
                <w:sz w:val="16"/>
                <w:szCs w:val="16"/>
              </w:rPr>
              <w:t>x</w:t>
            </w:r>
          </w:p>
        </w:tc>
        <w:tc>
          <w:tcPr>
            <w:tcW w:w="907" w:type="dxa"/>
            <w:tcBorders>
              <w:top w:val="nil"/>
              <w:left w:val="nil"/>
              <w:bottom w:val="nil"/>
              <w:right w:val="nil"/>
            </w:tcBorders>
            <w:shd w:val="clear" w:color="auto" w:fill="auto"/>
            <w:noWrap/>
            <w:vAlign w:val="bottom"/>
            <w:hideMark/>
          </w:tcPr>
          <w:p w14:paraId="1E1CAE95" w14:textId="35E65DC0" w:rsidR="0097475C" w:rsidRPr="003018A3" w:rsidRDefault="0097475C" w:rsidP="0097475C">
            <w:pPr>
              <w:spacing w:after="0" w:line="240" w:lineRule="auto"/>
              <w:jc w:val="right"/>
              <w:rPr>
                <w:rFonts w:cs="Arial"/>
                <w:color w:val="000000"/>
                <w:sz w:val="16"/>
                <w:szCs w:val="16"/>
              </w:rPr>
            </w:pPr>
            <w:r>
              <w:rPr>
                <w:rFonts w:cs="Arial"/>
                <w:color w:val="000000"/>
                <w:sz w:val="16"/>
                <w:szCs w:val="16"/>
              </w:rPr>
              <w:t>92,3</w:t>
            </w:r>
          </w:p>
        </w:tc>
      </w:tr>
      <w:tr w:rsidR="0097475C" w:rsidRPr="003018A3" w14:paraId="1654C1EB" w14:textId="77777777" w:rsidTr="0097475C">
        <w:trPr>
          <w:trHeight w:val="300"/>
        </w:trPr>
        <w:tc>
          <w:tcPr>
            <w:tcW w:w="4195" w:type="dxa"/>
            <w:tcBorders>
              <w:top w:val="nil"/>
              <w:left w:val="nil"/>
              <w:bottom w:val="nil"/>
              <w:right w:val="nil"/>
            </w:tcBorders>
            <w:shd w:val="clear" w:color="auto" w:fill="auto"/>
            <w:noWrap/>
            <w:vAlign w:val="bottom"/>
            <w:hideMark/>
          </w:tcPr>
          <w:p w14:paraId="4C49DBD6" w14:textId="6CFA0AD2"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Úrazy, otravy</w:t>
            </w:r>
          </w:p>
        </w:tc>
        <w:tc>
          <w:tcPr>
            <w:tcW w:w="907" w:type="dxa"/>
            <w:tcBorders>
              <w:top w:val="nil"/>
              <w:left w:val="single" w:sz="4" w:space="0" w:color="auto"/>
              <w:bottom w:val="nil"/>
              <w:right w:val="nil"/>
            </w:tcBorders>
            <w:shd w:val="clear" w:color="auto" w:fill="auto"/>
            <w:noWrap/>
            <w:vAlign w:val="bottom"/>
            <w:hideMark/>
          </w:tcPr>
          <w:p w14:paraId="48836E5E" w14:textId="310DC514" w:rsidR="0097475C" w:rsidRPr="003018A3" w:rsidRDefault="0097475C" w:rsidP="0097475C">
            <w:pPr>
              <w:spacing w:after="0" w:line="240" w:lineRule="auto"/>
              <w:jc w:val="right"/>
              <w:rPr>
                <w:rFonts w:cs="Arial"/>
                <w:color w:val="000000"/>
                <w:sz w:val="16"/>
                <w:szCs w:val="16"/>
              </w:rPr>
            </w:pPr>
            <w:r>
              <w:rPr>
                <w:rFonts w:cs="Arial"/>
                <w:color w:val="000000"/>
                <w:sz w:val="16"/>
                <w:szCs w:val="16"/>
              </w:rPr>
              <w:t>201,0</w:t>
            </w:r>
          </w:p>
        </w:tc>
        <w:tc>
          <w:tcPr>
            <w:tcW w:w="907" w:type="dxa"/>
            <w:tcBorders>
              <w:top w:val="nil"/>
              <w:left w:val="nil"/>
              <w:bottom w:val="nil"/>
              <w:right w:val="nil"/>
            </w:tcBorders>
            <w:shd w:val="clear" w:color="auto" w:fill="auto"/>
            <w:noWrap/>
            <w:vAlign w:val="bottom"/>
            <w:hideMark/>
          </w:tcPr>
          <w:p w14:paraId="752DECE1" w14:textId="6FBA2879" w:rsidR="0097475C" w:rsidRPr="003018A3" w:rsidRDefault="0097475C" w:rsidP="0097475C">
            <w:pPr>
              <w:spacing w:after="0" w:line="240" w:lineRule="auto"/>
              <w:jc w:val="right"/>
              <w:rPr>
                <w:rFonts w:cs="Arial"/>
                <w:color w:val="000000"/>
                <w:sz w:val="16"/>
                <w:szCs w:val="16"/>
              </w:rPr>
            </w:pPr>
            <w:r>
              <w:rPr>
                <w:rFonts w:cs="Arial"/>
                <w:color w:val="000000"/>
                <w:sz w:val="16"/>
                <w:szCs w:val="16"/>
              </w:rPr>
              <w:t>123,4</w:t>
            </w:r>
          </w:p>
        </w:tc>
        <w:tc>
          <w:tcPr>
            <w:tcW w:w="907" w:type="dxa"/>
            <w:tcBorders>
              <w:top w:val="nil"/>
              <w:left w:val="nil"/>
              <w:bottom w:val="nil"/>
              <w:right w:val="single" w:sz="4" w:space="0" w:color="auto"/>
            </w:tcBorders>
            <w:shd w:val="clear" w:color="auto" w:fill="auto"/>
            <w:noWrap/>
            <w:vAlign w:val="bottom"/>
            <w:hideMark/>
          </w:tcPr>
          <w:p w14:paraId="7DE560AE" w14:textId="155EF5CD" w:rsidR="0097475C" w:rsidRPr="003018A3" w:rsidRDefault="0097475C" w:rsidP="0097475C">
            <w:pPr>
              <w:spacing w:after="0" w:line="240" w:lineRule="auto"/>
              <w:jc w:val="right"/>
              <w:rPr>
                <w:rFonts w:cs="Arial"/>
                <w:color w:val="000000"/>
                <w:sz w:val="16"/>
                <w:szCs w:val="16"/>
              </w:rPr>
            </w:pPr>
            <w:r>
              <w:rPr>
                <w:rFonts w:cs="Arial"/>
                <w:color w:val="000000"/>
                <w:sz w:val="16"/>
                <w:szCs w:val="16"/>
              </w:rPr>
              <w:t>77,6</w:t>
            </w:r>
          </w:p>
        </w:tc>
        <w:tc>
          <w:tcPr>
            <w:tcW w:w="907" w:type="dxa"/>
            <w:tcBorders>
              <w:top w:val="nil"/>
              <w:left w:val="nil"/>
              <w:bottom w:val="nil"/>
              <w:right w:val="nil"/>
            </w:tcBorders>
            <w:shd w:val="clear" w:color="auto" w:fill="auto"/>
            <w:noWrap/>
            <w:vAlign w:val="bottom"/>
            <w:hideMark/>
          </w:tcPr>
          <w:p w14:paraId="63BAF79B" w14:textId="182BE4C1" w:rsidR="0097475C" w:rsidRPr="003018A3" w:rsidRDefault="0097475C" w:rsidP="0097475C">
            <w:pPr>
              <w:spacing w:after="0" w:line="240" w:lineRule="auto"/>
              <w:jc w:val="right"/>
              <w:rPr>
                <w:rFonts w:cs="Arial"/>
                <w:color w:val="000000"/>
                <w:sz w:val="16"/>
                <w:szCs w:val="16"/>
              </w:rPr>
            </w:pPr>
            <w:r>
              <w:rPr>
                <w:rFonts w:cs="Arial"/>
                <w:color w:val="000000"/>
                <w:sz w:val="16"/>
                <w:szCs w:val="16"/>
              </w:rPr>
              <w:t>51,7</w:t>
            </w:r>
          </w:p>
        </w:tc>
        <w:tc>
          <w:tcPr>
            <w:tcW w:w="907" w:type="dxa"/>
            <w:tcBorders>
              <w:top w:val="nil"/>
              <w:left w:val="nil"/>
              <w:bottom w:val="nil"/>
              <w:right w:val="nil"/>
            </w:tcBorders>
            <w:shd w:val="clear" w:color="auto" w:fill="auto"/>
            <w:noWrap/>
            <w:vAlign w:val="bottom"/>
            <w:hideMark/>
          </w:tcPr>
          <w:p w14:paraId="16B9F404" w14:textId="283E1025" w:rsidR="0097475C" w:rsidRPr="003018A3" w:rsidRDefault="0097475C" w:rsidP="0097475C">
            <w:pPr>
              <w:spacing w:after="0" w:line="240" w:lineRule="auto"/>
              <w:jc w:val="right"/>
              <w:rPr>
                <w:rFonts w:cs="Arial"/>
                <w:color w:val="000000"/>
                <w:sz w:val="16"/>
                <w:szCs w:val="16"/>
              </w:rPr>
            </w:pPr>
            <w:r>
              <w:rPr>
                <w:rFonts w:cs="Arial"/>
                <w:color w:val="000000"/>
                <w:sz w:val="16"/>
                <w:szCs w:val="16"/>
              </w:rPr>
              <w:t>50,6</w:t>
            </w:r>
          </w:p>
        </w:tc>
        <w:tc>
          <w:tcPr>
            <w:tcW w:w="907" w:type="dxa"/>
            <w:tcBorders>
              <w:top w:val="nil"/>
              <w:left w:val="nil"/>
              <w:bottom w:val="nil"/>
              <w:right w:val="nil"/>
            </w:tcBorders>
            <w:shd w:val="clear" w:color="auto" w:fill="auto"/>
            <w:noWrap/>
            <w:vAlign w:val="bottom"/>
            <w:hideMark/>
          </w:tcPr>
          <w:p w14:paraId="76D2F6D8" w14:textId="0415B670" w:rsidR="0097475C" w:rsidRPr="003018A3" w:rsidRDefault="0097475C" w:rsidP="0097475C">
            <w:pPr>
              <w:spacing w:after="0" w:line="240" w:lineRule="auto"/>
              <w:jc w:val="right"/>
              <w:rPr>
                <w:rFonts w:cs="Arial"/>
                <w:color w:val="000000"/>
                <w:sz w:val="16"/>
                <w:szCs w:val="16"/>
              </w:rPr>
            </w:pPr>
            <w:r>
              <w:rPr>
                <w:rFonts w:cs="Arial"/>
                <w:color w:val="000000"/>
                <w:sz w:val="16"/>
                <w:szCs w:val="16"/>
              </w:rPr>
              <w:t>53,5</w:t>
            </w:r>
          </w:p>
        </w:tc>
      </w:tr>
      <w:tr w:rsidR="0097475C" w:rsidRPr="003018A3" w14:paraId="58C90F5E" w14:textId="77777777" w:rsidTr="0097475C">
        <w:trPr>
          <w:trHeight w:val="300"/>
        </w:trPr>
        <w:tc>
          <w:tcPr>
            <w:tcW w:w="4195" w:type="dxa"/>
            <w:tcBorders>
              <w:top w:val="nil"/>
              <w:left w:val="nil"/>
              <w:bottom w:val="nil"/>
              <w:right w:val="nil"/>
            </w:tcBorders>
            <w:shd w:val="clear" w:color="auto" w:fill="auto"/>
            <w:noWrap/>
            <w:vAlign w:val="bottom"/>
            <w:hideMark/>
          </w:tcPr>
          <w:p w14:paraId="4CA01B2E" w14:textId="5D167DDB" w:rsidR="0097475C" w:rsidRPr="003018A3" w:rsidRDefault="0097475C" w:rsidP="0097475C">
            <w:pPr>
              <w:spacing w:after="0" w:line="240" w:lineRule="auto"/>
              <w:ind w:firstLineChars="100" w:firstLine="160"/>
              <w:rPr>
                <w:rFonts w:cs="Arial"/>
                <w:color w:val="000000"/>
                <w:sz w:val="16"/>
                <w:szCs w:val="16"/>
              </w:rPr>
            </w:pPr>
            <w:r>
              <w:rPr>
                <w:rFonts w:cs="Arial"/>
                <w:color w:val="000000"/>
                <w:sz w:val="16"/>
                <w:szCs w:val="16"/>
              </w:rPr>
              <w:t>Nemoci ostatní</w:t>
            </w:r>
          </w:p>
        </w:tc>
        <w:tc>
          <w:tcPr>
            <w:tcW w:w="907" w:type="dxa"/>
            <w:tcBorders>
              <w:top w:val="nil"/>
              <w:left w:val="single" w:sz="4" w:space="0" w:color="auto"/>
              <w:bottom w:val="nil"/>
              <w:right w:val="nil"/>
            </w:tcBorders>
            <w:shd w:val="clear" w:color="auto" w:fill="auto"/>
            <w:noWrap/>
            <w:vAlign w:val="bottom"/>
            <w:hideMark/>
          </w:tcPr>
          <w:p w14:paraId="353F8024" w14:textId="3AAC6930" w:rsidR="0097475C" w:rsidRPr="003018A3" w:rsidRDefault="0097475C" w:rsidP="0097475C">
            <w:pPr>
              <w:spacing w:after="0" w:line="240" w:lineRule="auto"/>
              <w:jc w:val="right"/>
              <w:rPr>
                <w:rFonts w:cs="Arial"/>
                <w:color w:val="000000"/>
                <w:sz w:val="16"/>
                <w:szCs w:val="16"/>
              </w:rPr>
            </w:pPr>
            <w:r>
              <w:rPr>
                <w:rFonts w:cs="Arial"/>
                <w:color w:val="000000"/>
                <w:sz w:val="16"/>
                <w:szCs w:val="16"/>
              </w:rPr>
              <w:t>423,9</w:t>
            </w:r>
          </w:p>
        </w:tc>
        <w:tc>
          <w:tcPr>
            <w:tcW w:w="907" w:type="dxa"/>
            <w:tcBorders>
              <w:top w:val="nil"/>
              <w:left w:val="nil"/>
              <w:bottom w:val="nil"/>
              <w:right w:val="nil"/>
            </w:tcBorders>
            <w:shd w:val="clear" w:color="auto" w:fill="auto"/>
            <w:noWrap/>
            <w:vAlign w:val="bottom"/>
            <w:hideMark/>
          </w:tcPr>
          <w:p w14:paraId="6023A30B" w14:textId="1A1C058A" w:rsidR="0097475C" w:rsidRPr="003018A3" w:rsidRDefault="0097475C" w:rsidP="0097475C">
            <w:pPr>
              <w:spacing w:after="0" w:line="240" w:lineRule="auto"/>
              <w:jc w:val="right"/>
              <w:rPr>
                <w:rFonts w:cs="Arial"/>
                <w:color w:val="000000"/>
                <w:sz w:val="16"/>
                <w:szCs w:val="16"/>
              </w:rPr>
            </w:pPr>
            <w:r>
              <w:rPr>
                <w:rFonts w:cs="Arial"/>
                <w:color w:val="000000"/>
                <w:sz w:val="16"/>
                <w:szCs w:val="16"/>
              </w:rPr>
              <w:t>169,4</w:t>
            </w:r>
          </w:p>
        </w:tc>
        <w:tc>
          <w:tcPr>
            <w:tcW w:w="907" w:type="dxa"/>
            <w:tcBorders>
              <w:top w:val="nil"/>
              <w:left w:val="nil"/>
              <w:bottom w:val="nil"/>
              <w:right w:val="single" w:sz="4" w:space="0" w:color="auto"/>
            </w:tcBorders>
            <w:shd w:val="clear" w:color="auto" w:fill="auto"/>
            <w:noWrap/>
            <w:vAlign w:val="bottom"/>
            <w:hideMark/>
          </w:tcPr>
          <w:p w14:paraId="5232BF27" w14:textId="58F909B4" w:rsidR="0097475C" w:rsidRPr="003018A3" w:rsidRDefault="0097475C" w:rsidP="0097475C">
            <w:pPr>
              <w:spacing w:after="0" w:line="240" w:lineRule="auto"/>
              <w:jc w:val="right"/>
              <w:rPr>
                <w:rFonts w:cs="Arial"/>
                <w:color w:val="000000"/>
                <w:sz w:val="16"/>
                <w:szCs w:val="16"/>
              </w:rPr>
            </w:pPr>
            <w:r>
              <w:rPr>
                <w:rFonts w:cs="Arial"/>
                <w:color w:val="000000"/>
                <w:sz w:val="16"/>
                <w:szCs w:val="16"/>
              </w:rPr>
              <w:t>254,5</w:t>
            </w:r>
          </w:p>
        </w:tc>
        <w:tc>
          <w:tcPr>
            <w:tcW w:w="907" w:type="dxa"/>
            <w:tcBorders>
              <w:top w:val="nil"/>
              <w:left w:val="nil"/>
              <w:bottom w:val="nil"/>
              <w:right w:val="nil"/>
            </w:tcBorders>
            <w:shd w:val="clear" w:color="auto" w:fill="auto"/>
            <w:noWrap/>
            <w:vAlign w:val="bottom"/>
            <w:hideMark/>
          </w:tcPr>
          <w:p w14:paraId="7FDC130E" w14:textId="50FAF65F" w:rsidR="0097475C" w:rsidRPr="003018A3" w:rsidRDefault="0097475C" w:rsidP="0097475C">
            <w:pPr>
              <w:spacing w:after="0" w:line="240" w:lineRule="auto"/>
              <w:jc w:val="right"/>
              <w:rPr>
                <w:rFonts w:cs="Arial"/>
                <w:color w:val="000000"/>
                <w:sz w:val="16"/>
                <w:szCs w:val="16"/>
              </w:rPr>
            </w:pPr>
            <w:r>
              <w:rPr>
                <w:rFonts w:cs="Arial"/>
                <w:color w:val="000000"/>
                <w:sz w:val="16"/>
                <w:szCs w:val="16"/>
              </w:rPr>
              <w:t>21,2</w:t>
            </w:r>
          </w:p>
        </w:tc>
        <w:tc>
          <w:tcPr>
            <w:tcW w:w="907" w:type="dxa"/>
            <w:tcBorders>
              <w:top w:val="nil"/>
              <w:left w:val="nil"/>
              <w:bottom w:val="nil"/>
              <w:right w:val="nil"/>
            </w:tcBorders>
            <w:shd w:val="clear" w:color="auto" w:fill="auto"/>
            <w:noWrap/>
            <w:vAlign w:val="bottom"/>
            <w:hideMark/>
          </w:tcPr>
          <w:p w14:paraId="38D402C3" w14:textId="6048CD95" w:rsidR="0097475C" w:rsidRPr="003018A3" w:rsidRDefault="0097475C" w:rsidP="0097475C">
            <w:pPr>
              <w:spacing w:after="0" w:line="240" w:lineRule="auto"/>
              <w:jc w:val="right"/>
              <w:rPr>
                <w:rFonts w:cs="Arial"/>
                <w:color w:val="000000"/>
                <w:sz w:val="16"/>
                <w:szCs w:val="16"/>
              </w:rPr>
            </w:pPr>
            <w:r>
              <w:rPr>
                <w:rFonts w:cs="Arial"/>
                <w:color w:val="000000"/>
                <w:sz w:val="16"/>
                <w:szCs w:val="16"/>
              </w:rPr>
              <w:t>19,3</w:t>
            </w:r>
          </w:p>
        </w:tc>
        <w:tc>
          <w:tcPr>
            <w:tcW w:w="907" w:type="dxa"/>
            <w:tcBorders>
              <w:top w:val="nil"/>
              <w:left w:val="nil"/>
              <w:bottom w:val="nil"/>
              <w:right w:val="nil"/>
            </w:tcBorders>
            <w:shd w:val="clear" w:color="auto" w:fill="auto"/>
            <w:noWrap/>
            <w:vAlign w:val="bottom"/>
            <w:hideMark/>
          </w:tcPr>
          <w:p w14:paraId="387AC44A" w14:textId="7B3D68DB" w:rsidR="0097475C" w:rsidRPr="003018A3" w:rsidRDefault="0097475C" w:rsidP="0097475C">
            <w:pPr>
              <w:spacing w:after="0" w:line="240" w:lineRule="auto"/>
              <w:jc w:val="right"/>
              <w:rPr>
                <w:rFonts w:cs="Arial"/>
                <w:color w:val="000000"/>
                <w:sz w:val="16"/>
                <w:szCs w:val="16"/>
              </w:rPr>
            </w:pPr>
            <w:r>
              <w:rPr>
                <w:rFonts w:cs="Arial"/>
                <w:color w:val="000000"/>
                <w:sz w:val="16"/>
                <w:szCs w:val="16"/>
              </w:rPr>
              <w:t>22,5</w:t>
            </w:r>
          </w:p>
        </w:tc>
      </w:tr>
    </w:tbl>
    <w:p w14:paraId="345F63BD" w14:textId="77777777" w:rsidR="0097475C" w:rsidRPr="003018A3" w:rsidRDefault="0097475C" w:rsidP="0097475C">
      <w:pPr>
        <w:spacing w:before="120"/>
        <w:rPr>
          <w:sz w:val="16"/>
        </w:rPr>
      </w:pPr>
      <w:r w:rsidRPr="003018A3">
        <w:rPr>
          <w:sz w:val="16"/>
        </w:rPr>
        <w:t>Zdroj: ČSSZ</w:t>
      </w:r>
    </w:p>
    <w:p w14:paraId="64D24A0E" w14:textId="77777777" w:rsidR="00344573" w:rsidRDefault="00344573">
      <w:pPr>
        <w:spacing w:after="0" w:line="240" w:lineRule="auto"/>
        <w:rPr>
          <w:b/>
        </w:rPr>
      </w:pPr>
      <w:r>
        <w:rPr>
          <w:b/>
        </w:rPr>
        <w:br w:type="page"/>
      </w:r>
    </w:p>
    <w:p w14:paraId="2D81A075" w14:textId="6D47569A" w:rsidR="0097475C" w:rsidRDefault="00C20328" w:rsidP="00D744C7">
      <w:pPr>
        <w:spacing w:before="120" w:after="120"/>
        <w:jc w:val="both"/>
        <w:rPr>
          <w:b/>
        </w:rPr>
      </w:pPr>
      <w:r w:rsidRPr="00C20328">
        <w:rPr>
          <w:b/>
        </w:rPr>
        <w:lastRenderedPageBreak/>
        <w:t>Graf 3.1: Struktura ukončených případů dočasné pracovní neschopnosti podle skupin diagnóz, 2023</w:t>
      </w:r>
    </w:p>
    <w:p w14:paraId="3F43E767" w14:textId="40A8D105" w:rsidR="00C20328" w:rsidRDefault="00C20328" w:rsidP="00D744C7">
      <w:pPr>
        <w:spacing w:before="120" w:after="120"/>
        <w:jc w:val="both"/>
        <w:rPr>
          <w:b/>
        </w:rPr>
      </w:pPr>
      <w:r>
        <w:rPr>
          <w:noProof/>
        </w:rPr>
        <w:drawing>
          <wp:inline distT="0" distB="0" distL="0" distR="0" wp14:anchorId="2FB35066" wp14:editId="4C164CDF">
            <wp:extent cx="6400800" cy="2619375"/>
            <wp:effectExtent l="0" t="0" r="0" b="9525"/>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24C326" w14:textId="0F91E59F" w:rsidR="00C20328" w:rsidRDefault="00C20328" w:rsidP="00C20328">
      <w:pPr>
        <w:spacing w:before="120"/>
        <w:rPr>
          <w:sz w:val="16"/>
        </w:rPr>
      </w:pPr>
      <w:r w:rsidRPr="003018A3">
        <w:rPr>
          <w:sz w:val="16"/>
        </w:rPr>
        <w:t>Zdroj: ČSSZ</w:t>
      </w:r>
    </w:p>
    <w:p w14:paraId="7A09CA2B" w14:textId="77777777" w:rsidR="00B27E3C" w:rsidRPr="00E755F7" w:rsidRDefault="00B27E3C" w:rsidP="003E1B21">
      <w:pPr>
        <w:pStyle w:val="Nadpis3"/>
        <w:numPr>
          <w:ilvl w:val="1"/>
          <w:numId w:val="29"/>
        </w:numPr>
        <w:spacing w:after="120"/>
        <w:ind w:left="426" w:hanging="426"/>
      </w:pPr>
      <w:bookmarkStart w:id="17" w:name="_Toc54262804"/>
      <w:bookmarkStart w:id="18" w:name="_Toc149295406"/>
      <w:bookmarkStart w:id="19" w:name="_Toc167965229"/>
      <w:r w:rsidRPr="00E755F7">
        <w:t>Výdaje na dávky nemocenské</w:t>
      </w:r>
      <w:bookmarkEnd w:id="17"/>
      <w:r w:rsidRPr="00E755F7">
        <w:t>ho pojištění</w:t>
      </w:r>
      <w:bookmarkEnd w:id="18"/>
      <w:bookmarkEnd w:id="19"/>
    </w:p>
    <w:p w14:paraId="649DD3AC" w14:textId="77777777" w:rsidR="00B27E3C" w:rsidRPr="00251BF8" w:rsidRDefault="00B27E3C" w:rsidP="00B27E3C">
      <w:pPr>
        <w:spacing w:before="120" w:after="120"/>
        <w:jc w:val="both"/>
      </w:pPr>
      <w:r w:rsidRPr="00251BF8">
        <w:t>Systém nemocenského pojištění je určen pro výdělečně činné osoby, které při ztrátě příjmu v případech tzv. krátkodobých sociálních událostí zabezpečuje peněžitými dávkami nemocenského pojištění.</w:t>
      </w:r>
    </w:p>
    <w:p w14:paraId="15CE57A9" w14:textId="77777777" w:rsidR="00B27E3C" w:rsidRPr="00251BF8" w:rsidRDefault="00B27E3C" w:rsidP="00B27E3C">
      <w:pPr>
        <w:spacing w:after="60"/>
        <w:jc w:val="both"/>
      </w:pPr>
      <w:r w:rsidRPr="00251BF8">
        <w:t>Z nemocenského pojištění se poskytuje 6 peněžitých dávek, a to:</w:t>
      </w:r>
    </w:p>
    <w:p w14:paraId="2805B0A2" w14:textId="77777777" w:rsidR="00B27E3C" w:rsidRPr="00251BF8" w:rsidRDefault="00B27E3C" w:rsidP="00B27E3C">
      <w:pPr>
        <w:pStyle w:val="Odstavecseseznamem"/>
        <w:numPr>
          <w:ilvl w:val="0"/>
          <w:numId w:val="30"/>
        </w:numPr>
        <w:spacing w:after="0"/>
        <w:jc w:val="both"/>
      </w:pPr>
      <w:r w:rsidRPr="00251BF8">
        <w:t>nemocenské,</w:t>
      </w:r>
    </w:p>
    <w:p w14:paraId="7D560034" w14:textId="77777777" w:rsidR="00B27E3C" w:rsidRPr="00251BF8" w:rsidRDefault="00B27E3C" w:rsidP="00B27E3C">
      <w:pPr>
        <w:pStyle w:val="Odstavecseseznamem"/>
        <w:numPr>
          <w:ilvl w:val="0"/>
          <w:numId w:val="30"/>
        </w:numPr>
        <w:spacing w:after="0"/>
        <w:jc w:val="both"/>
      </w:pPr>
      <w:r w:rsidRPr="00251BF8">
        <w:t>peněžitá pomoc v mateřství,</w:t>
      </w:r>
    </w:p>
    <w:p w14:paraId="6752C46C" w14:textId="77777777" w:rsidR="00B27E3C" w:rsidRPr="00251BF8" w:rsidRDefault="00B27E3C" w:rsidP="00B27E3C">
      <w:pPr>
        <w:pStyle w:val="Odstavecseseznamem"/>
        <w:numPr>
          <w:ilvl w:val="0"/>
          <w:numId w:val="30"/>
        </w:numPr>
        <w:spacing w:after="0"/>
        <w:jc w:val="both"/>
      </w:pPr>
      <w:r w:rsidRPr="00251BF8">
        <w:t>ošetřovné,</w:t>
      </w:r>
    </w:p>
    <w:p w14:paraId="6D46550C" w14:textId="77777777" w:rsidR="00B27E3C" w:rsidRPr="00251BF8" w:rsidRDefault="00B27E3C" w:rsidP="00B27E3C">
      <w:pPr>
        <w:pStyle w:val="Odstavecseseznamem"/>
        <w:numPr>
          <w:ilvl w:val="0"/>
          <w:numId w:val="30"/>
        </w:numPr>
        <w:spacing w:after="0"/>
        <w:jc w:val="both"/>
      </w:pPr>
      <w:r w:rsidRPr="00251BF8">
        <w:t>vyrovnávací příspěvek v těhotenství a mateřství,</w:t>
      </w:r>
    </w:p>
    <w:p w14:paraId="3E39AA31" w14:textId="77777777" w:rsidR="00B27E3C" w:rsidRPr="00251BF8" w:rsidRDefault="00B27E3C" w:rsidP="00B27E3C">
      <w:pPr>
        <w:pStyle w:val="Odstavecseseznamem"/>
        <w:numPr>
          <w:ilvl w:val="0"/>
          <w:numId w:val="30"/>
        </w:numPr>
        <w:spacing w:after="0"/>
        <w:jc w:val="both"/>
      </w:pPr>
      <w:r w:rsidRPr="00251BF8">
        <w:t>dávka otcovské poporodní péče (tzv. otcovská),</w:t>
      </w:r>
    </w:p>
    <w:p w14:paraId="4542E4F4" w14:textId="77777777" w:rsidR="00B27E3C" w:rsidRPr="00251BF8" w:rsidRDefault="00B27E3C" w:rsidP="00B27E3C">
      <w:pPr>
        <w:pStyle w:val="Odstavecseseznamem"/>
        <w:numPr>
          <w:ilvl w:val="0"/>
          <w:numId w:val="30"/>
        </w:numPr>
        <w:spacing w:after="60"/>
        <w:ind w:left="714" w:hanging="357"/>
        <w:contextualSpacing w:val="0"/>
        <w:jc w:val="both"/>
      </w:pPr>
      <w:r w:rsidRPr="00251BF8">
        <w:t>dlouhodobé ošetřovné.</w:t>
      </w:r>
    </w:p>
    <w:p w14:paraId="32564599" w14:textId="77777777" w:rsidR="00B27E3C" w:rsidRPr="00EE4F26" w:rsidRDefault="00B27E3C" w:rsidP="00B27E3C">
      <w:pPr>
        <w:spacing w:before="120" w:after="120"/>
        <w:jc w:val="both"/>
      </w:pPr>
      <w:r w:rsidRPr="00251BF8">
        <w:t xml:space="preserve">Výše dávek nemocenského pojištění </w:t>
      </w:r>
      <w:r w:rsidRPr="00251BF8">
        <w:rPr>
          <w:b/>
        </w:rPr>
        <w:t>závisí</w:t>
      </w:r>
      <w:r w:rsidRPr="00251BF8">
        <w:t xml:space="preserve"> na dosahovaném </w:t>
      </w:r>
      <w:r w:rsidRPr="00251BF8">
        <w:rPr>
          <w:b/>
        </w:rPr>
        <w:t>výdělku, redukčních hranicích</w:t>
      </w:r>
      <w:r w:rsidRPr="00251BF8">
        <w:t xml:space="preserve"> pro redukci</w:t>
      </w:r>
      <w:r w:rsidRPr="00EE4F26">
        <w:t xml:space="preserve"> denního vyměřovacího základu, </w:t>
      </w:r>
      <w:r w:rsidRPr="00EE4F26">
        <w:rPr>
          <w:b/>
        </w:rPr>
        <w:t xml:space="preserve">redukci mezi </w:t>
      </w:r>
      <w:r w:rsidRPr="00EE4F26">
        <w:t xml:space="preserve">jednotlivými redukčními </w:t>
      </w:r>
      <w:r w:rsidRPr="00EE4F26">
        <w:rPr>
          <w:b/>
        </w:rPr>
        <w:t>hranicemi</w:t>
      </w:r>
      <w:r w:rsidRPr="00EE4F26">
        <w:t xml:space="preserve"> a na </w:t>
      </w:r>
      <w:r w:rsidRPr="00EE4F26">
        <w:rPr>
          <w:b/>
        </w:rPr>
        <w:t>procentní sazbě</w:t>
      </w:r>
      <w:r w:rsidRPr="00EE4F26">
        <w:t xml:space="preserve"> pro jednotlivé dávky.</w:t>
      </w:r>
    </w:p>
    <w:p w14:paraId="32B8DA12" w14:textId="77777777" w:rsidR="00B27E3C" w:rsidRPr="00EE4F26" w:rsidRDefault="00B27E3C" w:rsidP="00B27E3C">
      <w:pPr>
        <w:spacing w:before="120" w:after="120"/>
        <w:jc w:val="both"/>
      </w:pPr>
      <w:r w:rsidRPr="00EE4F26">
        <w:t>Všechny dávky nemocenského pojištění vyplácí okresní správa sociálního zabezpečení a hradí se ze státního rozpočtu (z příjmů z pojistného). Dávky nemocenského pojištění se vyplácejí za kalendářní dny.</w:t>
      </w:r>
    </w:p>
    <w:p w14:paraId="7892B60F" w14:textId="77777777" w:rsidR="00B27E3C" w:rsidRPr="00EE4F26" w:rsidRDefault="00B27E3C" w:rsidP="00B27E3C">
      <w:pPr>
        <w:pStyle w:val="Box1"/>
        <w:spacing w:before="120" w:after="120"/>
        <w:ind w:left="0"/>
        <w:contextualSpacing w:val="0"/>
        <w:jc w:val="both"/>
        <w:rPr>
          <w:i/>
        </w:rPr>
      </w:pPr>
      <w:r w:rsidRPr="00EE4F26">
        <w:rPr>
          <w:b/>
          <w:i/>
        </w:rPr>
        <w:t xml:space="preserve">Nemocenské </w:t>
      </w:r>
      <w:r w:rsidRPr="00EE4F26">
        <w:rPr>
          <w:i/>
        </w:rPr>
        <w:t>– je základní peněžitou dávkou systému nemocenského pojištění. Na nemocenské má nárok pojištěnec, který je uznán ošetřujícím lékařem dočasně práce neschopným, a to od 15. kalendářního dne trvání jeho dočasné pracovní neschopnosti do konce dočasné pracovní neschopnosti, maximálně však 380 kalendářních dnů počítaných od vzniku dočasné pracovní neschopnosti.</w:t>
      </w:r>
    </w:p>
    <w:p w14:paraId="614D8813" w14:textId="78E5551C" w:rsidR="00B27E3C" w:rsidRPr="00251BF8" w:rsidRDefault="00B27E3C" w:rsidP="00B27E3C">
      <w:pPr>
        <w:pStyle w:val="Default"/>
        <w:spacing w:before="120" w:after="120" w:line="288" w:lineRule="auto"/>
        <w:jc w:val="both"/>
        <w:rPr>
          <w:rFonts w:eastAsia="Times New Roman" w:cs="Times New Roman"/>
          <w:color w:val="auto"/>
          <w:sz w:val="20"/>
          <w:lang w:eastAsia="cs-CZ"/>
        </w:rPr>
      </w:pPr>
      <w:r w:rsidRPr="00251BF8">
        <w:rPr>
          <w:rFonts w:eastAsia="Times New Roman" w:cs="Times New Roman"/>
          <w:b/>
          <w:color w:val="auto"/>
          <w:sz w:val="20"/>
          <w:lang w:eastAsia="cs-CZ"/>
        </w:rPr>
        <w:t>Výdaje na dávky nemocenského</w:t>
      </w:r>
      <w:r w:rsidRPr="00251BF8">
        <w:rPr>
          <w:rFonts w:eastAsia="Times New Roman" w:cs="Times New Roman"/>
          <w:color w:val="auto"/>
          <w:sz w:val="20"/>
          <w:lang w:eastAsia="cs-CZ"/>
        </w:rPr>
        <w:t xml:space="preserve"> </w:t>
      </w:r>
      <w:r w:rsidRPr="00251BF8">
        <w:rPr>
          <w:rFonts w:eastAsia="Times New Roman" w:cs="Times New Roman"/>
          <w:b/>
          <w:color w:val="auto"/>
          <w:sz w:val="20"/>
          <w:lang w:eastAsia="cs-CZ"/>
        </w:rPr>
        <w:t>pojištění</w:t>
      </w:r>
      <w:r w:rsidRPr="00251BF8">
        <w:rPr>
          <w:rFonts w:eastAsia="Times New Roman" w:cs="Times New Roman"/>
          <w:color w:val="auto"/>
          <w:sz w:val="20"/>
          <w:lang w:eastAsia="cs-CZ"/>
        </w:rPr>
        <w:t xml:space="preserve"> za rok 2023 činily 45,5 mld. Kč, tedy o 2 mld. Kč méně než v předchozím roce. </w:t>
      </w:r>
      <w:r w:rsidRPr="00251BF8">
        <w:rPr>
          <w:rFonts w:eastAsia="Times New Roman" w:cs="Times New Roman"/>
          <w:b/>
          <w:color w:val="auto"/>
          <w:sz w:val="20"/>
          <w:lang w:eastAsia="cs-CZ"/>
        </w:rPr>
        <w:t xml:space="preserve">Výdaje </w:t>
      </w:r>
      <w:r w:rsidRPr="00251BF8">
        <w:rPr>
          <w:rFonts w:eastAsia="Times New Roman" w:cs="Times New Roman"/>
          <w:color w:val="auto"/>
          <w:sz w:val="20"/>
          <w:lang w:eastAsia="cs-CZ"/>
        </w:rPr>
        <w:t xml:space="preserve">na objemově </w:t>
      </w:r>
      <w:r w:rsidRPr="00251BF8">
        <w:rPr>
          <w:rFonts w:eastAsia="Times New Roman" w:cs="Times New Roman"/>
          <w:b/>
          <w:color w:val="auto"/>
          <w:sz w:val="20"/>
          <w:lang w:eastAsia="cs-CZ"/>
        </w:rPr>
        <w:t>nejvýznamnější dávku</w:t>
      </w:r>
      <w:r w:rsidRPr="00251BF8">
        <w:rPr>
          <w:rFonts w:eastAsia="Times New Roman" w:cs="Times New Roman"/>
          <w:color w:val="auto"/>
          <w:sz w:val="20"/>
          <w:lang w:eastAsia="cs-CZ"/>
        </w:rPr>
        <w:t xml:space="preserve"> – </w:t>
      </w:r>
      <w:r w:rsidRPr="00251BF8">
        <w:rPr>
          <w:rFonts w:eastAsia="Times New Roman" w:cs="Times New Roman"/>
          <w:b/>
          <w:color w:val="auto"/>
          <w:sz w:val="20"/>
          <w:lang w:eastAsia="cs-CZ"/>
        </w:rPr>
        <w:t>nemocenské</w:t>
      </w:r>
      <w:r w:rsidRPr="00251BF8">
        <w:rPr>
          <w:rFonts w:eastAsia="Times New Roman" w:cs="Times New Roman"/>
          <w:color w:val="auto"/>
          <w:sz w:val="20"/>
          <w:lang w:eastAsia="cs-CZ"/>
        </w:rPr>
        <w:t xml:space="preserve"> – meziročně poklesly o</w:t>
      </w:r>
      <w:r w:rsidR="00B366D0" w:rsidRPr="00251BF8">
        <w:rPr>
          <w:rFonts w:eastAsia="Times New Roman" w:cs="Times New Roman"/>
          <w:color w:val="auto"/>
          <w:sz w:val="20"/>
          <w:lang w:eastAsia="cs-CZ"/>
        </w:rPr>
        <w:t> </w:t>
      </w:r>
      <w:r w:rsidRPr="00251BF8">
        <w:rPr>
          <w:rFonts w:eastAsia="Times New Roman" w:cs="Times New Roman"/>
          <w:color w:val="auto"/>
          <w:sz w:val="20"/>
          <w:lang w:eastAsia="cs-CZ"/>
        </w:rPr>
        <w:t>1</w:t>
      </w:r>
      <w:r w:rsidR="00B366D0" w:rsidRPr="00251BF8">
        <w:rPr>
          <w:rFonts w:eastAsia="Times New Roman" w:cs="Times New Roman"/>
          <w:color w:val="auto"/>
          <w:sz w:val="20"/>
          <w:lang w:eastAsia="cs-CZ"/>
        </w:rPr>
        <w:t> </w:t>
      </w:r>
      <w:r w:rsidRPr="00251BF8">
        <w:rPr>
          <w:rFonts w:eastAsia="Times New Roman" w:cs="Times New Roman"/>
          <w:color w:val="auto"/>
          <w:sz w:val="20"/>
          <w:lang w:eastAsia="cs-CZ"/>
        </w:rPr>
        <w:t>mld. Kč, tj. o 3 %. Činily 31,7 mld. Kč</w:t>
      </w:r>
      <w:r w:rsidR="00B366D0" w:rsidRPr="00251BF8">
        <w:rPr>
          <w:rFonts w:eastAsia="Times New Roman" w:cs="Times New Roman"/>
          <w:color w:val="auto"/>
          <w:sz w:val="20"/>
          <w:lang w:eastAsia="cs-CZ"/>
        </w:rPr>
        <w:t>, nejméně za poslední 4 roky.</w:t>
      </w:r>
      <w:r w:rsidRPr="00251BF8">
        <w:rPr>
          <w:rFonts w:eastAsia="Times New Roman" w:cs="Times New Roman"/>
          <w:color w:val="auto"/>
          <w:sz w:val="20"/>
          <w:lang w:eastAsia="cs-CZ"/>
        </w:rPr>
        <w:t xml:space="preserve"> Meziroční pokles výdajů na nemocenské byl způsoben zejména poklesem počtu proplacených dnů. Výše průměrné denní dávky nemocenského v</w:t>
      </w:r>
      <w:r w:rsidR="00B366D0" w:rsidRPr="00251BF8">
        <w:rPr>
          <w:rFonts w:eastAsia="Times New Roman" w:cs="Times New Roman"/>
          <w:color w:val="auto"/>
          <w:sz w:val="20"/>
          <w:lang w:eastAsia="cs-CZ"/>
        </w:rPr>
        <w:t xml:space="preserve"> roce </w:t>
      </w:r>
      <w:r w:rsidRPr="00251BF8">
        <w:rPr>
          <w:rFonts w:eastAsia="Times New Roman" w:cs="Times New Roman"/>
          <w:color w:val="auto"/>
          <w:sz w:val="20"/>
          <w:lang w:eastAsia="cs-CZ"/>
        </w:rPr>
        <w:t>2023 představovala 6</w:t>
      </w:r>
      <w:r w:rsidR="00B366D0" w:rsidRPr="00251BF8">
        <w:rPr>
          <w:rFonts w:eastAsia="Times New Roman" w:cs="Times New Roman"/>
          <w:color w:val="auto"/>
          <w:sz w:val="20"/>
          <w:lang w:eastAsia="cs-CZ"/>
        </w:rPr>
        <w:t>12</w:t>
      </w:r>
      <w:r w:rsidRPr="00251BF8">
        <w:rPr>
          <w:rFonts w:eastAsia="Times New Roman" w:cs="Times New Roman"/>
          <w:color w:val="auto"/>
          <w:sz w:val="20"/>
          <w:lang w:eastAsia="cs-CZ"/>
        </w:rPr>
        <w:t xml:space="preserve"> Kč. V</w:t>
      </w:r>
      <w:r w:rsidR="00B366D0" w:rsidRPr="00251BF8">
        <w:rPr>
          <w:rFonts w:eastAsia="Times New Roman" w:cs="Times New Roman"/>
          <w:color w:val="auto"/>
          <w:sz w:val="20"/>
          <w:lang w:eastAsia="cs-CZ"/>
        </w:rPr>
        <w:t> roce předchozím</w:t>
      </w:r>
      <w:r w:rsidRPr="00251BF8">
        <w:rPr>
          <w:rFonts w:eastAsia="Times New Roman" w:cs="Times New Roman"/>
          <w:color w:val="auto"/>
          <w:sz w:val="20"/>
          <w:lang w:eastAsia="cs-CZ"/>
        </w:rPr>
        <w:t xml:space="preserve"> byla průměrná denní dávka nemocenského ve výši 5</w:t>
      </w:r>
      <w:r w:rsidR="00B366D0" w:rsidRPr="00251BF8">
        <w:rPr>
          <w:rFonts w:eastAsia="Times New Roman" w:cs="Times New Roman"/>
          <w:color w:val="auto"/>
          <w:sz w:val="20"/>
          <w:lang w:eastAsia="cs-CZ"/>
        </w:rPr>
        <w:t>80</w:t>
      </w:r>
      <w:r w:rsidRPr="00251BF8">
        <w:rPr>
          <w:rFonts w:eastAsia="Times New Roman" w:cs="Times New Roman"/>
          <w:color w:val="auto"/>
          <w:sz w:val="20"/>
          <w:lang w:eastAsia="cs-CZ"/>
        </w:rPr>
        <w:t xml:space="preserve"> Kč, což </w:t>
      </w:r>
      <w:r w:rsidR="001F5ECC">
        <w:rPr>
          <w:rFonts w:eastAsia="Times New Roman" w:cs="Times New Roman"/>
          <w:color w:val="auto"/>
          <w:sz w:val="20"/>
          <w:lang w:eastAsia="cs-CZ"/>
        </w:rPr>
        <w:t>bylo</w:t>
      </w:r>
      <w:r w:rsidR="001F5ECC" w:rsidRPr="00251BF8">
        <w:rPr>
          <w:rFonts w:eastAsia="Times New Roman" w:cs="Times New Roman"/>
          <w:color w:val="auto"/>
          <w:sz w:val="20"/>
          <w:lang w:eastAsia="cs-CZ"/>
        </w:rPr>
        <w:t xml:space="preserve"> </w:t>
      </w:r>
      <w:r w:rsidRPr="00251BF8">
        <w:rPr>
          <w:rFonts w:eastAsia="Times New Roman" w:cs="Times New Roman"/>
          <w:color w:val="auto"/>
          <w:sz w:val="20"/>
          <w:lang w:eastAsia="cs-CZ"/>
        </w:rPr>
        <w:t>o 5</w:t>
      </w:r>
      <w:r w:rsidR="00B366D0" w:rsidRPr="00251BF8">
        <w:rPr>
          <w:rFonts w:eastAsia="Times New Roman" w:cs="Times New Roman"/>
          <w:color w:val="auto"/>
          <w:sz w:val="20"/>
          <w:lang w:eastAsia="cs-CZ"/>
        </w:rPr>
        <w:t>,6</w:t>
      </w:r>
      <w:r w:rsidRPr="00251BF8">
        <w:rPr>
          <w:rFonts w:eastAsia="Times New Roman" w:cs="Times New Roman"/>
          <w:color w:val="auto"/>
          <w:sz w:val="20"/>
          <w:lang w:eastAsia="cs-CZ"/>
        </w:rPr>
        <w:t xml:space="preserve"> % méně. Výdaje na nemocenské v přepočtu na jednoho pojištěnce v </w:t>
      </w:r>
      <w:r w:rsidR="00B366D0" w:rsidRPr="00251BF8">
        <w:rPr>
          <w:rFonts w:eastAsia="Times New Roman" w:cs="Times New Roman"/>
          <w:color w:val="auto"/>
          <w:sz w:val="20"/>
          <w:lang w:eastAsia="cs-CZ"/>
        </w:rPr>
        <w:t>roce</w:t>
      </w:r>
      <w:r w:rsidRPr="00251BF8">
        <w:rPr>
          <w:rFonts w:eastAsia="Times New Roman" w:cs="Times New Roman"/>
          <w:color w:val="auto"/>
          <w:sz w:val="20"/>
          <w:lang w:eastAsia="cs-CZ"/>
        </w:rPr>
        <w:t xml:space="preserve"> 2023 činily </w:t>
      </w:r>
      <w:r w:rsidR="00B366D0" w:rsidRPr="00251BF8">
        <w:rPr>
          <w:rFonts w:eastAsia="Times New Roman" w:cs="Times New Roman"/>
          <w:color w:val="auto"/>
          <w:sz w:val="20"/>
          <w:lang w:eastAsia="cs-CZ"/>
        </w:rPr>
        <w:t>6 646</w:t>
      </w:r>
      <w:r w:rsidRPr="00251BF8">
        <w:rPr>
          <w:rFonts w:eastAsia="Times New Roman" w:cs="Times New Roman"/>
          <w:color w:val="auto"/>
          <w:sz w:val="20"/>
          <w:lang w:eastAsia="cs-CZ"/>
        </w:rPr>
        <w:t xml:space="preserve"> Kč, o </w:t>
      </w:r>
      <w:r w:rsidR="00B366D0" w:rsidRPr="00251BF8">
        <w:rPr>
          <w:rFonts w:eastAsia="Times New Roman" w:cs="Times New Roman"/>
          <w:color w:val="auto"/>
          <w:sz w:val="20"/>
          <w:lang w:eastAsia="cs-CZ"/>
        </w:rPr>
        <w:t>252</w:t>
      </w:r>
      <w:r w:rsidRPr="00251BF8">
        <w:rPr>
          <w:rFonts w:eastAsia="Times New Roman" w:cs="Times New Roman"/>
          <w:color w:val="auto"/>
          <w:sz w:val="20"/>
          <w:lang w:eastAsia="cs-CZ"/>
        </w:rPr>
        <w:t xml:space="preserve"> Kč méně než před rokem.</w:t>
      </w:r>
    </w:p>
    <w:p w14:paraId="766A260D" w14:textId="58E25DAB" w:rsidR="00B27E3C" w:rsidRPr="00251BF8" w:rsidRDefault="00B27E3C" w:rsidP="00B27E3C">
      <w:pPr>
        <w:spacing w:before="120" w:after="120"/>
        <w:jc w:val="both"/>
      </w:pPr>
      <w:r w:rsidRPr="00251BF8">
        <w:t xml:space="preserve">Je zřejmé, že za enormní nárůst výdajů na dávky nemocenského pojištění mezi </w:t>
      </w:r>
      <w:r w:rsidR="00DD5A0D" w:rsidRPr="00251BF8">
        <w:t xml:space="preserve">roky 2019 a 2020 </w:t>
      </w:r>
      <w:r w:rsidRPr="00251BF8">
        <w:t xml:space="preserve">mohou </w:t>
      </w:r>
      <w:r w:rsidRPr="00251BF8">
        <w:rPr>
          <w:b/>
        </w:rPr>
        <w:t xml:space="preserve">finanční kompenzace </w:t>
      </w:r>
      <w:r w:rsidRPr="00251BF8">
        <w:t xml:space="preserve">vyplacené v souvislosti </w:t>
      </w:r>
      <w:r w:rsidRPr="00251BF8">
        <w:rPr>
          <w:b/>
        </w:rPr>
        <w:t>s</w:t>
      </w:r>
      <w:r w:rsidRPr="00251BF8">
        <w:t> </w:t>
      </w:r>
      <w:r w:rsidRPr="00251BF8">
        <w:rPr>
          <w:b/>
        </w:rPr>
        <w:t>onemocněním</w:t>
      </w:r>
      <w:r w:rsidRPr="00251BF8">
        <w:t xml:space="preserve"> </w:t>
      </w:r>
      <w:r w:rsidRPr="00251BF8">
        <w:rPr>
          <w:b/>
        </w:rPr>
        <w:t>covid-19</w:t>
      </w:r>
      <w:r w:rsidRPr="00251BF8">
        <w:t xml:space="preserve">. Ať už jde o nemocenské nebo ošetřovné. Zatímco do </w:t>
      </w:r>
      <w:r w:rsidR="00390BF5" w:rsidRPr="00251BF8">
        <w:t>roku</w:t>
      </w:r>
      <w:r w:rsidRPr="00251BF8">
        <w:t xml:space="preserve"> 2019 činil podíl</w:t>
      </w:r>
      <w:r w:rsidR="00390BF5" w:rsidRPr="00251BF8">
        <w:t xml:space="preserve"> výdajů za ošetřovné maximálně 5</w:t>
      </w:r>
      <w:r w:rsidRPr="00251BF8">
        <w:t xml:space="preserve"> % celkových výdajů na dávky </w:t>
      </w:r>
      <w:r w:rsidRPr="00251BF8">
        <w:lastRenderedPageBreak/>
        <w:t xml:space="preserve">nemocenského pojištění, v </w:t>
      </w:r>
      <w:r w:rsidR="00390BF5" w:rsidRPr="00251BF8">
        <w:t>roce</w:t>
      </w:r>
      <w:r w:rsidRPr="00251BF8">
        <w:t xml:space="preserve"> 2020 to byla více než </w:t>
      </w:r>
      <w:r w:rsidR="00390BF5" w:rsidRPr="00251BF8">
        <w:t>pětina</w:t>
      </w:r>
      <w:r w:rsidRPr="00251BF8">
        <w:t>. Navýšení nákladů bylo způsobeno jednak vyšším počtem případů, jednak zvýšením částky pro výpočet ošetřovného při epidemii uzákoněné na podzim roku 2020 (tzv. krizové ošetřovné</w:t>
      </w:r>
      <w:r w:rsidRPr="00251BF8">
        <w:rPr>
          <w:rStyle w:val="Znakapoznpodarou"/>
        </w:rPr>
        <w:footnoteReference w:id="4"/>
      </w:r>
      <w:r w:rsidRPr="00251BF8">
        <w:t>). Z dosud počítaných 60 % byl podíl zvýšen na 70 %</w:t>
      </w:r>
      <w:r w:rsidRPr="00251BF8">
        <w:rPr>
          <w:rStyle w:val="Znakapoznpodarou"/>
        </w:rPr>
        <w:footnoteReference w:id="5"/>
      </w:r>
      <w:r w:rsidRPr="00251BF8">
        <w:t xml:space="preserve">  redukovaného denního vyměřovacího základu. Zatímco dříve bylo možné čerpat ošetřovné maximálně 9 dnů, při uzavření školních a</w:t>
      </w:r>
      <w:r w:rsidR="00957C5B">
        <w:t> </w:t>
      </w:r>
      <w:r w:rsidRPr="00251BF8">
        <w:t>dětských zařízení trvala podpůrčí doba po celou dobu mimořádných vládních opa</w:t>
      </w:r>
      <w:r w:rsidR="00390BF5" w:rsidRPr="00251BF8">
        <w:t>tření. Náklady na ošetřovné za rok</w:t>
      </w:r>
      <w:r w:rsidRPr="00251BF8">
        <w:t xml:space="preserve"> 2020 představovaly </w:t>
      </w:r>
      <w:r w:rsidR="00390BF5" w:rsidRPr="00251BF8">
        <w:t>11 442</w:t>
      </w:r>
      <w:r w:rsidRPr="00251BF8">
        <w:t xml:space="preserve"> mil. Kč, </w:t>
      </w:r>
      <w:r w:rsidR="00390BF5" w:rsidRPr="00251BF8">
        <w:t>o rok později 5 664</w:t>
      </w:r>
      <w:r w:rsidRPr="00251BF8">
        <w:t xml:space="preserve"> m</w:t>
      </w:r>
      <w:r w:rsidR="00390BF5" w:rsidRPr="00251BF8">
        <w:t>i</w:t>
      </w:r>
      <w:r w:rsidRPr="00251BF8">
        <w:t>l. Pokles výdajů na ošetřovné pokračoval i</w:t>
      </w:r>
      <w:r w:rsidR="00957C5B">
        <w:t> </w:t>
      </w:r>
      <w:r w:rsidRPr="00251BF8">
        <w:t>v</w:t>
      </w:r>
      <w:r w:rsidR="00390BF5" w:rsidRPr="00251BF8">
        <w:t> dalších letech</w:t>
      </w:r>
      <w:r w:rsidR="009D7404" w:rsidRPr="00251BF8">
        <w:t xml:space="preserve"> a v roce 2023 prostředky na ošetřovné představovaly 2 460 mil., neboli opět 5 % z celkových výdajů na dávky nemocenského pojištění, čili stejný podíl jako do roku 2019</w:t>
      </w:r>
      <w:r w:rsidR="00390BF5" w:rsidRPr="00251BF8">
        <w:t>.</w:t>
      </w:r>
    </w:p>
    <w:p w14:paraId="593DB8F9" w14:textId="163AD12C" w:rsidR="00D05A05" w:rsidRDefault="00B366D0" w:rsidP="00B27E3C">
      <w:pPr>
        <w:spacing w:before="120" w:after="120"/>
        <w:jc w:val="both"/>
        <w:rPr>
          <w:b/>
        </w:rPr>
      </w:pPr>
      <w:r w:rsidRPr="00251BF8">
        <w:t xml:space="preserve">Ke značnému zvýšení však došlo i v roce 2018. </w:t>
      </w:r>
      <w:r w:rsidR="00B27E3C" w:rsidRPr="00251BF8">
        <w:t xml:space="preserve">V roce 2017 </w:t>
      </w:r>
      <w:r w:rsidR="00B27E3C" w:rsidRPr="00251BF8">
        <w:rPr>
          <w:b/>
        </w:rPr>
        <w:t xml:space="preserve">bylo </w:t>
      </w:r>
      <w:r w:rsidR="00B27E3C" w:rsidRPr="00251BF8">
        <w:t xml:space="preserve">totiž </w:t>
      </w:r>
      <w:r w:rsidR="00B27E3C" w:rsidRPr="00251BF8">
        <w:rPr>
          <w:b/>
        </w:rPr>
        <w:t>přijato několik významných legislativních opatření</w:t>
      </w:r>
      <w:r w:rsidR="00B27E3C" w:rsidRPr="00251BF8">
        <w:t xml:space="preserve"> v oblasti nemocenského pojištění, </w:t>
      </w:r>
      <w:r w:rsidR="00B27E3C" w:rsidRPr="00251BF8">
        <w:rPr>
          <w:b/>
        </w:rPr>
        <w:t>s účinností od roku 2018</w:t>
      </w:r>
      <w:r w:rsidR="00B27E3C" w:rsidRPr="00251BF8">
        <w:t xml:space="preserve">, která zásadním způsobem ovlivnila jeho finanční bilanci. Jednalo se o </w:t>
      </w:r>
      <w:r w:rsidR="00B27E3C" w:rsidRPr="00251BF8">
        <w:rPr>
          <w:b/>
        </w:rPr>
        <w:t>zvýšení nemocenského od 31. kalendářního dne DPN</w:t>
      </w:r>
      <w:r w:rsidR="00B27E3C" w:rsidRPr="00251BF8">
        <w:t xml:space="preserve"> nebo karantény z 60 % na 66 % redukovaného denního vyměřovacího základu a od</w:t>
      </w:r>
      <w:r w:rsidR="00B27E3C" w:rsidRPr="00251BF8">
        <w:rPr>
          <w:b/>
        </w:rPr>
        <w:t xml:space="preserve"> 61. kalendářního dne DPN</w:t>
      </w:r>
      <w:r w:rsidR="00B27E3C" w:rsidRPr="00251BF8">
        <w:t xml:space="preserve"> nebo karantény z 60 % na 72 % redukovaného denního vyměřovacího základu s účinností od 1. ledna 2018. Kromě toho, ovšem s jen nepatrným vlivem na celkovou výši výdajů nemocenského pojištění, byl rozšířen okruh dávek poskytovaných z nemocenského pojištění o novou dávku otcovské poporodní péče (tzv. „otcovská“) s účinností od 1. února 2018 a dávku dlouhodobého ošetřovného s účinností od 1. června 2018.</w:t>
      </w:r>
      <w:r w:rsidR="00D05A05">
        <w:t xml:space="preserve"> V tab. 4.1 je patrné zvýšení výdajů za otcovskou poporodní péči od roku 2022</w:t>
      </w:r>
      <w:r w:rsidR="002B6CB3">
        <w:t>. Do té doby byla vyplácena po dobu 1 týdne, v roce 2022 došlo k prodloužení na 2 týdny.</w:t>
      </w:r>
    </w:p>
    <w:p w14:paraId="0DE7D023" w14:textId="77777777" w:rsidR="00B27E3C" w:rsidRPr="00B27E3C" w:rsidRDefault="00B27E3C" w:rsidP="00B27E3C">
      <w:pPr>
        <w:spacing w:after="0" w:line="240" w:lineRule="auto"/>
        <w:rPr>
          <w:rFonts w:cs="Arial"/>
          <w:b/>
          <w:bCs/>
          <w:color w:val="000000"/>
          <w:szCs w:val="20"/>
        </w:rPr>
      </w:pPr>
      <w:r w:rsidRPr="00B27E3C">
        <w:rPr>
          <w:rFonts w:cs="Arial"/>
          <w:b/>
          <w:bCs/>
          <w:color w:val="000000"/>
          <w:szCs w:val="20"/>
        </w:rPr>
        <w:t>Tab. 4.1: Výdaje na dávky nemocenského pojištění, 2013–2023 (v mld. Kč)</w:t>
      </w:r>
    </w:p>
    <w:tbl>
      <w:tblPr>
        <w:tblW w:w="9638" w:type="dxa"/>
        <w:tblCellMar>
          <w:left w:w="70" w:type="dxa"/>
          <w:right w:w="70" w:type="dxa"/>
        </w:tblCellMar>
        <w:tblLook w:val="04A0" w:firstRow="1" w:lastRow="0" w:firstColumn="1" w:lastColumn="0" w:noHBand="0" w:noVBand="1"/>
      </w:tblPr>
      <w:tblGrid>
        <w:gridCol w:w="2257"/>
        <w:gridCol w:w="673"/>
        <w:gridCol w:w="673"/>
        <w:gridCol w:w="673"/>
        <w:gridCol w:w="673"/>
        <w:gridCol w:w="673"/>
        <w:gridCol w:w="673"/>
        <w:gridCol w:w="673"/>
        <w:gridCol w:w="673"/>
        <w:gridCol w:w="666"/>
        <w:gridCol w:w="668"/>
        <w:gridCol w:w="663"/>
      </w:tblGrid>
      <w:tr w:rsidR="00B27E3C" w:rsidRPr="007A75AA" w14:paraId="56529595" w14:textId="44D09B1D" w:rsidTr="00B27E3C">
        <w:trPr>
          <w:trHeight w:val="315"/>
        </w:trPr>
        <w:tc>
          <w:tcPr>
            <w:tcW w:w="2257" w:type="dxa"/>
            <w:tcBorders>
              <w:top w:val="single" w:sz="4" w:space="0" w:color="auto"/>
              <w:left w:val="nil"/>
              <w:bottom w:val="single" w:sz="4" w:space="0" w:color="auto"/>
              <w:right w:val="single" w:sz="4" w:space="0" w:color="auto"/>
            </w:tcBorders>
            <w:shd w:val="clear" w:color="000000" w:fill="F5DADD"/>
            <w:vAlign w:val="center"/>
            <w:hideMark/>
          </w:tcPr>
          <w:p w14:paraId="039A88D7" w14:textId="77777777" w:rsidR="00B27E3C" w:rsidRPr="007A75AA" w:rsidRDefault="00B27E3C" w:rsidP="00B27E3C">
            <w:pPr>
              <w:spacing w:after="0" w:line="240" w:lineRule="auto"/>
              <w:jc w:val="center"/>
              <w:rPr>
                <w:rFonts w:cs="Arial"/>
                <w:sz w:val="16"/>
                <w:szCs w:val="16"/>
              </w:rPr>
            </w:pPr>
            <w:r w:rsidRPr="007A75AA">
              <w:rPr>
                <w:rFonts w:cs="Arial"/>
                <w:sz w:val="16"/>
                <w:szCs w:val="16"/>
              </w:rPr>
              <w:t>Druh dávky</w:t>
            </w:r>
          </w:p>
        </w:tc>
        <w:tc>
          <w:tcPr>
            <w:tcW w:w="673" w:type="dxa"/>
            <w:tcBorders>
              <w:top w:val="single" w:sz="4" w:space="0" w:color="auto"/>
              <w:left w:val="nil"/>
              <w:bottom w:val="single" w:sz="4" w:space="0" w:color="auto"/>
              <w:right w:val="nil"/>
            </w:tcBorders>
            <w:shd w:val="clear" w:color="000000" w:fill="F5DADD"/>
            <w:noWrap/>
            <w:vAlign w:val="center"/>
            <w:hideMark/>
          </w:tcPr>
          <w:p w14:paraId="05B1E839" w14:textId="77777777" w:rsidR="00B27E3C" w:rsidRPr="007A75AA" w:rsidRDefault="00B27E3C" w:rsidP="00B27E3C">
            <w:pPr>
              <w:spacing w:after="0" w:line="240" w:lineRule="auto"/>
              <w:jc w:val="center"/>
              <w:rPr>
                <w:rFonts w:cs="Arial"/>
                <w:sz w:val="16"/>
                <w:szCs w:val="16"/>
              </w:rPr>
            </w:pPr>
            <w:r w:rsidRPr="007A75AA">
              <w:rPr>
                <w:rFonts w:cs="Arial"/>
                <w:sz w:val="16"/>
                <w:szCs w:val="16"/>
              </w:rPr>
              <w:t>2013</w:t>
            </w:r>
          </w:p>
        </w:tc>
        <w:tc>
          <w:tcPr>
            <w:tcW w:w="673" w:type="dxa"/>
            <w:tcBorders>
              <w:top w:val="single" w:sz="4" w:space="0" w:color="auto"/>
              <w:left w:val="nil"/>
              <w:bottom w:val="single" w:sz="4" w:space="0" w:color="auto"/>
              <w:right w:val="nil"/>
            </w:tcBorders>
            <w:shd w:val="clear" w:color="000000" w:fill="F5DADD"/>
            <w:noWrap/>
            <w:vAlign w:val="center"/>
            <w:hideMark/>
          </w:tcPr>
          <w:p w14:paraId="15267D0B" w14:textId="77777777" w:rsidR="00B27E3C" w:rsidRPr="007A75AA" w:rsidRDefault="00B27E3C" w:rsidP="00B27E3C">
            <w:pPr>
              <w:spacing w:after="0" w:line="240" w:lineRule="auto"/>
              <w:jc w:val="center"/>
              <w:rPr>
                <w:rFonts w:cs="Arial"/>
                <w:sz w:val="16"/>
                <w:szCs w:val="16"/>
              </w:rPr>
            </w:pPr>
            <w:r w:rsidRPr="007A75AA">
              <w:rPr>
                <w:rFonts w:cs="Arial"/>
                <w:sz w:val="16"/>
                <w:szCs w:val="16"/>
              </w:rPr>
              <w:t>2014</w:t>
            </w:r>
          </w:p>
        </w:tc>
        <w:tc>
          <w:tcPr>
            <w:tcW w:w="673" w:type="dxa"/>
            <w:tcBorders>
              <w:top w:val="single" w:sz="4" w:space="0" w:color="auto"/>
              <w:left w:val="nil"/>
              <w:bottom w:val="single" w:sz="4" w:space="0" w:color="auto"/>
              <w:right w:val="nil"/>
            </w:tcBorders>
            <w:shd w:val="clear" w:color="000000" w:fill="F5DADD"/>
            <w:noWrap/>
            <w:vAlign w:val="center"/>
            <w:hideMark/>
          </w:tcPr>
          <w:p w14:paraId="0097DA87" w14:textId="77777777" w:rsidR="00B27E3C" w:rsidRPr="007A75AA" w:rsidRDefault="00B27E3C" w:rsidP="00B27E3C">
            <w:pPr>
              <w:spacing w:after="0" w:line="240" w:lineRule="auto"/>
              <w:jc w:val="center"/>
              <w:rPr>
                <w:rFonts w:cs="Arial"/>
                <w:sz w:val="16"/>
                <w:szCs w:val="16"/>
              </w:rPr>
            </w:pPr>
            <w:r w:rsidRPr="007A75AA">
              <w:rPr>
                <w:rFonts w:cs="Arial"/>
                <w:sz w:val="16"/>
                <w:szCs w:val="16"/>
              </w:rPr>
              <w:t>2015</w:t>
            </w:r>
          </w:p>
        </w:tc>
        <w:tc>
          <w:tcPr>
            <w:tcW w:w="673" w:type="dxa"/>
            <w:tcBorders>
              <w:top w:val="single" w:sz="4" w:space="0" w:color="auto"/>
              <w:left w:val="nil"/>
              <w:bottom w:val="single" w:sz="4" w:space="0" w:color="auto"/>
              <w:right w:val="nil"/>
            </w:tcBorders>
            <w:shd w:val="clear" w:color="000000" w:fill="F5DADD"/>
            <w:noWrap/>
            <w:vAlign w:val="center"/>
            <w:hideMark/>
          </w:tcPr>
          <w:p w14:paraId="5CA7241D" w14:textId="77777777" w:rsidR="00B27E3C" w:rsidRPr="007A75AA" w:rsidRDefault="00B27E3C" w:rsidP="00B27E3C">
            <w:pPr>
              <w:spacing w:after="0" w:line="240" w:lineRule="auto"/>
              <w:jc w:val="center"/>
              <w:rPr>
                <w:rFonts w:cs="Arial"/>
                <w:sz w:val="16"/>
                <w:szCs w:val="16"/>
              </w:rPr>
            </w:pPr>
            <w:r w:rsidRPr="007A75AA">
              <w:rPr>
                <w:rFonts w:cs="Arial"/>
                <w:sz w:val="16"/>
                <w:szCs w:val="16"/>
              </w:rPr>
              <w:t>2016</w:t>
            </w:r>
          </w:p>
        </w:tc>
        <w:tc>
          <w:tcPr>
            <w:tcW w:w="673" w:type="dxa"/>
            <w:tcBorders>
              <w:top w:val="single" w:sz="4" w:space="0" w:color="auto"/>
              <w:left w:val="nil"/>
              <w:bottom w:val="single" w:sz="4" w:space="0" w:color="auto"/>
              <w:right w:val="nil"/>
            </w:tcBorders>
            <w:shd w:val="clear" w:color="000000" w:fill="F5DADD"/>
            <w:noWrap/>
            <w:vAlign w:val="center"/>
            <w:hideMark/>
          </w:tcPr>
          <w:p w14:paraId="132159C9" w14:textId="77777777" w:rsidR="00B27E3C" w:rsidRPr="007A75AA" w:rsidRDefault="00B27E3C" w:rsidP="00B27E3C">
            <w:pPr>
              <w:spacing w:after="0" w:line="240" w:lineRule="auto"/>
              <w:jc w:val="center"/>
              <w:rPr>
                <w:rFonts w:cs="Arial"/>
                <w:sz w:val="16"/>
                <w:szCs w:val="16"/>
              </w:rPr>
            </w:pPr>
            <w:r w:rsidRPr="007A75AA">
              <w:rPr>
                <w:rFonts w:cs="Arial"/>
                <w:sz w:val="16"/>
                <w:szCs w:val="16"/>
              </w:rPr>
              <w:t>2017</w:t>
            </w:r>
          </w:p>
        </w:tc>
        <w:tc>
          <w:tcPr>
            <w:tcW w:w="673" w:type="dxa"/>
            <w:tcBorders>
              <w:top w:val="single" w:sz="4" w:space="0" w:color="auto"/>
              <w:left w:val="nil"/>
              <w:bottom w:val="single" w:sz="4" w:space="0" w:color="auto"/>
              <w:right w:val="nil"/>
            </w:tcBorders>
            <w:shd w:val="clear" w:color="000000" w:fill="F5DADD"/>
            <w:noWrap/>
            <w:vAlign w:val="center"/>
            <w:hideMark/>
          </w:tcPr>
          <w:p w14:paraId="017E2C85" w14:textId="77777777" w:rsidR="00B27E3C" w:rsidRPr="007A75AA" w:rsidRDefault="00B27E3C" w:rsidP="00B27E3C">
            <w:pPr>
              <w:spacing w:after="0" w:line="240" w:lineRule="auto"/>
              <w:jc w:val="center"/>
              <w:rPr>
                <w:rFonts w:cs="Arial"/>
                <w:sz w:val="16"/>
                <w:szCs w:val="16"/>
              </w:rPr>
            </w:pPr>
            <w:r w:rsidRPr="007A75AA">
              <w:rPr>
                <w:rFonts w:cs="Arial"/>
                <w:sz w:val="16"/>
                <w:szCs w:val="16"/>
              </w:rPr>
              <w:t>2018</w:t>
            </w:r>
          </w:p>
        </w:tc>
        <w:tc>
          <w:tcPr>
            <w:tcW w:w="673" w:type="dxa"/>
            <w:tcBorders>
              <w:top w:val="single" w:sz="4" w:space="0" w:color="auto"/>
              <w:left w:val="nil"/>
              <w:bottom w:val="single" w:sz="4" w:space="0" w:color="auto"/>
              <w:right w:val="nil"/>
            </w:tcBorders>
            <w:shd w:val="clear" w:color="000000" w:fill="F5DADD"/>
            <w:noWrap/>
            <w:vAlign w:val="center"/>
            <w:hideMark/>
          </w:tcPr>
          <w:p w14:paraId="607E9C24" w14:textId="77777777" w:rsidR="00B27E3C" w:rsidRPr="007A75AA" w:rsidRDefault="00B27E3C" w:rsidP="00B27E3C">
            <w:pPr>
              <w:spacing w:after="0" w:line="240" w:lineRule="auto"/>
              <w:jc w:val="center"/>
              <w:rPr>
                <w:rFonts w:cs="Arial"/>
                <w:sz w:val="16"/>
                <w:szCs w:val="16"/>
              </w:rPr>
            </w:pPr>
            <w:r w:rsidRPr="007A75AA">
              <w:rPr>
                <w:rFonts w:cs="Arial"/>
                <w:sz w:val="16"/>
                <w:szCs w:val="16"/>
              </w:rPr>
              <w:t>2019</w:t>
            </w:r>
          </w:p>
        </w:tc>
        <w:tc>
          <w:tcPr>
            <w:tcW w:w="673" w:type="dxa"/>
            <w:tcBorders>
              <w:top w:val="single" w:sz="4" w:space="0" w:color="auto"/>
              <w:left w:val="nil"/>
              <w:bottom w:val="single" w:sz="4" w:space="0" w:color="auto"/>
              <w:right w:val="nil"/>
            </w:tcBorders>
            <w:shd w:val="clear" w:color="000000" w:fill="F5DADD"/>
            <w:noWrap/>
            <w:vAlign w:val="center"/>
            <w:hideMark/>
          </w:tcPr>
          <w:p w14:paraId="74390943" w14:textId="77777777" w:rsidR="00B27E3C" w:rsidRPr="007A75AA" w:rsidRDefault="00B27E3C" w:rsidP="00B27E3C">
            <w:pPr>
              <w:spacing w:after="0" w:line="240" w:lineRule="auto"/>
              <w:jc w:val="center"/>
              <w:rPr>
                <w:rFonts w:cs="Arial"/>
                <w:sz w:val="16"/>
                <w:szCs w:val="16"/>
              </w:rPr>
            </w:pPr>
            <w:r w:rsidRPr="007A75AA">
              <w:rPr>
                <w:rFonts w:cs="Arial"/>
                <w:sz w:val="16"/>
                <w:szCs w:val="16"/>
              </w:rPr>
              <w:t>2020</w:t>
            </w:r>
          </w:p>
        </w:tc>
        <w:tc>
          <w:tcPr>
            <w:tcW w:w="666" w:type="dxa"/>
            <w:tcBorders>
              <w:top w:val="single" w:sz="4" w:space="0" w:color="auto"/>
              <w:bottom w:val="single" w:sz="4" w:space="0" w:color="auto"/>
            </w:tcBorders>
            <w:shd w:val="clear" w:color="auto" w:fill="F5DADD"/>
            <w:vAlign w:val="center"/>
          </w:tcPr>
          <w:p w14:paraId="4B254221" w14:textId="77777777" w:rsidR="00B27E3C" w:rsidRPr="007A75AA" w:rsidRDefault="00B27E3C" w:rsidP="00B27E3C">
            <w:pPr>
              <w:spacing w:after="0" w:line="240" w:lineRule="auto"/>
              <w:jc w:val="center"/>
            </w:pPr>
            <w:r w:rsidRPr="007A75AA">
              <w:rPr>
                <w:rFonts w:cs="Arial"/>
                <w:sz w:val="16"/>
                <w:szCs w:val="16"/>
                <w:shd w:val="clear" w:color="auto" w:fill="F5DADD"/>
              </w:rPr>
              <w:t>2021</w:t>
            </w:r>
          </w:p>
        </w:tc>
        <w:tc>
          <w:tcPr>
            <w:tcW w:w="668" w:type="dxa"/>
            <w:tcBorders>
              <w:top w:val="single" w:sz="4" w:space="0" w:color="auto"/>
              <w:bottom w:val="single" w:sz="4" w:space="0" w:color="auto"/>
            </w:tcBorders>
            <w:shd w:val="clear" w:color="auto" w:fill="F5DADD"/>
            <w:vAlign w:val="center"/>
          </w:tcPr>
          <w:p w14:paraId="6F66D051" w14:textId="77777777" w:rsidR="00B27E3C" w:rsidRPr="007A75AA" w:rsidRDefault="00B27E3C" w:rsidP="00B27E3C">
            <w:pPr>
              <w:spacing w:after="0" w:line="240" w:lineRule="auto"/>
              <w:jc w:val="center"/>
              <w:rPr>
                <w:rFonts w:cs="Arial"/>
                <w:sz w:val="16"/>
                <w:szCs w:val="16"/>
                <w:shd w:val="clear" w:color="auto" w:fill="F5DADD"/>
              </w:rPr>
            </w:pPr>
            <w:r w:rsidRPr="007A75AA">
              <w:rPr>
                <w:rFonts w:cs="Arial"/>
                <w:sz w:val="16"/>
                <w:szCs w:val="16"/>
                <w:shd w:val="clear" w:color="auto" w:fill="F5DADD"/>
              </w:rPr>
              <w:t>2022</w:t>
            </w:r>
          </w:p>
        </w:tc>
        <w:tc>
          <w:tcPr>
            <w:tcW w:w="663" w:type="dxa"/>
            <w:tcBorders>
              <w:top w:val="single" w:sz="4" w:space="0" w:color="auto"/>
              <w:bottom w:val="single" w:sz="4" w:space="0" w:color="auto"/>
            </w:tcBorders>
            <w:shd w:val="clear" w:color="auto" w:fill="F5DADD"/>
            <w:vAlign w:val="center"/>
          </w:tcPr>
          <w:p w14:paraId="11DB88DF" w14:textId="7CAF5898" w:rsidR="00B27E3C" w:rsidRPr="007A75AA" w:rsidRDefault="00B27E3C" w:rsidP="00B27E3C">
            <w:pPr>
              <w:spacing w:after="0" w:line="240" w:lineRule="auto"/>
              <w:jc w:val="center"/>
              <w:rPr>
                <w:rFonts w:cs="Arial"/>
                <w:sz w:val="16"/>
                <w:szCs w:val="16"/>
                <w:shd w:val="clear" w:color="auto" w:fill="F5DADD"/>
              </w:rPr>
            </w:pPr>
            <w:r>
              <w:rPr>
                <w:rFonts w:cs="Arial"/>
                <w:sz w:val="16"/>
                <w:szCs w:val="16"/>
              </w:rPr>
              <w:t>2023</w:t>
            </w:r>
          </w:p>
        </w:tc>
      </w:tr>
      <w:tr w:rsidR="00B27E3C" w:rsidRPr="007A75AA" w14:paraId="634B6AE3" w14:textId="2E1E849E" w:rsidTr="008F6B9A">
        <w:trPr>
          <w:trHeight w:val="300"/>
        </w:trPr>
        <w:tc>
          <w:tcPr>
            <w:tcW w:w="2257" w:type="dxa"/>
            <w:tcBorders>
              <w:top w:val="single" w:sz="4" w:space="0" w:color="auto"/>
              <w:left w:val="nil"/>
              <w:bottom w:val="nil"/>
              <w:right w:val="single" w:sz="4" w:space="0" w:color="auto"/>
            </w:tcBorders>
            <w:shd w:val="clear" w:color="auto" w:fill="auto"/>
            <w:vAlign w:val="center"/>
            <w:hideMark/>
          </w:tcPr>
          <w:p w14:paraId="39414D2C" w14:textId="77777777" w:rsidR="00B27E3C" w:rsidRPr="007A75AA" w:rsidRDefault="00B27E3C" w:rsidP="00B27E3C">
            <w:pPr>
              <w:spacing w:after="0" w:line="240" w:lineRule="auto"/>
              <w:rPr>
                <w:rFonts w:cs="Arial"/>
                <w:b/>
                <w:bCs/>
                <w:sz w:val="16"/>
                <w:szCs w:val="16"/>
              </w:rPr>
            </w:pPr>
            <w:r w:rsidRPr="007A75AA">
              <w:rPr>
                <w:rFonts w:cs="Arial"/>
                <w:b/>
                <w:bCs/>
                <w:sz w:val="16"/>
                <w:szCs w:val="16"/>
              </w:rPr>
              <w:t>Celkem</w:t>
            </w:r>
          </w:p>
        </w:tc>
        <w:tc>
          <w:tcPr>
            <w:tcW w:w="673" w:type="dxa"/>
            <w:tcBorders>
              <w:top w:val="single" w:sz="4" w:space="0" w:color="auto"/>
              <w:left w:val="nil"/>
              <w:bottom w:val="nil"/>
              <w:right w:val="nil"/>
            </w:tcBorders>
            <w:shd w:val="clear" w:color="auto" w:fill="auto"/>
            <w:noWrap/>
            <w:vAlign w:val="center"/>
            <w:hideMark/>
          </w:tcPr>
          <w:p w14:paraId="6DD6B837" w14:textId="77777777" w:rsidR="00B27E3C" w:rsidRPr="007A75AA" w:rsidRDefault="00B27E3C" w:rsidP="00B27E3C">
            <w:pPr>
              <w:spacing w:after="0" w:line="240" w:lineRule="auto"/>
              <w:jc w:val="right"/>
              <w:rPr>
                <w:rFonts w:cs="Arial"/>
                <w:b/>
                <w:bCs/>
                <w:sz w:val="16"/>
                <w:szCs w:val="16"/>
              </w:rPr>
            </w:pPr>
            <w:r w:rsidRPr="007A75AA">
              <w:rPr>
                <w:rFonts w:cs="Arial"/>
                <w:b/>
                <w:bCs/>
                <w:sz w:val="16"/>
                <w:szCs w:val="16"/>
              </w:rPr>
              <w:t>20,14</w:t>
            </w:r>
          </w:p>
        </w:tc>
        <w:tc>
          <w:tcPr>
            <w:tcW w:w="673" w:type="dxa"/>
            <w:tcBorders>
              <w:top w:val="single" w:sz="4" w:space="0" w:color="auto"/>
              <w:left w:val="nil"/>
              <w:bottom w:val="nil"/>
              <w:right w:val="nil"/>
            </w:tcBorders>
            <w:shd w:val="clear" w:color="auto" w:fill="auto"/>
            <w:noWrap/>
            <w:vAlign w:val="center"/>
            <w:hideMark/>
          </w:tcPr>
          <w:p w14:paraId="61660193" w14:textId="77777777" w:rsidR="00B27E3C" w:rsidRPr="007A75AA" w:rsidRDefault="00B27E3C" w:rsidP="00B27E3C">
            <w:pPr>
              <w:spacing w:after="0" w:line="240" w:lineRule="auto"/>
              <w:jc w:val="right"/>
              <w:rPr>
                <w:rFonts w:cs="Arial"/>
                <w:b/>
                <w:bCs/>
                <w:sz w:val="16"/>
                <w:szCs w:val="16"/>
              </w:rPr>
            </w:pPr>
            <w:r w:rsidRPr="007A75AA">
              <w:rPr>
                <w:rFonts w:cs="Arial"/>
                <w:b/>
                <w:bCs/>
                <w:sz w:val="16"/>
                <w:szCs w:val="16"/>
              </w:rPr>
              <w:t>22,08</w:t>
            </w:r>
          </w:p>
        </w:tc>
        <w:tc>
          <w:tcPr>
            <w:tcW w:w="673" w:type="dxa"/>
            <w:tcBorders>
              <w:top w:val="single" w:sz="4" w:space="0" w:color="auto"/>
              <w:left w:val="nil"/>
              <w:bottom w:val="nil"/>
              <w:right w:val="nil"/>
            </w:tcBorders>
            <w:shd w:val="clear" w:color="auto" w:fill="auto"/>
            <w:noWrap/>
            <w:vAlign w:val="center"/>
            <w:hideMark/>
          </w:tcPr>
          <w:p w14:paraId="21575E50" w14:textId="77777777" w:rsidR="00B27E3C" w:rsidRPr="007A75AA" w:rsidRDefault="00B27E3C" w:rsidP="00B27E3C">
            <w:pPr>
              <w:spacing w:after="0" w:line="240" w:lineRule="auto"/>
              <w:jc w:val="right"/>
              <w:rPr>
                <w:rFonts w:cs="Arial"/>
                <w:b/>
                <w:bCs/>
                <w:sz w:val="16"/>
                <w:szCs w:val="16"/>
              </w:rPr>
            </w:pPr>
            <w:r w:rsidRPr="007A75AA">
              <w:rPr>
                <w:rFonts w:cs="Arial"/>
                <w:b/>
                <w:bCs/>
                <w:sz w:val="16"/>
                <w:szCs w:val="16"/>
              </w:rPr>
              <w:t>24,11</w:t>
            </w:r>
          </w:p>
        </w:tc>
        <w:tc>
          <w:tcPr>
            <w:tcW w:w="673" w:type="dxa"/>
            <w:tcBorders>
              <w:top w:val="single" w:sz="4" w:space="0" w:color="auto"/>
              <w:left w:val="nil"/>
              <w:bottom w:val="nil"/>
              <w:right w:val="nil"/>
            </w:tcBorders>
            <w:shd w:val="clear" w:color="auto" w:fill="auto"/>
            <w:noWrap/>
            <w:vAlign w:val="center"/>
            <w:hideMark/>
          </w:tcPr>
          <w:p w14:paraId="2FC9EAD8" w14:textId="77777777" w:rsidR="00B27E3C" w:rsidRPr="007A75AA" w:rsidRDefault="00B27E3C" w:rsidP="00B27E3C">
            <w:pPr>
              <w:spacing w:after="0" w:line="240" w:lineRule="auto"/>
              <w:jc w:val="right"/>
              <w:rPr>
                <w:rFonts w:cs="Arial"/>
                <w:b/>
                <w:bCs/>
                <w:sz w:val="16"/>
                <w:szCs w:val="16"/>
              </w:rPr>
            </w:pPr>
            <w:r w:rsidRPr="007A75AA">
              <w:rPr>
                <w:rFonts w:cs="Arial"/>
                <w:b/>
                <w:bCs/>
                <w:sz w:val="16"/>
                <w:szCs w:val="16"/>
              </w:rPr>
              <w:t>26,28</w:t>
            </w:r>
          </w:p>
        </w:tc>
        <w:tc>
          <w:tcPr>
            <w:tcW w:w="673" w:type="dxa"/>
            <w:tcBorders>
              <w:top w:val="single" w:sz="4" w:space="0" w:color="auto"/>
              <w:left w:val="nil"/>
              <w:bottom w:val="nil"/>
              <w:right w:val="nil"/>
            </w:tcBorders>
            <w:shd w:val="clear" w:color="auto" w:fill="auto"/>
            <w:noWrap/>
            <w:vAlign w:val="center"/>
            <w:hideMark/>
          </w:tcPr>
          <w:p w14:paraId="70433AC1" w14:textId="77777777" w:rsidR="00B27E3C" w:rsidRPr="007A75AA" w:rsidRDefault="00B27E3C" w:rsidP="00B27E3C">
            <w:pPr>
              <w:spacing w:after="0" w:line="240" w:lineRule="auto"/>
              <w:jc w:val="right"/>
              <w:rPr>
                <w:rFonts w:cs="Arial"/>
                <w:b/>
                <w:bCs/>
                <w:sz w:val="16"/>
                <w:szCs w:val="16"/>
              </w:rPr>
            </w:pPr>
            <w:r w:rsidRPr="007A75AA">
              <w:rPr>
                <w:rFonts w:cs="Arial"/>
                <w:b/>
                <w:bCs/>
                <w:sz w:val="16"/>
                <w:szCs w:val="16"/>
              </w:rPr>
              <w:t>28,32</w:t>
            </w:r>
          </w:p>
        </w:tc>
        <w:tc>
          <w:tcPr>
            <w:tcW w:w="673" w:type="dxa"/>
            <w:tcBorders>
              <w:top w:val="single" w:sz="4" w:space="0" w:color="auto"/>
              <w:left w:val="nil"/>
              <w:bottom w:val="nil"/>
              <w:right w:val="nil"/>
            </w:tcBorders>
            <w:shd w:val="clear" w:color="auto" w:fill="auto"/>
            <w:noWrap/>
            <w:vAlign w:val="center"/>
            <w:hideMark/>
          </w:tcPr>
          <w:p w14:paraId="5E31F998" w14:textId="77777777" w:rsidR="00B27E3C" w:rsidRPr="007A75AA" w:rsidRDefault="00B27E3C" w:rsidP="00B27E3C">
            <w:pPr>
              <w:spacing w:after="0" w:line="240" w:lineRule="auto"/>
              <w:jc w:val="right"/>
              <w:rPr>
                <w:rFonts w:cs="Arial"/>
                <w:b/>
                <w:bCs/>
                <w:sz w:val="16"/>
                <w:szCs w:val="16"/>
              </w:rPr>
            </w:pPr>
            <w:r w:rsidRPr="007A75AA">
              <w:rPr>
                <w:rFonts w:cs="Arial"/>
                <w:b/>
                <w:bCs/>
                <w:sz w:val="16"/>
                <w:szCs w:val="16"/>
              </w:rPr>
              <w:t>33,97</w:t>
            </w:r>
          </w:p>
        </w:tc>
        <w:tc>
          <w:tcPr>
            <w:tcW w:w="673" w:type="dxa"/>
            <w:tcBorders>
              <w:top w:val="single" w:sz="4" w:space="0" w:color="auto"/>
              <w:left w:val="nil"/>
              <w:bottom w:val="nil"/>
              <w:right w:val="nil"/>
            </w:tcBorders>
            <w:shd w:val="clear" w:color="auto" w:fill="auto"/>
            <w:noWrap/>
            <w:vAlign w:val="center"/>
            <w:hideMark/>
          </w:tcPr>
          <w:p w14:paraId="3E41233F" w14:textId="77777777" w:rsidR="00B27E3C" w:rsidRPr="007A75AA" w:rsidRDefault="00B27E3C" w:rsidP="00B27E3C">
            <w:pPr>
              <w:spacing w:after="0" w:line="240" w:lineRule="auto"/>
              <w:jc w:val="right"/>
              <w:rPr>
                <w:rFonts w:cs="Arial"/>
                <w:b/>
                <w:bCs/>
                <w:sz w:val="16"/>
                <w:szCs w:val="16"/>
              </w:rPr>
            </w:pPr>
            <w:r w:rsidRPr="007A75AA">
              <w:rPr>
                <w:rFonts w:cs="Arial"/>
                <w:b/>
                <w:bCs/>
                <w:sz w:val="16"/>
                <w:szCs w:val="16"/>
              </w:rPr>
              <w:t>38,89</w:t>
            </w:r>
          </w:p>
        </w:tc>
        <w:tc>
          <w:tcPr>
            <w:tcW w:w="673" w:type="dxa"/>
            <w:tcBorders>
              <w:top w:val="single" w:sz="4" w:space="0" w:color="auto"/>
              <w:left w:val="nil"/>
              <w:bottom w:val="nil"/>
              <w:right w:val="nil"/>
            </w:tcBorders>
            <w:shd w:val="clear" w:color="auto" w:fill="auto"/>
            <w:noWrap/>
            <w:vAlign w:val="center"/>
            <w:hideMark/>
          </w:tcPr>
          <w:p w14:paraId="63F1F85C" w14:textId="77777777" w:rsidR="00B27E3C" w:rsidRPr="007A75AA" w:rsidRDefault="00B27E3C" w:rsidP="00B27E3C">
            <w:pPr>
              <w:spacing w:after="0" w:line="240" w:lineRule="auto"/>
              <w:jc w:val="right"/>
              <w:rPr>
                <w:rFonts w:cs="Arial"/>
                <w:b/>
                <w:bCs/>
                <w:sz w:val="16"/>
                <w:szCs w:val="16"/>
              </w:rPr>
            </w:pPr>
            <w:r w:rsidRPr="007A75AA">
              <w:rPr>
                <w:rFonts w:cs="Arial"/>
                <w:b/>
                <w:bCs/>
                <w:sz w:val="16"/>
                <w:szCs w:val="16"/>
              </w:rPr>
              <w:t>55,21</w:t>
            </w:r>
          </w:p>
        </w:tc>
        <w:tc>
          <w:tcPr>
            <w:tcW w:w="666" w:type="dxa"/>
            <w:tcBorders>
              <w:top w:val="single" w:sz="4" w:space="0" w:color="auto"/>
            </w:tcBorders>
            <w:vAlign w:val="center"/>
          </w:tcPr>
          <w:p w14:paraId="54D1BE68" w14:textId="77777777" w:rsidR="00B27E3C" w:rsidRPr="007A75AA" w:rsidRDefault="00B27E3C" w:rsidP="00B27E3C">
            <w:pPr>
              <w:spacing w:after="0" w:line="240" w:lineRule="auto"/>
              <w:jc w:val="right"/>
            </w:pPr>
            <w:r w:rsidRPr="007A75AA">
              <w:rPr>
                <w:rFonts w:cs="Arial"/>
                <w:b/>
                <w:bCs/>
                <w:sz w:val="16"/>
                <w:szCs w:val="16"/>
              </w:rPr>
              <w:t>51,47</w:t>
            </w:r>
          </w:p>
        </w:tc>
        <w:tc>
          <w:tcPr>
            <w:tcW w:w="668" w:type="dxa"/>
            <w:tcBorders>
              <w:top w:val="single" w:sz="4" w:space="0" w:color="auto"/>
            </w:tcBorders>
            <w:vAlign w:val="center"/>
          </w:tcPr>
          <w:p w14:paraId="0D828595" w14:textId="77777777" w:rsidR="00B27E3C" w:rsidRPr="007A75AA" w:rsidRDefault="00B27E3C" w:rsidP="00B27E3C">
            <w:pPr>
              <w:spacing w:after="0" w:line="240" w:lineRule="auto"/>
              <w:jc w:val="right"/>
              <w:rPr>
                <w:rFonts w:cs="Arial"/>
                <w:b/>
                <w:bCs/>
                <w:sz w:val="16"/>
                <w:szCs w:val="16"/>
              </w:rPr>
            </w:pPr>
            <w:r w:rsidRPr="007A75AA">
              <w:rPr>
                <w:rFonts w:cs="Arial"/>
                <w:b/>
                <w:bCs/>
                <w:sz w:val="16"/>
                <w:szCs w:val="16"/>
              </w:rPr>
              <w:t>47,63</w:t>
            </w:r>
          </w:p>
        </w:tc>
        <w:tc>
          <w:tcPr>
            <w:tcW w:w="663" w:type="dxa"/>
            <w:tcBorders>
              <w:top w:val="single" w:sz="4" w:space="0" w:color="auto"/>
            </w:tcBorders>
            <w:vAlign w:val="center"/>
          </w:tcPr>
          <w:p w14:paraId="63D25E50" w14:textId="6DE6A9FD" w:rsidR="00B27E3C" w:rsidRPr="007A75AA" w:rsidRDefault="00B27E3C" w:rsidP="00B27E3C">
            <w:pPr>
              <w:spacing w:after="0" w:line="240" w:lineRule="auto"/>
              <w:jc w:val="right"/>
              <w:rPr>
                <w:rFonts w:cs="Arial"/>
                <w:b/>
                <w:bCs/>
                <w:sz w:val="16"/>
                <w:szCs w:val="16"/>
              </w:rPr>
            </w:pPr>
            <w:r>
              <w:rPr>
                <w:rFonts w:cs="Arial"/>
                <w:b/>
                <w:bCs/>
                <w:sz w:val="16"/>
                <w:szCs w:val="16"/>
              </w:rPr>
              <w:t>45,45</w:t>
            </w:r>
          </w:p>
        </w:tc>
      </w:tr>
      <w:tr w:rsidR="00B27E3C" w:rsidRPr="007A75AA" w14:paraId="43DB43BD" w14:textId="187916C1" w:rsidTr="008F6B9A">
        <w:trPr>
          <w:trHeight w:val="300"/>
        </w:trPr>
        <w:tc>
          <w:tcPr>
            <w:tcW w:w="2257" w:type="dxa"/>
            <w:tcBorders>
              <w:top w:val="nil"/>
              <w:left w:val="nil"/>
              <w:bottom w:val="nil"/>
              <w:right w:val="single" w:sz="4" w:space="0" w:color="auto"/>
            </w:tcBorders>
            <w:shd w:val="clear" w:color="000000" w:fill="F5DADD"/>
            <w:vAlign w:val="center"/>
            <w:hideMark/>
          </w:tcPr>
          <w:p w14:paraId="5F50646C" w14:textId="77777777" w:rsidR="00B27E3C" w:rsidRPr="007A75AA" w:rsidRDefault="00B27E3C" w:rsidP="00B27E3C">
            <w:pPr>
              <w:spacing w:after="0" w:line="240" w:lineRule="auto"/>
              <w:ind w:firstLineChars="100" w:firstLine="160"/>
              <w:rPr>
                <w:rFonts w:cs="Arial"/>
                <w:sz w:val="16"/>
                <w:szCs w:val="16"/>
              </w:rPr>
            </w:pPr>
            <w:r w:rsidRPr="007A75AA">
              <w:rPr>
                <w:rFonts w:cs="Arial"/>
                <w:sz w:val="16"/>
                <w:szCs w:val="16"/>
              </w:rPr>
              <w:t>nemocenské</w:t>
            </w:r>
          </w:p>
        </w:tc>
        <w:tc>
          <w:tcPr>
            <w:tcW w:w="673" w:type="dxa"/>
            <w:tcBorders>
              <w:top w:val="nil"/>
              <w:left w:val="nil"/>
              <w:bottom w:val="nil"/>
              <w:right w:val="nil"/>
            </w:tcBorders>
            <w:shd w:val="clear" w:color="000000" w:fill="F5DADD"/>
            <w:noWrap/>
            <w:vAlign w:val="center"/>
            <w:hideMark/>
          </w:tcPr>
          <w:p w14:paraId="145C801B" w14:textId="77777777" w:rsidR="00B27E3C" w:rsidRPr="007A75AA" w:rsidRDefault="00B27E3C" w:rsidP="00B27E3C">
            <w:pPr>
              <w:spacing w:after="0" w:line="240" w:lineRule="auto"/>
              <w:jc w:val="right"/>
              <w:rPr>
                <w:rFonts w:cs="Arial"/>
                <w:sz w:val="16"/>
                <w:szCs w:val="16"/>
              </w:rPr>
            </w:pPr>
            <w:r w:rsidRPr="007A75AA">
              <w:rPr>
                <w:rFonts w:cs="Arial"/>
                <w:sz w:val="16"/>
                <w:szCs w:val="16"/>
              </w:rPr>
              <w:t>12,04</w:t>
            </w:r>
          </w:p>
        </w:tc>
        <w:tc>
          <w:tcPr>
            <w:tcW w:w="673" w:type="dxa"/>
            <w:tcBorders>
              <w:top w:val="nil"/>
              <w:left w:val="nil"/>
              <w:bottom w:val="nil"/>
              <w:right w:val="nil"/>
            </w:tcBorders>
            <w:shd w:val="clear" w:color="000000" w:fill="F5DADD"/>
            <w:noWrap/>
            <w:vAlign w:val="center"/>
            <w:hideMark/>
          </w:tcPr>
          <w:p w14:paraId="3BAB4847" w14:textId="77777777" w:rsidR="00B27E3C" w:rsidRPr="007A75AA" w:rsidRDefault="00B27E3C" w:rsidP="00B27E3C">
            <w:pPr>
              <w:spacing w:after="0" w:line="240" w:lineRule="auto"/>
              <w:jc w:val="right"/>
              <w:rPr>
                <w:rFonts w:cs="Arial"/>
                <w:sz w:val="16"/>
                <w:szCs w:val="16"/>
              </w:rPr>
            </w:pPr>
            <w:r w:rsidRPr="007A75AA">
              <w:rPr>
                <w:rFonts w:cs="Arial"/>
                <w:sz w:val="16"/>
                <w:szCs w:val="16"/>
              </w:rPr>
              <w:t>13,88</w:t>
            </w:r>
          </w:p>
        </w:tc>
        <w:tc>
          <w:tcPr>
            <w:tcW w:w="673" w:type="dxa"/>
            <w:tcBorders>
              <w:top w:val="nil"/>
              <w:left w:val="nil"/>
              <w:bottom w:val="nil"/>
              <w:right w:val="nil"/>
            </w:tcBorders>
            <w:shd w:val="clear" w:color="000000" w:fill="F5DADD"/>
            <w:noWrap/>
            <w:vAlign w:val="center"/>
            <w:hideMark/>
          </w:tcPr>
          <w:p w14:paraId="350095AC" w14:textId="77777777" w:rsidR="00B27E3C" w:rsidRPr="007A75AA" w:rsidRDefault="00B27E3C" w:rsidP="00B27E3C">
            <w:pPr>
              <w:spacing w:after="0" w:line="240" w:lineRule="auto"/>
              <w:jc w:val="right"/>
              <w:rPr>
                <w:rFonts w:cs="Arial"/>
                <w:sz w:val="16"/>
                <w:szCs w:val="16"/>
              </w:rPr>
            </w:pPr>
            <w:r w:rsidRPr="007A75AA">
              <w:rPr>
                <w:rFonts w:cs="Arial"/>
                <w:sz w:val="16"/>
                <w:szCs w:val="16"/>
              </w:rPr>
              <w:t>15,43</w:t>
            </w:r>
          </w:p>
        </w:tc>
        <w:tc>
          <w:tcPr>
            <w:tcW w:w="673" w:type="dxa"/>
            <w:tcBorders>
              <w:top w:val="nil"/>
              <w:left w:val="nil"/>
              <w:bottom w:val="nil"/>
              <w:right w:val="nil"/>
            </w:tcBorders>
            <w:shd w:val="clear" w:color="000000" w:fill="F5DADD"/>
            <w:noWrap/>
            <w:vAlign w:val="center"/>
            <w:hideMark/>
          </w:tcPr>
          <w:p w14:paraId="727AC511" w14:textId="77777777" w:rsidR="00B27E3C" w:rsidRPr="007A75AA" w:rsidRDefault="00B27E3C" w:rsidP="00B27E3C">
            <w:pPr>
              <w:spacing w:after="0" w:line="240" w:lineRule="auto"/>
              <w:jc w:val="right"/>
              <w:rPr>
                <w:rFonts w:cs="Arial"/>
                <w:sz w:val="16"/>
                <w:szCs w:val="16"/>
              </w:rPr>
            </w:pPr>
            <w:r w:rsidRPr="007A75AA">
              <w:rPr>
                <w:rFonts w:cs="Arial"/>
                <w:sz w:val="16"/>
                <w:szCs w:val="16"/>
              </w:rPr>
              <w:t>16,99</w:t>
            </w:r>
          </w:p>
        </w:tc>
        <w:tc>
          <w:tcPr>
            <w:tcW w:w="673" w:type="dxa"/>
            <w:tcBorders>
              <w:top w:val="nil"/>
              <w:left w:val="nil"/>
              <w:bottom w:val="nil"/>
              <w:right w:val="nil"/>
            </w:tcBorders>
            <w:shd w:val="clear" w:color="000000" w:fill="F5DADD"/>
            <w:noWrap/>
            <w:vAlign w:val="center"/>
            <w:hideMark/>
          </w:tcPr>
          <w:p w14:paraId="6AE7185B"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18,29</w:t>
            </w:r>
          </w:p>
        </w:tc>
        <w:tc>
          <w:tcPr>
            <w:tcW w:w="673" w:type="dxa"/>
            <w:tcBorders>
              <w:top w:val="nil"/>
              <w:left w:val="nil"/>
              <w:bottom w:val="nil"/>
              <w:right w:val="nil"/>
            </w:tcBorders>
            <w:shd w:val="clear" w:color="000000" w:fill="F5DADD"/>
            <w:noWrap/>
            <w:vAlign w:val="center"/>
            <w:hideMark/>
          </w:tcPr>
          <w:p w14:paraId="3E9E4C93"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22,68</w:t>
            </w:r>
          </w:p>
        </w:tc>
        <w:tc>
          <w:tcPr>
            <w:tcW w:w="673" w:type="dxa"/>
            <w:tcBorders>
              <w:top w:val="nil"/>
              <w:left w:val="nil"/>
              <w:bottom w:val="nil"/>
              <w:right w:val="nil"/>
            </w:tcBorders>
            <w:shd w:val="clear" w:color="000000" w:fill="F5DADD"/>
            <w:noWrap/>
            <w:vAlign w:val="center"/>
            <w:hideMark/>
          </w:tcPr>
          <w:p w14:paraId="59EC846F"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26,67</w:t>
            </w:r>
          </w:p>
        </w:tc>
        <w:tc>
          <w:tcPr>
            <w:tcW w:w="673" w:type="dxa"/>
            <w:tcBorders>
              <w:top w:val="nil"/>
              <w:left w:val="nil"/>
              <w:bottom w:val="nil"/>
              <w:right w:val="nil"/>
            </w:tcBorders>
            <w:shd w:val="clear" w:color="000000" w:fill="F5DADD"/>
            <w:noWrap/>
            <w:vAlign w:val="center"/>
            <w:hideMark/>
          </w:tcPr>
          <w:p w14:paraId="61A178C7"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32,77</w:t>
            </w:r>
          </w:p>
        </w:tc>
        <w:tc>
          <w:tcPr>
            <w:tcW w:w="666" w:type="dxa"/>
            <w:shd w:val="clear" w:color="auto" w:fill="F5DADD"/>
            <w:vAlign w:val="center"/>
          </w:tcPr>
          <w:p w14:paraId="0AA35E10" w14:textId="77777777" w:rsidR="00B27E3C" w:rsidRPr="007A75AA" w:rsidRDefault="00B27E3C" w:rsidP="00B27E3C">
            <w:pPr>
              <w:spacing w:after="0" w:line="240" w:lineRule="auto"/>
              <w:jc w:val="right"/>
            </w:pPr>
            <w:r w:rsidRPr="007A75AA">
              <w:rPr>
                <w:rFonts w:cs="Arial"/>
                <w:color w:val="000000"/>
                <w:sz w:val="16"/>
                <w:szCs w:val="16"/>
                <w:shd w:val="clear" w:color="auto" w:fill="F5DADD"/>
              </w:rPr>
              <w:t>34,04</w:t>
            </w:r>
          </w:p>
        </w:tc>
        <w:tc>
          <w:tcPr>
            <w:tcW w:w="668" w:type="dxa"/>
            <w:shd w:val="clear" w:color="auto" w:fill="F5DADD"/>
            <w:vAlign w:val="center"/>
          </w:tcPr>
          <w:p w14:paraId="385C3147" w14:textId="77777777" w:rsidR="00B27E3C" w:rsidRPr="007A75AA" w:rsidRDefault="00B27E3C" w:rsidP="00B27E3C">
            <w:pPr>
              <w:spacing w:after="0" w:line="240" w:lineRule="auto"/>
              <w:jc w:val="right"/>
              <w:rPr>
                <w:rFonts w:cs="Arial"/>
                <w:sz w:val="16"/>
                <w:szCs w:val="16"/>
                <w:shd w:val="clear" w:color="auto" w:fill="F5DADD"/>
              </w:rPr>
            </w:pPr>
            <w:r w:rsidRPr="007A75AA">
              <w:rPr>
                <w:rFonts w:cs="Arial"/>
                <w:sz w:val="16"/>
                <w:szCs w:val="16"/>
                <w:shd w:val="clear" w:color="auto" w:fill="F5DADD"/>
              </w:rPr>
              <w:t>32,75</w:t>
            </w:r>
          </w:p>
        </w:tc>
        <w:tc>
          <w:tcPr>
            <w:tcW w:w="663" w:type="dxa"/>
            <w:shd w:val="clear" w:color="auto" w:fill="F5DADD"/>
            <w:vAlign w:val="center"/>
          </w:tcPr>
          <w:p w14:paraId="786AAEF8" w14:textId="451448F8" w:rsidR="00B27E3C" w:rsidRPr="007A75AA" w:rsidRDefault="00B27E3C" w:rsidP="00B27E3C">
            <w:pPr>
              <w:spacing w:after="0" w:line="240" w:lineRule="auto"/>
              <w:jc w:val="right"/>
              <w:rPr>
                <w:rFonts w:cs="Arial"/>
                <w:sz w:val="16"/>
                <w:szCs w:val="16"/>
                <w:shd w:val="clear" w:color="auto" w:fill="F5DADD"/>
              </w:rPr>
            </w:pPr>
            <w:r>
              <w:rPr>
                <w:rFonts w:cs="Arial"/>
                <w:color w:val="000000"/>
                <w:sz w:val="16"/>
                <w:szCs w:val="16"/>
              </w:rPr>
              <w:t>31,68</w:t>
            </w:r>
          </w:p>
        </w:tc>
      </w:tr>
      <w:tr w:rsidR="00B27E3C" w:rsidRPr="007A75AA" w14:paraId="7020ABA3" w14:textId="2FC75D86" w:rsidTr="008F6B9A">
        <w:trPr>
          <w:trHeight w:val="300"/>
        </w:trPr>
        <w:tc>
          <w:tcPr>
            <w:tcW w:w="2257" w:type="dxa"/>
            <w:tcBorders>
              <w:top w:val="nil"/>
              <w:left w:val="nil"/>
              <w:bottom w:val="nil"/>
              <w:right w:val="single" w:sz="4" w:space="0" w:color="auto"/>
            </w:tcBorders>
            <w:shd w:val="clear" w:color="auto" w:fill="auto"/>
            <w:vAlign w:val="center"/>
            <w:hideMark/>
          </w:tcPr>
          <w:p w14:paraId="4DC2866C" w14:textId="77777777" w:rsidR="00B27E3C" w:rsidRPr="007A75AA" w:rsidRDefault="00B27E3C" w:rsidP="00B27E3C">
            <w:pPr>
              <w:spacing w:after="0" w:line="240" w:lineRule="auto"/>
              <w:ind w:firstLineChars="100" w:firstLine="160"/>
              <w:rPr>
                <w:rFonts w:cs="Arial"/>
                <w:sz w:val="16"/>
                <w:szCs w:val="16"/>
              </w:rPr>
            </w:pPr>
            <w:r w:rsidRPr="007A75AA">
              <w:rPr>
                <w:rFonts w:cs="Arial"/>
                <w:sz w:val="16"/>
                <w:szCs w:val="16"/>
              </w:rPr>
              <w:t>ošetřovné</w:t>
            </w:r>
          </w:p>
        </w:tc>
        <w:tc>
          <w:tcPr>
            <w:tcW w:w="673" w:type="dxa"/>
            <w:tcBorders>
              <w:top w:val="nil"/>
              <w:left w:val="nil"/>
              <w:bottom w:val="nil"/>
              <w:right w:val="nil"/>
            </w:tcBorders>
            <w:shd w:val="clear" w:color="auto" w:fill="auto"/>
            <w:noWrap/>
            <w:vAlign w:val="center"/>
            <w:hideMark/>
          </w:tcPr>
          <w:p w14:paraId="67DD6E1C" w14:textId="77777777" w:rsidR="00B27E3C" w:rsidRPr="007A75AA" w:rsidRDefault="00B27E3C" w:rsidP="00B27E3C">
            <w:pPr>
              <w:spacing w:after="0" w:line="240" w:lineRule="auto"/>
              <w:jc w:val="right"/>
              <w:rPr>
                <w:rFonts w:cs="Arial"/>
                <w:sz w:val="16"/>
                <w:szCs w:val="16"/>
              </w:rPr>
            </w:pPr>
            <w:r w:rsidRPr="007A75AA">
              <w:rPr>
                <w:rFonts w:cs="Arial"/>
                <w:sz w:val="16"/>
                <w:szCs w:val="16"/>
              </w:rPr>
              <w:t>0,84</w:t>
            </w:r>
          </w:p>
        </w:tc>
        <w:tc>
          <w:tcPr>
            <w:tcW w:w="673" w:type="dxa"/>
            <w:tcBorders>
              <w:top w:val="nil"/>
              <w:left w:val="nil"/>
              <w:bottom w:val="nil"/>
              <w:right w:val="nil"/>
            </w:tcBorders>
            <w:shd w:val="clear" w:color="auto" w:fill="auto"/>
            <w:noWrap/>
            <w:vAlign w:val="center"/>
            <w:hideMark/>
          </w:tcPr>
          <w:p w14:paraId="34D60502" w14:textId="77777777" w:rsidR="00B27E3C" w:rsidRPr="007A75AA" w:rsidRDefault="00B27E3C" w:rsidP="00B27E3C">
            <w:pPr>
              <w:spacing w:after="0" w:line="240" w:lineRule="auto"/>
              <w:jc w:val="right"/>
              <w:rPr>
                <w:rFonts w:cs="Arial"/>
                <w:sz w:val="16"/>
                <w:szCs w:val="16"/>
              </w:rPr>
            </w:pPr>
            <w:r w:rsidRPr="007A75AA">
              <w:rPr>
                <w:rFonts w:cs="Arial"/>
                <w:sz w:val="16"/>
                <w:szCs w:val="16"/>
              </w:rPr>
              <w:t>0,85</w:t>
            </w:r>
          </w:p>
        </w:tc>
        <w:tc>
          <w:tcPr>
            <w:tcW w:w="673" w:type="dxa"/>
            <w:tcBorders>
              <w:top w:val="nil"/>
              <w:left w:val="nil"/>
              <w:bottom w:val="nil"/>
              <w:right w:val="nil"/>
            </w:tcBorders>
            <w:shd w:val="clear" w:color="auto" w:fill="auto"/>
            <w:noWrap/>
            <w:vAlign w:val="center"/>
            <w:hideMark/>
          </w:tcPr>
          <w:p w14:paraId="118AF998" w14:textId="77777777" w:rsidR="00B27E3C" w:rsidRPr="007A75AA" w:rsidRDefault="00B27E3C" w:rsidP="00B27E3C">
            <w:pPr>
              <w:spacing w:after="0" w:line="240" w:lineRule="auto"/>
              <w:jc w:val="right"/>
              <w:rPr>
                <w:rFonts w:cs="Arial"/>
                <w:sz w:val="16"/>
                <w:szCs w:val="16"/>
              </w:rPr>
            </w:pPr>
            <w:r w:rsidRPr="007A75AA">
              <w:rPr>
                <w:rFonts w:cs="Arial"/>
                <w:sz w:val="16"/>
                <w:szCs w:val="16"/>
              </w:rPr>
              <w:t>1,06</w:t>
            </w:r>
          </w:p>
        </w:tc>
        <w:tc>
          <w:tcPr>
            <w:tcW w:w="673" w:type="dxa"/>
            <w:tcBorders>
              <w:top w:val="nil"/>
              <w:left w:val="nil"/>
              <w:bottom w:val="nil"/>
              <w:right w:val="nil"/>
            </w:tcBorders>
            <w:shd w:val="clear" w:color="auto" w:fill="auto"/>
            <w:noWrap/>
            <w:vAlign w:val="center"/>
            <w:hideMark/>
          </w:tcPr>
          <w:p w14:paraId="1B95E3DC" w14:textId="77777777" w:rsidR="00B27E3C" w:rsidRPr="007A75AA" w:rsidRDefault="00B27E3C" w:rsidP="00B27E3C">
            <w:pPr>
              <w:spacing w:after="0" w:line="240" w:lineRule="auto"/>
              <w:jc w:val="right"/>
              <w:rPr>
                <w:rFonts w:cs="Arial"/>
                <w:sz w:val="16"/>
                <w:szCs w:val="16"/>
              </w:rPr>
            </w:pPr>
            <w:r w:rsidRPr="007A75AA">
              <w:rPr>
                <w:rFonts w:cs="Arial"/>
                <w:sz w:val="16"/>
                <w:szCs w:val="16"/>
              </w:rPr>
              <w:t>1,18</w:t>
            </w:r>
          </w:p>
        </w:tc>
        <w:tc>
          <w:tcPr>
            <w:tcW w:w="673" w:type="dxa"/>
            <w:tcBorders>
              <w:top w:val="nil"/>
              <w:left w:val="nil"/>
              <w:bottom w:val="nil"/>
              <w:right w:val="nil"/>
            </w:tcBorders>
            <w:shd w:val="clear" w:color="auto" w:fill="auto"/>
            <w:noWrap/>
            <w:vAlign w:val="center"/>
            <w:hideMark/>
          </w:tcPr>
          <w:p w14:paraId="605325C5" w14:textId="77777777" w:rsidR="00B27E3C" w:rsidRPr="007A75AA" w:rsidRDefault="00B27E3C" w:rsidP="00B27E3C">
            <w:pPr>
              <w:spacing w:after="0" w:line="240" w:lineRule="auto"/>
              <w:jc w:val="right"/>
              <w:rPr>
                <w:rFonts w:cs="Arial"/>
                <w:sz w:val="16"/>
                <w:szCs w:val="16"/>
              </w:rPr>
            </w:pPr>
            <w:r w:rsidRPr="007A75AA">
              <w:rPr>
                <w:rFonts w:cs="Arial"/>
                <w:sz w:val="16"/>
                <w:szCs w:val="16"/>
              </w:rPr>
              <w:t>1,40</w:t>
            </w:r>
          </w:p>
        </w:tc>
        <w:tc>
          <w:tcPr>
            <w:tcW w:w="673" w:type="dxa"/>
            <w:tcBorders>
              <w:top w:val="nil"/>
              <w:left w:val="nil"/>
              <w:bottom w:val="nil"/>
              <w:right w:val="nil"/>
            </w:tcBorders>
            <w:shd w:val="clear" w:color="auto" w:fill="auto"/>
            <w:noWrap/>
            <w:vAlign w:val="center"/>
            <w:hideMark/>
          </w:tcPr>
          <w:p w14:paraId="70DCCEE7" w14:textId="77777777" w:rsidR="00B27E3C" w:rsidRPr="007A75AA" w:rsidRDefault="00B27E3C" w:rsidP="00B27E3C">
            <w:pPr>
              <w:spacing w:after="0" w:line="240" w:lineRule="auto"/>
              <w:jc w:val="right"/>
              <w:rPr>
                <w:rFonts w:cs="Arial"/>
                <w:sz w:val="16"/>
                <w:szCs w:val="16"/>
              </w:rPr>
            </w:pPr>
            <w:r w:rsidRPr="007A75AA">
              <w:rPr>
                <w:rFonts w:cs="Arial"/>
                <w:sz w:val="16"/>
                <w:szCs w:val="16"/>
              </w:rPr>
              <w:t>1,63</w:t>
            </w:r>
          </w:p>
        </w:tc>
        <w:tc>
          <w:tcPr>
            <w:tcW w:w="673" w:type="dxa"/>
            <w:tcBorders>
              <w:top w:val="nil"/>
              <w:left w:val="nil"/>
              <w:bottom w:val="nil"/>
              <w:right w:val="nil"/>
            </w:tcBorders>
            <w:shd w:val="clear" w:color="auto" w:fill="auto"/>
            <w:noWrap/>
            <w:vAlign w:val="center"/>
            <w:hideMark/>
          </w:tcPr>
          <w:p w14:paraId="61FA7A0A" w14:textId="77777777" w:rsidR="00B27E3C" w:rsidRPr="007A75AA" w:rsidRDefault="00B27E3C" w:rsidP="00B27E3C">
            <w:pPr>
              <w:spacing w:after="0" w:line="240" w:lineRule="auto"/>
              <w:jc w:val="right"/>
              <w:rPr>
                <w:rFonts w:cs="Arial"/>
                <w:sz w:val="16"/>
                <w:szCs w:val="16"/>
              </w:rPr>
            </w:pPr>
            <w:r w:rsidRPr="007A75AA">
              <w:rPr>
                <w:rFonts w:cs="Arial"/>
                <w:sz w:val="16"/>
                <w:szCs w:val="16"/>
              </w:rPr>
              <w:t>1,73</w:t>
            </w:r>
          </w:p>
        </w:tc>
        <w:tc>
          <w:tcPr>
            <w:tcW w:w="673" w:type="dxa"/>
            <w:tcBorders>
              <w:top w:val="nil"/>
              <w:left w:val="nil"/>
              <w:bottom w:val="nil"/>
              <w:right w:val="nil"/>
            </w:tcBorders>
            <w:shd w:val="clear" w:color="auto" w:fill="auto"/>
            <w:noWrap/>
            <w:vAlign w:val="center"/>
            <w:hideMark/>
          </w:tcPr>
          <w:p w14:paraId="6128B0DD" w14:textId="77777777" w:rsidR="00B27E3C" w:rsidRPr="007A75AA" w:rsidRDefault="00B27E3C" w:rsidP="00B27E3C">
            <w:pPr>
              <w:spacing w:after="0" w:line="240" w:lineRule="auto"/>
              <w:jc w:val="right"/>
              <w:rPr>
                <w:rFonts w:cs="Arial"/>
                <w:sz w:val="16"/>
                <w:szCs w:val="16"/>
              </w:rPr>
            </w:pPr>
            <w:r w:rsidRPr="007A75AA">
              <w:rPr>
                <w:rFonts w:cs="Arial"/>
                <w:sz w:val="16"/>
                <w:szCs w:val="16"/>
              </w:rPr>
              <w:t>11,44</w:t>
            </w:r>
          </w:p>
        </w:tc>
        <w:tc>
          <w:tcPr>
            <w:tcW w:w="666" w:type="dxa"/>
            <w:vAlign w:val="center"/>
          </w:tcPr>
          <w:p w14:paraId="71160951" w14:textId="77777777" w:rsidR="00B27E3C" w:rsidRPr="007A75AA" w:rsidRDefault="00B27E3C" w:rsidP="00B27E3C">
            <w:pPr>
              <w:spacing w:after="0" w:line="240" w:lineRule="auto"/>
              <w:jc w:val="right"/>
            </w:pPr>
            <w:r w:rsidRPr="007A75AA">
              <w:rPr>
                <w:rFonts w:cs="Arial"/>
                <w:sz w:val="16"/>
                <w:szCs w:val="16"/>
              </w:rPr>
              <w:t>5,66</w:t>
            </w:r>
          </w:p>
        </w:tc>
        <w:tc>
          <w:tcPr>
            <w:tcW w:w="668" w:type="dxa"/>
            <w:shd w:val="clear" w:color="auto" w:fill="auto"/>
            <w:vAlign w:val="center"/>
          </w:tcPr>
          <w:p w14:paraId="75704C01" w14:textId="77777777" w:rsidR="00B27E3C" w:rsidRPr="007A75AA" w:rsidRDefault="00B27E3C" w:rsidP="00B27E3C">
            <w:pPr>
              <w:spacing w:after="0" w:line="240" w:lineRule="auto"/>
              <w:jc w:val="right"/>
              <w:rPr>
                <w:rFonts w:cs="Arial"/>
                <w:sz w:val="16"/>
                <w:szCs w:val="16"/>
              </w:rPr>
            </w:pPr>
            <w:r w:rsidRPr="007A75AA">
              <w:rPr>
                <w:rFonts w:cs="Arial"/>
                <w:sz w:val="16"/>
                <w:szCs w:val="16"/>
              </w:rPr>
              <w:t>2,83</w:t>
            </w:r>
          </w:p>
        </w:tc>
        <w:tc>
          <w:tcPr>
            <w:tcW w:w="663" w:type="dxa"/>
            <w:vAlign w:val="center"/>
          </w:tcPr>
          <w:p w14:paraId="0E5BBA38" w14:textId="364027E3" w:rsidR="00B27E3C" w:rsidRPr="007A75AA" w:rsidRDefault="00B27E3C" w:rsidP="00B27E3C">
            <w:pPr>
              <w:spacing w:after="0" w:line="240" w:lineRule="auto"/>
              <w:jc w:val="right"/>
              <w:rPr>
                <w:rFonts w:cs="Arial"/>
                <w:sz w:val="16"/>
                <w:szCs w:val="16"/>
              </w:rPr>
            </w:pPr>
            <w:r>
              <w:rPr>
                <w:rFonts w:cs="Arial"/>
                <w:sz w:val="16"/>
                <w:szCs w:val="16"/>
              </w:rPr>
              <w:t>2,46</w:t>
            </w:r>
          </w:p>
        </w:tc>
      </w:tr>
      <w:tr w:rsidR="00B27E3C" w:rsidRPr="007A75AA" w14:paraId="0D8A52CD" w14:textId="7003B654" w:rsidTr="008F6B9A">
        <w:trPr>
          <w:trHeight w:val="300"/>
        </w:trPr>
        <w:tc>
          <w:tcPr>
            <w:tcW w:w="2257" w:type="dxa"/>
            <w:tcBorders>
              <w:top w:val="nil"/>
              <w:left w:val="nil"/>
              <w:bottom w:val="nil"/>
              <w:right w:val="single" w:sz="4" w:space="0" w:color="auto"/>
            </w:tcBorders>
            <w:shd w:val="clear" w:color="auto" w:fill="auto"/>
            <w:vAlign w:val="center"/>
            <w:hideMark/>
          </w:tcPr>
          <w:p w14:paraId="30656DFF" w14:textId="77777777" w:rsidR="00B27E3C" w:rsidRPr="007A75AA" w:rsidRDefault="00B27E3C" w:rsidP="00B27E3C">
            <w:pPr>
              <w:spacing w:after="0" w:line="240" w:lineRule="auto"/>
              <w:ind w:firstLineChars="100" w:firstLine="160"/>
              <w:rPr>
                <w:rFonts w:cs="Arial"/>
                <w:sz w:val="16"/>
                <w:szCs w:val="16"/>
              </w:rPr>
            </w:pPr>
            <w:r w:rsidRPr="007A75AA">
              <w:rPr>
                <w:rFonts w:cs="Arial"/>
                <w:sz w:val="16"/>
                <w:szCs w:val="16"/>
              </w:rPr>
              <w:t>peněžitá pomoc v mateřství</w:t>
            </w:r>
          </w:p>
        </w:tc>
        <w:tc>
          <w:tcPr>
            <w:tcW w:w="673" w:type="dxa"/>
            <w:tcBorders>
              <w:top w:val="nil"/>
              <w:left w:val="nil"/>
              <w:bottom w:val="nil"/>
              <w:right w:val="nil"/>
            </w:tcBorders>
            <w:shd w:val="clear" w:color="auto" w:fill="auto"/>
            <w:noWrap/>
            <w:vAlign w:val="center"/>
            <w:hideMark/>
          </w:tcPr>
          <w:p w14:paraId="4566BC26" w14:textId="77777777" w:rsidR="00B27E3C" w:rsidRPr="007A75AA" w:rsidRDefault="00B27E3C" w:rsidP="00B27E3C">
            <w:pPr>
              <w:spacing w:after="0" w:line="240" w:lineRule="auto"/>
              <w:jc w:val="right"/>
              <w:rPr>
                <w:rFonts w:cs="Arial"/>
                <w:sz w:val="16"/>
                <w:szCs w:val="16"/>
              </w:rPr>
            </w:pPr>
            <w:r w:rsidRPr="007A75AA">
              <w:rPr>
                <w:rFonts w:cs="Arial"/>
                <w:sz w:val="16"/>
                <w:szCs w:val="16"/>
              </w:rPr>
              <w:t>7,26</w:t>
            </w:r>
          </w:p>
        </w:tc>
        <w:tc>
          <w:tcPr>
            <w:tcW w:w="673" w:type="dxa"/>
            <w:tcBorders>
              <w:top w:val="nil"/>
              <w:left w:val="nil"/>
              <w:bottom w:val="nil"/>
              <w:right w:val="nil"/>
            </w:tcBorders>
            <w:shd w:val="clear" w:color="auto" w:fill="auto"/>
            <w:noWrap/>
            <w:vAlign w:val="center"/>
            <w:hideMark/>
          </w:tcPr>
          <w:p w14:paraId="114CC943" w14:textId="77777777" w:rsidR="00B27E3C" w:rsidRPr="007A75AA" w:rsidRDefault="00B27E3C" w:rsidP="00B27E3C">
            <w:pPr>
              <w:spacing w:after="0" w:line="240" w:lineRule="auto"/>
              <w:jc w:val="right"/>
              <w:rPr>
                <w:rFonts w:cs="Arial"/>
                <w:sz w:val="16"/>
                <w:szCs w:val="16"/>
              </w:rPr>
            </w:pPr>
            <w:r w:rsidRPr="007A75AA">
              <w:rPr>
                <w:rFonts w:cs="Arial"/>
                <w:sz w:val="16"/>
                <w:szCs w:val="16"/>
              </w:rPr>
              <w:t>7,33</w:t>
            </w:r>
          </w:p>
        </w:tc>
        <w:tc>
          <w:tcPr>
            <w:tcW w:w="673" w:type="dxa"/>
            <w:tcBorders>
              <w:top w:val="nil"/>
              <w:left w:val="nil"/>
              <w:bottom w:val="nil"/>
              <w:right w:val="nil"/>
            </w:tcBorders>
            <w:shd w:val="clear" w:color="auto" w:fill="auto"/>
            <w:noWrap/>
            <w:vAlign w:val="center"/>
            <w:hideMark/>
          </w:tcPr>
          <w:p w14:paraId="49D1BF72" w14:textId="77777777" w:rsidR="00B27E3C" w:rsidRPr="007A75AA" w:rsidRDefault="00B27E3C" w:rsidP="00B27E3C">
            <w:pPr>
              <w:spacing w:after="0" w:line="240" w:lineRule="auto"/>
              <w:jc w:val="right"/>
              <w:rPr>
                <w:rFonts w:cs="Arial"/>
                <w:sz w:val="16"/>
                <w:szCs w:val="16"/>
              </w:rPr>
            </w:pPr>
            <w:r w:rsidRPr="007A75AA">
              <w:rPr>
                <w:rFonts w:cs="Arial"/>
                <w:sz w:val="16"/>
                <w:szCs w:val="16"/>
              </w:rPr>
              <w:t>7,61</w:t>
            </w:r>
          </w:p>
        </w:tc>
        <w:tc>
          <w:tcPr>
            <w:tcW w:w="673" w:type="dxa"/>
            <w:tcBorders>
              <w:top w:val="nil"/>
              <w:left w:val="nil"/>
              <w:bottom w:val="nil"/>
              <w:right w:val="nil"/>
            </w:tcBorders>
            <w:shd w:val="clear" w:color="auto" w:fill="auto"/>
            <w:noWrap/>
            <w:vAlign w:val="center"/>
            <w:hideMark/>
          </w:tcPr>
          <w:p w14:paraId="0EAA436C" w14:textId="77777777" w:rsidR="00B27E3C" w:rsidRPr="007A75AA" w:rsidRDefault="00B27E3C" w:rsidP="00B27E3C">
            <w:pPr>
              <w:spacing w:after="0" w:line="240" w:lineRule="auto"/>
              <w:jc w:val="right"/>
              <w:rPr>
                <w:rFonts w:cs="Arial"/>
                <w:sz w:val="16"/>
                <w:szCs w:val="16"/>
              </w:rPr>
            </w:pPr>
            <w:r w:rsidRPr="007A75AA">
              <w:rPr>
                <w:rFonts w:cs="Arial"/>
                <w:sz w:val="16"/>
                <w:szCs w:val="16"/>
              </w:rPr>
              <w:t>8,11</w:t>
            </w:r>
          </w:p>
        </w:tc>
        <w:tc>
          <w:tcPr>
            <w:tcW w:w="673" w:type="dxa"/>
            <w:tcBorders>
              <w:top w:val="nil"/>
              <w:left w:val="nil"/>
              <w:bottom w:val="nil"/>
              <w:right w:val="nil"/>
            </w:tcBorders>
            <w:shd w:val="clear" w:color="auto" w:fill="auto"/>
            <w:noWrap/>
            <w:vAlign w:val="center"/>
            <w:hideMark/>
          </w:tcPr>
          <w:p w14:paraId="34E932E5"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8,62</w:t>
            </w:r>
          </w:p>
        </w:tc>
        <w:tc>
          <w:tcPr>
            <w:tcW w:w="673" w:type="dxa"/>
            <w:tcBorders>
              <w:top w:val="nil"/>
              <w:left w:val="nil"/>
              <w:bottom w:val="nil"/>
              <w:right w:val="nil"/>
            </w:tcBorders>
            <w:shd w:val="clear" w:color="auto" w:fill="auto"/>
            <w:noWrap/>
            <w:vAlign w:val="center"/>
            <w:hideMark/>
          </w:tcPr>
          <w:p w14:paraId="7152388E"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9,40</w:t>
            </w:r>
          </w:p>
        </w:tc>
        <w:tc>
          <w:tcPr>
            <w:tcW w:w="673" w:type="dxa"/>
            <w:tcBorders>
              <w:top w:val="nil"/>
              <w:left w:val="nil"/>
              <w:bottom w:val="nil"/>
              <w:right w:val="nil"/>
            </w:tcBorders>
            <w:shd w:val="clear" w:color="auto" w:fill="auto"/>
            <w:noWrap/>
            <w:vAlign w:val="center"/>
            <w:hideMark/>
          </w:tcPr>
          <w:p w14:paraId="7A5096B8"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10,10</w:t>
            </w:r>
          </w:p>
        </w:tc>
        <w:tc>
          <w:tcPr>
            <w:tcW w:w="673" w:type="dxa"/>
            <w:tcBorders>
              <w:top w:val="nil"/>
              <w:left w:val="nil"/>
              <w:bottom w:val="nil"/>
              <w:right w:val="nil"/>
            </w:tcBorders>
            <w:shd w:val="clear" w:color="auto" w:fill="auto"/>
            <w:noWrap/>
            <w:vAlign w:val="center"/>
            <w:hideMark/>
          </w:tcPr>
          <w:p w14:paraId="00B309DB"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10,58</w:t>
            </w:r>
          </w:p>
        </w:tc>
        <w:tc>
          <w:tcPr>
            <w:tcW w:w="666" w:type="dxa"/>
            <w:vAlign w:val="center"/>
          </w:tcPr>
          <w:p w14:paraId="6F8DD785" w14:textId="77777777" w:rsidR="00B27E3C" w:rsidRPr="007A75AA" w:rsidRDefault="00B27E3C" w:rsidP="00B27E3C">
            <w:pPr>
              <w:spacing w:after="0" w:line="240" w:lineRule="auto"/>
              <w:jc w:val="right"/>
            </w:pPr>
            <w:r w:rsidRPr="007A75AA">
              <w:rPr>
                <w:rFonts w:cs="Arial"/>
                <w:color w:val="000000"/>
                <w:sz w:val="16"/>
                <w:szCs w:val="16"/>
              </w:rPr>
              <w:t>11,32</w:t>
            </w:r>
          </w:p>
        </w:tc>
        <w:tc>
          <w:tcPr>
            <w:tcW w:w="668" w:type="dxa"/>
            <w:shd w:val="clear" w:color="auto" w:fill="auto"/>
            <w:vAlign w:val="center"/>
          </w:tcPr>
          <w:p w14:paraId="2F91F5AA" w14:textId="77777777" w:rsidR="00B27E3C" w:rsidRPr="007A75AA" w:rsidRDefault="00B27E3C" w:rsidP="00B27E3C">
            <w:pPr>
              <w:spacing w:after="0" w:line="240" w:lineRule="auto"/>
              <w:jc w:val="right"/>
              <w:rPr>
                <w:rFonts w:cs="Arial"/>
                <w:sz w:val="16"/>
                <w:szCs w:val="16"/>
              </w:rPr>
            </w:pPr>
            <w:r w:rsidRPr="007A75AA">
              <w:rPr>
                <w:rFonts w:cs="Arial"/>
                <w:sz w:val="16"/>
                <w:szCs w:val="16"/>
              </w:rPr>
              <w:t>11,23</w:t>
            </w:r>
          </w:p>
        </w:tc>
        <w:tc>
          <w:tcPr>
            <w:tcW w:w="663" w:type="dxa"/>
            <w:vAlign w:val="center"/>
          </w:tcPr>
          <w:p w14:paraId="5976B95D" w14:textId="5647087B" w:rsidR="00B27E3C" w:rsidRPr="007A75AA" w:rsidRDefault="00B27E3C" w:rsidP="00B27E3C">
            <w:pPr>
              <w:spacing w:after="0" w:line="240" w:lineRule="auto"/>
              <w:jc w:val="right"/>
              <w:rPr>
                <w:rFonts w:cs="Arial"/>
                <w:sz w:val="16"/>
                <w:szCs w:val="16"/>
              </w:rPr>
            </w:pPr>
            <w:r>
              <w:rPr>
                <w:rFonts w:cs="Arial"/>
                <w:color w:val="000000"/>
                <w:sz w:val="16"/>
                <w:szCs w:val="16"/>
              </w:rPr>
              <w:t>10,50</w:t>
            </w:r>
          </w:p>
        </w:tc>
      </w:tr>
      <w:tr w:rsidR="00B27E3C" w:rsidRPr="007A75AA" w14:paraId="75E17072" w14:textId="3AB20093" w:rsidTr="008F6B9A">
        <w:trPr>
          <w:trHeight w:val="480"/>
        </w:trPr>
        <w:tc>
          <w:tcPr>
            <w:tcW w:w="2257" w:type="dxa"/>
            <w:tcBorders>
              <w:top w:val="nil"/>
              <w:left w:val="nil"/>
              <w:bottom w:val="nil"/>
              <w:right w:val="single" w:sz="4" w:space="0" w:color="auto"/>
            </w:tcBorders>
            <w:shd w:val="clear" w:color="auto" w:fill="auto"/>
            <w:vAlign w:val="center"/>
            <w:hideMark/>
          </w:tcPr>
          <w:p w14:paraId="0E97465C" w14:textId="77777777" w:rsidR="00B27E3C" w:rsidRPr="007A75AA" w:rsidRDefault="00B27E3C" w:rsidP="00B27E3C">
            <w:pPr>
              <w:spacing w:after="0" w:line="240" w:lineRule="auto"/>
              <w:ind w:firstLineChars="100" w:firstLine="160"/>
              <w:rPr>
                <w:rFonts w:cs="Arial"/>
                <w:sz w:val="16"/>
                <w:szCs w:val="16"/>
              </w:rPr>
            </w:pPr>
            <w:r w:rsidRPr="007A75AA">
              <w:rPr>
                <w:rFonts w:cs="Arial"/>
                <w:sz w:val="16"/>
                <w:szCs w:val="16"/>
              </w:rPr>
              <w:t xml:space="preserve">vyrovnávací příspěvek </w:t>
            </w:r>
            <w:r w:rsidRPr="007A75AA">
              <w:rPr>
                <w:rFonts w:cs="Arial"/>
                <w:sz w:val="16"/>
                <w:szCs w:val="16"/>
              </w:rPr>
              <w:br/>
              <w:t xml:space="preserve">    v těhotenství a mateřství</w:t>
            </w:r>
          </w:p>
        </w:tc>
        <w:tc>
          <w:tcPr>
            <w:tcW w:w="673" w:type="dxa"/>
            <w:tcBorders>
              <w:top w:val="nil"/>
              <w:left w:val="nil"/>
              <w:bottom w:val="nil"/>
              <w:right w:val="nil"/>
            </w:tcBorders>
            <w:shd w:val="clear" w:color="auto" w:fill="auto"/>
            <w:noWrap/>
            <w:vAlign w:val="center"/>
            <w:hideMark/>
          </w:tcPr>
          <w:p w14:paraId="42EBE5B9" w14:textId="77777777" w:rsidR="00B27E3C" w:rsidRPr="007A75AA" w:rsidRDefault="00B27E3C" w:rsidP="00B27E3C">
            <w:pPr>
              <w:spacing w:after="0" w:line="240" w:lineRule="auto"/>
              <w:jc w:val="right"/>
              <w:rPr>
                <w:rFonts w:cs="Arial"/>
                <w:sz w:val="16"/>
                <w:szCs w:val="16"/>
              </w:rPr>
            </w:pPr>
            <w:r w:rsidRPr="007A75AA">
              <w:rPr>
                <w:rFonts w:cs="Arial"/>
                <w:sz w:val="16"/>
                <w:szCs w:val="16"/>
              </w:rPr>
              <w:t>0,007</w:t>
            </w:r>
          </w:p>
        </w:tc>
        <w:tc>
          <w:tcPr>
            <w:tcW w:w="673" w:type="dxa"/>
            <w:tcBorders>
              <w:top w:val="nil"/>
              <w:left w:val="nil"/>
              <w:bottom w:val="nil"/>
              <w:right w:val="nil"/>
            </w:tcBorders>
            <w:shd w:val="clear" w:color="auto" w:fill="auto"/>
            <w:noWrap/>
            <w:vAlign w:val="center"/>
            <w:hideMark/>
          </w:tcPr>
          <w:p w14:paraId="6ED8BDC0" w14:textId="77777777" w:rsidR="00B27E3C" w:rsidRPr="007A75AA" w:rsidRDefault="00B27E3C" w:rsidP="00B27E3C">
            <w:pPr>
              <w:spacing w:after="0" w:line="240" w:lineRule="auto"/>
              <w:jc w:val="right"/>
              <w:rPr>
                <w:rFonts w:cs="Arial"/>
                <w:sz w:val="16"/>
                <w:szCs w:val="16"/>
              </w:rPr>
            </w:pPr>
            <w:r w:rsidRPr="007A75AA">
              <w:rPr>
                <w:rFonts w:cs="Arial"/>
                <w:sz w:val="16"/>
                <w:szCs w:val="16"/>
              </w:rPr>
              <w:t>0,009</w:t>
            </w:r>
          </w:p>
        </w:tc>
        <w:tc>
          <w:tcPr>
            <w:tcW w:w="673" w:type="dxa"/>
            <w:tcBorders>
              <w:top w:val="nil"/>
              <w:left w:val="nil"/>
              <w:bottom w:val="nil"/>
              <w:right w:val="nil"/>
            </w:tcBorders>
            <w:shd w:val="clear" w:color="auto" w:fill="auto"/>
            <w:noWrap/>
            <w:vAlign w:val="center"/>
            <w:hideMark/>
          </w:tcPr>
          <w:p w14:paraId="0BF45CE6" w14:textId="77777777" w:rsidR="00B27E3C" w:rsidRPr="007A75AA" w:rsidRDefault="00B27E3C" w:rsidP="00B27E3C">
            <w:pPr>
              <w:spacing w:after="0" w:line="240" w:lineRule="auto"/>
              <w:jc w:val="right"/>
              <w:rPr>
                <w:rFonts w:cs="Arial"/>
                <w:sz w:val="16"/>
                <w:szCs w:val="16"/>
              </w:rPr>
            </w:pPr>
            <w:r w:rsidRPr="007A75AA">
              <w:rPr>
                <w:rFonts w:cs="Arial"/>
                <w:sz w:val="16"/>
                <w:szCs w:val="16"/>
              </w:rPr>
              <w:t>0,009</w:t>
            </w:r>
          </w:p>
        </w:tc>
        <w:tc>
          <w:tcPr>
            <w:tcW w:w="673" w:type="dxa"/>
            <w:tcBorders>
              <w:top w:val="nil"/>
              <w:left w:val="nil"/>
              <w:bottom w:val="nil"/>
              <w:right w:val="nil"/>
            </w:tcBorders>
            <w:shd w:val="clear" w:color="auto" w:fill="auto"/>
            <w:noWrap/>
            <w:vAlign w:val="center"/>
            <w:hideMark/>
          </w:tcPr>
          <w:p w14:paraId="389C97A1" w14:textId="77777777" w:rsidR="00B27E3C" w:rsidRPr="007A75AA" w:rsidRDefault="00B27E3C" w:rsidP="00B27E3C">
            <w:pPr>
              <w:spacing w:after="0" w:line="240" w:lineRule="auto"/>
              <w:jc w:val="right"/>
              <w:rPr>
                <w:rFonts w:cs="Arial"/>
                <w:sz w:val="16"/>
                <w:szCs w:val="16"/>
              </w:rPr>
            </w:pPr>
            <w:r w:rsidRPr="007A75AA">
              <w:rPr>
                <w:rFonts w:cs="Arial"/>
                <w:sz w:val="16"/>
                <w:szCs w:val="16"/>
              </w:rPr>
              <w:t>0,009</w:t>
            </w:r>
          </w:p>
        </w:tc>
        <w:tc>
          <w:tcPr>
            <w:tcW w:w="673" w:type="dxa"/>
            <w:tcBorders>
              <w:top w:val="nil"/>
              <w:left w:val="nil"/>
              <w:bottom w:val="nil"/>
              <w:right w:val="nil"/>
            </w:tcBorders>
            <w:shd w:val="clear" w:color="auto" w:fill="auto"/>
            <w:noWrap/>
            <w:vAlign w:val="center"/>
            <w:hideMark/>
          </w:tcPr>
          <w:p w14:paraId="6A71DE8B"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0,008</w:t>
            </w:r>
          </w:p>
        </w:tc>
        <w:tc>
          <w:tcPr>
            <w:tcW w:w="673" w:type="dxa"/>
            <w:tcBorders>
              <w:top w:val="nil"/>
              <w:left w:val="nil"/>
              <w:bottom w:val="nil"/>
              <w:right w:val="nil"/>
            </w:tcBorders>
            <w:shd w:val="clear" w:color="auto" w:fill="auto"/>
            <w:noWrap/>
            <w:vAlign w:val="center"/>
            <w:hideMark/>
          </w:tcPr>
          <w:p w14:paraId="2D735948"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0,009</w:t>
            </w:r>
          </w:p>
        </w:tc>
        <w:tc>
          <w:tcPr>
            <w:tcW w:w="673" w:type="dxa"/>
            <w:tcBorders>
              <w:top w:val="nil"/>
              <w:left w:val="nil"/>
              <w:bottom w:val="nil"/>
              <w:right w:val="nil"/>
            </w:tcBorders>
            <w:shd w:val="clear" w:color="auto" w:fill="auto"/>
            <w:noWrap/>
            <w:vAlign w:val="center"/>
            <w:hideMark/>
          </w:tcPr>
          <w:p w14:paraId="3D34F061"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0,009</w:t>
            </w:r>
          </w:p>
        </w:tc>
        <w:tc>
          <w:tcPr>
            <w:tcW w:w="673" w:type="dxa"/>
            <w:tcBorders>
              <w:top w:val="nil"/>
              <w:left w:val="nil"/>
              <w:bottom w:val="nil"/>
              <w:right w:val="nil"/>
            </w:tcBorders>
            <w:shd w:val="clear" w:color="auto" w:fill="auto"/>
            <w:noWrap/>
            <w:vAlign w:val="center"/>
            <w:hideMark/>
          </w:tcPr>
          <w:p w14:paraId="32F68F2F"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0,007</w:t>
            </w:r>
          </w:p>
        </w:tc>
        <w:tc>
          <w:tcPr>
            <w:tcW w:w="666" w:type="dxa"/>
            <w:vAlign w:val="center"/>
          </w:tcPr>
          <w:p w14:paraId="37DFBEAA" w14:textId="77777777" w:rsidR="00B27E3C" w:rsidRPr="007A75AA" w:rsidRDefault="00B27E3C" w:rsidP="00B27E3C">
            <w:pPr>
              <w:spacing w:after="0" w:line="240" w:lineRule="auto"/>
              <w:jc w:val="right"/>
            </w:pPr>
            <w:r w:rsidRPr="007A75AA">
              <w:rPr>
                <w:rFonts w:cs="Arial"/>
                <w:color w:val="000000"/>
                <w:sz w:val="16"/>
                <w:szCs w:val="16"/>
              </w:rPr>
              <w:t>0,006</w:t>
            </w:r>
          </w:p>
        </w:tc>
        <w:tc>
          <w:tcPr>
            <w:tcW w:w="668" w:type="dxa"/>
            <w:shd w:val="clear" w:color="auto" w:fill="auto"/>
            <w:vAlign w:val="center"/>
          </w:tcPr>
          <w:p w14:paraId="1DA24944" w14:textId="77777777" w:rsidR="00B27E3C" w:rsidRPr="007A75AA" w:rsidRDefault="00B27E3C" w:rsidP="00B27E3C">
            <w:pPr>
              <w:spacing w:after="0" w:line="240" w:lineRule="auto"/>
              <w:jc w:val="right"/>
              <w:rPr>
                <w:rFonts w:cs="Arial"/>
                <w:sz w:val="16"/>
                <w:szCs w:val="16"/>
              </w:rPr>
            </w:pPr>
            <w:r w:rsidRPr="007A75AA">
              <w:rPr>
                <w:rFonts w:cs="Arial"/>
                <w:sz w:val="16"/>
                <w:szCs w:val="16"/>
              </w:rPr>
              <w:t>0,008</w:t>
            </w:r>
          </w:p>
        </w:tc>
        <w:tc>
          <w:tcPr>
            <w:tcW w:w="663" w:type="dxa"/>
            <w:vAlign w:val="center"/>
          </w:tcPr>
          <w:p w14:paraId="59CCCE6F" w14:textId="7E1D286D" w:rsidR="00B27E3C" w:rsidRPr="007A75AA" w:rsidRDefault="00B27E3C" w:rsidP="00B27E3C">
            <w:pPr>
              <w:spacing w:after="0" w:line="240" w:lineRule="auto"/>
              <w:jc w:val="right"/>
              <w:rPr>
                <w:rFonts w:cs="Arial"/>
                <w:sz w:val="16"/>
                <w:szCs w:val="16"/>
              </w:rPr>
            </w:pPr>
            <w:r>
              <w:rPr>
                <w:rFonts w:cs="Arial"/>
                <w:color w:val="000000"/>
                <w:sz w:val="16"/>
                <w:szCs w:val="16"/>
              </w:rPr>
              <w:t>0,007</w:t>
            </w:r>
          </w:p>
        </w:tc>
      </w:tr>
      <w:tr w:rsidR="00B27E3C" w:rsidRPr="007A75AA" w14:paraId="7022C67A" w14:textId="211859A9" w:rsidTr="008F6B9A">
        <w:trPr>
          <w:trHeight w:val="300"/>
        </w:trPr>
        <w:tc>
          <w:tcPr>
            <w:tcW w:w="2257" w:type="dxa"/>
            <w:tcBorders>
              <w:top w:val="nil"/>
              <w:left w:val="nil"/>
              <w:bottom w:val="nil"/>
              <w:right w:val="single" w:sz="4" w:space="0" w:color="auto"/>
            </w:tcBorders>
            <w:shd w:val="clear" w:color="auto" w:fill="auto"/>
            <w:vAlign w:val="center"/>
            <w:hideMark/>
          </w:tcPr>
          <w:p w14:paraId="64A3AED6" w14:textId="77777777" w:rsidR="00B27E3C" w:rsidRPr="007A75AA" w:rsidRDefault="00B27E3C" w:rsidP="00B27E3C">
            <w:pPr>
              <w:spacing w:after="0" w:line="240" w:lineRule="auto"/>
              <w:ind w:firstLineChars="100" w:firstLine="160"/>
              <w:rPr>
                <w:rFonts w:cs="Arial"/>
                <w:sz w:val="16"/>
                <w:szCs w:val="16"/>
              </w:rPr>
            </w:pPr>
            <w:r w:rsidRPr="007A75AA">
              <w:rPr>
                <w:rFonts w:cs="Arial"/>
                <w:sz w:val="16"/>
                <w:szCs w:val="16"/>
              </w:rPr>
              <w:t>otcovská poporodní péče</w:t>
            </w:r>
            <w:r w:rsidRPr="007A75AA">
              <w:rPr>
                <w:rFonts w:cs="Arial"/>
                <w:sz w:val="16"/>
                <w:szCs w:val="16"/>
                <w:vertAlign w:val="superscript"/>
              </w:rPr>
              <w:t>1)</w:t>
            </w:r>
          </w:p>
        </w:tc>
        <w:tc>
          <w:tcPr>
            <w:tcW w:w="673" w:type="dxa"/>
            <w:tcBorders>
              <w:top w:val="nil"/>
              <w:left w:val="nil"/>
              <w:bottom w:val="nil"/>
              <w:right w:val="nil"/>
            </w:tcBorders>
            <w:shd w:val="clear" w:color="auto" w:fill="auto"/>
            <w:noWrap/>
            <w:vAlign w:val="bottom"/>
            <w:hideMark/>
          </w:tcPr>
          <w:p w14:paraId="56977D09" w14:textId="77777777" w:rsidR="00B27E3C" w:rsidRPr="007A75AA" w:rsidRDefault="00B27E3C" w:rsidP="00B27E3C">
            <w:pPr>
              <w:spacing w:after="0" w:line="240" w:lineRule="auto"/>
              <w:jc w:val="right"/>
              <w:rPr>
                <w:rFonts w:ascii="Calibri" w:hAnsi="Calibri" w:cs="Calibri"/>
                <w:color w:val="000000"/>
                <w:sz w:val="22"/>
                <w:szCs w:val="22"/>
              </w:rPr>
            </w:pPr>
            <w:r w:rsidRPr="007A75AA">
              <w:rPr>
                <w:rFonts w:ascii="Calibri" w:hAnsi="Calibri" w:cs="Calibri"/>
                <w:color w:val="000000"/>
                <w:sz w:val="22"/>
                <w:szCs w:val="22"/>
              </w:rPr>
              <w:t>–</w:t>
            </w:r>
          </w:p>
        </w:tc>
        <w:tc>
          <w:tcPr>
            <w:tcW w:w="673" w:type="dxa"/>
            <w:tcBorders>
              <w:top w:val="nil"/>
              <w:left w:val="nil"/>
              <w:bottom w:val="nil"/>
              <w:right w:val="nil"/>
            </w:tcBorders>
            <w:shd w:val="clear" w:color="auto" w:fill="auto"/>
            <w:noWrap/>
            <w:vAlign w:val="bottom"/>
            <w:hideMark/>
          </w:tcPr>
          <w:p w14:paraId="0CA4B417" w14:textId="77777777" w:rsidR="00B27E3C" w:rsidRPr="007A75AA" w:rsidRDefault="00B27E3C" w:rsidP="00B27E3C">
            <w:pPr>
              <w:spacing w:after="0" w:line="240" w:lineRule="auto"/>
              <w:jc w:val="right"/>
              <w:rPr>
                <w:rFonts w:ascii="Calibri" w:hAnsi="Calibri" w:cs="Calibri"/>
                <w:color w:val="000000"/>
                <w:sz w:val="22"/>
                <w:szCs w:val="22"/>
              </w:rPr>
            </w:pPr>
            <w:r w:rsidRPr="007A75AA">
              <w:rPr>
                <w:rFonts w:ascii="Calibri" w:hAnsi="Calibri" w:cs="Calibri"/>
                <w:color w:val="000000"/>
                <w:sz w:val="22"/>
                <w:szCs w:val="22"/>
              </w:rPr>
              <w:t>–</w:t>
            </w:r>
          </w:p>
        </w:tc>
        <w:tc>
          <w:tcPr>
            <w:tcW w:w="673" w:type="dxa"/>
            <w:tcBorders>
              <w:top w:val="nil"/>
              <w:left w:val="nil"/>
              <w:bottom w:val="nil"/>
              <w:right w:val="nil"/>
            </w:tcBorders>
            <w:shd w:val="clear" w:color="auto" w:fill="auto"/>
            <w:noWrap/>
            <w:vAlign w:val="bottom"/>
            <w:hideMark/>
          </w:tcPr>
          <w:p w14:paraId="259D8676" w14:textId="77777777" w:rsidR="00B27E3C" w:rsidRPr="007A75AA" w:rsidRDefault="00B27E3C" w:rsidP="00B27E3C">
            <w:pPr>
              <w:spacing w:after="0" w:line="240" w:lineRule="auto"/>
              <w:jc w:val="right"/>
              <w:rPr>
                <w:rFonts w:ascii="Calibri" w:hAnsi="Calibri" w:cs="Calibri"/>
                <w:color w:val="000000"/>
                <w:sz w:val="22"/>
                <w:szCs w:val="22"/>
              </w:rPr>
            </w:pPr>
            <w:r w:rsidRPr="007A75AA">
              <w:rPr>
                <w:rFonts w:ascii="Calibri" w:hAnsi="Calibri" w:cs="Calibri"/>
                <w:color w:val="000000"/>
                <w:sz w:val="22"/>
                <w:szCs w:val="22"/>
              </w:rPr>
              <w:t>–</w:t>
            </w:r>
          </w:p>
        </w:tc>
        <w:tc>
          <w:tcPr>
            <w:tcW w:w="673" w:type="dxa"/>
            <w:tcBorders>
              <w:top w:val="nil"/>
              <w:left w:val="nil"/>
              <w:bottom w:val="nil"/>
              <w:right w:val="nil"/>
            </w:tcBorders>
            <w:shd w:val="clear" w:color="auto" w:fill="auto"/>
            <w:noWrap/>
            <w:vAlign w:val="bottom"/>
            <w:hideMark/>
          </w:tcPr>
          <w:p w14:paraId="273C27DF" w14:textId="77777777" w:rsidR="00B27E3C" w:rsidRPr="007A75AA" w:rsidRDefault="00B27E3C" w:rsidP="00B27E3C">
            <w:pPr>
              <w:spacing w:after="0" w:line="240" w:lineRule="auto"/>
              <w:jc w:val="right"/>
              <w:rPr>
                <w:rFonts w:ascii="Calibri" w:hAnsi="Calibri" w:cs="Calibri"/>
                <w:color w:val="000000"/>
                <w:sz w:val="22"/>
                <w:szCs w:val="22"/>
              </w:rPr>
            </w:pPr>
            <w:r w:rsidRPr="007A75AA">
              <w:rPr>
                <w:rFonts w:ascii="Calibri" w:hAnsi="Calibri" w:cs="Calibri"/>
                <w:color w:val="000000"/>
                <w:sz w:val="22"/>
                <w:szCs w:val="22"/>
              </w:rPr>
              <w:t>–</w:t>
            </w:r>
          </w:p>
        </w:tc>
        <w:tc>
          <w:tcPr>
            <w:tcW w:w="673" w:type="dxa"/>
            <w:tcBorders>
              <w:top w:val="nil"/>
              <w:left w:val="nil"/>
              <w:bottom w:val="nil"/>
              <w:right w:val="nil"/>
            </w:tcBorders>
            <w:shd w:val="clear" w:color="auto" w:fill="auto"/>
            <w:noWrap/>
            <w:vAlign w:val="bottom"/>
            <w:hideMark/>
          </w:tcPr>
          <w:p w14:paraId="49D26908" w14:textId="77777777" w:rsidR="00B27E3C" w:rsidRPr="007A75AA" w:rsidRDefault="00B27E3C" w:rsidP="00B27E3C">
            <w:pPr>
              <w:spacing w:after="0" w:line="240" w:lineRule="auto"/>
              <w:jc w:val="right"/>
              <w:rPr>
                <w:rFonts w:ascii="Calibri" w:hAnsi="Calibri" w:cs="Calibri"/>
                <w:color w:val="000000"/>
                <w:sz w:val="22"/>
                <w:szCs w:val="22"/>
              </w:rPr>
            </w:pPr>
            <w:r w:rsidRPr="007A75AA">
              <w:rPr>
                <w:rFonts w:ascii="Calibri" w:hAnsi="Calibri" w:cs="Calibri"/>
                <w:color w:val="000000"/>
                <w:sz w:val="22"/>
                <w:szCs w:val="22"/>
              </w:rPr>
              <w:t>–</w:t>
            </w:r>
          </w:p>
        </w:tc>
        <w:tc>
          <w:tcPr>
            <w:tcW w:w="673" w:type="dxa"/>
            <w:tcBorders>
              <w:top w:val="nil"/>
              <w:left w:val="nil"/>
              <w:bottom w:val="nil"/>
              <w:right w:val="nil"/>
            </w:tcBorders>
            <w:shd w:val="clear" w:color="auto" w:fill="auto"/>
            <w:noWrap/>
            <w:vAlign w:val="center"/>
            <w:hideMark/>
          </w:tcPr>
          <w:p w14:paraId="28143BA3"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0,221</w:t>
            </w:r>
          </w:p>
        </w:tc>
        <w:tc>
          <w:tcPr>
            <w:tcW w:w="673" w:type="dxa"/>
            <w:tcBorders>
              <w:top w:val="nil"/>
              <w:left w:val="nil"/>
              <w:bottom w:val="nil"/>
              <w:right w:val="nil"/>
            </w:tcBorders>
            <w:shd w:val="clear" w:color="auto" w:fill="auto"/>
            <w:noWrap/>
            <w:vAlign w:val="center"/>
            <w:hideMark/>
          </w:tcPr>
          <w:p w14:paraId="2B40ACFD"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0,273</w:t>
            </w:r>
          </w:p>
        </w:tc>
        <w:tc>
          <w:tcPr>
            <w:tcW w:w="673" w:type="dxa"/>
            <w:tcBorders>
              <w:top w:val="nil"/>
              <w:left w:val="nil"/>
              <w:bottom w:val="nil"/>
              <w:right w:val="nil"/>
            </w:tcBorders>
            <w:shd w:val="clear" w:color="auto" w:fill="auto"/>
            <w:noWrap/>
            <w:vAlign w:val="center"/>
            <w:hideMark/>
          </w:tcPr>
          <w:p w14:paraId="6B393867"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0,269</w:t>
            </w:r>
          </w:p>
        </w:tc>
        <w:tc>
          <w:tcPr>
            <w:tcW w:w="666" w:type="dxa"/>
            <w:vAlign w:val="center"/>
          </w:tcPr>
          <w:p w14:paraId="0D35C719" w14:textId="77777777" w:rsidR="00B27E3C" w:rsidRPr="007A75AA" w:rsidRDefault="00B27E3C" w:rsidP="00B27E3C">
            <w:pPr>
              <w:spacing w:after="0" w:line="240" w:lineRule="auto"/>
              <w:jc w:val="right"/>
            </w:pPr>
            <w:r w:rsidRPr="007A75AA">
              <w:rPr>
                <w:rFonts w:cs="Arial"/>
                <w:color w:val="000000"/>
                <w:sz w:val="16"/>
                <w:szCs w:val="16"/>
              </w:rPr>
              <w:t>0,291</w:t>
            </w:r>
          </w:p>
        </w:tc>
        <w:tc>
          <w:tcPr>
            <w:tcW w:w="668" w:type="dxa"/>
            <w:shd w:val="clear" w:color="auto" w:fill="auto"/>
            <w:vAlign w:val="center"/>
          </w:tcPr>
          <w:p w14:paraId="6323D156" w14:textId="77777777" w:rsidR="00B27E3C" w:rsidRPr="007A75AA" w:rsidRDefault="00B27E3C" w:rsidP="00B27E3C">
            <w:pPr>
              <w:spacing w:after="0" w:line="240" w:lineRule="auto"/>
              <w:jc w:val="right"/>
              <w:rPr>
                <w:rFonts w:cs="Arial"/>
                <w:sz w:val="16"/>
                <w:szCs w:val="16"/>
              </w:rPr>
            </w:pPr>
            <w:r w:rsidRPr="007A75AA">
              <w:rPr>
                <w:rFonts w:cs="Arial"/>
                <w:sz w:val="16"/>
                <w:szCs w:val="16"/>
              </w:rPr>
              <w:t>0,601</w:t>
            </w:r>
          </w:p>
        </w:tc>
        <w:tc>
          <w:tcPr>
            <w:tcW w:w="663" w:type="dxa"/>
            <w:vAlign w:val="center"/>
          </w:tcPr>
          <w:p w14:paraId="3E3459FF" w14:textId="3FA4E452" w:rsidR="00B27E3C" w:rsidRPr="007A75AA" w:rsidRDefault="00B27E3C" w:rsidP="00B27E3C">
            <w:pPr>
              <w:spacing w:after="0" w:line="240" w:lineRule="auto"/>
              <w:jc w:val="right"/>
              <w:rPr>
                <w:rFonts w:cs="Arial"/>
                <w:sz w:val="16"/>
                <w:szCs w:val="16"/>
              </w:rPr>
            </w:pPr>
            <w:r>
              <w:rPr>
                <w:rFonts w:cs="Arial"/>
                <w:color w:val="000000"/>
                <w:sz w:val="16"/>
                <w:szCs w:val="16"/>
              </w:rPr>
              <w:t>0,580</w:t>
            </w:r>
          </w:p>
        </w:tc>
      </w:tr>
      <w:tr w:rsidR="00B27E3C" w:rsidRPr="007A75AA" w14:paraId="62B4E4C0" w14:textId="796D6EEA" w:rsidTr="008F6B9A">
        <w:trPr>
          <w:trHeight w:val="300"/>
        </w:trPr>
        <w:tc>
          <w:tcPr>
            <w:tcW w:w="2257" w:type="dxa"/>
            <w:tcBorders>
              <w:top w:val="nil"/>
              <w:left w:val="nil"/>
              <w:bottom w:val="nil"/>
              <w:right w:val="single" w:sz="4" w:space="0" w:color="auto"/>
            </w:tcBorders>
            <w:shd w:val="clear" w:color="auto" w:fill="auto"/>
            <w:vAlign w:val="center"/>
            <w:hideMark/>
          </w:tcPr>
          <w:p w14:paraId="0125284A" w14:textId="77777777" w:rsidR="00B27E3C" w:rsidRPr="007A75AA" w:rsidRDefault="00B27E3C" w:rsidP="00B27E3C">
            <w:pPr>
              <w:spacing w:after="0" w:line="240" w:lineRule="auto"/>
              <w:ind w:firstLineChars="100" w:firstLine="160"/>
              <w:rPr>
                <w:rFonts w:cs="Arial"/>
                <w:sz w:val="16"/>
                <w:szCs w:val="16"/>
              </w:rPr>
            </w:pPr>
            <w:r w:rsidRPr="007A75AA">
              <w:rPr>
                <w:rFonts w:cs="Arial"/>
                <w:sz w:val="16"/>
                <w:szCs w:val="16"/>
              </w:rPr>
              <w:t>dlouhodobé ošetřovné</w:t>
            </w:r>
            <w:r w:rsidRPr="007A75AA">
              <w:rPr>
                <w:rFonts w:cs="Arial"/>
                <w:sz w:val="16"/>
                <w:szCs w:val="16"/>
                <w:vertAlign w:val="superscript"/>
              </w:rPr>
              <w:t>2)</w:t>
            </w:r>
          </w:p>
        </w:tc>
        <w:tc>
          <w:tcPr>
            <w:tcW w:w="673" w:type="dxa"/>
            <w:tcBorders>
              <w:top w:val="nil"/>
              <w:left w:val="nil"/>
              <w:bottom w:val="nil"/>
              <w:right w:val="nil"/>
            </w:tcBorders>
            <w:shd w:val="clear" w:color="auto" w:fill="auto"/>
            <w:noWrap/>
            <w:vAlign w:val="bottom"/>
            <w:hideMark/>
          </w:tcPr>
          <w:p w14:paraId="290792BB" w14:textId="77777777" w:rsidR="00B27E3C" w:rsidRPr="007A75AA" w:rsidRDefault="00B27E3C" w:rsidP="00B27E3C">
            <w:pPr>
              <w:spacing w:after="0" w:line="240" w:lineRule="auto"/>
              <w:jc w:val="right"/>
              <w:rPr>
                <w:rFonts w:ascii="Calibri" w:hAnsi="Calibri" w:cs="Calibri"/>
                <w:color w:val="000000"/>
                <w:sz w:val="22"/>
                <w:szCs w:val="22"/>
              </w:rPr>
            </w:pPr>
            <w:r w:rsidRPr="007A75AA">
              <w:rPr>
                <w:rFonts w:ascii="Calibri" w:hAnsi="Calibri" w:cs="Calibri"/>
                <w:color w:val="000000"/>
                <w:sz w:val="22"/>
                <w:szCs w:val="22"/>
              </w:rPr>
              <w:t>–</w:t>
            </w:r>
          </w:p>
        </w:tc>
        <w:tc>
          <w:tcPr>
            <w:tcW w:w="673" w:type="dxa"/>
            <w:tcBorders>
              <w:top w:val="nil"/>
              <w:left w:val="nil"/>
              <w:bottom w:val="nil"/>
              <w:right w:val="nil"/>
            </w:tcBorders>
            <w:shd w:val="clear" w:color="auto" w:fill="auto"/>
            <w:noWrap/>
            <w:vAlign w:val="bottom"/>
            <w:hideMark/>
          </w:tcPr>
          <w:p w14:paraId="2294EB16" w14:textId="77777777" w:rsidR="00B27E3C" w:rsidRPr="007A75AA" w:rsidRDefault="00B27E3C" w:rsidP="00B27E3C">
            <w:pPr>
              <w:spacing w:after="0" w:line="240" w:lineRule="auto"/>
              <w:jc w:val="right"/>
              <w:rPr>
                <w:rFonts w:ascii="Calibri" w:hAnsi="Calibri" w:cs="Calibri"/>
                <w:color w:val="000000"/>
                <w:sz w:val="22"/>
                <w:szCs w:val="22"/>
              </w:rPr>
            </w:pPr>
            <w:r w:rsidRPr="007A75AA">
              <w:rPr>
                <w:rFonts w:ascii="Calibri" w:hAnsi="Calibri" w:cs="Calibri"/>
                <w:color w:val="000000"/>
                <w:sz w:val="22"/>
                <w:szCs w:val="22"/>
              </w:rPr>
              <w:t>–</w:t>
            </w:r>
          </w:p>
        </w:tc>
        <w:tc>
          <w:tcPr>
            <w:tcW w:w="673" w:type="dxa"/>
            <w:tcBorders>
              <w:top w:val="nil"/>
              <w:left w:val="nil"/>
              <w:bottom w:val="nil"/>
              <w:right w:val="nil"/>
            </w:tcBorders>
            <w:shd w:val="clear" w:color="auto" w:fill="auto"/>
            <w:noWrap/>
            <w:vAlign w:val="bottom"/>
            <w:hideMark/>
          </w:tcPr>
          <w:p w14:paraId="460B7057" w14:textId="77777777" w:rsidR="00B27E3C" w:rsidRPr="007A75AA" w:rsidRDefault="00B27E3C" w:rsidP="00B27E3C">
            <w:pPr>
              <w:spacing w:after="0" w:line="240" w:lineRule="auto"/>
              <w:jc w:val="right"/>
              <w:rPr>
                <w:rFonts w:ascii="Calibri" w:hAnsi="Calibri" w:cs="Calibri"/>
                <w:color w:val="000000"/>
                <w:sz w:val="22"/>
                <w:szCs w:val="22"/>
              </w:rPr>
            </w:pPr>
            <w:r w:rsidRPr="007A75AA">
              <w:rPr>
                <w:rFonts w:ascii="Calibri" w:hAnsi="Calibri" w:cs="Calibri"/>
                <w:color w:val="000000"/>
                <w:sz w:val="22"/>
                <w:szCs w:val="22"/>
              </w:rPr>
              <w:t>–</w:t>
            </w:r>
          </w:p>
        </w:tc>
        <w:tc>
          <w:tcPr>
            <w:tcW w:w="673" w:type="dxa"/>
            <w:tcBorders>
              <w:top w:val="nil"/>
              <w:left w:val="nil"/>
              <w:bottom w:val="nil"/>
              <w:right w:val="nil"/>
            </w:tcBorders>
            <w:shd w:val="clear" w:color="auto" w:fill="auto"/>
            <w:noWrap/>
            <w:vAlign w:val="bottom"/>
            <w:hideMark/>
          </w:tcPr>
          <w:p w14:paraId="3FE1846C" w14:textId="77777777" w:rsidR="00B27E3C" w:rsidRPr="007A75AA" w:rsidRDefault="00B27E3C" w:rsidP="00B27E3C">
            <w:pPr>
              <w:spacing w:after="0" w:line="240" w:lineRule="auto"/>
              <w:jc w:val="right"/>
              <w:rPr>
                <w:rFonts w:ascii="Calibri" w:hAnsi="Calibri" w:cs="Calibri"/>
                <w:color w:val="000000"/>
                <w:sz w:val="22"/>
                <w:szCs w:val="22"/>
              </w:rPr>
            </w:pPr>
            <w:r w:rsidRPr="007A75AA">
              <w:rPr>
                <w:rFonts w:ascii="Calibri" w:hAnsi="Calibri" w:cs="Calibri"/>
                <w:color w:val="000000"/>
                <w:sz w:val="22"/>
                <w:szCs w:val="22"/>
              </w:rPr>
              <w:t>–</w:t>
            </w:r>
          </w:p>
        </w:tc>
        <w:tc>
          <w:tcPr>
            <w:tcW w:w="673" w:type="dxa"/>
            <w:tcBorders>
              <w:top w:val="nil"/>
              <w:left w:val="nil"/>
              <w:bottom w:val="nil"/>
              <w:right w:val="nil"/>
            </w:tcBorders>
            <w:shd w:val="clear" w:color="auto" w:fill="auto"/>
            <w:noWrap/>
            <w:vAlign w:val="bottom"/>
            <w:hideMark/>
          </w:tcPr>
          <w:p w14:paraId="49A1F80E" w14:textId="77777777" w:rsidR="00B27E3C" w:rsidRPr="007A75AA" w:rsidRDefault="00B27E3C" w:rsidP="00B27E3C">
            <w:pPr>
              <w:spacing w:after="0" w:line="240" w:lineRule="auto"/>
              <w:jc w:val="right"/>
              <w:rPr>
                <w:rFonts w:ascii="Calibri" w:hAnsi="Calibri" w:cs="Calibri"/>
                <w:color w:val="000000"/>
                <w:sz w:val="22"/>
                <w:szCs w:val="22"/>
              </w:rPr>
            </w:pPr>
            <w:r w:rsidRPr="007A75AA">
              <w:rPr>
                <w:rFonts w:ascii="Calibri" w:hAnsi="Calibri" w:cs="Calibri"/>
                <w:color w:val="000000"/>
                <w:sz w:val="22"/>
                <w:szCs w:val="22"/>
              </w:rPr>
              <w:t>–</w:t>
            </w:r>
          </w:p>
        </w:tc>
        <w:tc>
          <w:tcPr>
            <w:tcW w:w="673" w:type="dxa"/>
            <w:tcBorders>
              <w:top w:val="nil"/>
              <w:left w:val="nil"/>
              <w:bottom w:val="nil"/>
              <w:right w:val="nil"/>
            </w:tcBorders>
            <w:shd w:val="clear" w:color="auto" w:fill="auto"/>
            <w:noWrap/>
            <w:vAlign w:val="center"/>
            <w:hideMark/>
          </w:tcPr>
          <w:p w14:paraId="65B5FC3D"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0,032</w:t>
            </w:r>
          </w:p>
        </w:tc>
        <w:tc>
          <w:tcPr>
            <w:tcW w:w="673" w:type="dxa"/>
            <w:tcBorders>
              <w:top w:val="nil"/>
              <w:left w:val="nil"/>
              <w:bottom w:val="nil"/>
              <w:right w:val="nil"/>
            </w:tcBorders>
            <w:shd w:val="clear" w:color="auto" w:fill="auto"/>
            <w:noWrap/>
            <w:vAlign w:val="center"/>
            <w:hideMark/>
          </w:tcPr>
          <w:p w14:paraId="119A911F"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0,110</w:t>
            </w:r>
          </w:p>
        </w:tc>
        <w:tc>
          <w:tcPr>
            <w:tcW w:w="673" w:type="dxa"/>
            <w:tcBorders>
              <w:top w:val="nil"/>
              <w:left w:val="nil"/>
              <w:bottom w:val="nil"/>
              <w:right w:val="nil"/>
            </w:tcBorders>
            <w:shd w:val="clear" w:color="auto" w:fill="auto"/>
            <w:noWrap/>
            <w:vAlign w:val="center"/>
            <w:hideMark/>
          </w:tcPr>
          <w:p w14:paraId="71BE0762" w14:textId="77777777" w:rsidR="00B27E3C" w:rsidRPr="007A75AA" w:rsidRDefault="00B27E3C" w:rsidP="00B27E3C">
            <w:pPr>
              <w:spacing w:after="0" w:line="240" w:lineRule="auto"/>
              <w:jc w:val="right"/>
              <w:rPr>
                <w:rFonts w:cs="Arial"/>
                <w:color w:val="000000"/>
                <w:sz w:val="16"/>
                <w:szCs w:val="16"/>
              </w:rPr>
            </w:pPr>
            <w:r w:rsidRPr="007A75AA">
              <w:rPr>
                <w:rFonts w:cs="Arial"/>
                <w:color w:val="000000"/>
                <w:sz w:val="16"/>
                <w:szCs w:val="16"/>
              </w:rPr>
              <w:t>0,138</w:t>
            </w:r>
          </w:p>
        </w:tc>
        <w:tc>
          <w:tcPr>
            <w:tcW w:w="666" w:type="dxa"/>
            <w:vAlign w:val="center"/>
          </w:tcPr>
          <w:p w14:paraId="222E327D" w14:textId="77777777" w:rsidR="00B27E3C" w:rsidRPr="007A75AA" w:rsidRDefault="00B27E3C" w:rsidP="00B27E3C">
            <w:pPr>
              <w:spacing w:after="0" w:line="240" w:lineRule="auto"/>
              <w:jc w:val="right"/>
            </w:pPr>
            <w:r w:rsidRPr="007A75AA">
              <w:rPr>
                <w:rFonts w:cs="Arial"/>
                <w:color w:val="000000"/>
                <w:sz w:val="16"/>
                <w:szCs w:val="16"/>
              </w:rPr>
              <w:t>0,157</w:t>
            </w:r>
          </w:p>
        </w:tc>
        <w:tc>
          <w:tcPr>
            <w:tcW w:w="668" w:type="dxa"/>
            <w:shd w:val="clear" w:color="auto" w:fill="auto"/>
            <w:vAlign w:val="center"/>
          </w:tcPr>
          <w:p w14:paraId="6153B0DC" w14:textId="77777777" w:rsidR="00B27E3C" w:rsidRPr="007A75AA" w:rsidRDefault="00B27E3C" w:rsidP="00B27E3C">
            <w:pPr>
              <w:spacing w:after="0" w:line="240" w:lineRule="auto"/>
              <w:jc w:val="right"/>
              <w:rPr>
                <w:rFonts w:cs="Arial"/>
                <w:sz w:val="16"/>
                <w:szCs w:val="16"/>
              </w:rPr>
            </w:pPr>
            <w:r w:rsidRPr="007A75AA">
              <w:rPr>
                <w:rFonts w:cs="Arial"/>
                <w:sz w:val="16"/>
                <w:szCs w:val="16"/>
              </w:rPr>
              <w:t>0,207</w:t>
            </w:r>
          </w:p>
        </w:tc>
        <w:tc>
          <w:tcPr>
            <w:tcW w:w="663" w:type="dxa"/>
            <w:vAlign w:val="center"/>
          </w:tcPr>
          <w:p w14:paraId="7644FAB2" w14:textId="33D7E80B" w:rsidR="00B27E3C" w:rsidRPr="007A75AA" w:rsidRDefault="00B27E3C" w:rsidP="00B27E3C">
            <w:pPr>
              <w:spacing w:after="0" w:line="240" w:lineRule="auto"/>
              <w:jc w:val="right"/>
              <w:rPr>
                <w:rFonts w:cs="Arial"/>
                <w:sz w:val="16"/>
                <w:szCs w:val="16"/>
              </w:rPr>
            </w:pPr>
            <w:r>
              <w:rPr>
                <w:rFonts w:cs="Arial"/>
                <w:color w:val="000000"/>
                <w:sz w:val="16"/>
                <w:szCs w:val="16"/>
              </w:rPr>
              <w:t>0,220</w:t>
            </w:r>
          </w:p>
        </w:tc>
      </w:tr>
    </w:tbl>
    <w:p w14:paraId="50B88B1E" w14:textId="77777777" w:rsidR="00B27E3C" w:rsidRPr="007A75AA" w:rsidRDefault="00B27E3C" w:rsidP="00B27E3C">
      <w:pPr>
        <w:spacing w:after="0"/>
        <w:rPr>
          <w:rFonts w:cs="Arial"/>
          <w:color w:val="000000"/>
          <w:sz w:val="16"/>
          <w:szCs w:val="16"/>
          <w:vertAlign w:val="superscript"/>
        </w:rPr>
      </w:pPr>
    </w:p>
    <w:p w14:paraId="52BDD0EB" w14:textId="77777777" w:rsidR="00B27E3C" w:rsidRPr="007A75AA" w:rsidRDefault="00B27E3C" w:rsidP="00B27E3C">
      <w:pPr>
        <w:spacing w:after="0"/>
        <w:rPr>
          <w:rFonts w:cs="Arial"/>
          <w:szCs w:val="20"/>
        </w:rPr>
      </w:pPr>
      <w:r w:rsidRPr="007A75AA">
        <w:rPr>
          <w:rFonts w:cs="Arial"/>
          <w:color w:val="000000"/>
          <w:sz w:val="16"/>
          <w:szCs w:val="16"/>
          <w:vertAlign w:val="superscript"/>
        </w:rPr>
        <w:t xml:space="preserve">1) </w:t>
      </w:r>
      <w:r w:rsidRPr="007A75AA">
        <w:rPr>
          <w:rFonts w:cs="Arial"/>
          <w:color w:val="000000"/>
          <w:sz w:val="16"/>
          <w:szCs w:val="16"/>
        </w:rPr>
        <w:t xml:space="preserve">Zavedení dávky otcovské poporodní péče, tzv. „otcovská“ – účinnost od 1. února 2018. </w:t>
      </w:r>
      <w:r w:rsidRPr="007A75AA">
        <w:rPr>
          <w:rFonts w:cs="Arial"/>
          <w:color w:val="000000"/>
          <w:sz w:val="16"/>
          <w:szCs w:val="16"/>
        </w:rPr>
        <w:br/>
      </w:r>
      <w:r w:rsidRPr="007A75AA">
        <w:rPr>
          <w:rFonts w:cs="Arial"/>
          <w:color w:val="000000"/>
          <w:sz w:val="16"/>
          <w:szCs w:val="16"/>
          <w:vertAlign w:val="superscript"/>
        </w:rPr>
        <w:t>2)</w:t>
      </w:r>
      <w:r w:rsidRPr="007A75AA">
        <w:rPr>
          <w:rFonts w:cs="Arial"/>
          <w:color w:val="000000"/>
          <w:sz w:val="16"/>
          <w:szCs w:val="16"/>
        </w:rPr>
        <w:t xml:space="preserve"> Zavedení dávky dlouhodobé ošetřovné – účinnost od 1. června 2018.</w:t>
      </w:r>
    </w:p>
    <w:p w14:paraId="5704AB19" w14:textId="77777777" w:rsidR="00B27E3C" w:rsidRPr="007A75AA" w:rsidRDefault="00B27E3C" w:rsidP="00B27E3C">
      <w:pPr>
        <w:spacing w:after="120"/>
        <w:jc w:val="both"/>
      </w:pPr>
      <w:r w:rsidRPr="007A75AA">
        <w:rPr>
          <w:rFonts w:cs="Arial"/>
          <w:sz w:val="16"/>
          <w:szCs w:val="16"/>
        </w:rPr>
        <w:t>– pomlčka značí, že se jev nevyskytoval</w:t>
      </w:r>
    </w:p>
    <w:p w14:paraId="6924D537" w14:textId="77777777" w:rsidR="00B27E3C" w:rsidRPr="007A75AA" w:rsidRDefault="00B27E3C" w:rsidP="00B27E3C">
      <w:pPr>
        <w:spacing w:before="120" w:after="120"/>
        <w:rPr>
          <w:sz w:val="16"/>
        </w:rPr>
      </w:pPr>
      <w:r w:rsidRPr="007A75AA">
        <w:rPr>
          <w:sz w:val="16"/>
        </w:rPr>
        <w:t>Zdroj: ČSSZ</w:t>
      </w:r>
    </w:p>
    <w:p w14:paraId="4EA36934" w14:textId="210F9D52" w:rsidR="00B366D0" w:rsidRPr="00390BF5" w:rsidRDefault="00B366D0" w:rsidP="00B366D0">
      <w:pPr>
        <w:spacing w:before="120" w:after="120"/>
        <w:jc w:val="both"/>
        <w:rPr>
          <w:rFonts w:cs="Arial"/>
          <w:szCs w:val="16"/>
        </w:rPr>
      </w:pPr>
      <w:r w:rsidRPr="00251BF8">
        <w:rPr>
          <w:rFonts w:cs="Arial"/>
          <w:szCs w:val="16"/>
        </w:rPr>
        <w:t>Od roku 2013 výdaje na nemocenské až do roku 2021</w:t>
      </w:r>
      <w:r w:rsidR="00344573">
        <w:rPr>
          <w:rFonts w:cs="Arial"/>
          <w:szCs w:val="16"/>
        </w:rPr>
        <w:t xml:space="preserve"> nepřetržitě</w:t>
      </w:r>
      <w:r w:rsidRPr="00251BF8">
        <w:rPr>
          <w:rFonts w:cs="Arial"/>
          <w:szCs w:val="16"/>
        </w:rPr>
        <w:t xml:space="preserve"> rostly. O rok později nastal mírný pokles</w:t>
      </w:r>
      <w:r w:rsidR="00390BF5" w:rsidRPr="00251BF8">
        <w:rPr>
          <w:rFonts w:cs="Arial"/>
          <w:szCs w:val="16"/>
        </w:rPr>
        <w:t>, který pokračoval i v následujícím roce</w:t>
      </w:r>
      <w:r w:rsidRPr="00251BF8">
        <w:rPr>
          <w:rFonts w:cs="Arial"/>
          <w:szCs w:val="16"/>
        </w:rPr>
        <w:t xml:space="preserve">. Oproti </w:t>
      </w:r>
      <w:r w:rsidR="00390BF5" w:rsidRPr="00251BF8">
        <w:rPr>
          <w:rFonts w:cs="Arial"/>
          <w:szCs w:val="16"/>
        </w:rPr>
        <w:t>roku</w:t>
      </w:r>
      <w:r w:rsidRPr="00251BF8">
        <w:rPr>
          <w:rFonts w:cs="Arial"/>
          <w:szCs w:val="16"/>
        </w:rPr>
        <w:t xml:space="preserve"> 2019, tj. období před pandemií, se však výdaje v </w:t>
      </w:r>
      <w:r w:rsidR="00390BF5" w:rsidRPr="00251BF8">
        <w:rPr>
          <w:rFonts w:cs="Arial"/>
          <w:szCs w:val="16"/>
        </w:rPr>
        <w:t>roce</w:t>
      </w:r>
      <w:r w:rsidRPr="00251BF8">
        <w:rPr>
          <w:rFonts w:cs="Arial"/>
          <w:szCs w:val="16"/>
        </w:rPr>
        <w:t xml:space="preserve"> 2023 zvýšily o </w:t>
      </w:r>
      <w:r w:rsidR="00390BF5" w:rsidRPr="00251BF8">
        <w:rPr>
          <w:rFonts w:cs="Arial"/>
          <w:szCs w:val="16"/>
        </w:rPr>
        <w:t>5</w:t>
      </w:r>
      <w:r w:rsidRPr="00251BF8">
        <w:rPr>
          <w:rFonts w:cs="Arial"/>
          <w:szCs w:val="16"/>
        </w:rPr>
        <w:t xml:space="preserve"> mld. Kč, téměř o </w:t>
      </w:r>
      <w:r w:rsidR="00390BF5" w:rsidRPr="00251BF8">
        <w:rPr>
          <w:rFonts w:cs="Arial"/>
          <w:szCs w:val="16"/>
        </w:rPr>
        <w:t>pě</w:t>
      </w:r>
      <w:r w:rsidRPr="00251BF8">
        <w:rPr>
          <w:rFonts w:cs="Arial"/>
          <w:szCs w:val="16"/>
        </w:rPr>
        <w:t>tinu. Z</w:t>
      </w:r>
      <w:r w:rsidR="00390BF5" w:rsidRPr="00251BF8">
        <w:rPr>
          <w:rFonts w:cs="Arial"/>
          <w:szCs w:val="16"/>
        </w:rPr>
        <w:t xml:space="preserve">a uplynulou dekádu </w:t>
      </w:r>
      <w:r w:rsidRPr="00251BF8">
        <w:rPr>
          <w:rFonts w:cs="Arial"/>
          <w:szCs w:val="16"/>
        </w:rPr>
        <w:t xml:space="preserve">výdaje vzrostly o </w:t>
      </w:r>
      <w:r w:rsidR="00390BF5" w:rsidRPr="00251BF8">
        <w:rPr>
          <w:rFonts w:cs="Arial"/>
          <w:szCs w:val="16"/>
        </w:rPr>
        <w:t>20</w:t>
      </w:r>
      <w:r w:rsidRPr="00251BF8">
        <w:rPr>
          <w:rFonts w:cs="Arial"/>
          <w:szCs w:val="16"/>
        </w:rPr>
        <w:t xml:space="preserve"> mld. Kč</w:t>
      </w:r>
      <w:r w:rsidR="00390BF5" w:rsidRPr="00251BF8">
        <w:rPr>
          <w:rFonts w:cs="Arial"/>
          <w:szCs w:val="16"/>
        </w:rPr>
        <w:t xml:space="preserve"> (2,6krát)</w:t>
      </w:r>
      <w:r w:rsidRPr="00251BF8">
        <w:rPr>
          <w:rFonts w:cs="Arial"/>
          <w:szCs w:val="16"/>
        </w:rPr>
        <w:t>.</w:t>
      </w:r>
    </w:p>
    <w:p w14:paraId="6E07CD2D" w14:textId="5AED96B0" w:rsidR="00344573" w:rsidRDefault="00B366D0" w:rsidP="00B366D0">
      <w:pPr>
        <w:spacing w:before="120" w:after="120"/>
        <w:jc w:val="both"/>
      </w:pPr>
      <w:r w:rsidRPr="00390BF5">
        <w:t xml:space="preserve">Podrobnější informace k výdajům na nemocenské a dalším dávkám, které jsou poskytovány ze systému nemocenského pojištění, </w:t>
      </w:r>
      <w:r w:rsidR="001F5ECC">
        <w:t>jsou k dispozici</w:t>
      </w:r>
      <w:r w:rsidR="001F5ECC" w:rsidRPr="00390BF5">
        <w:t xml:space="preserve"> </w:t>
      </w:r>
      <w:r w:rsidRPr="00390BF5">
        <w:t xml:space="preserve">na internetových stránkách MPSV v  </w:t>
      </w:r>
      <w:hyperlink r:id="rId27" w:history="1">
        <w:r w:rsidRPr="00390BF5">
          <w:rPr>
            <w:rStyle w:val="Hypertextovodkaz"/>
          </w:rPr>
          <w:t>Analýze vývoje nemocenského pojištění</w:t>
        </w:r>
      </w:hyperlink>
      <w:r w:rsidRPr="00390BF5">
        <w:t>.</w:t>
      </w:r>
    </w:p>
    <w:p w14:paraId="67BAC363" w14:textId="77777777" w:rsidR="00344573" w:rsidRDefault="00344573">
      <w:pPr>
        <w:spacing w:after="0" w:line="240" w:lineRule="auto"/>
      </w:pPr>
      <w:r>
        <w:br w:type="page"/>
      </w:r>
    </w:p>
    <w:p w14:paraId="141A5640" w14:textId="77777777" w:rsidR="00B366D0" w:rsidRPr="00B366D0" w:rsidRDefault="00B366D0" w:rsidP="00B366D0">
      <w:pPr>
        <w:spacing w:after="0" w:line="240" w:lineRule="auto"/>
        <w:rPr>
          <w:rFonts w:cs="Arial"/>
          <w:b/>
          <w:bCs/>
          <w:color w:val="000000"/>
          <w:szCs w:val="20"/>
        </w:rPr>
      </w:pPr>
      <w:r w:rsidRPr="00B366D0">
        <w:rPr>
          <w:rFonts w:cs="Arial"/>
          <w:b/>
          <w:bCs/>
          <w:color w:val="000000"/>
          <w:szCs w:val="20"/>
        </w:rPr>
        <w:lastRenderedPageBreak/>
        <w:t>Graf 4.1: Výdaje na nemocenské a průměrné výdaje na jednoho pojištěnce, 2013–2023</w:t>
      </w:r>
    </w:p>
    <w:p w14:paraId="6B22B90F" w14:textId="12A9BD01" w:rsidR="00B27E3C" w:rsidRDefault="00344573" w:rsidP="00C20328">
      <w:pPr>
        <w:spacing w:before="120"/>
        <w:rPr>
          <w:sz w:val="16"/>
        </w:rPr>
      </w:pPr>
      <w:r>
        <w:rPr>
          <w:noProof/>
        </w:rPr>
        <w:drawing>
          <wp:inline distT="0" distB="0" distL="0" distR="0" wp14:anchorId="14C48AA2" wp14:editId="560C2851">
            <wp:extent cx="6120130" cy="2916555"/>
            <wp:effectExtent l="0" t="0" r="13970" b="1714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D934191" w14:textId="01AA3DF6" w:rsidR="008F6B9A" w:rsidRDefault="00B366D0" w:rsidP="00B366D0">
      <w:pPr>
        <w:spacing w:before="120" w:after="120"/>
        <w:rPr>
          <w:sz w:val="16"/>
        </w:rPr>
      </w:pPr>
      <w:r w:rsidRPr="007A75AA">
        <w:rPr>
          <w:sz w:val="16"/>
        </w:rPr>
        <w:t>Zdroj: ČSSZ</w:t>
      </w:r>
    </w:p>
    <w:p w14:paraId="7B17AC21" w14:textId="54D03952" w:rsidR="008F6B9A" w:rsidRDefault="008F6B9A">
      <w:pPr>
        <w:spacing w:after="0" w:line="240" w:lineRule="auto"/>
        <w:rPr>
          <w:sz w:val="16"/>
        </w:rPr>
      </w:pPr>
    </w:p>
    <w:p w14:paraId="50757D93" w14:textId="77777777" w:rsidR="008F6B9A" w:rsidRPr="00B83BF4" w:rsidRDefault="008F6B9A" w:rsidP="003E1B21">
      <w:pPr>
        <w:pStyle w:val="Nadpis3"/>
        <w:numPr>
          <w:ilvl w:val="1"/>
          <w:numId w:val="31"/>
        </w:numPr>
        <w:spacing w:after="120"/>
        <w:ind w:left="284" w:hanging="284"/>
      </w:pPr>
      <w:bookmarkStart w:id="20" w:name="_Toc54262806"/>
      <w:bookmarkStart w:id="21" w:name="_Toc149295407"/>
      <w:bookmarkStart w:id="22" w:name="_Toc167965230"/>
      <w:r w:rsidRPr="00B83BF4">
        <w:t>Pracovní úrazy</w:t>
      </w:r>
      <w:bookmarkEnd w:id="20"/>
      <w:bookmarkEnd w:id="21"/>
      <w:bookmarkEnd w:id="22"/>
    </w:p>
    <w:p w14:paraId="465F55DB" w14:textId="77777777" w:rsidR="008F6B9A" w:rsidRPr="00781A5F" w:rsidRDefault="008F6B9A" w:rsidP="008F6B9A">
      <w:pPr>
        <w:spacing w:after="120"/>
        <w:jc w:val="both"/>
      </w:pPr>
      <w:r w:rsidRPr="00781A5F">
        <w:t xml:space="preserve">V oblasti pracovní úrazovosti ukládá česká i evropská legislativa zaměstnavatelům řadu povinností souvisejících s evidencí, hlášením a objasněním příčin a okolností vzniku každého pracovního úrazu. </w:t>
      </w:r>
    </w:p>
    <w:p w14:paraId="526D8A26" w14:textId="77777777" w:rsidR="008F6B9A" w:rsidRPr="00781A5F" w:rsidRDefault="008F6B9A" w:rsidP="008F6B9A">
      <w:pPr>
        <w:pStyle w:val="Box1"/>
        <w:spacing w:before="120" w:after="120"/>
        <w:ind w:left="0"/>
        <w:contextualSpacing w:val="0"/>
        <w:jc w:val="both"/>
        <w:rPr>
          <w:i/>
        </w:rPr>
      </w:pPr>
      <w:r w:rsidRPr="00781A5F">
        <w:rPr>
          <w:b/>
          <w:i/>
        </w:rPr>
        <w:t xml:space="preserve">Pracovní úraz </w:t>
      </w:r>
      <w:r w:rsidRPr="00781A5F">
        <w:rPr>
          <w:i/>
        </w:rPr>
        <w:t>– pracovním úrazem se rozumí poškození zdraví nebo smrt zaměstnance, došlo-li k nim nezávisle na jeho vůli krátkodobým, náhlým a násilným působením zevních vlivů při plnění pracovních úkolů nebo v přímé souvislosti s ním (viz § 271k odst. 1 až 3 zákona č. 262/2006 Sb., zákoník práce, ve znění pozdějších předpisů).</w:t>
      </w:r>
    </w:p>
    <w:p w14:paraId="4F59BA9B" w14:textId="77777777" w:rsidR="008F6B9A" w:rsidRPr="00781A5F" w:rsidRDefault="008F6B9A" w:rsidP="008F6B9A">
      <w:pPr>
        <w:pStyle w:val="Box1"/>
        <w:spacing w:before="120" w:after="120"/>
        <w:ind w:left="0"/>
        <w:contextualSpacing w:val="0"/>
        <w:jc w:val="both"/>
        <w:rPr>
          <w:b/>
          <w:i/>
        </w:rPr>
      </w:pPr>
      <w:r w:rsidRPr="00781A5F">
        <w:rPr>
          <w:b/>
          <w:i/>
        </w:rPr>
        <w:t>Smrtelný pracovní úraz</w:t>
      </w:r>
      <w:r w:rsidRPr="00781A5F">
        <w:rPr>
          <w:i/>
        </w:rPr>
        <w:t xml:space="preserve"> – je takové poškození zdraví, na jehož následky úrazem postižený zaměstnanec nejpozději do 1 roku zemřel.</w:t>
      </w:r>
    </w:p>
    <w:p w14:paraId="4058AE3D" w14:textId="77777777" w:rsidR="008F6B9A" w:rsidRPr="00781A5F" w:rsidRDefault="008F6B9A" w:rsidP="008F6B9A">
      <w:pPr>
        <w:pStyle w:val="Box1"/>
        <w:spacing w:before="120" w:after="120"/>
        <w:ind w:left="0"/>
        <w:contextualSpacing w:val="0"/>
        <w:jc w:val="both"/>
        <w:rPr>
          <w:b/>
          <w:i/>
        </w:rPr>
      </w:pPr>
      <w:r w:rsidRPr="00781A5F">
        <w:rPr>
          <w:b/>
          <w:i/>
        </w:rPr>
        <w:t>Závažný pracovní úraz</w:t>
      </w:r>
      <w:r w:rsidRPr="00781A5F">
        <w:rPr>
          <w:i/>
        </w:rPr>
        <w:t xml:space="preserve"> – je takové poškození zdraví, trvá-li hospitalizace úrazem postiženého zaměstnance déle než 5 dnů.</w:t>
      </w:r>
    </w:p>
    <w:p w14:paraId="25214383" w14:textId="77777777" w:rsidR="008F6B9A" w:rsidRPr="00781A5F" w:rsidRDefault="008F6B9A" w:rsidP="008F6B9A">
      <w:pPr>
        <w:pStyle w:val="Box1"/>
        <w:spacing w:before="120" w:after="120"/>
        <w:ind w:left="0"/>
        <w:contextualSpacing w:val="0"/>
        <w:jc w:val="both"/>
        <w:rPr>
          <w:i/>
        </w:rPr>
      </w:pPr>
      <w:r w:rsidRPr="00781A5F">
        <w:rPr>
          <w:b/>
          <w:i/>
        </w:rPr>
        <w:t xml:space="preserve">Pracovní úraz s pracovní neschopností delší než 3 dny </w:t>
      </w:r>
      <w:r w:rsidRPr="00781A5F">
        <w:rPr>
          <w:i/>
        </w:rPr>
        <w:t>– ukazatel zahrnuje případy pracovních úrazů, které měly za následek dočasnou pracovní neschopnost delší než tři kalendářní dny. Do těchto tří dnů se nezapočítává den, ve kterém k úrazu došlo.</w:t>
      </w:r>
    </w:p>
    <w:p w14:paraId="0827BAE8" w14:textId="77777777" w:rsidR="008F6B9A" w:rsidRPr="00781A5F" w:rsidRDefault="008F6B9A" w:rsidP="008F6B9A">
      <w:pPr>
        <w:spacing w:before="120" w:after="120"/>
        <w:jc w:val="both"/>
      </w:pPr>
      <w:r w:rsidRPr="00781A5F">
        <w:t>Ohlášení pracovního úrazu místně příslušnému Oblastnímu inspektorátu práce (OIP) podléhá smrtelný pracovní úraz a pracovní úraz s hospitalizací delší než 5 dnů (tzv. závažný pracovní úraz) nebo lze-li vzhledem k povaze zranění takovou dobu hospitalizace předpokládat. Vyhotovit záznam o úrazu (vč. případného hlášení změn) a zaslat jej na místně příslušný OIP je zaměstnavatel povinen i u pracovního úrazu s pracovní neschopností delší než 3 dny. V závislosti na druhu a okolnostech vzniku pracovního úrazu se pracovní úraz ohlašuje a záznam o něm se zasílá ještě na další stanovené orgány a instituce. Evidenci všech úrazů, tedy i takových, kterými nebyla způsobena pracovní neschopnost nebo jimi byla způsobena pracovní neschopnost nepřesahující 3 kalendářní dny, je zaměstnavatel povinen vést v knize úrazů.</w:t>
      </w:r>
    </w:p>
    <w:p w14:paraId="773A003D" w14:textId="78EBAC2A" w:rsidR="008F6B9A" w:rsidRPr="00251BF8" w:rsidRDefault="008F6B9A" w:rsidP="008F6B9A">
      <w:pPr>
        <w:spacing w:before="120" w:after="120"/>
        <w:jc w:val="both"/>
        <w:rPr>
          <w:rFonts w:cs="Arial"/>
        </w:rPr>
      </w:pPr>
      <w:r w:rsidRPr="00251BF8">
        <w:rPr>
          <w:rFonts w:cs="Arial"/>
        </w:rPr>
        <w:t>V </w:t>
      </w:r>
      <w:r w:rsidR="00087E71" w:rsidRPr="00251BF8">
        <w:rPr>
          <w:rFonts w:cs="Arial"/>
        </w:rPr>
        <w:t>roce</w:t>
      </w:r>
      <w:r w:rsidRPr="00251BF8">
        <w:rPr>
          <w:rFonts w:cs="Arial"/>
        </w:rPr>
        <w:t xml:space="preserve"> 2020 se i vlivem uzavření některých podniků a větší míry práce z domova událo nejméně pracovních úrazů za posledních 10 let. </w:t>
      </w:r>
      <w:r w:rsidRPr="00251BF8">
        <w:rPr>
          <w:bCs/>
        </w:rPr>
        <w:t>Absolutní počet nově hlášených případů dočasné pracovní neschopnosti (DPN)</w:t>
      </w:r>
      <w:r w:rsidRPr="00251BF8">
        <w:rPr>
          <w:rFonts w:cs="Arial"/>
        </w:rPr>
        <w:t xml:space="preserve"> pro pracovní úraz po propadu v </w:t>
      </w:r>
      <w:r w:rsidR="00087E71" w:rsidRPr="00251BF8">
        <w:rPr>
          <w:rFonts w:cs="Arial"/>
        </w:rPr>
        <w:t>roce</w:t>
      </w:r>
      <w:r w:rsidRPr="00251BF8">
        <w:rPr>
          <w:rFonts w:cs="Arial"/>
        </w:rPr>
        <w:t xml:space="preserve"> 2020 vzrostl z</w:t>
      </w:r>
      <w:r w:rsidR="00087E71" w:rsidRPr="00251BF8">
        <w:rPr>
          <w:rFonts w:cs="Arial"/>
        </w:rPr>
        <w:t>e 41 358</w:t>
      </w:r>
      <w:r w:rsidRPr="00251BF8">
        <w:rPr>
          <w:rFonts w:cs="Arial"/>
        </w:rPr>
        <w:t xml:space="preserve"> případů na </w:t>
      </w:r>
      <w:r w:rsidR="00087E71" w:rsidRPr="00251BF8">
        <w:rPr>
          <w:rFonts w:cs="Arial"/>
        </w:rPr>
        <w:t>44 933</w:t>
      </w:r>
      <w:r w:rsidRPr="00251BF8">
        <w:rPr>
          <w:rFonts w:cs="Arial"/>
        </w:rPr>
        <w:t xml:space="preserve"> případů v </w:t>
      </w:r>
      <w:r w:rsidR="00087E71" w:rsidRPr="00251BF8">
        <w:rPr>
          <w:rFonts w:cs="Arial"/>
        </w:rPr>
        <w:t>roce</w:t>
      </w:r>
      <w:r w:rsidRPr="00251BF8">
        <w:rPr>
          <w:rFonts w:cs="Arial"/>
        </w:rPr>
        <w:t xml:space="preserve"> 2021 (tj. o </w:t>
      </w:r>
      <w:r w:rsidR="00087E71" w:rsidRPr="00251BF8">
        <w:rPr>
          <w:rFonts w:cs="Arial"/>
        </w:rPr>
        <w:t>8</w:t>
      </w:r>
      <w:r w:rsidR="00DD5A0D" w:rsidRPr="00251BF8">
        <w:rPr>
          <w:rFonts w:cs="Arial"/>
        </w:rPr>
        <w:t xml:space="preserve"> </w:t>
      </w:r>
      <w:r w:rsidRPr="00251BF8">
        <w:rPr>
          <w:rFonts w:cs="Arial"/>
        </w:rPr>
        <w:t>%) a vrátil se tak na hodnoty z období před pandemií. Od té doby se v </w:t>
      </w:r>
      <w:r w:rsidR="00087E71" w:rsidRPr="00251BF8">
        <w:rPr>
          <w:rFonts w:cs="Arial"/>
        </w:rPr>
        <w:t>roce</w:t>
      </w:r>
      <w:r w:rsidRPr="00251BF8">
        <w:rPr>
          <w:rFonts w:cs="Arial"/>
        </w:rPr>
        <w:t xml:space="preserve"> 2022 i 2023 počet mírně snižoval na </w:t>
      </w:r>
      <w:r w:rsidR="00087E71" w:rsidRPr="00251BF8">
        <w:rPr>
          <w:rFonts w:cs="Arial"/>
        </w:rPr>
        <w:t>43 476</w:t>
      </w:r>
      <w:r w:rsidRPr="00251BF8">
        <w:rPr>
          <w:rFonts w:cs="Arial"/>
        </w:rPr>
        <w:t xml:space="preserve"> pracovních úrazů </w:t>
      </w:r>
      <w:r w:rsidR="00F27218">
        <w:rPr>
          <w:rFonts w:cs="Arial"/>
        </w:rPr>
        <w:t xml:space="preserve">s pracovní neschopností </w:t>
      </w:r>
      <w:r w:rsidRPr="00251BF8">
        <w:rPr>
          <w:rFonts w:cs="Arial"/>
        </w:rPr>
        <w:t>v </w:t>
      </w:r>
      <w:r w:rsidR="00087E71" w:rsidRPr="00251BF8">
        <w:rPr>
          <w:rFonts w:cs="Arial"/>
        </w:rPr>
        <w:t>roce</w:t>
      </w:r>
      <w:r w:rsidRPr="00251BF8">
        <w:rPr>
          <w:rFonts w:cs="Arial"/>
        </w:rPr>
        <w:t xml:space="preserve"> 2023. Z tohoto celkového počtu bylo </w:t>
      </w:r>
      <w:r w:rsidR="00087E71" w:rsidRPr="00251BF8">
        <w:rPr>
          <w:rFonts w:cs="Arial"/>
        </w:rPr>
        <w:t xml:space="preserve">42 500 případů </w:t>
      </w:r>
      <w:r w:rsidR="00087E71" w:rsidRPr="00251BF8">
        <w:rPr>
          <w:rFonts w:cs="Arial"/>
        </w:rPr>
        <w:lastRenderedPageBreak/>
        <w:t>(98</w:t>
      </w:r>
      <w:r w:rsidRPr="00251BF8">
        <w:rPr>
          <w:rFonts w:cs="Arial"/>
        </w:rPr>
        <w:t xml:space="preserve"> %) </w:t>
      </w:r>
      <w:r w:rsidRPr="00251BF8">
        <w:rPr>
          <w:rFonts w:cs="Arial"/>
          <w:b/>
        </w:rPr>
        <w:t>pracovních úrazů s pracovní neschopností delší než 3 kalendářní dny</w:t>
      </w:r>
      <w:r w:rsidRPr="00251BF8">
        <w:rPr>
          <w:rFonts w:cs="Arial"/>
        </w:rPr>
        <w:t xml:space="preserve"> (tedy těch, které podléhají povinnosti vyhotovit záznam o úrazu a zaslat jej OIP).</w:t>
      </w:r>
    </w:p>
    <w:p w14:paraId="07281994" w14:textId="14B85D6C" w:rsidR="00C8357C" w:rsidRPr="00251BF8" w:rsidRDefault="008F6B9A" w:rsidP="008F6B9A">
      <w:pPr>
        <w:spacing w:before="120" w:after="120"/>
        <w:jc w:val="both"/>
      </w:pPr>
      <w:r w:rsidRPr="00251BF8">
        <w:rPr>
          <w:rFonts w:cs="Arial"/>
        </w:rPr>
        <w:t xml:space="preserve">V pracovní úrazovosti je dlouhodobě patrný rozdíl mezi </w:t>
      </w:r>
      <w:r w:rsidRPr="00251BF8">
        <w:rPr>
          <w:rFonts w:cs="Arial"/>
          <w:b/>
        </w:rPr>
        <w:t>pohlavími</w:t>
      </w:r>
      <w:r w:rsidRPr="00251BF8">
        <w:rPr>
          <w:rFonts w:cs="Arial"/>
        </w:rPr>
        <w:t>, muži zde výrazně dominují. Z celkového počtu pracovních úrazů připadaly v </w:t>
      </w:r>
      <w:r w:rsidR="00087E71" w:rsidRPr="00251BF8">
        <w:rPr>
          <w:rFonts w:cs="Arial"/>
        </w:rPr>
        <w:t>roce</w:t>
      </w:r>
      <w:r w:rsidRPr="00251BF8">
        <w:rPr>
          <w:rFonts w:cs="Arial"/>
        </w:rPr>
        <w:t xml:space="preserve"> 2023 na muže dvě třetiny (66 %), což je </w:t>
      </w:r>
      <w:r w:rsidRPr="00251BF8">
        <w:rPr>
          <w:rFonts w:cs="Arial"/>
          <w:b/>
        </w:rPr>
        <w:t>dáno</w:t>
      </w:r>
      <w:r w:rsidRPr="00251BF8">
        <w:rPr>
          <w:rFonts w:cs="Arial"/>
        </w:rPr>
        <w:t xml:space="preserve"> především</w:t>
      </w:r>
      <w:r w:rsidRPr="00251BF8">
        <w:rPr>
          <w:rFonts w:cs="Arial"/>
          <w:b/>
        </w:rPr>
        <w:t> odlišnou strukturou zaměstnanosti žen a mužů</w:t>
      </w:r>
      <w:r w:rsidRPr="00251BF8">
        <w:rPr>
          <w:rFonts w:cs="Arial"/>
        </w:rPr>
        <w:t xml:space="preserve">. V odvětvích rizikovějších na pracovní úrazy jako je např. </w:t>
      </w:r>
      <w:r w:rsidRPr="00251BF8">
        <w:t>T</w:t>
      </w:r>
      <w:r w:rsidRPr="00251BF8">
        <w:rPr>
          <w:rFonts w:cs="Arial"/>
        </w:rPr>
        <w:t>ěžba a dobývání, Zpracovatelský průmysl, S</w:t>
      </w:r>
      <w:r w:rsidRPr="00251BF8">
        <w:t xml:space="preserve">tavebnictví, Doprava a skladování </w:t>
      </w:r>
      <w:r w:rsidRPr="00251BF8">
        <w:rPr>
          <w:bCs/>
        </w:rPr>
        <w:t xml:space="preserve">či Zemědělství, lesnictví, rybářství </w:t>
      </w:r>
      <w:r w:rsidRPr="00251BF8">
        <w:t>mezi zaměstnan</w:t>
      </w:r>
      <w:r w:rsidR="002B6CB3">
        <w:t>ými</w:t>
      </w:r>
      <w:r w:rsidRPr="00251BF8">
        <w:t xml:space="preserve"> převládají muži. Ještě výraznější rozdíl hodnot mezi pohlavími lze vidět u smrtelných pracovních úrazů. V </w:t>
      </w:r>
      <w:r w:rsidR="00087E71" w:rsidRPr="00251BF8">
        <w:t>roce</w:t>
      </w:r>
      <w:r w:rsidR="00DD5A0D" w:rsidRPr="00251BF8">
        <w:t xml:space="preserve"> 2023 se z celkových 77 smrtelných pracovních úrazů</w:t>
      </w:r>
      <w:r w:rsidRPr="00251BF8">
        <w:t xml:space="preserve"> </w:t>
      </w:r>
      <w:r w:rsidR="00C8357C" w:rsidRPr="00251BF8">
        <w:t>73</w:t>
      </w:r>
      <w:r w:rsidR="00087E71" w:rsidRPr="00251BF8">
        <w:t xml:space="preserve"> </w:t>
      </w:r>
      <w:r w:rsidR="00DD5A0D" w:rsidRPr="00251BF8">
        <w:t xml:space="preserve">přihodilo mužům. </w:t>
      </w:r>
      <w:r w:rsidRPr="00251BF8">
        <w:t xml:space="preserve">Oproti </w:t>
      </w:r>
      <w:r w:rsidR="00087E71" w:rsidRPr="00251BF8">
        <w:t>předchozímu roku</w:t>
      </w:r>
      <w:r w:rsidRPr="00251BF8">
        <w:t xml:space="preserve"> byl počet smrtelných pracovních úrazů o </w:t>
      </w:r>
      <w:r w:rsidR="00C8357C" w:rsidRPr="00251BF8">
        <w:t>11 nižší</w:t>
      </w:r>
      <w:r w:rsidRPr="00251BF8">
        <w:t xml:space="preserve">, tedy již zmíněných </w:t>
      </w:r>
      <w:r w:rsidR="00C8357C" w:rsidRPr="00251BF8">
        <w:t>77</w:t>
      </w:r>
      <w:r w:rsidRPr="00251BF8">
        <w:t xml:space="preserve">. To je o </w:t>
      </w:r>
      <w:r w:rsidR="00C8357C" w:rsidRPr="00251BF8">
        <w:t>54</w:t>
      </w:r>
      <w:r w:rsidRPr="00251BF8">
        <w:t xml:space="preserve"> méně než </w:t>
      </w:r>
      <w:r w:rsidR="00087E71" w:rsidRPr="00251BF8">
        <w:t>v roce</w:t>
      </w:r>
      <w:r w:rsidRPr="00251BF8">
        <w:t xml:space="preserve"> 20</w:t>
      </w:r>
      <w:r w:rsidR="00C8357C" w:rsidRPr="00251BF8">
        <w:t>15</w:t>
      </w:r>
      <w:r w:rsidRPr="00251BF8">
        <w:t>, kdy došlo vůbec k nejvíce smrtelným pracovním úrazům za posledních 10 let.</w:t>
      </w:r>
      <w:r w:rsidR="00344573">
        <w:t xml:space="preserve"> Rovněž se snížil počet závažných pracovních úrazů, které si vyžádaly alespoň 5denní hospitalizaci. Zatímco v roce 2013 se jejich počet blížil 1 400, v roce 2023 jich bylo zaznamenáno téměř o polovinu (46 %) méně, konkrétně 732. Dá se předpokládat</w:t>
      </w:r>
      <w:r w:rsidR="00425613">
        <w:t xml:space="preserve"> souvislost s preferováním ambulantní léčby (tam</w:t>
      </w:r>
      <w:r w:rsidR="00047B6D">
        <w:t>,</w:t>
      </w:r>
      <w:r w:rsidR="00425613">
        <w:t xml:space="preserve"> kde to povaha úrazu dovolí) </w:t>
      </w:r>
      <w:r w:rsidR="002B6CB3">
        <w:t>před</w:t>
      </w:r>
      <w:r w:rsidR="00425613">
        <w:t xml:space="preserve"> dlouhodobou hospitalizací.</w:t>
      </w:r>
    </w:p>
    <w:p w14:paraId="0DC3D105" w14:textId="1894789A" w:rsidR="00C8357C" w:rsidRPr="00251BF8" w:rsidRDefault="00C8357C" w:rsidP="00C8357C">
      <w:pPr>
        <w:spacing w:before="120" w:after="120"/>
        <w:jc w:val="both"/>
        <w:rPr>
          <w:rFonts w:cs="Arial"/>
        </w:rPr>
      </w:pPr>
      <w:r w:rsidRPr="00251BF8">
        <w:rPr>
          <w:rFonts w:cs="Arial"/>
        </w:rPr>
        <w:t xml:space="preserve">Nadále </w:t>
      </w:r>
      <w:r w:rsidR="002B6CB3">
        <w:rPr>
          <w:rFonts w:cs="Arial"/>
        </w:rPr>
        <w:t xml:space="preserve">bude </w:t>
      </w:r>
      <w:r w:rsidRPr="00251BF8">
        <w:rPr>
          <w:rFonts w:cs="Arial"/>
        </w:rPr>
        <w:t xml:space="preserve">v této kapitole </w:t>
      </w:r>
      <w:r w:rsidRPr="002B6CB3">
        <w:rPr>
          <w:rFonts w:cs="Arial"/>
        </w:rPr>
        <w:t>věnov</w:t>
      </w:r>
      <w:r w:rsidR="002B6CB3" w:rsidRPr="002B6CB3">
        <w:rPr>
          <w:rFonts w:cs="Arial"/>
        </w:rPr>
        <w:t>ána pozornost</w:t>
      </w:r>
      <w:r w:rsidRPr="00251BF8">
        <w:rPr>
          <w:rFonts w:cs="Arial"/>
          <w:b/>
        </w:rPr>
        <w:t xml:space="preserve"> pracovním úrazům s pracovní neschopností delší než 3 kalendářní dny</w:t>
      </w:r>
      <w:r w:rsidRPr="00251BF8">
        <w:rPr>
          <w:rFonts w:cs="Arial"/>
        </w:rPr>
        <w:t>.</w:t>
      </w:r>
    </w:p>
    <w:p w14:paraId="313F40F0" w14:textId="7C7E1FE2" w:rsidR="00C8357C" w:rsidRDefault="00C8357C" w:rsidP="00C8357C">
      <w:pPr>
        <w:spacing w:before="120" w:after="120"/>
        <w:jc w:val="both"/>
      </w:pPr>
      <w:r w:rsidRPr="00251BF8">
        <w:rPr>
          <w:rFonts w:cs="Arial"/>
          <w:bCs/>
          <w:color w:val="000000"/>
          <w:szCs w:val="20"/>
        </w:rPr>
        <w:t xml:space="preserve">V absolutním vyjádření </w:t>
      </w:r>
      <w:r w:rsidRPr="00251BF8">
        <w:rPr>
          <w:rFonts w:cs="Arial"/>
          <w:b/>
          <w:bCs/>
          <w:color w:val="000000"/>
          <w:szCs w:val="20"/>
        </w:rPr>
        <w:t>nejvíce pracovních úrazů</w:t>
      </w:r>
      <w:r w:rsidRPr="00251BF8">
        <w:rPr>
          <w:rFonts w:cs="Arial"/>
          <w:bCs/>
          <w:color w:val="000000"/>
          <w:szCs w:val="20"/>
        </w:rPr>
        <w:t xml:space="preserve"> s DPN delší než 3 dny se v roce 2023 událo </w:t>
      </w:r>
      <w:r w:rsidRPr="00251BF8">
        <w:rPr>
          <w:rFonts w:cs="Arial"/>
          <w:b/>
          <w:bCs/>
          <w:color w:val="000000"/>
          <w:szCs w:val="20"/>
        </w:rPr>
        <w:t>ve Zpracovatelském průmyslu</w:t>
      </w:r>
      <w:r w:rsidRPr="00251BF8">
        <w:rPr>
          <w:rFonts w:cs="Arial"/>
          <w:bCs/>
          <w:color w:val="000000"/>
          <w:szCs w:val="20"/>
        </w:rPr>
        <w:t xml:space="preserve"> (15 650 případů), následují odvětví Velkoobchod a maloobchod, opravy a údržba motorových vozidel (5 069) a Doprava a skladování (4 119). Pokud však zohledníme zaměstnanost v jednotlivých odvětvích a míru zastoupení jednotlivých sekcí, je vhodné použít </w:t>
      </w:r>
      <w:r w:rsidRPr="00251BF8">
        <w:rPr>
          <w:rFonts w:cs="Arial"/>
          <w:b/>
          <w:bCs/>
          <w:color w:val="000000"/>
          <w:szCs w:val="20"/>
        </w:rPr>
        <w:t>relativní ukazatel</w:t>
      </w:r>
      <w:r w:rsidRPr="00251BF8">
        <w:rPr>
          <w:rFonts w:cs="Arial"/>
          <w:bCs/>
          <w:color w:val="000000"/>
          <w:szCs w:val="20"/>
        </w:rPr>
        <w:t xml:space="preserve"> vztažený na 100 tis. pojištěnců. </w:t>
      </w:r>
      <w:r w:rsidRPr="00251BF8">
        <w:rPr>
          <w:rFonts w:cs="Arial"/>
          <w:b/>
          <w:bCs/>
          <w:color w:val="000000"/>
          <w:szCs w:val="20"/>
        </w:rPr>
        <w:t>Nejrizikovějším</w:t>
      </w:r>
      <w:r w:rsidRPr="00251BF8">
        <w:rPr>
          <w:rFonts w:cs="Arial"/>
          <w:bCs/>
          <w:color w:val="000000"/>
          <w:szCs w:val="20"/>
        </w:rPr>
        <w:t xml:space="preserve"> odvětvím je pak </w:t>
      </w:r>
      <w:r w:rsidRPr="00251BF8">
        <w:rPr>
          <w:rFonts w:cs="Arial"/>
          <w:b/>
          <w:bCs/>
          <w:color w:val="000000"/>
          <w:szCs w:val="20"/>
        </w:rPr>
        <w:t>Zemědělství, lesnictví, rybářství</w:t>
      </w:r>
      <w:r w:rsidRPr="00251BF8">
        <w:rPr>
          <w:rFonts w:cs="Arial"/>
          <w:bCs/>
          <w:color w:val="000000"/>
          <w:szCs w:val="20"/>
        </w:rPr>
        <w:t xml:space="preserve"> (</w:t>
      </w:r>
      <w:r w:rsidR="00F27218" w:rsidRPr="00251BF8">
        <w:rPr>
          <w:rFonts w:cs="Arial"/>
          <w:bCs/>
          <w:color w:val="000000"/>
          <w:szCs w:val="20"/>
        </w:rPr>
        <w:t>2</w:t>
      </w:r>
      <w:r w:rsidR="00F27218">
        <w:rPr>
          <w:rFonts w:cs="Arial"/>
          <w:bCs/>
          <w:color w:val="000000"/>
          <w:szCs w:val="20"/>
        </w:rPr>
        <w:t> </w:t>
      </w:r>
      <w:r w:rsidRPr="00251BF8">
        <w:rPr>
          <w:rFonts w:cs="Arial"/>
          <w:bCs/>
          <w:color w:val="000000"/>
          <w:szCs w:val="20"/>
        </w:rPr>
        <w:t>270 pracovních úrazů na 100 tis. pojištěnců), dále s odstupem odvětví Zásobování vodou, činnosti související s odpady a sanacemi (</w:t>
      </w:r>
      <w:r w:rsidR="00F27218" w:rsidRPr="00251BF8">
        <w:rPr>
          <w:rFonts w:cs="Arial"/>
          <w:bCs/>
          <w:color w:val="000000"/>
          <w:szCs w:val="20"/>
        </w:rPr>
        <w:t>1</w:t>
      </w:r>
      <w:r w:rsidR="00F27218">
        <w:rPr>
          <w:rFonts w:cs="Arial"/>
          <w:bCs/>
          <w:color w:val="000000"/>
          <w:szCs w:val="20"/>
        </w:rPr>
        <w:t> </w:t>
      </w:r>
      <w:r w:rsidRPr="00251BF8">
        <w:rPr>
          <w:rFonts w:cs="Arial"/>
          <w:bCs/>
          <w:color w:val="000000"/>
          <w:szCs w:val="20"/>
        </w:rPr>
        <w:t>966), Těžba a dobývání (</w:t>
      </w:r>
      <w:r w:rsidR="00F27218" w:rsidRPr="00251BF8">
        <w:rPr>
          <w:rFonts w:cs="Arial"/>
          <w:bCs/>
          <w:color w:val="000000"/>
          <w:szCs w:val="20"/>
        </w:rPr>
        <w:t>1</w:t>
      </w:r>
      <w:r w:rsidR="00F27218">
        <w:rPr>
          <w:rFonts w:cs="Arial"/>
          <w:bCs/>
          <w:color w:val="000000"/>
          <w:szCs w:val="20"/>
        </w:rPr>
        <w:t> </w:t>
      </w:r>
      <w:r w:rsidRPr="00251BF8">
        <w:rPr>
          <w:rFonts w:cs="Arial"/>
          <w:bCs/>
          <w:color w:val="000000"/>
          <w:szCs w:val="20"/>
        </w:rPr>
        <w:t>779), Doprava a skladování (</w:t>
      </w:r>
      <w:r w:rsidR="00F27218" w:rsidRPr="00251BF8">
        <w:rPr>
          <w:rFonts w:cs="Arial"/>
          <w:bCs/>
          <w:color w:val="000000"/>
          <w:szCs w:val="20"/>
        </w:rPr>
        <w:t>1</w:t>
      </w:r>
      <w:r w:rsidR="00F27218">
        <w:rPr>
          <w:rFonts w:cs="Arial"/>
          <w:bCs/>
          <w:color w:val="000000"/>
          <w:szCs w:val="20"/>
        </w:rPr>
        <w:t> </w:t>
      </w:r>
      <w:r w:rsidRPr="00251BF8">
        <w:rPr>
          <w:rFonts w:cs="Arial"/>
          <w:bCs/>
          <w:color w:val="000000"/>
          <w:szCs w:val="20"/>
        </w:rPr>
        <w:t>402) a teprve poté následuje Zpracovatelský průmysl (1 329). Průměrně na 100 tis. nemocensky pojištěných připadalo 892 pracovních úrazů s pracovní neschopností delší než 3 dny. Nejméně rizikovými se jeví odvětví Peněžnictví a pojišťovnictví s 83 a Informační a komunikační činnosti s 90 pracovními úrazy, které si vyžádaly 3denní a delší pracovní neschopnost, v přepočtu na 100 tis. pojištěnců.</w:t>
      </w:r>
    </w:p>
    <w:p w14:paraId="26EA5E59" w14:textId="49461C66" w:rsidR="008F6B9A" w:rsidRDefault="008F6B9A" w:rsidP="008F6B9A">
      <w:pPr>
        <w:spacing w:after="0" w:line="240" w:lineRule="auto"/>
        <w:rPr>
          <w:rFonts w:cs="Arial"/>
          <w:b/>
          <w:bCs/>
          <w:color w:val="000000"/>
          <w:szCs w:val="20"/>
        </w:rPr>
      </w:pPr>
      <w:r w:rsidRPr="008F6B9A">
        <w:rPr>
          <w:rFonts w:cs="Arial"/>
          <w:b/>
          <w:bCs/>
          <w:color w:val="000000"/>
          <w:szCs w:val="20"/>
        </w:rPr>
        <w:t>Tab. 5.1: Pracovní úrazy podle závažnosti a pohlaví, 2013–2023</w:t>
      </w:r>
    </w:p>
    <w:tbl>
      <w:tblPr>
        <w:tblW w:w="9589" w:type="dxa"/>
        <w:tblCellMar>
          <w:left w:w="70" w:type="dxa"/>
          <w:right w:w="70" w:type="dxa"/>
        </w:tblCellMar>
        <w:tblLook w:val="04A0" w:firstRow="1" w:lastRow="0" w:firstColumn="1" w:lastColumn="0" w:noHBand="0" w:noVBand="1"/>
      </w:tblPr>
      <w:tblGrid>
        <w:gridCol w:w="1077"/>
        <w:gridCol w:w="710"/>
        <w:gridCol w:w="709"/>
        <w:gridCol w:w="709"/>
        <w:gridCol w:w="710"/>
        <w:gridCol w:w="709"/>
        <w:gridCol w:w="709"/>
        <w:gridCol w:w="710"/>
        <w:gridCol w:w="709"/>
        <w:gridCol w:w="709"/>
        <w:gridCol w:w="710"/>
        <w:gridCol w:w="709"/>
        <w:gridCol w:w="709"/>
      </w:tblGrid>
      <w:tr w:rsidR="00087E71" w:rsidRPr="0032233B" w14:paraId="46135FE1" w14:textId="77777777" w:rsidTr="00B33613">
        <w:trPr>
          <w:trHeight w:val="920"/>
        </w:trPr>
        <w:tc>
          <w:tcPr>
            <w:tcW w:w="1077" w:type="dxa"/>
            <w:vMerge w:val="restart"/>
            <w:tcBorders>
              <w:top w:val="single" w:sz="4" w:space="0" w:color="auto"/>
              <w:left w:val="nil"/>
              <w:bottom w:val="single" w:sz="4" w:space="0" w:color="auto"/>
              <w:right w:val="single" w:sz="4" w:space="0" w:color="auto"/>
            </w:tcBorders>
            <w:shd w:val="clear" w:color="000000" w:fill="F5DADD"/>
            <w:vAlign w:val="center"/>
            <w:hideMark/>
          </w:tcPr>
          <w:p w14:paraId="30532188" w14:textId="0CFED25E" w:rsidR="00087E71" w:rsidRPr="0032233B" w:rsidRDefault="00087E71" w:rsidP="00B33613">
            <w:pPr>
              <w:spacing w:after="0" w:line="240" w:lineRule="auto"/>
              <w:jc w:val="center"/>
              <w:rPr>
                <w:rFonts w:cs="Arial"/>
                <w:color w:val="000000"/>
                <w:sz w:val="16"/>
                <w:szCs w:val="16"/>
              </w:rPr>
            </w:pPr>
            <w:r>
              <w:rPr>
                <w:rFonts w:cs="Arial"/>
                <w:color w:val="000000"/>
                <w:sz w:val="16"/>
                <w:szCs w:val="16"/>
              </w:rPr>
              <w:t>Rok</w:t>
            </w:r>
          </w:p>
        </w:tc>
        <w:tc>
          <w:tcPr>
            <w:tcW w:w="2128" w:type="dxa"/>
            <w:gridSpan w:val="3"/>
            <w:tcBorders>
              <w:top w:val="single" w:sz="4" w:space="0" w:color="auto"/>
              <w:left w:val="single" w:sz="4" w:space="0" w:color="auto"/>
              <w:right w:val="single" w:sz="4" w:space="0" w:color="000000"/>
            </w:tcBorders>
            <w:shd w:val="clear" w:color="000000" w:fill="F5DADD"/>
            <w:vAlign w:val="center"/>
            <w:hideMark/>
          </w:tcPr>
          <w:p w14:paraId="003A3853"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 xml:space="preserve">Počet pracovních úrazů </w:t>
            </w:r>
          </w:p>
          <w:p w14:paraId="548F7A6E"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 xml:space="preserve">s pracovní neschopností </w:t>
            </w:r>
          </w:p>
        </w:tc>
        <w:tc>
          <w:tcPr>
            <w:tcW w:w="2128" w:type="dxa"/>
            <w:gridSpan w:val="3"/>
            <w:tcBorders>
              <w:top w:val="single" w:sz="4" w:space="0" w:color="auto"/>
              <w:left w:val="single" w:sz="4" w:space="0" w:color="auto"/>
              <w:right w:val="single" w:sz="4" w:space="0" w:color="000000"/>
            </w:tcBorders>
            <w:shd w:val="clear" w:color="000000" w:fill="F5DADD"/>
            <w:vAlign w:val="center"/>
            <w:hideMark/>
          </w:tcPr>
          <w:p w14:paraId="1F58A33C"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 xml:space="preserve">Počet pracovních úrazů </w:t>
            </w:r>
          </w:p>
          <w:p w14:paraId="267AEB6C"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s pracovní neschopností delší než 3 dny</w:t>
            </w:r>
          </w:p>
        </w:tc>
        <w:tc>
          <w:tcPr>
            <w:tcW w:w="2128" w:type="dxa"/>
            <w:gridSpan w:val="3"/>
            <w:tcBorders>
              <w:top w:val="single" w:sz="4" w:space="0" w:color="auto"/>
              <w:left w:val="single" w:sz="4" w:space="0" w:color="auto"/>
              <w:right w:val="nil"/>
            </w:tcBorders>
            <w:shd w:val="clear" w:color="000000" w:fill="F5DADD"/>
            <w:vAlign w:val="center"/>
            <w:hideMark/>
          </w:tcPr>
          <w:p w14:paraId="492AF206" w14:textId="77777777" w:rsidR="00DD5A0D" w:rsidRPr="0032233B" w:rsidRDefault="00DD5A0D" w:rsidP="00DD5A0D">
            <w:pPr>
              <w:spacing w:after="0" w:line="240" w:lineRule="auto"/>
              <w:jc w:val="center"/>
              <w:rPr>
                <w:rFonts w:cs="Arial"/>
                <w:sz w:val="16"/>
                <w:szCs w:val="16"/>
              </w:rPr>
            </w:pPr>
            <w:r w:rsidRPr="0032233B">
              <w:rPr>
                <w:rFonts w:cs="Arial"/>
                <w:sz w:val="16"/>
                <w:szCs w:val="16"/>
              </w:rPr>
              <w:t xml:space="preserve">Počet závažných pracovních úrazů </w:t>
            </w:r>
          </w:p>
          <w:p w14:paraId="54A651AB" w14:textId="0F93A8AC" w:rsidR="00087E71" w:rsidRPr="0032233B" w:rsidRDefault="00DD5A0D" w:rsidP="00DD5A0D">
            <w:pPr>
              <w:spacing w:after="0" w:line="240" w:lineRule="auto"/>
              <w:jc w:val="center"/>
              <w:rPr>
                <w:rFonts w:cs="Arial"/>
                <w:color w:val="000000"/>
                <w:sz w:val="16"/>
                <w:szCs w:val="16"/>
              </w:rPr>
            </w:pPr>
            <w:r w:rsidRPr="0032233B">
              <w:rPr>
                <w:rFonts w:cs="Arial"/>
                <w:sz w:val="16"/>
                <w:szCs w:val="16"/>
              </w:rPr>
              <w:t>s hospitalizací nad 5 dnů</w:t>
            </w:r>
          </w:p>
        </w:tc>
        <w:tc>
          <w:tcPr>
            <w:tcW w:w="2128" w:type="dxa"/>
            <w:gridSpan w:val="3"/>
            <w:tcBorders>
              <w:top w:val="single" w:sz="4" w:space="0" w:color="auto"/>
              <w:left w:val="single" w:sz="4" w:space="0" w:color="auto"/>
              <w:right w:val="nil"/>
            </w:tcBorders>
            <w:shd w:val="clear" w:color="000000" w:fill="F5DADD"/>
            <w:vAlign w:val="center"/>
          </w:tcPr>
          <w:p w14:paraId="60419D7B" w14:textId="1C0BB064" w:rsidR="00087E71" w:rsidRPr="0032233B" w:rsidRDefault="00DD5A0D" w:rsidP="00B33613">
            <w:pPr>
              <w:spacing w:after="0" w:line="240" w:lineRule="auto"/>
              <w:jc w:val="center"/>
              <w:rPr>
                <w:rFonts w:cs="Arial"/>
                <w:sz w:val="16"/>
                <w:szCs w:val="16"/>
              </w:rPr>
            </w:pPr>
            <w:r w:rsidRPr="0032233B">
              <w:rPr>
                <w:rFonts w:cs="Arial"/>
                <w:color w:val="000000"/>
                <w:sz w:val="16"/>
                <w:szCs w:val="16"/>
              </w:rPr>
              <w:t>Počet smrtelných pracovních úrazů</w:t>
            </w:r>
          </w:p>
          <w:p w14:paraId="50436F58" w14:textId="77777777" w:rsidR="00087E71" w:rsidRPr="0032233B" w:rsidRDefault="00087E71" w:rsidP="00B33613">
            <w:pPr>
              <w:spacing w:after="0" w:line="240" w:lineRule="auto"/>
              <w:jc w:val="center"/>
              <w:rPr>
                <w:rFonts w:cs="Arial"/>
                <w:sz w:val="16"/>
                <w:szCs w:val="16"/>
              </w:rPr>
            </w:pPr>
          </w:p>
        </w:tc>
      </w:tr>
      <w:tr w:rsidR="00087E71" w:rsidRPr="0032233B" w14:paraId="6CED73D6" w14:textId="77777777" w:rsidTr="00B33613">
        <w:trPr>
          <w:trHeight w:val="300"/>
        </w:trPr>
        <w:tc>
          <w:tcPr>
            <w:tcW w:w="1077" w:type="dxa"/>
            <w:vMerge/>
            <w:tcBorders>
              <w:top w:val="single" w:sz="4" w:space="0" w:color="auto"/>
              <w:left w:val="nil"/>
              <w:bottom w:val="single" w:sz="4" w:space="0" w:color="auto"/>
              <w:right w:val="single" w:sz="4" w:space="0" w:color="auto"/>
            </w:tcBorders>
            <w:vAlign w:val="center"/>
            <w:hideMark/>
          </w:tcPr>
          <w:p w14:paraId="70521D91" w14:textId="77777777" w:rsidR="00087E71" w:rsidRPr="0032233B" w:rsidRDefault="00087E71" w:rsidP="00B33613">
            <w:pPr>
              <w:spacing w:after="0" w:line="240" w:lineRule="auto"/>
              <w:rPr>
                <w:rFonts w:cs="Arial"/>
                <w:color w:val="000000"/>
                <w:sz w:val="16"/>
                <w:szCs w:val="16"/>
              </w:rPr>
            </w:pP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5DADD"/>
            <w:vAlign w:val="center"/>
            <w:hideMark/>
          </w:tcPr>
          <w:p w14:paraId="194533EC" w14:textId="77777777" w:rsidR="00087E71" w:rsidRPr="0032233B" w:rsidRDefault="00087E71" w:rsidP="00B33613">
            <w:pPr>
              <w:spacing w:after="0" w:line="240" w:lineRule="auto"/>
              <w:jc w:val="center"/>
              <w:rPr>
                <w:rFonts w:cs="Arial"/>
                <w:b/>
                <w:color w:val="000000"/>
                <w:sz w:val="16"/>
                <w:szCs w:val="16"/>
              </w:rPr>
            </w:pPr>
            <w:r w:rsidRPr="0032233B">
              <w:rPr>
                <w:rFonts w:cs="Arial"/>
                <w:b/>
                <w:color w:val="000000"/>
                <w:sz w:val="16"/>
                <w:szCs w:val="16"/>
              </w:rPr>
              <w:t>Celkem</w:t>
            </w:r>
          </w:p>
        </w:tc>
        <w:tc>
          <w:tcPr>
            <w:tcW w:w="1418" w:type="dxa"/>
            <w:gridSpan w:val="2"/>
            <w:tcBorders>
              <w:top w:val="single" w:sz="4" w:space="0" w:color="auto"/>
              <w:left w:val="nil"/>
              <w:bottom w:val="single" w:sz="4" w:space="0" w:color="auto"/>
              <w:right w:val="single" w:sz="4" w:space="0" w:color="auto"/>
            </w:tcBorders>
            <w:shd w:val="clear" w:color="000000" w:fill="F5DADD"/>
            <w:vAlign w:val="center"/>
            <w:hideMark/>
          </w:tcPr>
          <w:p w14:paraId="0EE59C1C"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podle pohlaví</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5DADD"/>
            <w:vAlign w:val="center"/>
            <w:hideMark/>
          </w:tcPr>
          <w:p w14:paraId="19A29A91" w14:textId="77777777" w:rsidR="00087E71" w:rsidRPr="0032233B" w:rsidRDefault="00087E71" w:rsidP="00B33613">
            <w:pPr>
              <w:spacing w:after="0" w:line="240" w:lineRule="auto"/>
              <w:jc w:val="center"/>
              <w:rPr>
                <w:rFonts w:cs="Arial"/>
                <w:b/>
                <w:color w:val="000000"/>
                <w:sz w:val="16"/>
                <w:szCs w:val="16"/>
              </w:rPr>
            </w:pPr>
            <w:r w:rsidRPr="0032233B">
              <w:rPr>
                <w:rFonts w:cs="Arial"/>
                <w:b/>
                <w:color w:val="000000"/>
                <w:sz w:val="16"/>
                <w:szCs w:val="16"/>
              </w:rPr>
              <w:t>Celkem</w:t>
            </w:r>
          </w:p>
        </w:tc>
        <w:tc>
          <w:tcPr>
            <w:tcW w:w="1418" w:type="dxa"/>
            <w:gridSpan w:val="2"/>
            <w:tcBorders>
              <w:top w:val="single" w:sz="4" w:space="0" w:color="auto"/>
              <w:left w:val="nil"/>
              <w:bottom w:val="single" w:sz="4" w:space="0" w:color="auto"/>
              <w:right w:val="single" w:sz="4" w:space="0" w:color="auto"/>
            </w:tcBorders>
            <w:shd w:val="clear" w:color="000000" w:fill="F5DADD"/>
            <w:vAlign w:val="center"/>
            <w:hideMark/>
          </w:tcPr>
          <w:p w14:paraId="0E106F97"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podle pohlaví</w:t>
            </w:r>
          </w:p>
        </w:tc>
        <w:tc>
          <w:tcPr>
            <w:tcW w:w="710" w:type="dxa"/>
            <w:vMerge w:val="restart"/>
            <w:tcBorders>
              <w:top w:val="single" w:sz="4" w:space="0" w:color="auto"/>
              <w:left w:val="single" w:sz="4" w:space="0" w:color="auto"/>
              <w:right w:val="single" w:sz="4" w:space="0" w:color="auto"/>
            </w:tcBorders>
            <w:shd w:val="clear" w:color="000000" w:fill="F5DADD"/>
            <w:vAlign w:val="center"/>
            <w:hideMark/>
          </w:tcPr>
          <w:p w14:paraId="2795AF33" w14:textId="77777777" w:rsidR="00087E71" w:rsidRPr="0032233B" w:rsidRDefault="00087E71" w:rsidP="00B33613">
            <w:pPr>
              <w:spacing w:after="0" w:line="240" w:lineRule="auto"/>
              <w:jc w:val="center"/>
              <w:rPr>
                <w:rFonts w:cs="Arial"/>
                <w:b/>
                <w:color w:val="000000"/>
                <w:sz w:val="16"/>
                <w:szCs w:val="16"/>
              </w:rPr>
            </w:pPr>
            <w:r w:rsidRPr="0032233B">
              <w:rPr>
                <w:rFonts w:cs="Arial"/>
                <w:b/>
                <w:color w:val="000000"/>
                <w:sz w:val="16"/>
                <w:szCs w:val="16"/>
              </w:rPr>
              <w:t>Celkem</w:t>
            </w:r>
          </w:p>
        </w:tc>
        <w:tc>
          <w:tcPr>
            <w:tcW w:w="1418" w:type="dxa"/>
            <w:gridSpan w:val="2"/>
            <w:tcBorders>
              <w:top w:val="single" w:sz="4" w:space="0" w:color="auto"/>
              <w:left w:val="nil"/>
              <w:bottom w:val="single" w:sz="4" w:space="0" w:color="auto"/>
              <w:right w:val="single" w:sz="4" w:space="0" w:color="auto"/>
            </w:tcBorders>
            <w:shd w:val="clear" w:color="000000" w:fill="F5DADD"/>
            <w:vAlign w:val="center"/>
            <w:hideMark/>
          </w:tcPr>
          <w:p w14:paraId="346F0BF9"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podle pohlaví</w:t>
            </w:r>
          </w:p>
        </w:tc>
        <w:tc>
          <w:tcPr>
            <w:tcW w:w="710" w:type="dxa"/>
            <w:vMerge w:val="restart"/>
            <w:tcBorders>
              <w:top w:val="single" w:sz="4" w:space="0" w:color="auto"/>
              <w:left w:val="single" w:sz="4" w:space="0" w:color="auto"/>
              <w:right w:val="single" w:sz="4" w:space="0" w:color="auto"/>
            </w:tcBorders>
            <w:shd w:val="clear" w:color="000000" w:fill="F5DADD"/>
            <w:vAlign w:val="center"/>
          </w:tcPr>
          <w:p w14:paraId="232B1E22" w14:textId="77777777" w:rsidR="00087E71" w:rsidRPr="0032233B" w:rsidRDefault="00087E71" w:rsidP="00B33613">
            <w:pPr>
              <w:spacing w:after="0" w:line="240" w:lineRule="auto"/>
              <w:jc w:val="center"/>
              <w:rPr>
                <w:rFonts w:cs="Arial"/>
                <w:b/>
                <w:color w:val="000000"/>
                <w:sz w:val="16"/>
                <w:szCs w:val="16"/>
              </w:rPr>
            </w:pPr>
            <w:r w:rsidRPr="0032233B">
              <w:rPr>
                <w:rFonts w:cs="Arial"/>
                <w:b/>
                <w:color w:val="000000"/>
                <w:sz w:val="16"/>
                <w:szCs w:val="16"/>
              </w:rPr>
              <w:t>Celkem</w:t>
            </w:r>
          </w:p>
        </w:tc>
        <w:tc>
          <w:tcPr>
            <w:tcW w:w="1418" w:type="dxa"/>
            <w:gridSpan w:val="2"/>
            <w:tcBorders>
              <w:top w:val="single" w:sz="4" w:space="0" w:color="auto"/>
              <w:left w:val="single" w:sz="4" w:space="0" w:color="auto"/>
              <w:bottom w:val="single" w:sz="4" w:space="0" w:color="auto"/>
            </w:tcBorders>
            <w:shd w:val="clear" w:color="000000" w:fill="F5DADD"/>
            <w:vAlign w:val="center"/>
          </w:tcPr>
          <w:p w14:paraId="482FCD8D"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podle pohlaví</w:t>
            </w:r>
          </w:p>
        </w:tc>
      </w:tr>
      <w:tr w:rsidR="00087E71" w:rsidRPr="0032233B" w14:paraId="05CA80C1" w14:textId="77777777" w:rsidTr="00B33613">
        <w:trPr>
          <w:trHeight w:val="300"/>
        </w:trPr>
        <w:tc>
          <w:tcPr>
            <w:tcW w:w="1077" w:type="dxa"/>
            <w:vMerge/>
            <w:tcBorders>
              <w:top w:val="single" w:sz="4" w:space="0" w:color="auto"/>
              <w:left w:val="nil"/>
              <w:bottom w:val="single" w:sz="4" w:space="0" w:color="auto"/>
              <w:right w:val="single" w:sz="4" w:space="0" w:color="auto"/>
            </w:tcBorders>
            <w:vAlign w:val="center"/>
            <w:hideMark/>
          </w:tcPr>
          <w:p w14:paraId="6C81BBDF" w14:textId="77777777" w:rsidR="00087E71" w:rsidRPr="0032233B" w:rsidRDefault="00087E71" w:rsidP="00B33613">
            <w:pPr>
              <w:spacing w:after="0" w:line="240" w:lineRule="auto"/>
              <w:rPr>
                <w:rFonts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8113FD7" w14:textId="77777777" w:rsidR="00087E71" w:rsidRPr="0032233B" w:rsidRDefault="00087E71" w:rsidP="00B33613">
            <w:pPr>
              <w:spacing w:after="0" w:line="240" w:lineRule="auto"/>
              <w:rPr>
                <w:rFonts w:cs="Arial"/>
                <w:color w:val="000000"/>
                <w:sz w:val="16"/>
                <w:szCs w:val="16"/>
              </w:rPr>
            </w:pPr>
          </w:p>
        </w:tc>
        <w:tc>
          <w:tcPr>
            <w:tcW w:w="709" w:type="dxa"/>
            <w:tcBorders>
              <w:top w:val="nil"/>
              <w:left w:val="nil"/>
              <w:bottom w:val="single" w:sz="4" w:space="0" w:color="auto"/>
              <w:right w:val="single" w:sz="4" w:space="0" w:color="auto"/>
            </w:tcBorders>
            <w:shd w:val="clear" w:color="000000" w:fill="F5DADD"/>
            <w:vAlign w:val="center"/>
            <w:hideMark/>
          </w:tcPr>
          <w:p w14:paraId="58CAEF40"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muži</w:t>
            </w:r>
          </w:p>
        </w:tc>
        <w:tc>
          <w:tcPr>
            <w:tcW w:w="709" w:type="dxa"/>
            <w:tcBorders>
              <w:top w:val="nil"/>
              <w:left w:val="nil"/>
              <w:bottom w:val="single" w:sz="4" w:space="0" w:color="auto"/>
              <w:right w:val="single" w:sz="4" w:space="0" w:color="auto"/>
            </w:tcBorders>
            <w:shd w:val="clear" w:color="000000" w:fill="F5DADD"/>
            <w:vAlign w:val="center"/>
            <w:hideMark/>
          </w:tcPr>
          <w:p w14:paraId="7C494369"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ženy</w:t>
            </w:r>
          </w:p>
        </w:tc>
        <w:tc>
          <w:tcPr>
            <w:tcW w:w="710" w:type="dxa"/>
            <w:vMerge/>
            <w:tcBorders>
              <w:left w:val="single" w:sz="4" w:space="0" w:color="auto"/>
              <w:bottom w:val="single" w:sz="4" w:space="0" w:color="auto"/>
              <w:right w:val="single" w:sz="4" w:space="0" w:color="auto"/>
            </w:tcBorders>
            <w:vAlign w:val="center"/>
            <w:hideMark/>
          </w:tcPr>
          <w:p w14:paraId="21AC1932" w14:textId="77777777" w:rsidR="00087E71" w:rsidRPr="0032233B" w:rsidRDefault="00087E71" w:rsidP="00B33613">
            <w:pPr>
              <w:spacing w:after="0" w:line="240" w:lineRule="auto"/>
              <w:rPr>
                <w:rFonts w:cs="Arial"/>
                <w:color w:val="000000"/>
                <w:sz w:val="16"/>
                <w:szCs w:val="16"/>
              </w:rPr>
            </w:pPr>
          </w:p>
        </w:tc>
        <w:tc>
          <w:tcPr>
            <w:tcW w:w="709" w:type="dxa"/>
            <w:tcBorders>
              <w:top w:val="nil"/>
              <w:left w:val="nil"/>
              <w:bottom w:val="single" w:sz="4" w:space="0" w:color="auto"/>
              <w:right w:val="single" w:sz="4" w:space="0" w:color="auto"/>
            </w:tcBorders>
            <w:shd w:val="clear" w:color="000000" w:fill="F5DADD"/>
            <w:vAlign w:val="center"/>
            <w:hideMark/>
          </w:tcPr>
          <w:p w14:paraId="624F44FD"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muži</w:t>
            </w:r>
          </w:p>
        </w:tc>
        <w:tc>
          <w:tcPr>
            <w:tcW w:w="709" w:type="dxa"/>
            <w:tcBorders>
              <w:top w:val="nil"/>
              <w:left w:val="nil"/>
              <w:bottom w:val="single" w:sz="4" w:space="0" w:color="auto"/>
              <w:right w:val="single" w:sz="4" w:space="0" w:color="auto"/>
            </w:tcBorders>
            <w:shd w:val="clear" w:color="000000" w:fill="F5DADD"/>
            <w:vAlign w:val="center"/>
            <w:hideMark/>
          </w:tcPr>
          <w:p w14:paraId="16169619"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ženy</w:t>
            </w:r>
          </w:p>
        </w:tc>
        <w:tc>
          <w:tcPr>
            <w:tcW w:w="710" w:type="dxa"/>
            <w:vMerge/>
            <w:tcBorders>
              <w:left w:val="single" w:sz="4" w:space="0" w:color="auto"/>
              <w:bottom w:val="single" w:sz="4" w:space="0" w:color="auto"/>
              <w:right w:val="single" w:sz="4" w:space="0" w:color="auto"/>
            </w:tcBorders>
            <w:vAlign w:val="center"/>
            <w:hideMark/>
          </w:tcPr>
          <w:p w14:paraId="7B88FE0B" w14:textId="77777777" w:rsidR="00087E71" w:rsidRPr="0032233B" w:rsidRDefault="00087E71" w:rsidP="00B33613">
            <w:pPr>
              <w:spacing w:after="0" w:line="240" w:lineRule="auto"/>
              <w:rPr>
                <w:rFonts w:cs="Arial"/>
                <w:color w:val="000000"/>
                <w:sz w:val="16"/>
                <w:szCs w:val="16"/>
              </w:rPr>
            </w:pPr>
          </w:p>
        </w:tc>
        <w:tc>
          <w:tcPr>
            <w:tcW w:w="709" w:type="dxa"/>
            <w:tcBorders>
              <w:top w:val="nil"/>
              <w:left w:val="nil"/>
              <w:bottom w:val="single" w:sz="4" w:space="0" w:color="auto"/>
              <w:right w:val="single" w:sz="4" w:space="0" w:color="auto"/>
            </w:tcBorders>
            <w:shd w:val="clear" w:color="000000" w:fill="F5DADD"/>
            <w:vAlign w:val="center"/>
            <w:hideMark/>
          </w:tcPr>
          <w:p w14:paraId="5186D857"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muži</w:t>
            </w:r>
          </w:p>
        </w:tc>
        <w:tc>
          <w:tcPr>
            <w:tcW w:w="709" w:type="dxa"/>
            <w:tcBorders>
              <w:top w:val="nil"/>
              <w:left w:val="nil"/>
              <w:bottom w:val="single" w:sz="4" w:space="0" w:color="auto"/>
              <w:right w:val="single" w:sz="4" w:space="0" w:color="auto"/>
            </w:tcBorders>
            <w:shd w:val="clear" w:color="000000" w:fill="F5DADD"/>
            <w:vAlign w:val="center"/>
            <w:hideMark/>
          </w:tcPr>
          <w:p w14:paraId="3D26749F"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ženy</w:t>
            </w:r>
          </w:p>
        </w:tc>
        <w:tc>
          <w:tcPr>
            <w:tcW w:w="710" w:type="dxa"/>
            <w:vMerge/>
            <w:tcBorders>
              <w:left w:val="single" w:sz="4" w:space="0" w:color="auto"/>
              <w:bottom w:val="single" w:sz="4" w:space="0" w:color="auto"/>
              <w:right w:val="single" w:sz="4" w:space="0" w:color="auto"/>
            </w:tcBorders>
            <w:shd w:val="clear" w:color="000000" w:fill="F5DADD"/>
          </w:tcPr>
          <w:p w14:paraId="0754CAA3" w14:textId="77777777" w:rsidR="00087E71" w:rsidRPr="0032233B" w:rsidRDefault="00087E71" w:rsidP="00B33613">
            <w:pPr>
              <w:spacing w:after="0" w:line="240" w:lineRule="auto"/>
              <w:jc w:val="center"/>
              <w:rPr>
                <w:rFonts w:cs="Arial"/>
                <w:color w:val="000000"/>
                <w:sz w:val="16"/>
                <w:szCs w:val="16"/>
              </w:rPr>
            </w:pPr>
          </w:p>
        </w:tc>
        <w:tc>
          <w:tcPr>
            <w:tcW w:w="709" w:type="dxa"/>
            <w:tcBorders>
              <w:top w:val="nil"/>
              <w:left w:val="single" w:sz="4" w:space="0" w:color="auto"/>
              <w:bottom w:val="single" w:sz="4" w:space="0" w:color="auto"/>
              <w:right w:val="single" w:sz="4" w:space="0" w:color="auto"/>
            </w:tcBorders>
            <w:shd w:val="clear" w:color="000000" w:fill="F5DADD"/>
            <w:vAlign w:val="center"/>
          </w:tcPr>
          <w:p w14:paraId="5AEE7EA5"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muži</w:t>
            </w:r>
          </w:p>
        </w:tc>
        <w:tc>
          <w:tcPr>
            <w:tcW w:w="709" w:type="dxa"/>
            <w:tcBorders>
              <w:top w:val="nil"/>
              <w:left w:val="single" w:sz="4" w:space="0" w:color="auto"/>
              <w:bottom w:val="single" w:sz="4" w:space="0" w:color="auto"/>
              <w:right w:val="nil"/>
            </w:tcBorders>
            <w:shd w:val="clear" w:color="000000" w:fill="F5DADD"/>
            <w:vAlign w:val="center"/>
          </w:tcPr>
          <w:p w14:paraId="0A7D58F6" w14:textId="77777777" w:rsidR="00087E71" w:rsidRPr="0032233B" w:rsidRDefault="00087E71" w:rsidP="00B33613">
            <w:pPr>
              <w:spacing w:after="0" w:line="240" w:lineRule="auto"/>
              <w:jc w:val="center"/>
              <w:rPr>
                <w:rFonts w:cs="Arial"/>
                <w:color w:val="000000"/>
                <w:sz w:val="16"/>
                <w:szCs w:val="16"/>
              </w:rPr>
            </w:pPr>
            <w:r w:rsidRPr="0032233B">
              <w:rPr>
                <w:rFonts w:cs="Arial"/>
                <w:color w:val="000000"/>
                <w:sz w:val="16"/>
                <w:szCs w:val="16"/>
              </w:rPr>
              <w:t>ženy</w:t>
            </w:r>
          </w:p>
        </w:tc>
      </w:tr>
      <w:tr w:rsidR="00087E71" w:rsidRPr="0032233B" w14:paraId="49DB2AB4" w14:textId="77777777" w:rsidTr="00087E71">
        <w:trPr>
          <w:trHeight w:val="300"/>
        </w:trPr>
        <w:tc>
          <w:tcPr>
            <w:tcW w:w="1077" w:type="dxa"/>
            <w:tcBorders>
              <w:top w:val="nil"/>
              <w:left w:val="nil"/>
              <w:bottom w:val="nil"/>
              <w:right w:val="single" w:sz="4" w:space="0" w:color="auto"/>
            </w:tcBorders>
            <w:shd w:val="clear" w:color="auto" w:fill="auto"/>
            <w:vAlign w:val="center"/>
            <w:hideMark/>
          </w:tcPr>
          <w:p w14:paraId="44BA261C" w14:textId="0BA55A98" w:rsidR="00087E71" w:rsidRPr="0032233B" w:rsidRDefault="00087E71" w:rsidP="00087E71">
            <w:pPr>
              <w:spacing w:after="0" w:line="240" w:lineRule="auto"/>
              <w:jc w:val="center"/>
              <w:rPr>
                <w:rFonts w:cs="Arial"/>
                <w:color w:val="000000"/>
                <w:sz w:val="16"/>
                <w:szCs w:val="16"/>
              </w:rPr>
            </w:pPr>
            <w:r>
              <w:rPr>
                <w:rFonts w:cs="Arial"/>
                <w:color w:val="000000"/>
                <w:sz w:val="16"/>
                <w:szCs w:val="16"/>
              </w:rPr>
              <w:t>2013</w:t>
            </w:r>
          </w:p>
        </w:tc>
        <w:tc>
          <w:tcPr>
            <w:tcW w:w="710" w:type="dxa"/>
            <w:tcBorders>
              <w:top w:val="nil"/>
              <w:left w:val="nil"/>
              <w:bottom w:val="nil"/>
              <w:right w:val="nil"/>
            </w:tcBorders>
            <w:shd w:val="clear" w:color="auto" w:fill="auto"/>
            <w:noWrap/>
            <w:vAlign w:val="center"/>
            <w:hideMark/>
          </w:tcPr>
          <w:p w14:paraId="3454CA47" w14:textId="1744932B" w:rsidR="00087E71" w:rsidRPr="0032233B" w:rsidRDefault="00087E71" w:rsidP="00087E71">
            <w:pPr>
              <w:spacing w:after="0" w:line="240" w:lineRule="auto"/>
              <w:jc w:val="right"/>
              <w:rPr>
                <w:rFonts w:cs="Arial"/>
                <w:color w:val="000000"/>
                <w:sz w:val="16"/>
                <w:szCs w:val="16"/>
              </w:rPr>
            </w:pPr>
            <w:r>
              <w:rPr>
                <w:rFonts w:cs="Arial"/>
                <w:color w:val="000000"/>
                <w:sz w:val="16"/>
                <w:szCs w:val="16"/>
              </w:rPr>
              <w:t>42 927</w:t>
            </w:r>
          </w:p>
        </w:tc>
        <w:tc>
          <w:tcPr>
            <w:tcW w:w="709" w:type="dxa"/>
            <w:tcBorders>
              <w:top w:val="nil"/>
              <w:left w:val="nil"/>
              <w:bottom w:val="nil"/>
              <w:right w:val="nil"/>
            </w:tcBorders>
            <w:shd w:val="clear" w:color="auto" w:fill="auto"/>
            <w:noWrap/>
            <w:vAlign w:val="center"/>
            <w:hideMark/>
          </w:tcPr>
          <w:p w14:paraId="33E0D1EC" w14:textId="5E680425" w:rsidR="00087E71" w:rsidRPr="0032233B" w:rsidRDefault="00087E71" w:rsidP="00087E71">
            <w:pPr>
              <w:spacing w:after="0" w:line="240" w:lineRule="auto"/>
              <w:jc w:val="right"/>
              <w:rPr>
                <w:rFonts w:cs="Arial"/>
                <w:color w:val="000000"/>
                <w:sz w:val="16"/>
                <w:szCs w:val="16"/>
              </w:rPr>
            </w:pPr>
            <w:r>
              <w:rPr>
                <w:rFonts w:cs="Arial"/>
                <w:color w:val="000000"/>
                <w:sz w:val="16"/>
                <w:szCs w:val="16"/>
              </w:rPr>
              <w:t>30 418</w:t>
            </w:r>
          </w:p>
        </w:tc>
        <w:tc>
          <w:tcPr>
            <w:tcW w:w="709" w:type="dxa"/>
            <w:tcBorders>
              <w:top w:val="nil"/>
              <w:left w:val="nil"/>
              <w:bottom w:val="nil"/>
              <w:right w:val="single" w:sz="4" w:space="0" w:color="auto"/>
            </w:tcBorders>
            <w:shd w:val="clear" w:color="auto" w:fill="auto"/>
            <w:noWrap/>
            <w:vAlign w:val="center"/>
            <w:hideMark/>
          </w:tcPr>
          <w:p w14:paraId="52E21330" w14:textId="13DEDFC3" w:rsidR="00087E71" w:rsidRPr="0032233B" w:rsidRDefault="00087E71" w:rsidP="00087E71">
            <w:pPr>
              <w:spacing w:after="0" w:line="240" w:lineRule="auto"/>
              <w:jc w:val="right"/>
              <w:rPr>
                <w:rFonts w:cs="Arial"/>
                <w:color w:val="000000"/>
                <w:sz w:val="16"/>
                <w:szCs w:val="16"/>
              </w:rPr>
            </w:pPr>
            <w:r>
              <w:rPr>
                <w:rFonts w:cs="Arial"/>
                <w:color w:val="000000"/>
                <w:sz w:val="16"/>
                <w:szCs w:val="16"/>
              </w:rPr>
              <w:t>12 509</w:t>
            </w:r>
          </w:p>
        </w:tc>
        <w:tc>
          <w:tcPr>
            <w:tcW w:w="710" w:type="dxa"/>
            <w:tcBorders>
              <w:top w:val="nil"/>
              <w:left w:val="nil"/>
              <w:bottom w:val="nil"/>
              <w:right w:val="nil"/>
            </w:tcBorders>
            <w:shd w:val="clear" w:color="auto" w:fill="auto"/>
            <w:noWrap/>
            <w:vAlign w:val="center"/>
            <w:hideMark/>
          </w:tcPr>
          <w:p w14:paraId="46070B14" w14:textId="36E214C6" w:rsidR="00087E71" w:rsidRPr="0032233B" w:rsidRDefault="00087E71" w:rsidP="00087E71">
            <w:pPr>
              <w:spacing w:after="0" w:line="240" w:lineRule="auto"/>
              <w:jc w:val="right"/>
              <w:rPr>
                <w:rFonts w:cs="Arial"/>
                <w:color w:val="000000"/>
                <w:sz w:val="16"/>
                <w:szCs w:val="16"/>
              </w:rPr>
            </w:pPr>
            <w:r>
              <w:rPr>
                <w:rFonts w:cs="Arial"/>
                <w:color w:val="000000"/>
                <w:sz w:val="16"/>
                <w:szCs w:val="16"/>
              </w:rPr>
              <w:t>42 355</w:t>
            </w:r>
          </w:p>
        </w:tc>
        <w:tc>
          <w:tcPr>
            <w:tcW w:w="709" w:type="dxa"/>
            <w:tcBorders>
              <w:top w:val="nil"/>
              <w:left w:val="nil"/>
              <w:bottom w:val="nil"/>
              <w:right w:val="nil"/>
            </w:tcBorders>
            <w:shd w:val="clear" w:color="auto" w:fill="auto"/>
            <w:vAlign w:val="center"/>
            <w:hideMark/>
          </w:tcPr>
          <w:p w14:paraId="1740D4A9" w14:textId="32D77C50" w:rsidR="00087E71" w:rsidRPr="0032233B" w:rsidRDefault="00087E71" w:rsidP="00087E71">
            <w:pPr>
              <w:spacing w:after="0" w:line="240" w:lineRule="auto"/>
              <w:jc w:val="right"/>
              <w:rPr>
                <w:rFonts w:cs="Arial"/>
                <w:color w:val="000000"/>
                <w:sz w:val="16"/>
                <w:szCs w:val="16"/>
              </w:rPr>
            </w:pPr>
            <w:r>
              <w:rPr>
                <w:rFonts w:cs="Arial"/>
                <w:color w:val="000000"/>
                <w:sz w:val="16"/>
                <w:szCs w:val="16"/>
              </w:rPr>
              <w:t>29 955</w:t>
            </w:r>
          </w:p>
        </w:tc>
        <w:tc>
          <w:tcPr>
            <w:tcW w:w="709" w:type="dxa"/>
            <w:tcBorders>
              <w:top w:val="nil"/>
              <w:left w:val="nil"/>
              <w:bottom w:val="nil"/>
              <w:right w:val="single" w:sz="4" w:space="0" w:color="auto"/>
            </w:tcBorders>
            <w:shd w:val="clear" w:color="auto" w:fill="auto"/>
            <w:vAlign w:val="center"/>
            <w:hideMark/>
          </w:tcPr>
          <w:p w14:paraId="2D2B1B6E" w14:textId="2693622A" w:rsidR="00087E71" w:rsidRPr="0032233B" w:rsidRDefault="00087E71" w:rsidP="00087E71">
            <w:pPr>
              <w:spacing w:after="0" w:line="240" w:lineRule="auto"/>
              <w:jc w:val="right"/>
              <w:rPr>
                <w:rFonts w:cs="Arial"/>
                <w:color w:val="000000"/>
                <w:sz w:val="16"/>
                <w:szCs w:val="16"/>
              </w:rPr>
            </w:pPr>
            <w:r>
              <w:rPr>
                <w:rFonts w:cs="Arial"/>
                <w:color w:val="000000"/>
                <w:sz w:val="16"/>
                <w:szCs w:val="16"/>
              </w:rPr>
              <w:t>12 400</w:t>
            </w:r>
          </w:p>
        </w:tc>
        <w:tc>
          <w:tcPr>
            <w:tcW w:w="710" w:type="dxa"/>
            <w:tcBorders>
              <w:top w:val="nil"/>
              <w:left w:val="nil"/>
              <w:bottom w:val="nil"/>
              <w:right w:val="nil"/>
            </w:tcBorders>
            <w:shd w:val="clear" w:color="auto" w:fill="auto"/>
            <w:vAlign w:val="center"/>
            <w:hideMark/>
          </w:tcPr>
          <w:p w14:paraId="69C8221A" w14:textId="7C1F9B95" w:rsidR="00087E71" w:rsidRPr="0032233B" w:rsidRDefault="00087E71" w:rsidP="00087E71">
            <w:pPr>
              <w:spacing w:after="0" w:line="240" w:lineRule="auto"/>
              <w:jc w:val="right"/>
              <w:rPr>
                <w:rFonts w:cs="Arial"/>
                <w:color w:val="000000"/>
                <w:sz w:val="16"/>
                <w:szCs w:val="16"/>
              </w:rPr>
            </w:pPr>
            <w:r>
              <w:rPr>
                <w:rFonts w:cs="Arial"/>
                <w:color w:val="000000"/>
                <w:sz w:val="16"/>
                <w:szCs w:val="16"/>
              </w:rPr>
              <w:t>1 367</w:t>
            </w:r>
          </w:p>
        </w:tc>
        <w:tc>
          <w:tcPr>
            <w:tcW w:w="709" w:type="dxa"/>
            <w:tcBorders>
              <w:top w:val="nil"/>
              <w:left w:val="nil"/>
              <w:bottom w:val="nil"/>
              <w:right w:val="nil"/>
            </w:tcBorders>
            <w:shd w:val="clear" w:color="auto" w:fill="auto"/>
            <w:vAlign w:val="center"/>
            <w:hideMark/>
          </w:tcPr>
          <w:p w14:paraId="3DD122CD" w14:textId="2519C074" w:rsidR="00087E71" w:rsidRPr="0032233B" w:rsidRDefault="00087E71" w:rsidP="00087E71">
            <w:pPr>
              <w:spacing w:after="0" w:line="240" w:lineRule="auto"/>
              <w:jc w:val="right"/>
              <w:rPr>
                <w:rFonts w:cs="Arial"/>
                <w:color w:val="000000"/>
                <w:sz w:val="16"/>
                <w:szCs w:val="16"/>
              </w:rPr>
            </w:pPr>
            <w:r>
              <w:rPr>
                <w:rFonts w:cs="Arial"/>
                <w:color w:val="000000"/>
                <w:sz w:val="16"/>
                <w:szCs w:val="16"/>
              </w:rPr>
              <w:t>1 107</w:t>
            </w:r>
          </w:p>
        </w:tc>
        <w:tc>
          <w:tcPr>
            <w:tcW w:w="709" w:type="dxa"/>
            <w:tcBorders>
              <w:top w:val="nil"/>
              <w:left w:val="nil"/>
              <w:bottom w:val="nil"/>
              <w:right w:val="single" w:sz="4" w:space="0" w:color="auto"/>
            </w:tcBorders>
            <w:shd w:val="clear" w:color="auto" w:fill="auto"/>
            <w:vAlign w:val="center"/>
            <w:hideMark/>
          </w:tcPr>
          <w:p w14:paraId="1B30E6C5" w14:textId="552CC643" w:rsidR="00087E71" w:rsidRPr="0032233B" w:rsidRDefault="00087E71" w:rsidP="00087E71">
            <w:pPr>
              <w:spacing w:after="0" w:line="240" w:lineRule="auto"/>
              <w:jc w:val="right"/>
              <w:rPr>
                <w:rFonts w:cs="Arial"/>
                <w:color w:val="000000"/>
                <w:sz w:val="16"/>
                <w:szCs w:val="16"/>
              </w:rPr>
            </w:pPr>
            <w:r>
              <w:rPr>
                <w:rFonts w:cs="Arial"/>
                <w:color w:val="000000"/>
                <w:sz w:val="16"/>
                <w:szCs w:val="16"/>
              </w:rPr>
              <w:t>260</w:t>
            </w:r>
          </w:p>
        </w:tc>
        <w:tc>
          <w:tcPr>
            <w:tcW w:w="710" w:type="dxa"/>
            <w:tcBorders>
              <w:top w:val="nil"/>
              <w:left w:val="single" w:sz="4" w:space="0" w:color="auto"/>
              <w:bottom w:val="nil"/>
              <w:right w:val="nil"/>
            </w:tcBorders>
            <w:vAlign w:val="center"/>
          </w:tcPr>
          <w:p w14:paraId="3E11D44E" w14:textId="0066E254" w:rsidR="00087E71" w:rsidRPr="0032233B" w:rsidRDefault="00087E71" w:rsidP="00087E71">
            <w:pPr>
              <w:spacing w:after="0" w:line="240" w:lineRule="auto"/>
              <w:jc w:val="right"/>
              <w:rPr>
                <w:rFonts w:cs="Arial"/>
                <w:sz w:val="16"/>
                <w:szCs w:val="16"/>
              </w:rPr>
            </w:pPr>
            <w:r>
              <w:rPr>
                <w:rFonts w:cs="Arial"/>
                <w:color w:val="000000"/>
                <w:sz w:val="16"/>
                <w:szCs w:val="16"/>
              </w:rPr>
              <w:t>113</w:t>
            </w:r>
          </w:p>
        </w:tc>
        <w:tc>
          <w:tcPr>
            <w:tcW w:w="709" w:type="dxa"/>
            <w:tcBorders>
              <w:top w:val="nil"/>
              <w:left w:val="nil"/>
              <w:bottom w:val="nil"/>
              <w:right w:val="nil"/>
            </w:tcBorders>
            <w:vAlign w:val="center"/>
          </w:tcPr>
          <w:p w14:paraId="4D0A8BC7" w14:textId="158C9376" w:rsidR="00087E71" w:rsidRPr="0032233B" w:rsidRDefault="00087E71" w:rsidP="00087E71">
            <w:pPr>
              <w:spacing w:after="0" w:line="240" w:lineRule="auto"/>
              <w:jc w:val="right"/>
              <w:rPr>
                <w:rFonts w:cs="Arial"/>
                <w:sz w:val="16"/>
                <w:szCs w:val="16"/>
              </w:rPr>
            </w:pPr>
            <w:r>
              <w:rPr>
                <w:rFonts w:cs="Arial"/>
                <w:color w:val="000000"/>
                <w:sz w:val="16"/>
                <w:szCs w:val="16"/>
              </w:rPr>
              <w:t>106</w:t>
            </w:r>
          </w:p>
        </w:tc>
        <w:tc>
          <w:tcPr>
            <w:tcW w:w="709" w:type="dxa"/>
            <w:tcBorders>
              <w:top w:val="nil"/>
              <w:left w:val="nil"/>
              <w:bottom w:val="nil"/>
              <w:right w:val="nil"/>
            </w:tcBorders>
            <w:vAlign w:val="center"/>
          </w:tcPr>
          <w:p w14:paraId="28A12A29" w14:textId="5ACBC32F" w:rsidR="00087E71" w:rsidRPr="0032233B" w:rsidRDefault="00087E71" w:rsidP="00087E71">
            <w:pPr>
              <w:spacing w:after="0" w:line="240" w:lineRule="auto"/>
              <w:jc w:val="right"/>
              <w:rPr>
                <w:rFonts w:cs="Arial"/>
                <w:sz w:val="16"/>
                <w:szCs w:val="16"/>
              </w:rPr>
            </w:pPr>
            <w:r>
              <w:rPr>
                <w:rFonts w:cs="Arial"/>
                <w:color w:val="000000"/>
                <w:sz w:val="16"/>
                <w:szCs w:val="16"/>
              </w:rPr>
              <w:t>7</w:t>
            </w:r>
          </w:p>
        </w:tc>
      </w:tr>
      <w:tr w:rsidR="00087E71" w:rsidRPr="0032233B" w14:paraId="2E45C3FD" w14:textId="77777777" w:rsidTr="00087E71">
        <w:trPr>
          <w:trHeight w:val="300"/>
        </w:trPr>
        <w:tc>
          <w:tcPr>
            <w:tcW w:w="1077" w:type="dxa"/>
            <w:tcBorders>
              <w:top w:val="nil"/>
              <w:left w:val="nil"/>
              <w:bottom w:val="nil"/>
              <w:right w:val="single" w:sz="4" w:space="0" w:color="auto"/>
            </w:tcBorders>
            <w:shd w:val="clear" w:color="auto" w:fill="auto"/>
            <w:vAlign w:val="center"/>
            <w:hideMark/>
          </w:tcPr>
          <w:p w14:paraId="780223FD" w14:textId="1A407CAD" w:rsidR="00087E71" w:rsidRPr="0032233B" w:rsidRDefault="00087E71" w:rsidP="00087E71">
            <w:pPr>
              <w:spacing w:after="0" w:line="240" w:lineRule="auto"/>
              <w:jc w:val="center"/>
              <w:rPr>
                <w:rFonts w:cs="Arial"/>
                <w:color w:val="000000"/>
                <w:sz w:val="16"/>
                <w:szCs w:val="16"/>
              </w:rPr>
            </w:pPr>
            <w:r>
              <w:rPr>
                <w:rFonts w:cs="Arial"/>
                <w:color w:val="000000"/>
                <w:sz w:val="16"/>
                <w:szCs w:val="16"/>
              </w:rPr>
              <w:t>2014</w:t>
            </w:r>
          </w:p>
        </w:tc>
        <w:tc>
          <w:tcPr>
            <w:tcW w:w="710" w:type="dxa"/>
            <w:tcBorders>
              <w:top w:val="nil"/>
              <w:left w:val="nil"/>
              <w:bottom w:val="nil"/>
              <w:right w:val="nil"/>
            </w:tcBorders>
            <w:shd w:val="clear" w:color="auto" w:fill="auto"/>
            <w:noWrap/>
            <w:vAlign w:val="center"/>
            <w:hideMark/>
          </w:tcPr>
          <w:p w14:paraId="052B90A2" w14:textId="70BE15EF" w:rsidR="00087E71" w:rsidRPr="0032233B" w:rsidRDefault="00087E71" w:rsidP="00087E71">
            <w:pPr>
              <w:spacing w:after="0" w:line="240" w:lineRule="auto"/>
              <w:jc w:val="right"/>
              <w:rPr>
                <w:rFonts w:cs="Arial"/>
                <w:color w:val="000000"/>
                <w:sz w:val="16"/>
                <w:szCs w:val="16"/>
              </w:rPr>
            </w:pPr>
            <w:r>
              <w:rPr>
                <w:rFonts w:cs="Arial"/>
                <w:color w:val="000000"/>
                <w:sz w:val="16"/>
                <w:szCs w:val="16"/>
              </w:rPr>
              <w:t>45 058</w:t>
            </w:r>
          </w:p>
        </w:tc>
        <w:tc>
          <w:tcPr>
            <w:tcW w:w="709" w:type="dxa"/>
            <w:tcBorders>
              <w:top w:val="nil"/>
              <w:left w:val="nil"/>
              <w:bottom w:val="nil"/>
              <w:right w:val="nil"/>
            </w:tcBorders>
            <w:shd w:val="clear" w:color="auto" w:fill="auto"/>
            <w:noWrap/>
            <w:vAlign w:val="center"/>
            <w:hideMark/>
          </w:tcPr>
          <w:p w14:paraId="735843BB" w14:textId="3D508DBE" w:rsidR="00087E71" w:rsidRPr="0032233B" w:rsidRDefault="00087E71" w:rsidP="00087E71">
            <w:pPr>
              <w:spacing w:after="0" w:line="240" w:lineRule="auto"/>
              <w:jc w:val="right"/>
              <w:rPr>
                <w:rFonts w:cs="Arial"/>
                <w:color w:val="000000"/>
                <w:sz w:val="16"/>
                <w:szCs w:val="16"/>
              </w:rPr>
            </w:pPr>
            <w:r>
              <w:rPr>
                <w:rFonts w:cs="Arial"/>
                <w:color w:val="000000"/>
                <w:sz w:val="16"/>
                <w:szCs w:val="16"/>
              </w:rPr>
              <w:t>31 737</w:t>
            </w:r>
          </w:p>
        </w:tc>
        <w:tc>
          <w:tcPr>
            <w:tcW w:w="709" w:type="dxa"/>
            <w:tcBorders>
              <w:top w:val="nil"/>
              <w:left w:val="nil"/>
              <w:bottom w:val="nil"/>
              <w:right w:val="single" w:sz="4" w:space="0" w:color="auto"/>
            </w:tcBorders>
            <w:shd w:val="clear" w:color="auto" w:fill="auto"/>
            <w:noWrap/>
            <w:vAlign w:val="center"/>
            <w:hideMark/>
          </w:tcPr>
          <w:p w14:paraId="1C2B5592" w14:textId="673C36EB" w:rsidR="00087E71" w:rsidRPr="0032233B" w:rsidRDefault="00087E71" w:rsidP="00087E71">
            <w:pPr>
              <w:spacing w:after="0" w:line="240" w:lineRule="auto"/>
              <w:jc w:val="right"/>
              <w:rPr>
                <w:rFonts w:cs="Arial"/>
                <w:color w:val="000000"/>
                <w:sz w:val="16"/>
                <w:szCs w:val="16"/>
              </w:rPr>
            </w:pPr>
            <w:r>
              <w:rPr>
                <w:rFonts w:cs="Arial"/>
                <w:color w:val="000000"/>
                <w:sz w:val="16"/>
                <w:szCs w:val="16"/>
              </w:rPr>
              <w:t>13 321</w:t>
            </w:r>
          </w:p>
        </w:tc>
        <w:tc>
          <w:tcPr>
            <w:tcW w:w="710" w:type="dxa"/>
            <w:tcBorders>
              <w:top w:val="nil"/>
              <w:left w:val="nil"/>
              <w:bottom w:val="nil"/>
              <w:right w:val="nil"/>
            </w:tcBorders>
            <w:shd w:val="clear" w:color="auto" w:fill="auto"/>
            <w:noWrap/>
            <w:vAlign w:val="center"/>
            <w:hideMark/>
          </w:tcPr>
          <w:p w14:paraId="457E8699" w14:textId="6B40D042" w:rsidR="00087E71" w:rsidRPr="0032233B" w:rsidRDefault="00087E71" w:rsidP="00087E71">
            <w:pPr>
              <w:spacing w:after="0" w:line="240" w:lineRule="auto"/>
              <w:jc w:val="right"/>
              <w:rPr>
                <w:rFonts w:cs="Arial"/>
                <w:color w:val="000000"/>
                <w:sz w:val="16"/>
                <w:szCs w:val="16"/>
              </w:rPr>
            </w:pPr>
            <w:r>
              <w:rPr>
                <w:rFonts w:cs="Arial"/>
                <w:color w:val="000000"/>
                <w:sz w:val="16"/>
                <w:szCs w:val="16"/>
              </w:rPr>
              <w:t>44 301</w:t>
            </w:r>
          </w:p>
        </w:tc>
        <w:tc>
          <w:tcPr>
            <w:tcW w:w="709" w:type="dxa"/>
            <w:tcBorders>
              <w:top w:val="nil"/>
              <w:left w:val="nil"/>
              <w:bottom w:val="nil"/>
              <w:right w:val="nil"/>
            </w:tcBorders>
            <w:shd w:val="clear" w:color="auto" w:fill="auto"/>
            <w:vAlign w:val="center"/>
            <w:hideMark/>
          </w:tcPr>
          <w:p w14:paraId="21FE7D24" w14:textId="17ACFAAA" w:rsidR="00087E71" w:rsidRPr="0032233B" w:rsidRDefault="00087E71" w:rsidP="00087E71">
            <w:pPr>
              <w:spacing w:after="0" w:line="240" w:lineRule="auto"/>
              <w:jc w:val="right"/>
              <w:rPr>
                <w:rFonts w:cs="Arial"/>
                <w:color w:val="000000"/>
                <w:sz w:val="16"/>
                <w:szCs w:val="16"/>
              </w:rPr>
            </w:pPr>
            <w:r>
              <w:rPr>
                <w:rFonts w:cs="Arial"/>
                <w:color w:val="000000"/>
                <w:sz w:val="16"/>
                <w:szCs w:val="16"/>
              </w:rPr>
              <w:t>31 188</w:t>
            </w:r>
          </w:p>
        </w:tc>
        <w:tc>
          <w:tcPr>
            <w:tcW w:w="709" w:type="dxa"/>
            <w:tcBorders>
              <w:top w:val="nil"/>
              <w:left w:val="nil"/>
              <w:bottom w:val="nil"/>
              <w:right w:val="single" w:sz="4" w:space="0" w:color="auto"/>
            </w:tcBorders>
            <w:shd w:val="clear" w:color="auto" w:fill="auto"/>
            <w:vAlign w:val="center"/>
            <w:hideMark/>
          </w:tcPr>
          <w:p w14:paraId="3B139496" w14:textId="76A7F413" w:rsidR="00087E71" w:rsidRPr="0032233B" w:rsidRDefault="00087E71" w:rsidP="00087E71">
            <w:pPr>
              <w:spacing w:after="0" w:line="240" w:lineRule="auto"/>
              <w:jc w:val="right"/>
              <w:rPr>
                <w:rFonts w:cs="Arial"/>
                <w:color w:val="000000"/>
                <w:sz w:val="16"/>
                <w:szCs w:val="16"/>
              </w:rPr>
            </w:pPr>
            <w:r>
              <w:rPr>
                <w:rFonts w:cs="Arial"/>
                <w:color w:val="000000"/>
                <w:sz w:val="16"/>
                <w:szCs w:val="16"/>
              </w:rPr>
              <w:t>13 113</w:t>
            </w:r>
          </w:p>
        </w:tc>
        <w:tc>
          <w:tcPr>
            <w:tcW w:w="710" w:type="dxa"/>
            <w:tcBorders>
              <w:top w:val="nil"/>
              <w:left w:val="nil"/>
              <w:bottom w:val="nil"/>
              <w:right w:val="nil"/>
            </w:tcBorders>
            <w:shd w:val="clear" w:color="auto" w:fill="auto"/>
            <w:vAlign w:val="center"/>
            <w:hideMark/>
          </w:tcPr>
          <w:p w14:paraId="79381568" w14:textId="7D92B76B" w:rsidR="00087E71" w:rsidRPr="0032233B" w:rsidRDefault="00087E71" w:rsidP="00087E71">
            <w:pPr>
              <w:spacing w:after="0" w:line="240" w:lineRule="auto"/>
              <w:jc w:val="right"/>
              <w:rPr>
                <w:rFonts w:cs="Arial"/>
                <w:color w:val="000000"/>
                <w:sz w:val="16"/>
                <w:szCs w:val="16"/>
              </w:rPr>
            </w:pPr>
            <w:r>
              <w:rPr>
                <w:rFonts w:cs="Arial"/>
                <w:color w:val="000000"/>
                <w:sz w:val="16"/>
                <w:szCs w:val="16"/>
              </w:rPr>
              <w:t>1 394</w:t>
            </w:r>
          </w:p>
        </w:tc>
        <w:tc>
          <w:tcPr>
            <w:tcW w:w="709" w:type="dxa"/>
            <w:tcBorders>
              <w:top w:val="nil"/>
              <w:left w:val="nil"/>
              <w:bottom w:val="nil"/>
              <w:right w:val="nil"/>
            </w:tcBorders>
            <w:shd w:val="clear" w:color="auto" w:fill="auto"/>
            <w:vAlign w:val="center"/>
            <w:hideMark/>
          </w:tcPr>
          <w:p w14:paraId="779A2B97" w14:textId="3697BAB7" w:rsidR="00087E71" w:rsidRPr="0032233B" w:rsidRDefault="00087E71" w:rsidP="00087E71">
            <w:pPr>
              <w:spacing w:after="0" w:line="240" w:lineRule="auto"/>
              <w:jc w:val="right"/>
              <w:rPr>
                <w:rFonts w:cs="Arial"/>
                <w:color w:val="000000"/>
                <w:sz w:val="16"/>
                <w:szCs w:val="16"/>
              </w:rPr>
            </w:pPr>
            <w:r>
              <w:rPr>
                <w:rFonts w:cs="Arial"/>
                <w:color w:val="000000"/>
                <w:sz w:val="16"/>
                <w:szCs w:val="16"/>
              </w:rPr>
              <w:t>1 130</w:t>
            </w:r>
          </w:p>
        </w:tc>
        <w:tc>
          <w:tcPr>
            <w:tcW w:w="709" w:type="dxa"/>
            <w:tcBorders>
              <w:top w:val="nil"/>
              <w:left w:val="nil"/>
              <w:bottom w:val="nil"/>
              <w:right w:val="single" w:sz="4" w:space="0" w:color="auto"/>
            </w:tcBorders>
            <w:shd w:val="clear" w:color="auto" w:fill="auto"/>
            <w:vAlign w:val="center"/>
            <w:hideMark/>
          </w:tcPr>
          <w:p w14:paraId="708746F3" w14:textId="1AB13D81" w:rsidR="00087E71" w:rsidRPr="0032233B" w:rsidRDefault="00087E71" w:rsidP="00087E71">
            <w:pPr>
              <w:spacing w:after="0" w:line="240" w:lineRule="auto"/>
              <w:jc w:val="right"/>
              <w:rPr>
                <w:rFonts w:cs="Arial"/>
                <w:color w:val="000000"/>
                <w:sz w:val="16"/>
                <w:szCs w:val="16"/>
              </w:rPr>
            </w:pPr>
            <w:r>
              <w:rPr>
                <w:rFonts w:cs="Arial"/>
                <w:color w:val="000000"/>
                <w:sz w:val="16"/>
                <w:szCs w:val="16"/>
              </w:rPr>
              <w:t>264</w:t>
            </w:r>
          </w:p>
        </w:tc>
        <w:tc>
          <w:tcPr>
            <w:tcW w:w="710" w:type="dxa"/>
            <w:tcBorders>
              <w:top w:val="nil"/>
              <w:left w:val="single" w:sz="4" w:space="0" w:color="auto"/>
              <w:bottom w:val="nil"/>
              <w:right w:val="nil"/>
            </w:tcBorders>
            <w:vAlign w:val="center"/>
          </w:tcPr>
          <w:p w14:paraId="10B9C54D" w14:textId="0C940073" w:rsidR="00087E71" w:rsidRPr="0032233B" w:rsidRDefault="00087E71" w:rsidP="00087E71">
            <w:pPr>
              <w:spacing w:after="0" w:line="240" w:lineRule="auto"/>
              <w:jc w:val="right"/>
              <w:rPr>
                <w:rFonts w:cs="Arial"/>
                <w:sz w:val="16"/>
                <w:szCs w:val="16"/>
              </w:rPr>
            </w:pPr>
            <w:r>
              <w:rPr>
                <w:rFonts w:cs="Arial"/>
                <w:color w:val="000000"/>
                <w:sz w:val="16"/>
                <w:szCs w:val="16"/>
              </w:rPr>
              <w:t>117</w:t>
            </w:r>
          </w:p>
        </w:tc>
        <w:tc>
          <w:tcPr>
            <w:tcW w:w="709" w:type="dxa"/>
            <w:tcBorders>
              <w:top w:val="nil"/>
              <w:left w:val="nil"/>
              <w:bottom w:val="nil"/>
              <w:right w:val="nil"/>
            </w:tcBorders>
            <w:vAlign w:val="center"/>
          </w:tcPr>
          <w:p w14:paraId="41D2D98A" w14:textId="0A14A8C1" w:rsidR="00087E71" w:rsidRPr="0032233B" w:rsidRDefault="00087E71" w:rsidP="00087E71">
            <w:pPr>
              <w:spacing w:after="0" w:line="240" w:lineRule="auto"/>
              <w:jc w:val="right"/>
              <w:rPr>
                <w:rFonts w:cs="Arial"/>
                <w:sz w:val="16"/>
                <w:szCs w:val="16"/>
              </w:rPr>
            </w:pPr>
            <w:r>
              <w:rPr>
                <w:rFonts w:cs="Arial"/>
                <w:color w:val="000000"/>
                <w:sz w:val="16"/>
                <w:szCs w:val="16"/>
              </w:rPr>
              <w:t>115</w:t>
            </w:r>
          </w:p>
        </w:tc>
        <w:tc>
          <w:tcPr>
            <w:tcW w:w="709" w:type="dxa"/>
            <w:tcBorders>
              <w:top w:val="nil"/>
              <w:left w:val="nil"/>
              <w:bottom w:val="nil"/>
              <w:right w:val="nil"/>
            </w:tcBorders>
            <w:vAlign w:val="center"/>
          </w:tcPr>
          <w:p w14:paraId="50F0504F" w14:textId="2B2D05BC" w:rsidR="00087E71" w:rsidRPr="0032233B" w:rsidRDefault="00087E71" w:rsidP="00087E71">
            <w:pPr>
              <w:spacing w:after="0" w:line="240" w:lineRule="auto"/>
              <w:jc w:val="right"/>
              <w:rPr>
                <w:rFonts w:cs="Arial"/>
                <w:sz w:val="16"/>
                <w:szCs w:val="16"/>
              </w:rPr>
            </w:pPr>
            <w:r>
              <w:rPr>
                <w:rFonts w:cs="Arial"/>
                <w:color w:val="000000"/>
                <w:sz w:val="16"/>
                <w:szCs w:val="16"/>
              </w:rPr>
              <w:t>2</w:t>
            </w:r>
          </w:p>
        </w:tc>
      </w:tr>
      <w:tr w:rsidR="00087E71" w:rsidRPr="0032233B" w14:paraId="42A49878" w14:textId="77777777" w:rsidTr="00087E71">
        <w:trPr>
          <w:trHeight w:val="300"/>
        </w:trPr>
        <w:tc>
          <w:tcPr>
            <w:tcW w:w="1077" w:type="dxa"/>
            <w:tcBorders>
              <w:top w:val="nil"/>
              <w:left w:val="nil"/>
              <w:bottom w:val="nil"/>
              <w:right w:val="single" w:sz="4" w:space="0" w:color="auto"/>
            </w:tcBorders>
            <w:shd w:val="clear" w:color="auto" w:fill="auto"/>
            <w:vAlign w:val="center"/>
            <w:hideMark/>
          </w:tcPr>
          <w:p w14:paraId="457C79DB" w14:textId="696F1EDB" w:rsidR="00087E71" w:rsidRPr="0032233B" w:rsidRDefault="00087E71" w:rsidP="00087E71">
            <w:pPr>
              <w:spacing w:after="0" w:line="240" w:lineRule="auto"/>
              <w:jc w:val="center"/>
              <w:rPr>
                <w:rFonts w:cs="Arial"/>
                <w:color w:val="000000"/>
                <w:sz w:val="16"/>
                <w:szCs w:val="16"/>
              </w:rPr>
            </w:pPr>
            <w:r>
              <w:rPr>
                <w:rFonts w:cs="Arial"/>
                <w:color w:val="000000"/>
                <w:sz w:val="16"/>
                <w:szCs w:val="16"/>
              </w:rPr>
              <w:t>2015</w:t>
            </w:r>
          </w:p>
        </w:tc>
        <w:tc>
          <w:tcPr>
            <w:tcW w:w="710" w:type="dxa"/>
            <w:tcBorders>
              <w:top w:val="nil"/>
              <w:left w:val="nil"/>
              <w:bottom w:val="nil"/>
              <w:right w:val="nil"/>
            </w:tcBorders>
            <w:shd w:val="clear" w:color="auto" w:fill="auto"/>
            <w:noWrap/>
            <w:vAlign w:val="center"/>
            <w:hideMark/>
          </w:tcPr>
          <w:p w14:paraId="535BA232" w14:textId="79BE1694" w:rsidR="00087E71" w:rsidRPr="0032233B" w:rsidRDefault="00087E71" w:rsidP="00087E71">
            <w:pPr>
              <w:spacing w:after="0" w:line="240" w:lineRule="auto"/>
              <w:jc w:val="right"/>
              <w:rPr>
                <w:rFonts w:cs="Arial"/>
                <w:color w:val="000000"/>
                <w:sz w:val="16"/>
                <w:szCs w:val="16"/>
              </w:rPr>
            </w:pPr>
            <w:r>
              <w:rPr>
                <w:rFonts w:cs="Arial"/>
                <w:color w:val="000000"/>
                <w:sz w:val="16"/>
                <w:szCs w:val="16"/>
              </w:rPr>
              <w:t>46 331</w:t>
            </w:r>
          </w:p>
        </w:tc>
        <w:tc>
          <w:tcPr>
            <w:tcW w:w="709" w:type="dxa"/>
            <w:tcBorders>
              <w:top w:val="nil"/>
              <w:left w:val="nil"/>
              <w:bottom w:val="nil"/>
              <w:right w:val="nil"/>
            </w:tcBorders>
            <w:shd w:val="clear" w:color="auto" w:fill="auto"/>
            <w:noWrap/>
            <w:vAlign w:val="center"/>
            <w:hideMark/>
          </w:tcPr>
          <w:p w14:paraId="7D6A379F" w14:textId="071BCFB9" w:rsidR="00087E71" w:rsidRPr="0032233B" w:rsidRDefault="00087E71" w:rsidP="00087E71">
            <w:pPr>
              <w:spacing w:after="0" w:line="240" w:lineRule="auto"/>
              <w:jc w:val="right"/>
              <w:rPr>
                <w:rFonts w:cs="Arial"/>
                <w:color w:val="000000"/>
                <w:sz w:val="16"/>
                <w:szCs w:val="16"/>
              </w:rPr>
            </w:pPr>
            <w:r>
              <w:rPr>
                <w:rFonts w:cs="Arial"/>
                <w:color w:val="000000"/>
                <w:sz w:val="16"/>
                <w:szCs w:val="16"/>
              </w:rPr>
              <w:t>32 117</w:t>
            </w:r>
          </w:p>
        </w:tc>
        <w:tc>
          <w:tcPr>
            <w:tcW w:w="709" w:type="dxa"/>
            <w:tcBorders>
              <w:top w:val="nil"/>
              <w:left w:val="nil"/>
              <w:bottom w:val="nil"/>
              <w:right w:val="single" w:sz="4" w:space="0" w:color="auto"/>
            </w:tcBorders>
            <w:shd w:val="clear" w:color="auto" w:fill="auto"/>
            <w:noWrap/>
            <w:vAlign w:val="center"/>
            <w:hideMark/>
          </w:tcPr>
          <w:p w14:paraId="6EE4B855" w14:textId="062232C7"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14 214</w:t>
            </w:r>
          </w:p>
        </w:tc>
        <w:tc>
          <w:tcPr>
            <w:tcW w:w="710" w:type="dxa"/>
            <w:tcBorders>
              <w:top w:val="nil"/>
              <w:left w:val="nil"/>
              <w:bottom w:val="nil"/>
              <w:right w:val="nil"/>
            </w:tcBorders>
            <w:shd w:val="clear" w:color="auto" w:fill="auto"/>
            <w:noWrap/>
            <w:vAlign w:val="center"/>
            <w:hideMark/>
          </w:tcPr>
          <w:p w14:paraId="57809288" w14:textId="25AB1AEC" w:rsidR="00087E71" w:rsidRPr="0032233B" w:rsidRDefault="00087E71" w:rsidP="00087E71">
            <w:pPr>
              <w:spacing w:after="0" w:line="240" w:lineRule="auto"/>
              <w:jc w:val="right"/>
              <w:rPr>
                <w:rFonts w:cs="Arial"/>
                <w:color w:val="000000"/>
                <w:sz w:val="16"/>
                <w:szCs w:val="16"/>
              </w:rPr>
            </w:pPr>
            <w:r>
              <w:rPr>
                <w:rFonts w:cs="Arial"/>
                <w:color w:val="000000"/>
                <w:sz w:val="16"/>
                <w:szCs w:val="16"/>
              </w:rPr>
              <w:t>45 621</w:t>
            </w:r>
          </w:p>
        </w:tc>
        <w:tc>
          <w:tcPr>
            <w:tcW w:w="709" w:type="dxa"/>
            <w:tcBorders>
              <w:top w:val="nil"/>
              <w:left w:val="nil"/>
              <w:bottom w:val="nil"/>
              <w:right w:val="nil"/>
            </w:tcBorders>
            <w:shd w:val="clear" w:color="auto" w:fill="auto"/>
            <w:vAlign w:val="center"/>
            <w:hideMark/>
          </w:tcPr>
          <w:p w14:paraId="7A825CC5" w14:textId="6E77284A" w:rsidR="00087E71" w:rsidRPr="0032233B" w:rsidRDefault="00087E71" w:rsidP="00087E71">
            <w:pPr>
              <w:spacing w:after="0" w:line="240" w:lineRule="auto"/>
              <w:jc w:val="right"/>
              <w:rPr>
                <w:rFonts w:cs="Arial"/>
                <w:color w:val="000000"/>
                <w:sz w:val="16"/>
                <w:szCs w:val="16"/>
              </w:rPr>
            </w:pPr>
            <w:r>
              <w:rPr>
                <w:rFonts w:cs="Arial"/>
                <w:color w:val="000000"/>
                <w:sz w:val="16"/>
                <w:szCs w:val="16"/>
              </w:rPr>
              <w:t>31 605</w:t>
            </w:r>
          </w:p>
        </w:tc>
        <w:tc>
          <w:tcPr>
            <w:tcW w:w="709" w:type="dxa"/>
            <w:tcBorders>
              <w:top w:val="nil"/>
              <w:left w:val="nil"/>
              <w:bottom w:val="nil"/>
              <w:right w:val="single" w:sz="4" w:space="0" w:color="auto"/>
            </w:tcBorders>
            <w:shd w:val="clear" w:color="auto" w:fill="auto"/>
            <w:vAlign w:val="center"/>
            <w:hideMark/>
          </w:tcPr>
          <w:p w14:paraId="762DEAF2" w14:textId="0F4BA39B"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14 016</w:t>
            </w:r>
          </w:p>
        </w:tc>
        <w:tc>
          <w:tcPr>
            <w:tcW w:w="710" w:type="dxa"/>
            <w:tcBorders>
              <w:top w:val="nil"/>
              <w:left w:val="nil"/>
              <w:bottom w:val="nil"/>
              <w:right w:val="nil"/>
            </w:tcBorders>
            <w:shd w:val="clear" w:color="auto" w:fill="auto"/>
            <w:vAlign w:val="center"/>
            <w:hideMark/>
          </w:tcPr>
          <w:p w14:paraId="5A9B5001" w14:textId="448FF423" w:rsidR="00087E71" w:rsidRPr="0032233B" w:rsidRDefault="00087E71" w:rsidP="00087E71">
            <w:pPr>
              <w:spacing w:after="0" w:line="240" w:lineRule="auto"/>
              <w:jc w:val="right"/>
              <w:rPr>
                <w:rFonts w:cs="Arial"/>
                <w:color w:val="000000"/>
                <w:sz w:val="16"/>
                <w:szCs w:val="16"/>
              </w:rPr>
            </w:pPr>
            <w:r>
              <w:rPr>
                <w:rFonts w:cs="Arial"/>
                <w:color w:val="000000"/>
                <w:sz w:val="16"/>
                <w:szCs w:val="16"/>
              </w:rPr>
              <w:t>1 311</w:t>
            </w:r>
          </w:p>
        </w:tc>
        <w:tc>
          <w:tcPr>
            <w:tcW w:w="709" w:type="dxa"/>
            <w:tcBorders>
              <w:top w:val="nil"/>
              <w:left w:val="nil"/>
              <w:bottom w:val="nil"/>
              <w:right w:val="nil"/>
            </w:tcBorders>
            <w:shd w:val="clear" w:color="auto" w:fill="auto"/>
            <w:vAlign w:val="center"/>
            <w:hideMark/>
          </w:tcPr>
          <w:p w14:paraId="13592D94" w14:textId="49CE157B" w:rsidR="00087E71" w:rsidRPr="0032233B" w:rsidRDefault="00087E71" w:rsidP="00087E71">
            <w:pPr>
              <w:spacing w:after="0" w:line="240" w:lineRule="auto"/>
              <w:jc w:val="right"/>
              <w:rPr>
                <w:rFonts w:cs="Arial"/>
                <w:color w:val="000000"/>
                <w:sz w:val="16"/>
                <w:szCs w:val="16"/>
              </w:rPr>
            </w:pPr>
            <w:r>
              <w:rPr>
                <w:rFonts w:cs="Arial"/>
                <w:color w:val="000000"/>
                <w:sz w:val="16"/>
                <w:szCs w:val="16"/>
              </w:rPr>
              <w:t>1 087</w:t>
            </w:r>
          </w:p>
        </w:tc>
        <w:tc>
          <w:tcPr>
            <w:tcW w:w="709" w:type="dxa"/>
            <w:tcBorders>
              <w:top w:val="nil"/>
              <w:left w:val="nil"/>
              <w:bottom w:val="nil"/>
              <w:right w:val="single" w:sz="4" w:space="0" w:color="auto"/>
            </w:tcBorders>
            <w:shd w:val="clear" w:color="auto" w:fill="auto"/>
            <w:vAlign w:val="center"/>
            <w:hideMark/>
          </w:tcPr>
          <w:p w14:paraId="5F3639DD" w14:textId="5CD1131C" w:rsidR="00087E71" w:rsidRPr="0032233B" w:rsidRDefault="00087E71" w:rsidP="00087E71">
            <w:pPr>
              <w:spacing w:after="0" w:line="240" w:lineRule="auto"/>
              <w:jc w:val="right"/>
              <w:rPr>
                <w:rFonts w:cs="Arial"/>
                <w:color w:val="000000"/>
                <w:sz w:val="16"/>
                <w:szCs w:val="16"/>
              </w:rPr>
            </w:pPr>
            <w:r>
              <w:rPr>
                <w:rFonts w:cs="Arial"/>
                <w:color w:val="000000"/>
                <w:sz w:val="16"/>
                <w:szCs w:val="16"/>
              </w:rPr>
              <w:t>224</w:t>
            </w:r>
          </w:p>
        </w:tc>
        <w:tc>
          <w:tcPr>
            <w:tcW w:w="710" w:type="dxa"/>
            <w:tcBorders>
              <w:top w:val="nil"/>
              <w:left w:val="single" w:sz="4" w:space="0" w:color="auto"/>
              <w:bottom w:val="nil"/>
              <w:right w:val="nil"/>
            </w:tcBorders>
            <w:vAlign w:val="center"/>
          </w:tcPr>
          <w:p w14:paraId="3E56CED8" w14:textId="62B3C60D" w:rsidR="00087E71" w:rsidRPr="0032233B" w:rsidRDefault="00087E71" w:rsidP="00087E71">
            <w:pPr>
              <w:spacing w:after="0" w:line="240" w:lineRule="auto"/>
              <w:jc w:val="right"/>
              <w:rPr>
                <w:rFonts w:cs="Arial"/>
                <w:sz w:val="16"/>
                <w:szCs w:val="16"/>
              </w:rPr>
            </w:pPr>
            <w:r>
              <w:rPr>
                <w:rFonts w:cs="Arial"/>
                <w:color w:val="000000"/>
                <w:sz w:val="16"/>
                <w:szCs w:val="16"/>
              </w:rPr>
              <w:t>131</w:t>
            </w:r>
          </w:p>
        </w:tc>
        <w:tc>
          <w:tcPr>
            <w:tcW w:w="709" w:type="dxa"/>
            <w:tcBorders>
              <w:top w:val="nil"/>
              <w:left w:val="nil"/>
              <w:bottom w:val="nil"/>
              <w:right w:val="nil"/>
            </w:tcBorders>
            <w:vAlign w:val="center"/>
          </w:tcPr>
          <w:p w14:paraId="2349FC1A" w14:textId="1951DC1C" w:rsidR="00087E71" w:rsidRPr="0032233B" w:rsidRDefault="00087E71" w:rsidP="00087E71">
            <w:pPr>
              <w:spacing w:after="0" w:line="240" w:lineRule="auto"/>
              <w:jc w:val="right"/>
              <w:rPr>
                <w:rFonts w:cs="Arial"/>
                <w:sz w:val="16"/>
                <w:szCs w:val="16"/>
              </w:rPr>
            </w:pPr>
            <w:r>
              <w:rPr>
                <w:rFonts w:cs="Arial"/>
                <w:color w:val="000000"/>
                <w:sz w:val="16"/>
                <w:szCs w:val="16"/>
              </w:rPr>
              <w:t>120</w:t>
            </w:r>
          </w:p>
        </w:tc>
        <w:tc>
          <w:tcPr>
            <w:tcW w:w="709" w:type="dxa"/>
            <w:tcBorders>
              <w:top w:val="nil"/>
              <w:left w:val="nil"/>
              <w:bottom w:val="nil"/>
              <w:right w:val="nil"/>
            </w:tcBorders>
            <w:vAlign w:val="center"/>
          </w:tcPr>
          <w:p w14:paraId="68593DCC" w14:textId="686B6E4B" w:rsidR="00087E71" w:rsidRPr="0032233B" w:rsidRDefault="00087E71" w:rsidP="00087E71">
            <w:pPr>
              <w:spacing w:after="0" w:line="240" w:lineRule="auto"/>
              <w:jc w:val="right"/>
              <w:rPr>
                <w:rFonts w:cs="Arial"/>
                <w:sz w:val="16"/>
                <w:szCs w:val="16"/>
              </w:rPr>
            </w:pPr>
            <w:r>
              <w:rPr>
                <w:rFonts w:cs="Arial"/>
                <w:color w:val="000000"/>
                <w:sz w:val="16"/>
                <w:szCs w:val="16"/>
              </w:rPr>
              <w:t>11</w:t>
            </w:r>
          </w:p>
        </w:tc>
      </w:tr>
      <w:tr w:rsidR="00087E71" w:rsidRPr="0032233B" w14:paraId="159DE76D" w14:textId="77777777" w:rsidTr="00087E71">
        <w:trPr>
          <w:trHeight w:val="300"/>
        </w:trPr>
        <w:tc>
          <w:tcPr>
            <w:tcW w:w="1077" w:type="dxa"/>
            <w:tcBorders>
              <w:top w:val="nil"/>
              <w:left w:val="nil"/>
              <w:bottom w:val="nil"/>
              <w:right w:val="single" w:sz="4" w:space="0" w:color="auto"/>
            </w:tcBorders>
            <w:shd w:val="clear" w:color="auto" w:fill="auto"/>
            <w:vAlign w:val="center"/>
            <w:hideMark/>
          </w:tcPr>
          <w:p w14:paraId="3F7A19DF" w14:textId="658D4DDE" w:rsidR="00087E71" w:rsidRPr="0032233B" w:rsidRDefault="00087E71" w:rsidP="00087E71">
            <w:pPr>
              <w:spacing w:after="0" w:line="240" w:lineRule="auto"/>
              <w:jc w:val="center"/>
              <w:rPr>
                <w:rFonts w:cs="Arial"/>
                <w:color w:val="000000"/>
                <w:sz w:val="16"/>
                <w:szCs w:val="16"/>
              </w:rPr>
            </w:pPr>
            <w:r>
              <w:rPr>
                <w:rFonts w:cs="Arial"/>
                <w:color w:val="000000"/>
                <w:sz w:val="16"/>
                <w:szCs w:val="16"/>
              </w:rPr>
              <w:t>2016</w:t>
            </w:r>
          </w:p>
        </w:tc>
        <w:tc>
          <w:tcPr>
            <w:tcW w:w="710" w:type="dxa"/>
            <w:tcBorders>
              <w:top w:val="nil"/>
              <w:left w:val="nil"/>
              <w:bottom w:val="nil"/>
              <w:right w:val="nil"/>
            </w:tcBorders>
            <w:shd w:val="clear" w:color="auto" w:fill="auto"/>
            <w:vAlign w:val="center"/>
            <w:hideMark/>
          </w:tcPr>
          <w:p w14:paraId="4A3F5787" w14:textId="5812BA8F" w:rsidR="00087E71" w:rsidRPr="0032233B" w:rsidRDefault="00087E71" w:rsidP="00087E71">
            <w:pPr>
              <w:spacing w:after="0" w:line="240" w:lineRule="auto"/>
              <w:jc w:val="right"/>
              <w:rPr>
                <w:rFonts w:cs="Arial"/>
                <w:color w:val="000000"/>
                <w:sz w:val="16"/>
                <w:szCs w:val="16"/>
              </w:rPr>
            </w:pPr>
            <w:r>
              <w:rPr>
                <w:rFonts w:cs="Arial"/>
                <w:color w:val="000000"/>
                <w:sz w:val="16"/>
                <w:szCs w:val="16"/>
              </w:rPr>
              <w:t>47 379</w:t>
            </w:r>
          </w:p>
        </w:tc>
        <w:tc>
          <w:tcPr>
            <w:tcW w:w="709" w:type="dxa"/>
            <w:tcBorders>
              <w:top w:val="nil"/>
              <w:left w:val="nil"/>
              <w:bottom w:val="nil"/>
              <w:right w:val="nil"/>
            </w:tcBorders>
            <w:shd w:val="clear" w:color="auto" w:fill="auto"/>
            <w:noWrap/>
            <w:vAlign w:val="center"/>
            <w:hideMark/>
          </w:tcPr>
          <w:p w14:paraId="7B0DB5DF" w14:textId="4E376028" w:rsidR="00087E71" w:rsidRPr="0032233B" w:rsidRDefault="00087E71" w:rsidP="00087E71">
            <w:pPr>
              <w:spacing w:after="0" w:line="240" w:lineRule="auto"/>
              <w:jc w:val="right"/>
              <w:rPr>
                <w:rFonts w:cs="Arial"/>
                <w:color w:val="000000"/>
                <w:sz w:val="16"/>
                <w:szCs w:val="16"/>
              </w:rPr>
            </w:pPr>
            <w:r>
              <w:rPr>
                <w:rFonts w:cs="Arial"/>
                <w:color w:val="000000"/>
                <w:sz w:val="16"/>
                <w:szCs w:val="16"/>
              </w:rPr>
              <w:t>32 592</w:t>
            </w:r>
          </w:p>
        </w:tc>
        <w:tc>
          <w:tcPr>
            <w:tcW w:w="709" w:type="dxa"/>
            <w:tcBorders>
              <w:top w:val="nil"/>
              <w:left w:val="nil"/>
              <w:bottom w:val="nil"/>
              <w:right w:val="single" w:sz="4" w:space="0" w:color="auto"/>
            </w:tcBorders>
            <w:shd w:val="clear" w:color="auto" w:fill="auto"/>
            <w:noWrap/>
            <w:vAlign w:val="center"/>
            <w:hideMark/>
          </w:tcPr>
          <w:p w14:paraId="5807386D" w14:textId="28F91F34"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14 787</w:t>
            </w:r>
          </w:p>
        </w:tc>
        <w:tc>
          <w:tcPr>
            <w:tcW w:w="710" w:type="dxa"/>
            <w:tcBorders>
              <w:top w:val="nil"/>
              <w:left w:val="nil"/>
              <w:bottom w:val="nil"/>
              <w:right w:val="nil"/>
            </w:tcBorders>
            <w:shd w:val="clear" w:color="auto" w:fill="auto"/>
            <w:noWrap/>
            <w:vAlign w:val="center"/>
            <w:hideMark/>
          </w:tcPr>
          <w:p w14:paraId="280C96B9" w14:textId="35D0F868" w:rsidR="00087E71" w:rsidRPr="0032233B" w:rsidRDefault="00087E71" w:rsidP="00087E71">
            <w:pPr>
              <w:spacing w:after="0" w:line="240" w:lineRule="auto"/>
              <w:jc w:val="right"/>
              <w:rPr>
                <w:rFonts w:cs="Arial"/>
                <w:color w:val="000000"/>
                <w:sz w:val="16"/>
                <w:szCs w:val="16"/>
              </w:rPr>
            </w:pPr>
            <w:r>
              <w:rPr>
                <w:rFonts w:cs="Arial"/>
                <w:color w:val="000000"/>
                <w:sz w:val="16"/>
                <w:szCs w:val="16"/>
              </w:rPr>
              <w:t>46 713</w:t>
            </w:r>
          </w:p>
        </w:tc>
        <w:tc>
          <w:tcPr>
            <w:tcW w:w="709" w:type="dxa"/>
            <w:tcBorders>
              <w:top w:val="nil"/>
              <w:left w:val="nil"/>
              <w:bottom w:val="nil"/>
              <w:right w:val="nil"/>
            </w:tcBorders>
            <w:shd w:val="clear" w:color="auto" w:fill="auto"/>
            <w:vAlign w:val="center"/>
            <w:hideMark/>
          </w:tcPr>
          <w:p w14:paraId="05FF0AFB" w14:textId="3B4645A5" w:rsidR="00087E71" w:rsidRPr="0032233B" w:rsidRDefault="00087E71" w:rsidP="00087E71">
            <w:pPr>
              <w:spacing w:after="0" w:line="240" w:lineRule="auto"/>
              <w:jc w:val="right"/>
              <w:rPr>
                <w:rFonts w:cs="Arial"/>
                <w:color w:val="000000"/>
                <w:sz w:val="16"/>
                <w:szCs w:val="16"/>
              </w:rPr>
            </w:pPr>
            <w:r>
              <w:rPr>
                <w:rFonts w:cs="Arial"/>
                <w:color w:val="000000"/>
                <w:sz w:val="16"/>
                <w:szCs w:val="16"/>
              </w:rPr>
              <w:t>32 102</w:t>
            </w:r>
          </w:p>
        </w:tc>
        <w:tc>
          <w:tcPr>
            <w:tcW w:w="709" w:type="dxa"/>
            <w:tcBorders>
              <w:top w:val="nil"/>
              <w:left w:val="nil"/>
              <w:bottom w:val="nil"/>
              <w:right w:val="single" w:sz="4" w:space="0" w:color="auto"/>
            </w:tcBorders>
            <w:shd w:val="clear" w:color="auto" w:fill="auto"/>
            <w:vAlign w:val="center"/>
            <w:hideMark/>
          </w:tcPr>
          <w:p w14:paraId="2454F582" w14:textId="6F7BB873"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14 611</w:t>
            </w:r>
          </w:p>
        </w:tc>
        <w:tc>
          <w:tcPr>
            <w:tcW w:w="710" w:type="dxa"/>
            <w:tcBorders>
              <w:top w:val="nil"/>
              <w:left w:val="nil"/>
              <w:bottom w:val="nil"/>
              <w:right w:val="nil"/>
            </w:tcBorders>
            <w:shd w:val="clear" w:color="auto" w:fill="auto"/>
            <w:vAlign w:val="center"/>
            <w:hideMark/>
          </w:tcPr>
          <w:p w14:paraId="6A5B4A26" w14:textId="171F6AA0" w:rsidR="00087E71" w:rsidRPr="0032233B" w:rsidRDefault="00087E71" w:rsidP="00087E71">
            <w:pPr>
              <w:spacing w:after="0" w:line="240" w:lineRule="auto"/>
              <w:jc w:val="right"/>
              <w:rPr>
                <w:rFonts w:cs="Arial"/>
                <w:color w:val="000000"/>
                <w:sz w:val="16"/>
                <w:szCs w:val="16"/>
              </w:rPr>
            </w:pPr>
            <w:r>
              <w:rPr>
                <w:rFonts w:cs="Arial"/>
                <w:color w:val="000000"/>
                <w:sz w:val="16"/>
                <w:szCs w:val="16"/>
              </w:rPr>
              <w:t>1 315</w:t>
            </w:r>
          </w:p>
        </w:tc>
        <w:tc>
          <w:tcPr>
            <w:tcW w:w="709" w:type="dxa"/>
            <w:tcBorders>
              <w:top w:val="nil"/>
              <w:left w:val="nil"/>
              <w:bottom w:val="nil"/>
              <w:right w:val="nil"/>
            </w:tcBorders>
            <w:shd w:val="clear" w:color="auto" w:fill="auto"/>
            <w:vAlign w:val="center"/>
            <w:hideMark/>
          </w:tcPr>
          <w:p w14:paraId="4B389069" w14:textId="5A21E0D2" w:rsidR="00087E71" w:rsidRPr="0032233B" w:rsidRDefault="00087E71" w:rsidP="00087E71">
            <w:pPr>
              <w:spacing w:after="0" w:line="240" w:lineRule="auto"/>
              <w:jc w:val="right"/>
              <w:rPr>
                <w:rFonts w:cs="Arial"/>
                <w:color w:val="000000"/>
                <w:sz w:val="16"/>
                <w:szCs w:val="16"/>
              </w:rPr>
            </w:pPr>
            <w:r>
              <w:rPr>
                <w:rFonts w:cs="Arial"/>
                <w:color w:val="000000"/>
                <w:sz w:val="16"/>
                <w:szCs w:val="16"/>
              </w:rPr>
              <w:t>1 088</w:t>
            </w:r>
          </w:p>
        </w:tc>
        <w:tc>
          <w:tcPr>
            <w:tcW w:w="709" w:type="dxa"/>
            <w:tcBorders>
              <w:top w:val="nil"/>
              <w:left w:val="nil"/>
              <w:bottom w:val="nil"/>
              <w:right w:val="single" w:sz="4" w:space="0" w:color="auto"/>
            </w:tcBorders>
            <w:shd w:val="clear" w:color="auto" w:fill="auto"/>
            <w:vAlign w:val="center"/>
            <w:hideMark/>
          </w:tcPr>
          <w:p w14:paraId="5408E89B" w14:textId="76981EEA" w:rsidR="00087E71" w:rsidRPr="0032233B" w:rsidRDefault="00087E71" w:rsidP="00087E71">
            <w:pPr>
              <w:spacing w:after="0" w:line="240" w:lineRule="auto"/>
              <w:jc w:val="right"/>
              <w:rPr>
                <w:rFonts w:cs="Arial"/>
                <w:color w:val="000000"/>
                <w:sz w:val="16"/>
                <w:szCs w:val="16"/>
              </w:rPr>
            </w:pPr>
            <w:r>
              <w:rPr>
                <w:rFonts w:cs="Arial"/>
                <w:color w:val="000000"/>
                <w:sz w:val="16"/>
                <w:szCs w:val="16"/>
              </w:rPr>
              <w:t>227</w:t>
            </w:r>
          </w:p>
        </w:tc>
        <w:tc>
          <w:tcPr>
            <w:tcW w:w="710" w:type="dxa"/>
            <w:tcBorders>
              <w:top w:val="nil"/>
              <w:left w:val="single" w:sz="4" w:space="0" w:color="auto"/>
              <w:bottom w:val="nil"/>
              <w:right w:val="nil"/>
            </w:tcBorders>
            <w:vAlign w:val="center"/>
          </w:tcPr>
          <w:p w14:paraId="74D061B0" w14:textId="6A2B356F" w:rsidR="00087E71" w:rsidRPr="0032233B" w:rsidRDefault="00087E71" w:rsidP="00087E71">
            <w:pPr>
              <w:spacing w:after="0" w:line="240" w:lineRule="auto"/>
              <w:jc w:val="right"/>
              <w:rPr>
                <w:rFonts w:cs="Arial"/>
                <w:sz w:val="16"/>
                <w:szCs w:val="16"/>
              </w:rPr>
            </w:pPr>
            <w:r>
              <w:rPr>
                <w:rFonts w:cs="Arial"/>
                <w:color w:val="000000"/>
                <w:sz w:val="16"/>
                <w:szCs w:val="16"/>
              </w:rPr>
              <w:t>104</w:t>
            </w:r>
          </w:p>
        </w:tc>
        <w:tc>
          <w:tcPr>
            <w:tcW w:w="709" w:type="dxa"/>
            <w:tcBorders>
              <w:top w:val="nil"/>
              <w:left w:val="nil"/>
              <w:bottom w:val="nil"/>
              <w:right w:val="nil"/>
            </w:tcBorders>
            <w:vAlign w:val="center"/>
          </w:tcPr>
          <w:p w14:paraId="7940A5E7" w14:textId="24414EC8" w:rsidR="00087E71" w:rsidRPr="0032233B" w:rsidRDefault="00087E71" w:rsidP="00087E71">
            <w:pPr>
              <w:spacing w:after="0" w:line="240" w:lineRule="auto"/>
              <w:jc w:val="right"/>
              <w:rPr>
                <w:rFonts w:cs="Arial"/>
                <w:sz w:val="16"/>
                <w:szCs w:val="16"/>
              </w:rPr>
            </w:pPr>
            <w:r>
              <w:rPr>
                <w:rFonts w:cs="Arial"/>
                <w:color w:val="000000"/>
                <w:sz w:val="16"/>
                <w:szCs w:val="16"/>
              </w:rPr>
              <w:t>101</w:t>
            </w:r>
          </w:p>
        </w:tc>
        <w:tc>
          <w:tcPr>
            <w:tcW w:w="709" w:type="dxa"/>
            <w:tcBorders>
              <w:top w:val="nil"/>
              <w:left w:val="nil"/>
              <w:bottom w:val="nil"/>
              <w:right w:val="nil"/>
            </w:tcBorders>
            <w:vAlign w:val="center"/>
          </w:tcPr>
          <w:p w14:paraId="4029909F" w14:textId="3354D1B7" w:rsidR="00087E71" w:rsidRPr="0032233B" w:rsidRDefault="00087E71" w:rsidP="00087E71">
            <w:pPr>
              <w:spacing w:after="0" w:line="240" w:lineRule="auto"/>
              <w:jc w:val="right"/>
              <w:rPr>
                <w:rFonts w:cs="Arial"/>
                <w:sz w:val="16"/>
                <w:szCs w:val="16"/>
              </w:rPr>
            </w:pPr>
            <w:r>
              <w:rPr>
                <w:rFonts w:cs="Arial"/>
                <w:color w:val="000000"/>
                <w:sz w:val="16"/>
                <w:szCs w:val="16"/>
              </w:rPr>
              <w:t>3</w:t>
            </w:r>
          </w:p>
        </w:tc>
      </w:tr>
      <w:tr w:rsidR="00087E71" w:rsidRPr="0032233B" w14:paraId="311FFD2C" w14:textId="77777777" w:rsidTr="00087E71">
        <w:trPr>
          <w:trHeight w:val="300"/>
        </w:trPr>
        <w:tc>
          <w:tcPr>
            <w:tcW w:w="1077" w:type="dxa"/>
            <w:tcBorders>
              <w:top w:val="nil"/>
              <w:left w:val="nil"/>
              <w:bottom w:val="nil"/>
              <w:right w:val="single" w:sz="4" w:space="0" w:color="auto"/>
            </w:tcBorders>
            <w:shd w:val="clear" w:color="auto" w:fill="auto"/>
            <w:vAlign w:val="center"/>
            <w:hideMark/>
          </w:tcPr>
          <w:p w14:paraId="65C3F4E5" w14:textId="4F2E9503" w:rsidR="00087E71" w:rsidRPr="0032233B" w:rsidRDefault="00087E71" w:rsidP="00087E71">
            <w:pPr>
              <w:spacing w:after="0" w:line="240" w:lineRule="auto"/>
              <w:jc w:val="center"/>
              <w:rPr>
                <w:rFonts w:cs="Arial"/>
                <w:color w:val="000000"/>
                <w:sz w:val="16"/>
                <w:szCs w:val="16"/>
              </w:rPr>
            </w:pPr>
            <w:r>
              <w:rPr>
                <w:rFonts w:cs="Arial"/>
                <w:color w:val="000000"/>
                <w:sz w:val="16"/>
                <w:szCs w:val="16"/>
              </w:rPr>
              <w:t>2017</w:t>
            </w:r>
          </w:p>
        </w:tc>
        <w:tc>
          <w:tcPr>
            <w:tcW w:w="710" w:type="dxa"/>
            <w:tcBorders>
              <w:top w:val="nil"/>
              <w:left w:val="nil"/>
              <w:bottom w:val="nil"/>
              <w:right w:val="nil"/>
            </w:tcBorders>
            <w:shd w:val="clear" w:color="auto" w:fill="auto"/>
            <w:noWrap/>
            <w:vAlign w:val="center"/>
            <w:hideMark/>
          </w:tcPr>
          <w:p w14:paraId="2996ED27" w14:textId="21D2E14B" w:rsidR="00087E71" w:rsidRPr="0032233B" w:rsidRDefault="00087E71" w:rsidP="00087E71">
            <w:pPr>
              <w:spacing w:after="0" w:line="240" w:lineRule="auto"/>
              <w:jc w:val="right"/>
              <w:rPr>
                <w:rFonts w:cs="Arial"/>
                <w:color w:val="000000"/>
                <w:sz w:val="16"/>
                <w:szCs w:val="16"/>
              </w:rPr>
            </w:pPr>
            <w:r>
              <w:rPr>
                <w:rFonts w:cs="Arial"/>
                <w:color w:val="000000"/>
                <w:sz w:val="16"/>
                <w:szCs w:val="16"/>
              </w:rPr>
              <w:t>47 491</w:t>
            </w:r>
          </w:p>
        </w:tc>
        <w:tc>
          <w:tcPr>
            <w:tcW w:w="709" w:type="dxa"/>
            <w:tcBorders>
              <w:top w:val="nil"/>
              <w:left w:val="nil"/>
              <w:bottom w:val="nil"/>
              <w:right w:val="nil"/>
            </w:tcBorders>
            <w:shd w:val="clear" w:color="auto" w:fill="auto"/>
            <w:noWrap/>
            <w:vAlign w:val="center"/>
            <w:hideMark/>
          </w:tcPr>
          <w:p w14:paraId="1E14C397" w14:textId="1EA8DE31" w:rsidR="00087E71" w:rsidRPr="0032233B" w:rsidRDefault="00087E71" w:rsidP="00087E71">
            <w:pPr>
              <w:spacing w:after="0" w:line="240" w:lineRule="auto"/>
              <w:jc w:val="right"/>
              <w:rPr>
                <w:rFonts w:cs="Arial"/>
                <w:color w:val="000000"/>
                <w:sz w:val="16"/>
                <w:szCs w:val="16"/>
              </w:rPr>
            </w:pPr>
            <w:r>
              <w:rPr>
                <w:rFonts w:cs="Arial"/>
                <w:color w:val="000000"/>
                <w:sz w:val="16"/>
                <w:szCs w:val="16"/>
              </w:rPr>
              <w:t>32 575</w:t>
            </w:r>
          </w:p>
        </w:tc>
        <w:tc>
          <w:tcPr>
            <w:tcW w:w="709" w:type="dxa"/>
            <w:tcBorders>
              <w:top w:val="nil"/>
              <w:left w:val="nil"/>
              <w:bottom w:val="nil"/>
              <w:right w:val="single" w:sz="4" w:space="0" w:color="auto"/>
            </w:tcBorders>
            <w:shd w:val="clear" w:color="auto" w:fill="auto"/>
            <w:noWrap/>
            <w:vAlign w:val="center"/>
            <w:hideMark/>
          </w:tcPr>
          <w:p w14:paraId="1DA04A34" w14:textId="4CFEF122"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14 916</w:t>
            </w:r>
          </w:p>
        </w:tc>
        <w:tc>
          <w:tcPr>
            <w:tcW w:w="710" w:type="dxa"/>
            <w:tcBorders>
              <w:top w:val="nil"/>
              <w:left w:val="nil"/>
              <w:bottom w:val="nil"/>
              <w:right w:val="nil"/>
            </w:tcBorders>
            <w:shd w:val="clear" w:color="auto" w:fill="auto"/>
            <w:noWrap/>
            <w:vAlign w:val="center"/>
            <w:hideMark/>
          </w:tcPr>
          <w:p w14:paraId="294B7845" w14:textId="19072529" w:rsidR="00087E71" w:rsidRPr="0032233B" w:rsidRDefault="00087E71" w:rsidP="00087E71">
            <w:pPr>
              <w:spacing w:after="0" w:line="240" w:lineRule="auto"/>
              <w:jc w:val="right"/>
              <w:rPr>
                <w:rFonts w:cs="Arial"/>
                <w:color w:val="000000"/>
                <w:sz w:val="16"/>
                <w:szCs w:val="16"/>
              </w:rPr>
            </w:pPr>
            <w:r>
              <w:rPr>
                <w:rFonts w:cs="Arial"/>
                <w:color w:val="000000"/>
                <w:sz w:val="16"/>
                <w:szCs w:val="16"/>
              </w:rPr>
              <w:t>46 870</w:t>
            </w:r>
          </w:p>
        </w:tc>
        <w:tc>
          <w:tcPr>
            <w:tcW w:w="709" w:type="dxa"/>
            <w:tcBorders>
              <w:top w:val="nil"/>
              <w:left w:val="nil"/>
              <w:bottom w:val="nil"/>
              <w:right w:val="nil"/>
            </w:tcBorders>
            <w:shd w:val="clear" w:color="auto" w:fill="auto"/>
            <w:vAlign w:val="center"/>
            <w:hideMark/>
          </w:tcPr>
          <w:p w14:paraId="4F51BE91" w14:textId="46DEFCF0" w:rsidR="00087E71" w:rsidRPr="0032233B" w:rsidRDefault="00087E71" w:rsidP="00087E71">
            <w:pPr>
              <w:spacing w:after="0" w:line="240" w:lineRule="auto"/>
              <w:jc w:val="right"/>
              <w:rPr>
                <w:rFonts w:cs="Arial"/>
                <w:color w:val="000000"/>
                <w:sz w:val="16"/>
                <w:szCs w:val="16"/>
              </w:rPr>
            </w:pPr>
            <w:r>
              <w:rPr>
                <w:rFonts w:cs="Arial"/>
                <w:color w:val="000000"/>
                <w:sz w:val="16"/>
                <w:szCs w:val="16"/>
              </w:rPr>
              <w:t>32 120</w:t>
            </w:r>
          </w:p>
        </w:tc>
        <w:tc>
          <w:tcPr>
            <w:tcW w:w="709" w:type="dxa"/>
            <w:tcBorders>
              <w:top w:val="nil"/>
              <w:left w:val="nil"/>
              <w:bottom w:val="nil"/>
              <w:right w:val="single" w:sz="4" w:space="0" w:color="auto"/>
            </w:tcBorders>
            <w:shd w:val="clear" w:color="auto" w:fill="auto"/>
            <w:vAlign w:val="center"/>
            <w:hideMark/>
          </w:tcPr>
          <w:p w14:paraId="0E088FCE" w14:textId="06E0C556"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14 750</w:t>
            </w:r>
          </w:p>
        </w:tc>
        <w:tc>
          <w:tcPr>
            <w:tcW w:w="710" w:type="dxa"/>
            <w:tcBorders>
              <w:top w:val="nil"/>
              <w:left w:val="nil"/>
              <w:bottom w:val="nil"/>
              <w:right w:val="nil"/>
            </w:tcBorders>
            <w:shd w:val="clear" w:color="auto" w:fill="auto"/>
            <w:vAlign w:val="center"/>
            <w:hideMark/>
          </w:tcPr>
          <w:p w14:paraId="79817E1E" w14:textId="11BD99DD" w:rsidR="00087E71" w:rsidRPr="0032233B" w:rsidRDefault="00087E71" w:rsidP="00087E71">
            <w:pPr>
              <w:spacing w:after="0" w:line="240" w:lineRule="auto"/>
              <w:jc w:val="right"/>
              <w:rPr>
                <w:rFonts w:cs="Arial"/>
                <w:color w:val="000000"/>
                <w:sz w:val="16"/>
                <w:szCs w:val="16"/>
              </w:rPr>
            </w:pPr>
            <w:r>
              <w:rPr>
                <w:rFonts w:cs="Arial"/>
                <w:color w:val="000000"/>
                <w:sz w:val="16"/>
                <w:szCs w:val="16"/>
              </w:rPr>
              <w:t>1 146</w:t>
            </w:r>
          </w:p>
        </w:tc>
        <w:tc>
          <w:tcPr>
            <w:tcW w:w="709" w:type="dxa"/>
            <w:tcBorders>
              <w:top w:val="nil"/>
              <w:left w:val="nil"/>
              <w:bottom w:val="nil"/>
              <w:right w:val="nil"/>
            </w:tcBorders>
            <w:shd w:val="clear" w:color="auto" w:fill="auto"/>
            <w:vAlign w:val="center"/>
            <w:hideMark/>
          </w:tcPr>
          <w:p w14:paraId="77D02C26" w14:textId="5A0571B6" w:rsidR="00087E71" w:rsidRPr="0032233B" w:rsidRDefault="00087E71" w:rsidP="00087E71">
            <w:pPr>
              <w:spacing w:after="0" w:line="240" w:lineRule="auto"/>
              <w:jc w:val="right"/>
              <w:rPr>
                <w:rFonts w:cs="Arial"/>
                <w:color w:val="000000"/>
                <w:sz w:val="16"/>
                <w:szCs w:val="16"/>
              </w:rPr>
            </w:pPr>
            <w:r>
              <w:rPr>
                <w:rFonts w:cs="Arial"/>
                <w:color w:val="000000"/>
                <w:sz w:val="16"/>
                <w:szCs w:val="16"/>
              </w:rPr>
              <w:t>964</w:t>
            </w:r>
          </w:p>
        </w:tc>
        <w:tc>
          <w:tcPr>
            <w:tcW w:w="709" w:type="dxa"/>
            <w:tcBorders>
              <w:top w:val="nil"/>
              <w:left w:val="nil"/>
              <w:bottom w:val="nil"/>
              <w:right w:val="single" w:sz="4" w:space="0" w:color="auto"/>
            </w:tcBorders>
            <w:shd w:val="clear" w:color="auto" w:fill="auto"/>
            <w:vAlign w:val="center"/>
            <w:hideMark/>
          </w:tcPr>
          <w:p w14:paraId="083A9356" w14:textId="7372923C" w:rsidR="00087E71" w:rsidRPr="0032233B" w:rsidRDefault="00087E71" w:rsidP="00087E71">
            <w:pPr>
              <w:spacing w:after="0" w:line="240" w:lineRule="auto"/>
              <w:jc w:val="right"/>
              <w:rPr>
                <w:rFonts w:cs="Arial"/>
                <w:color w:val="000000"/>
                <w:sz w:val="16"/>
                <w:szCs w:val="16"/>
              </w:rPr>
            </w:pPr>
            <w:r>
              <w:rPr>
                <w:rFonts w:cs="Arial"/>
                <w:color w:val="000000"/>
                <w:sz w:val="16"/>
                <w:szCs w:val="16"/>
              </w:rPr>
              <w:t>182</w:t>
            </w:r>
          </w:p>
        </w:tc>
        <w:tc>
          <w:tcPr>
            <w:tcW w:w="710" w:type="dxa"/>
            <w:tcBorders>
              <w:top w:val="nil"/>
              <w:left w:val="single" w:sz="4" w:space="0" w:color="auto"/>
              <w:bottom w:val="nil"/>
              <w:right w:val="nil"/>
            </w:tcBorders>
            <w:vAlign w:val="center"/>
          </w:tcPr>
          <w:p w14:paraId="4A330283" w14:textId="5F06B38A" w:rsidR="00087E71" w:rsidRPr="0032233B" w:rsidRDefault="00087E71" w:rsidP="00087E71">
            <w:pPr>
              <w:spacing w:after="0" w:line="240" w:lineRule="auto"/>
              <w:jc w:val="right"/>
              <w:rPr>
                <w:rFonts w:cs="Arial"/>
                <w:sz w:val="16"/>
                <w:szCs w:val="16"/>
              </w:rPr>
            </w:pPr>
            <w:r>
              <w:rPr>
                <w:rFonts w:cs="Arial"/>
                <w:color w:val="000000"/>
                <w:sz w:val="16"/>
                <w:szCs w:val="16"/>
              </w:rPr>
              <w:t>95</w:t>
            </w:r>
          </w:p>
        </w:tc>
        <w:tc>
          <w:tcPr>
            <w:tcW w:w="709" w:type="dxa"/>
            <w:tcBorders>
              <w:top w:val="nil"/>
              <w:left w:val="nil"/>
              <w:bottom w:val="nil"/>
              <w:right w:val="nil"/>
            </w:tcBorders>
            <w:vAlign w:val="center"/>
          </w:tcPr>
          <w:p w14:paraId="21F4453E" w14:textId="0BE7D73A" w:rsidR="00087E71" w:rsidRPr="0032233B" w:rsidRDefault="00087E71" w:rsidP="00087E71">
            <w:pPr>
              <w:spacing w:after="0" w:line="240" w:lineRule="auto"/>
              <w:jc w:val="right"/>
              <w:rPr>
                <w:rFonts w:cs="Arial"/>
                <w:sz w:val="16"/>
                <w:szCs w:val="16"/>
              </w:rPr>
            </w:pPr>
            <w:r>
              <w:rPr>
                <w:rFonts w:cs="Arial"/>
                <w:color w:val="000000"/>
                <w:sz w:val="16"/>
                <w:szCs w:val="16"/>
              </w:rPr>
              <w:t>91</w:t>
            </w:r>
          </w:p>
        </w:tc>
        <w:tc>
          <w:tcPr>
            <w:tcW w:w="709" w:type="dxa"/>
            <w:tcBorders>
              <w:top w:val="nil"/>
              <w:left w:val="nil"/>
              <w:bottom w:val="nil"/>
              <w:right w:val="nil"/>
            </w:tcBorders>
            <w:vAlign w:val="center"/>
          </w:tcPr>
          <w:p w14:paraId="33111359" w14:textId="0BDDBFE3" w:rsidR="00087E71" w:rsidRPr="0032233B" w:rsidRDefault="00087E71" w:rsidP="00087E71">
            <w:pPr>
              <w:spacing w:after="0" w:line="240" w:lineRule="auto"/>
              <w:jc w:val="right"/>
              <w:rPr>
                <w:rFonts w:cs="Arial"/>
                <w:sz w:val="16"/>
                <w:szCs w:val="16"/>
              </w:rPr>
            </w:pPr>
            <w:r>
              <w:rPr>
                <w:rFonts w:cs="Arial"/>
                <w:color w:val="000000"/>
                <w:sz w:val="16"/>
                <w:szCs w:val="16"/>
              </w:rPr>
              <w:t>4</w:t>
            </w:r>
          </w:p>
        </w:tc>
      </w:tr>
      <w:tr w:rsidR="00087E71" w:rsidRPr="0032233B" w14:paraId="0DCA772B" w14:textId="77777777" w:rsidTr="00087E71">
        <w:trPr>
          <w:trHeight w:val="300"/>
        </w:trPr>
        <w:tc>
          <w:tcPr>
            <w:tcW w:w="1077" w:type="dxa"/>
            <w:tcBorders>
              <w:top w:val="nil"/>
              <w:left w:val="nil"/>
              <w:bottom w:val="nil"/>
              <w:right w:val="single" w:sz="4" w:space="0" w:color="auto"/>
            </w:tcBorders>
            <w:shd w:val="clear" w:color="auto" w:fill="auto"/>
            <w:vAlign w:val="center"/>
            <w:hideMark/>
          </w:tcPr>
          <w:p w14:paraId="33405189" w14:textId="726301DE" w:rsidR="00087E71" w:rsidRPr="0032233B" w:rsidRDefault="00087E71" w:rsidP="00087E71">
            <w:pPr>
              <w:spacing w:after="0" w:line="240" w:lineRule="auto"/>
              <w:jc w:val="center"/>
              <w:rPr>
                <w:rFonts w:cs="Arial"/>
                <w:color w:val="000000"/>
                <w:sz w:val="16"/>
                <w:szCs w:val="16"/>
              </w:rPr>
            </w:pPr>
            <w:r>
              <w:rPr>
                <w:rFonts w:cs="Arial"/>
                <w:color w:val="000000"/>
                <w:sz w:val="16"/>
                <w:szCs w:val="16"/>
              </w:rPr>
              <w:t>2018</w:t>
            </w:r>
          </w:p>
        </w:tc>
        <w:tc>
          <w:tcPr>
            <w:tcW w:w="710" w:type="dxa"/>
            <w:tcBorders>
              <w:top w:val="nil"/>
              <w:left w:val="nil"/>
              <w:bottom w:val="nil"/>
              <w:right w:val="nil"/>
            </w:tcBorders>
            <w:shd w:val="clear" w:color="auto" w:fill="auto"/>
            <w:noWrap/>
            <w:vAlign w:val="center"/>
            <w:hideMark/>
          </w:tcPr>
          <w:p w14:paraId="4584B25C" w14:textId="7CD2794A" w:rsidR="00087E71" w:rsidRPr="0032233B" w:rsidRDefault="00087E71" w:rsidP="00087E71">
            <w:pPr>
              <w:spacing w:after="0" w:line="240" w:lineRule="auto"/>
              <w:jc w:val="right"/>
              <w:rPr>
                <w:rFonts w:cs="Arial"/>
                <w:color w:val="000000"/>
                <w:sz w:val="16"/>
                <w:szCs w:val="16"/>
              </w:rPr>
            </w:pPr>
            <w:r>
              <w:rPr>
                <w:rFonts w:cs="Arial"/>
                <w:color w:val="000000"/>
                <w:sz w:val="16"/>
                <w:szCs w:val="16"/>
              </w:rPr>
              <w:t>46 223</w:t>
            </w:r>
          </w:p>
        </w:tc>
        <w:tc>
          <w:tcPr>
            <w:tcW w:w="709" w:type="dxa"/>
            <w:tcBorders>
              <w:top w:val="nil"/>
              <w:left w:val="nil"/>
              <w:bottom w:val="nil"/>
              <w:right w:val="nil"/>
            </w:tcBorders>
            <w:shd w:val="clear" w:color="auto" w:fill="auto"/>
            <w:noWrap/>
            <w:vAlign w:val="center"/>
            <w:hideMark/>
          </w:tcPr>
          <w:p w14:paraId="0EBB591A" w14:textId="325793BD" w:rsidR="00087E71" w:rsidRPr="0032233B" w:rsidRDefault="00087E71" w:rsidP="00087E71">
            <w:pPr>
              <w:spacing w:after="0" w:line="240" w:lineRule="auto"/>
              <w:jc w:val="right"/>
              <w:rPr>
                <w:rFonts w:cs="Arial"/>
                <w:color w:val="000000"/>
                <w:sz w:val="16"/>
                <w:szCs w:val="16"/>
              </w:rPr>
            </w:pPr>
            <w:r>
              <w:rPr>
                <w:rFonts w:cs="Arial"/>
                <w:color w:val="000000"/>
                <w:sz w:val="16"/>
                <w:szCs w:val="16"/>
              </w:rPr>
              <w:t>31 340</w:t>
            </w:r>
          </w:p>
        </w:tc>
        <w:tc>
          <w:tcPr>
            <w:tcW w:w="709" w:type="dxa"/>
            <w:tcBorders>
              <w:top w:val="nil"/>
              <w:left w:val="nil"/>
              <w:bottom w:val="nil"/>
              <w:right w:val="single" w:sz="4" w:space="0" w:color="auto"/>
            </w:tcBorders>
            <w:shd w:val="clear" w:color="auto" w:fill="auto"/>
            <w:noWrap/>
            <w:vAlign w:val="center"/>
            <w:hideMark/>
          </w:tcPr>
          <w:p w14:paraId="44560094" w14:textId="6CE43557"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14 883</w:t>
            </w:r>
          </w:p>
        </w:tc>
        <w:tc>
          <w:tcPr>
            <w:tcW w:w="710" w:type="dxa"/>
            <w:tcBorders>
              <w:top w:val="nil"/>
              <w:left w:val="nil"/>
              <w:bottom w:val="nil"/>
              <w:right w:val="nil"/>
            </w:tcBorders>
            <w:shd w:val="clear" w:color="auto" w:fill="auto"/>
            <w:noWrap/>
            <w:vAlign w:val="center"/>
            <w:hideMark/>
          </w:tcPr>
          <w:p w14:paraId="32610835" w14:textId="527744B6" w:rsidR="00087E71" w:rsidRPr="0032233B" w:rsidRDefault="00087E71" w:rsidP="00087E71">
            <w:pPr>
              <w:spacing w:after="0" w:line="240" w:lineRule="auto"/>
              <w:jc w:val="right"/>
              <w:rPr>
                <w:rFonts w:cs="Arial"/>
                <w:color w:val="000000"/>
                <w:sz w:val="16"/>
                <w:szCs w:val="16"/>
              </w:rPr>
            </w:pPr>
            <w:r>
              <w:rPr>
                <w:rFonts w:cs="Arial"/>
                <w:color w:val="000000"/>
                <w:sz w:val="16"/>
                <w:szCs w:val="16"/>
              </w:rPr>
              <w:t>45 666</w:t>
            </w:r>
          </w:p>
        </w:tc>
        <w:tc>
          <w:tcPr>
            <w:tcW w:w="709" w:type="dxa"/>
            <w:tcBorders>
              <w:top w:val="nil"/>
              <w:left w:val="nil"/>
              <w:bottom w:val="nil"/>
              <w:right w:val="nil"/>
            </w:tcBorders>
            <w:shd w:val="clear" w:color="auto" w:fill="auto"/>
            <w:vAlign w:val="center"/>
            <w:hideMark/>
          </w:tcPr>
          <w:p w14:paraId="4F8495F2" w14:textId="788A34E7" w:rsidR="00087E71" w:rsidRPr="0032233B" w:rsidRDefault="00087E71" w:rsidP="00087E71">
            <w:pPr>
              <w:spacing w:after="0" w:line="240" w:lineRule="auto"/>
              <w:jc w:val="right"/>
              <w:rPr>
                <w:rFonts w:cs="Arial"/>
                <w:color w:val="000000"/>
                <w:sz w:val="16"/>
                <w:szCs w:val="16"/>
              </w:rPr>
            </w:pPr>
            <w:r>
              <w:rPr>
                <w:rFonts w:cs="Arial"/>
                <w:color w:val="000000"/>
                <w:sz w:val="16"/>
                <w:szCs w:val="16"/>
              </w:rPr>
              <w:t>30 947</w:t>
            </w:r>
          </w:p>
        </w:tc>
        <w:tc>
          <w:tcPr>
            <w:tcW w:w="709" w:type="dxa"/>
            <w:tcBorders>
              <w:top w:val="nil"/>
              <w:left w:val="nil"/>
              <w:bottom w:val="nil"/>
              <w:right w:val="single" w:sz="4" w:space="0" w:color="auto"/>
            </w:tcBorders>
            <w:shd w:val="clear" w:color="auto" w:fill="auto"/>
            <w:vAlign w:val="center"/>
            <w:hideMark/>
          </w:tcPr>
          <w:p w14:paraId="2C7943B3" w14:textId="044BA15D"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14 719</w:t>
            </w:r>
          </w:p>
        </w:tc>
        <w:tc>
          <w:tcPr>
            <w:tcW w:w="710" w:type="dxa"/>
            <w:tcBorders>
              <w:top w:val="nil"/>
              <w:left w:val="nil"/>
              <w:bottom w:val="nil"/>
              <w:right w:val="nil"/>
            </w:tcBorders>
            <w:shd w:val="clear" w:color="auto" w:fill="auto"/>
            <w:vAlign w:val="center"/>
            <w:hideMark/>
          </w:tcPr>
          <w:p w14:paraId="4326FB40" w14:textId="3A153474" w:rsidR="00087E71" w:rsidRPr="0032233B" w:rsidRDefault="00087E71" w:rsidP="00087E71">
            <w:pPr>
              <w:spacing w:after="0" w:line="240" w:lineRule="auto"/>
              <w:jc w:val="right"/>
              <w:rPr>
                <w:rFonts w:cs="Arial"/>
                <w:color w:val="000000"/>
                <w:sz w:val="16"/>
                <w:szCs w:val="16"/>
              </w:rPr>
            </w:pPr>
            <w:r>
              <w:rPr>
                <w:rFonts w:cs="Arial"/>
                <w:color w:val="000000"/>
                <w:sz w:val="16"/>
                <w:szCs w:val="16"/>
              </w:rPr>
              <w:t>1 148</w:t>
            </w:r>
          </w:p>
        </w:tc>
        <w:tc>
          <w:tcPr>
            <w:tcW w:w="709" w:type="dxa"/>
            <w:tcBorders>
              <w:top w:val="nil"/>
              <w:left w:val="nil"/>
              <w:bottom w:val="nil"/>
              <w:right w:val="nil"/>
            </w:tcBorders>
            <w:shd w:val="clear" w:color="auto" w:fill="auto"/>
            <w:vAlign w:val="center"/>
            <w:hideMark/>
          </w:tcPr>
          <w:p w14:paraId="49819C31" w14:textId="01A5FE97" w:rsidR="00087E71" w:rsidRPr="0032233B" w:rsidRDefault="00087E71" w:rsidP="00087E71">
            <w:pPr>
              <w:spacing w:after="0" w:line="240" w:lineRule="auto"/>
              <w:jc w:val="right"/>
              <w:rPr>
                <w:rFonts w:cs="Arial"/>
                <w:color w:val="000000"/>
                <w:sz w:val="16"/>
                <w:szCs w:val="16"/>
              </w:rPr>
            </w:pPr>
            <w:r>
              <w:rPr>
                <w:rFonts w:cs="Arial"/>
                <w:color w:val="000000"/>
                <w:sz w:val="16"/>
                <w:szCs w:val="16"/>
              </w:rPr>
              <w:t>933</w:t>
            </w:r>
          </w:p>
        </w:tc>
        <w:tc>
          <w:tcPr>
            <w:tcW w:w="709" w:type="dxa"/>
            <w:tcBorders>
              <w:top w:val="nil"/>
              <w:left w:val="nil"/>
              <w:bottom w:val="nil"/>
              <w:right w:val="single" w:sz="4" w:space="0" w:color="auto"/>
            </w:tcBorders>
            <w:shd w:val="clear" w:color="auto" w:fill="auto"/>
            <w:vAlign w:val="center"/>
            <w:hideMark/>
          </w:tcPr>
          <w:p w14:paraId="0C51EAC1" w14:textId="0F27A1B8" w:rsidR="00087E71" w:rsidRPr="0032233B" w:rsidRDefault="00087E71" w:rsidP="00087E71">
            <w:pPr>
              <w:spacing w:after="0" w:line="240" w:lineRule="auto"/>
              <w:jc w:val="right"/>
              <w:rPr>
                <w:rFonts w:cs="Arial"/>
                <w:color w:val="000000"/>
                <w:sz w:val="16"/>
                <w:szCs w:val="16"/>
              </w:rPr>
            </w:pPr>
            <w:r>
              <w:rPr>
                <w:rFonts w:cs="Arial"/>
                <w:color w:val="000000"/>
                <w:sz w:val="16"/>
                <w:szCs w:val="16"/>
              </w:rPr>
              <w:t>215</w:t>
            </w:r>
          </w:p>
        </w:tc>
        <w:tc>
          <w:tcPr>
            <w:tcW w:w="710" w:type="dxa"/>
            <w:tcBorders>
              <w:top w:val="nil"/>
              <w:left w:val="single" w:sz="4" w:space="0" w:color="auto"/>
              <w:bottom w:val="nil"/>
              <w:right w:val="nil"/>
            </w:tcBorders>
            <w:vAlign w:val="center"/>
          </w:tcPr>
          <w:p w14:paraId="3DA7B79E" w14:textId="3B8EA1A6" w:rsidR="00087E71" w:rsidRPr="0032233B" w:rsidRDefault="00087E71" w:rsidP="00087E71">
            <w:pPr>
              <w:spacing w:after="0" w:line="240" w:lineRule="auto"/>
              <w:jc w:val="right"/>
              <w:rPr>
                <w:rFonts w:cs="Arial"/>
                <w:sz w:val="16"/>
                <w:szCs w:val="16"/>
              </w:rPr>
            </w:pPr>
            <w:r>
              <w:rPr>
                <w:rFonts w:cs="Arial"/>
                <w:color w:val="000000"/>
                <w:sz w:val="16"/>
                <w:szCs w:val="16"/>
              </w:rPr>
              <w:t>123</w:t>
            </w:r>
          </w:p>
        </w:tc>
        <w:tc>
          <w:tcPr>
            <w:tcW w:w="709" w:type="dxa"/>
            <w:tcBorders>
              <w:top w:val="nil"/>
              <w:left w:val="nil"/>
              <w:bottom w:val="nil"/>
              <w:right w:val="nil"/>
            </w:tcBorders>
            <w:vAlign w:val="center"/>
          </w:tcPr>
          <w:p w14:paraId="663C0981" w14:textId="405ED690" w:rsidR="00087E71" w:rsidRPr="0032233B" w:rsidRDefault="00087E71" w:rsidP="00087E71">
            <w:pPr>
              <w:spacing w:after="0" w:line="240" w:lineRule="auto"/>
              <w:jc w:val="right"/>
              <w:rPr>
                <w:rFonts w:cs="Arial"/>
                <w:sz w:val="16"/>
                <w:szCs w:val="16"/>
              </w:rPr>
            </w:pPr>
            <w:r>
              <w:rPr>
                <w:rFonts w:cs="Arial"/>
                <w:color w:val="000000"/>
                <w:sz w:val="16"/>
                <w:szCs w:val="16"/>
              </w:rPr>
              <w:t>117</w:t>
            </w:r>
          </w:p>
        </w:tc>
        <w:tc>
          <w:tcPr>
            <w:tcW w:w="709" w:type="dxa"/>
            <w:tcBorders>
              <w:top w:val="nil"/>
              <w:left w:val="nil"/>
              <w:bottom w:val="nil"/>
              <w:right w:val="nil"/>
            </w:tcBorders>
            <w:vAlign w:val="center"/>
          </w:tcPr>
          <w:p w14:paraId="2845834A" w14:textId="49A1F9C1" w:rsidR="00087E71" w:rsidRPr="0032233B" w:rsidRDefault="00087E71" w:rsidP="00087E71">
            <w:pPr>
              <w:spacing w:after="0" w:line="240" w:lineRule="auto"/>
              <w:jc w:val="right"/>
              <w:rPr>
                <w:rFonts w:cs="Arial"/>
                <w:sz w:val="16"/>
                <w:szCs w:val="16"/>
              </w:rPr>
            </w:pPr>
            <w:r>
              <w:rPr>
                <w:rFonts w:cs="Arial"/>
                <w:color w:val="000000"/>
                <w:sz w:val="16"/>
                <w:szCs w:val="16"/>
              </w:rPr>
              <w:t>6</w:t>
            </w:r>
          </w:p>
        </w:tc>
      </w:tr>
      <w:tr w:rsidR="00087E71" w:rsidRPr="0032233B" w14:paraId="269F3CA8" w14:textId="77777777" w:rsidTr="00087E71">
        <w:trPr>
          <w:trHeight w:val="300"/>
        </w:trPr>
        <w:tc>
          <w:tcPr>
            <w:tcW w:w="1077" w:type="dxa"/>
            <w:tcBorders>
              <w:top w:val="nil"/>
              <w:left w:val="nil"/>
              <w:bottom w:val="nil"/>
              <w:right w:val="single" w:sz="4" w:space="0" w:color="auto"/>
            </w:tcBorders>
            <w:shd w:val="clear" w:color="auto" w:fill="auto"/>
            <w:vAlign w:val="center"/>
            <w:hideMark/>
          </w:tcPr>
          <w:p w14:paraId="2B4A5276" w14:textId="5BAB5122" w:rsidR="00087E71" w:rsidRPr="0032233B" w:rsidRDefault="00087E71" w:rsidP="00087E71">
            <w:pPr>
              <w:spacing w:after="0" w:line="240" w:lineRule="auto"/>
              <w:jc w:val="center"/>
              <w:rPr>
                <w:rFonts w:cs="Arial"/>
                <w:color w:val="000000"/>
                <w:sz w:val="16"/>
                <w:szCs w:val="16"/>
              </w:rPr>
            </w:pPr>
            <w:r>
              <w:rPr>
                <w:rFonts w:cs="Arial"/>
                <w:color w:val="000000"/>
                <w:sz w:val="16"/>
                <w:szCs w:val="16"/>
              </w:rPr>
              <w:t>2019</w:t>
            </w:r>
          </w:p>
        </w:tc>
        <w:tc>
          <w:tcPr>
            <w:tcW w:w="710" w:type="dxa"/>
            <w:tcBorders>
              <w:top w:val="nil"/>
              <w:left w:val="nil"/>
              <w:bottom w:val="nil"/>
              <w:right w:val="nil"/>
            </w:tcBorders>
            <w:shd w:val="clear" w:color="auto" w:fill="auto"/>
            <w:vAlign w:val="center"/>
            <w:hideMark/>
          </w:tcPr>
          <w:p w14:paraId="5D4A484A" w14:textId="02413986" w:rsidR="00087E71" w:rsidRPr="0032233B" w:rsidRDefault="00087E71" w:rsidP="00087E71">
            <w:pPr>
              <w:spacing w:after="0" w:line="240" w:lineRule="auto"/>
              <w:jc w:val="right"/>
              <w:rPr>
                <w:rFonts w:cs="Arial"/>
                <w:color w:val="000000"/>
                <w:sz w:val="16"/>
                <w:szCs w:val="16"/>
              </w:rPr>
            </w:pPr>
            <w:r>
              <w:rPr>
                <w:rFonts w:cs="Arial"/>
                <w:color w:val="000000"/>
                <w:sz w:val="16"/>
                <w:szCs w:val="16"/>
              </w:rPr>
              <w:t>44 552</w:t>
            </w:r>
          </w:p>
        </w:tc>
        <w:tc>
          <w:tcPr>
            <w:tcW w:w="709" w:type="dxa"/>
            <w:tcBorders>
              <w:top w:val="nil"/>
              <w:left w:val="nil"/>
              <w:bottom w:val="nil"/>
              <w:right w:val="nil"/>
            </w:tcBorders>
            <w:shd w:val="clear" w:color="auto" w:fill="auto"/>
            <w:noWrap/>
            <w:vAlign w:val="center"/>
            <w:hideMark/>
          </w:tcPr>
          <w:p w14:paraId="05C42D68" w14:textId="4507CF73" w:rsidR="00087E71" w:rsidRPr="0032233B" w:rsidRDefault="00087E71" w:rsidP="00087E71">
            <w:pPr>
              <w:spacing w:after="0" w:line="240" w:lineRule="auto"/>
              <w:jc w:val="right"/>
              <w:rPr>
                <w:rFonts w:cs="Arial"/>
                <w:color w:val="000000"/>
                <w:sz w:val="16"/>
                <w:szCs w:val="16"/>
              </w:rPr>
            </w:pPr>
            <w:r>
              <w:rPr>
                <w:rFonts w:cs="Arial"/>
                <w:color w:val="000000"/>
                <w:sz w:val="16"/>
                <w:szCs w:val="16"/>
              </w:rPr>
              <w:t>30 068</w:t>
            </w:r>
          </w:p>
        </w:tc>
        <w:tc>
          <w:tcPr>
            <w:tcW w:w="709" w:type="dxa"/>
            <w:tcBorders>
              <w:top w:val="nil"/>
              <w:left w:val="nil"/>
              <w:bottom w:val="nil"/>
              <w:right w:val="single" w:sz="4" w:space="0" w:color="auto"/>
            </w:tcBorders>
            <w:shd w:val="clear" w:color="auto" w:fill="auto"/>
            <w:noWrap/>
            <w:vAlign w:val="center"/>
            <w:hideMark/>
          </w:tcPr>
          <w:p w14:paraId="520E9F2F" w14:textId="548382CD"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14 484</w:t>
            </w:r>
          </w:p>
        </w:tc>
        <w:tc>
          <w:tcPr>
            <w:tcW w:w="710" w:type="dxa"/>
            <w:tcBorders>
              <w:top w:val="nil"/>
              <w:left w:val="nil"/>
              <w:bottom w:val="nil"/>
              <w:right w:val="nil"/>
            </w:tcBorders>
            <w:shd w:val="clear" w:color="auto" w:fill="auto"/>
            <w:noWrap/>
            <w:vAlign w:val="center"/>
            <w:hideMark/>
          </w:tcPr>
          <w:p w14:paraId="15FDB4F4" w14:textId="64606D60" w:rsidR="00087E71" w:rsidRPr="0032233B" w:rsidRDefault="00087E71" w:rsidP="00087E71">
            <w:pPr>
              <w:spacing w:after="0" w:line="240" w:lineRule="auto"/>
              <w:jc w:val="right"/>
              <w:rPr>
                <w:rFonts w:cs="Arial"/>
                <w:color w:val="000000"/>
                <w:sz w:val="16"/>
                <w:szCs w:val="16"/>
              </w:rPr>
            </w:pPr>
            <w:r>
              <w:rPr>
                <w:rFonts w:cs="Arial"/>
                <w:color w:val="000000"/>
                <w:sz w:val="16"/>
                <w:szCs w:val="16"/>
              </w:rPr>
              <w:t>43 959</w:t>
            </w:r>
          </w:p>
        </w:tc>
        <w:tc>
          <w:tcPr>
            <w:tcW w:w="709" w:type="dxa"/>
            <w:tcBorders>
              <w:top w:val="nil"/>
              <w:left w:val="nil"/>
              <w:bottom w:val="nil"/>
              <w:right w:val="nil"/>
            </w:tcBorders>
            <w:shd w:val="clear" w:color="auto" w:fill="auto"/>
            <w:vAlign w:val="center"/>
            <w:hideMark/>
          </w:tcPr>
          <w:p w14:paraId="4113B72D" w14:textId="559BD731" w:rsidR="00087E71" w:rsidRPr="0032233B" w:rsidRDefault="00087E71" w:rsidP="00087E71">
            <w:pPr>
              <w:spacing w:after="0" w:line="240" w:lineRule="auto"/>
              <w:jc w:val="right"/>
              <w:rPr>
                <w:rFonts w:cs="Arial"/>
                <w:color w:val="000000"/>
                <w:sz w:val="16"/>
                <w:szCs w:val="16"/>
              </w:rPr>
            </w:pPr>
            <w:r>
              <w:rPr>
                <w:rFonts w:cs="Arial"/>
                <w:color w:val="000000"/>
                <w:sz w:val="16"/>
                <w:szCs w:val="16"/>
              </w:rPr>
              <w:t>29 663</w:t>
            </w:r>
          </w:p>
        </w:tc>
        <w:tc>
          <w:tcPr>
            <w:tcW w:w="709" w:type="dxa"/>
            <w:tcBorders>
              <w:top w:val="nil"/>
              <w:left w:val="nil"/>
              <w:bottom w:val="nil"/>
              <w:right w:val="single" w:sz="4" w:space="0" w:color="auto"/>
            </w:tcBorders>
            <w:shd w:val="clear" w:color="auto" w:fill="auto"/>
            <w:vAlign w:val="center"/>
            <w:hideMark/>
          </w:tcPr>
          <w:p w14:paraId="2C671E94" w14:textId="1DAA2ED5"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14 296</w:t>
            </w:r>
          </w:p>
        </w:tc>
        <w:tc>
          <w:tcPr>
            <w:tcW w:w="710" w:type="dxa"/>
            <w:tcBorders>
              <w:top w:val="nil"/>
              <w:left w:val="nil"/>
              <w:bottom w:val="nil"/>
              <w:right w:val="nil"/>
            </w:tcBorders>
            <w:shd w:val="clear" w:color="auto" w:fill="auto"/>
            <w:vAlign w:val="center"/>
            <w:hideMark/>
          </w:tcPr>
          <w:p w14:paraId="0B0CD675" w14:textId="5BF4F583" w:rsidR="00087E71" w:rsidRPr="0032233B" w:rsidRDefault="00087E71" w:rsidP="00087E71">
            <w:pPr>
              <w:spacing w:after="0" w:line="240" w:lineRule="auto"/>
              <w:jc w:val="right"/>
              <w:rPr>
                <w:rFonts w:cs="Arial"/>
                <w:color w:val="000000"/>
                <w:sz w:val="16"/>
                <w:szCs w:val="16"/>
              </w:rPr>
            </w:pPr>
            <w:r>
              <w:rPr>
                <w:rFonts w:cs="Arial"/>
                <w:color w:val="000000"/>
                <w:sz w:val="16"/>
                <w:szCs w:val="16"/>
              </w:rPr>
              <w:t>1 007</w:t>
            </w:r>
          </w:p>
        </w:tc>
        <w:tc>
          <w:tcPr>
            <w:tcW w:w="709" w:type="dxa"/>
            <w:tcBorders>
              <w:top w:val="nil"/>
              <w:left w:val="nil"/>
              <w:bottom w:val="nil"/>
              <w:right w:val="nil"/>
            </w:tcBorders>
            <w:shd w:val="clear" w:color="auto" w:fill="auto"/>
            <w:vAlign w:val="center"/>
            <w:hideMark/>
          </w:tcPr>
          <w:p w14:paraId="068BECF2" w14:textId="20F0E7A9" w:rsidR="00087E71" w:rsidRPr="0032233B" w:rsidRDefault="00087E71" w:rsidP="00087E71">
            <w:pPr>
              <w:spacing w:after="0" w:line="240" w:lineRule="auto"/>
              <w:jc w:val="right"/>
              <w:rPr>
                <w:rFonts w:cs="Arial"/>
                <w:color w:val="000000"/>
                <w:sz w:val="16"/>
                <w:szCs w:val="16"/>
              </w:rPr>
            </w:pPr>
            <w:r>
              <w:rPr>
                <w:rFonts w:cs="Arial"/>
                <w:color w:val="000000"/>
                <w:sz w:val="16"/>
                <w:szCs w:val="16"/>
              </w:rPr>
              <w:t>820</w:t>
            </w:r>
          </w:p>
        </w:tc>
        <w:tc>
          <w:tcPr>
            <w:tcW w:w="709" w:type="dxa"/>
            <w:tcBorders>
              <w:top w:val="nil"/>
              <w:left w:val="nil"/>
              <w:bottom w:val="nil"/>
              <w:right w:val="single" w:sz="4" w:space="0" w:color="auto"/>
            </w:tcBorders>
            <w:shd w:val="clear" w:color="auto" w:fill="auto"/>
            <w:vAlign w:val="center"/>
            <w:hideMark/>
          </w:tcPr>
          <w:p w14:paraId="410DBA5C" w14:textId="2DE625EF" w:rsidR="00087E71" w:rsidRPr="0032233B" w:rsidRDefault="00087E71" w:rsidP="00087E71">
            <w:pPr>
              <w:spacing w:after="0" w:line="240" w:lineRule="auto"/>
              <w:jc w:val="right"/>
              <w:rPr>
                <w:rFonts w:cs="Arial"/>
                <w:color w:val="000000"/>
                <w:sz w:val="16"/>
                <w:szCs w:val="16"/>
              </w:rPr>
            </w:pPr>
            <w:r>
              <w:rPr>
                <w:rFonts w:cs="Arial"/>
                <w:color w:val="000000"/>
                <w:sz w:val="16"/>
                <w:szCs w:val="16"/>
              </w:rPr>
              <w:t>187</w:t>
            </w:r>
          </w:p>
        </w:tc>
        <w:tc>
          <w:tcPr>
            <w:tcW w:w="710" w:type="dxa"/>
            <w:tcBorders>
              <w:top w:val="nil"/>
              <w:left w:val="single" w:sz="4" w:space="0" w:color="auto"/>
              <w:bottom w:val="nil"/>
              <w:right w:val="nil"/>
            </w:tcBorders>
            <w:vAlign w:val="center"/>
          </w:tcPr>
          <w:p w14:paraId="46B328F9" w14:textId="425942D6" w:rsidR="00087E71" w:rsidRPr="0032233B" w:rsidRDefault="00087E71" w:rsidP="00087E71">
            <w:pPr>
              <w:spacing w:after="0" w:line="240" w:lineRule="auto"/>
              <w:jc w:val="right"/>
              <w:rPr>
                <w:rFonts w:cs="Arial"/>
                <w:sz w:val="16"/>
                <w:szCs w:val="16"/>
              </w:rPr>
            </w:pPr>
            <w:r>
              <w:rPr>
                <w:rFonts w:cs="Arial"/>
                <w:color w:val="000000"/>
                <w:sz w:val="16"/>
                <w:szCs w:val="16"/>
              </w:rPr>
              <w:t>92</w:t>
            </w:r>
          </w:p>
        </w:tc>
        <w:tc>
          <w:tcPr>
            <w:tcW w:w="709" w:type="dxa"/>
            <w:tcBorders>
              <w:top w:val="nil"/>
              <w:left w:val="nil"/>
              <w:bottom w:val="nil"/>
              <w:right w:val="nil"/>
            </w:tcBorders>
            <w:vAlign w:val="center"/>
          </w:tcPr>
          <w:p w14:paraId="6237B238" w14:textId="60FD189C" w:rsidR="00087E71" w:rsidRPr="0032233B" w:rsidRDefault="00087E71" w:rsidP="00087E71">
            <w:pPr>
              <w:spacing w:after="0" w:line="240" w:lineRule="auto"/>
              <w:jc w:val="right"/>
              <w:rPr>
                <w:rFonts w:cs="Arial"/>
                <w:sz w:val="16"/>
                <w:szCs w:val="16"/>
              </w:rPr>
            </w:pPr>
            <w:r>
              <w:rPr>
                <w:rFonts w:cs="Arial"/>
                <w:color w:val="000000"/>
                <w:sz w:val="16"/>
                <w:szCs w:val="16"/>
              </w:rPr>
              <w:t>87</w:t>
            </w:r>
          </w:p>
        </w:tc>
        <w:tc>
          <w:tcPr>
            <w:tcW w:w="709" w:type="dxa"/>
            <w:tcBorders>
              <w:top w:val="nil"/>
              <w:left w:val="nil"/>
              <w:bottom w:val="nil"/>
              <w:right w:val="nil"/>
            </w:tcBorders>
            <w:vAlign w:val="center"/>
          </w:tcPr>
          <w:p w14:paraId="0DBCFF6A" w14:textId="4429BCAC" w:rsidR="00087E71" w:rsidRPr="0032233B" w:rsidRDefault="00087E71" w:rsidP="00087E71">
            <w:pPr>
              <w:spacing w:after="0" w:line="240" w:lineRule="auto"/>
              <w:jc w:val="right"/>
              <w:rPr>
                <w:rFonts w:cs="Arial"/>
                <w:sz w:val="16"/>
                <w:szCs w:val="16"/>
              </w:rPr>
            </w:pPr>
            <w:r>
              <w:rPr>
                <w:rFonts w:cs="Arial"/>
                <w:color w:val="000000"/>
                <w:sz w:val="16"/>
                <w:szCs w:val="16"/>
              </w:rPr>
              <w:t>5</w:t>
            </w:r>
          </w:p>
        </w:tc>
      </w:tr>
      <w:tr w:rsidR="00087E71" w:rsidRPr="0032233B" w14:paraId="2A86405B" w14:textId="77777777" w:rsidTr="00087E71">
        <w:trPr>
          <w:trHeight w:val="300"/>
        </w:trPr>
        <w:tc>
          <w:tcPr>
            <w:tcW w:w="1077" w:type="dxa"/>
            <w:tcBorders>
              <w:top w:val="nil"/>
              <w:left w:val="nil"/>
              <w:bottom w:val="nil"/>
              <w:right w:val="single" w:sz="4" w:space="0" w:color="auto"/>
            </w:tcBorders>
            <w:shd w:val="clear" w:color="auto" w:fill="auto"/>
            <w:vAlign w:val="center"/>
            <w:hideMark/>
          </w:tcPr>
          <w:p w14:paraId="45E6C6E2" w14:textId="4BF94341" w:rsidR="00087E71" w:rsidRPr="0032233B" w:rsidRDefault="00087E71" w:rsidP="00087E71">
            <w:pPr>
              <w:spacing w:after="0" w:line="240" w:lineRule="auto"/>
              <w:jc w:val="center"/>
              <w:rPr>
                <w:rFonts w:cs="Arial"/>
                <w:color w:val="000000"/>
                <w:sz w:val="16"/>
                <w:szCs w:val="16"/>
              </w:rPr>
            </w:pPr>
            <w:r>
              <w:rPr>
                <w:rFonts w:cs="Arial"/>
                <w:color w:val="000000"/>
                <w:sz w:val="16"/>
                <w:szCs w:val="16"/>
              </w:rPr>
              <w:t>2020</w:t>
            </w:r>
          </w:p>
        </w:tc>
        <w:tc>
          <w:tcPr>
            <w:tcW w:w="710" w:type="dxa"/>
            <w:tcBorders>
              <w:top w:val="nil"/>
              <w:left w:val="nil"/>
              <w:bottom w:val="nil"/>
              <w:right w:val="nil"/>
            </w:tcBorders>
            <w:shd w:val="clear" w:color="auto" w:fill="auto"/>
            <w:noWrap/>
            <w:vAlign w:val="center"/>
            <w:hideMark/>
          </w:tcPr>
          <w:p w14:paraId="41689B60" w14:textId="79C988B4" w:rsidR="00087E71" w:rsidRPr="0032233B" w:rsidRDefault="00087E71" w:rsidP="00087E71">
            <w:pPr>
              <w:spacing w:after="0" w:line="240" w:lineRule="auto"/>
              <w:jc w:val="right"/>
              <w:rPr>
                <w:rFonts w:cs="Arial"/>
                <w:color w:val="000000"/>
                <w:sz w:val="16"/>
                <w:szCs w:val="16"/>
              </w:rPr>
            </w:pPr>
            <w:r>
              <w:rPr>
                <w:rFonts w:cs="Arial"/>
                <w:color w:val="000000"/>
                <w:sz w:val="16"/>
                <w:szCs w:val="16"/>
              </w:rPr>
              <w:t>41 358</w:t>
            </w:r>
          </w:p>
        </w:tc>
        <w:tc>
          <w:tcPr>
            <w:tcW w:w="709" w:type="dxa"/>
            <w:tcBorders>
              <w:top w:val="nil"/>
              <w:left w:val="nil"/>
              <w:bottom w:val="nil"/>
              <w:right w:val="nil"/>
            </w:tcBorders>
            <w:shd w:val="clear" w:color="auto" w:fill="auto"/>
            <w:vAlign w:val="center"/>
            <w:hideMark/>
          </w:tcPr>
          <w:p w14:paraId="651D9275" w14:textId="4551B7D9" w:rsidR="00087E71" w:rsidRPr="0032233B" w:rsidRDefault="00087E71" w:rsidP="00087E71">
            <w:pPr>
              <w:spacing w:after="0" w:line="240" w:lineRule="auto"/>
              <w:jc w:val="right"/>
              <w:rPr>
                <w:rFonts w:cs="Arial"/>
                <w:color w:val="000000"/>
                <w:sz w:val="16"/>
                <w:szCs w:val="16"/>
              </w:rPr>
            </w:pPr>
            <w:r>
              <w:rPr>
                <w:rFonts w:cs="Arial"/>
                <w:color w:val="000000"/>
                <w:sz w:val="16"/>
                <w:szCs w:val="16"/>
              </w:rPr>
              <w:t>28 681</w:t>
            </w:r>
          </w:p>
        </w:tc>
        <w:tc>
          <w:tcPr>
            <w:tcW w:w="709" w:type="dxa"/>
            <w:tcBorders>
              <w:top w:val="nil"/>
              <w:left w:val="nil"/>
              <w:bottom w:val="nil"/>
              <w:right w:val="single" w:sz="4" w:space="0" w:color="auto"/>
            </w:tcBorders>
            <w:shd w:val="clear" w:color="auto" w:fill="auto"/>
            <w:vAlign w:val="center"/>
            <w:hideMark/>
          </w:tcPr>
          <w:p w14:paraId="3A887183" w14:textId="02A83857" w:rsidR="00087E71" w:rsidRPr="0032233B" w:rsidRDefault="00087E71" w:rsidP="00087E71">
            <w:pPr>
              <w:spacing w:after="0" w:line="240" w:lineRule="auto"/>
              <w:jc w:val="right"/>
              <w:rPr>
                <w:rFonts w:cs="Arial"/>
                <w:color w:val="000000"/>
                <w:sz w:val="16"/>
                <w:szCs w:val="16"/>
              </w:rPr>
            </w:pPr>
            <w:r>
              <w:rPr>
                <w:rFonts w:cs="Arial"/>
                <w:color w:val="000000"/>
                <w:sz w:val="16"/>
                <w:szCs w:val="16"/>
              </w:rPr>
              <w:t>12 677</w:t>
            </w:r>
          </w:p>
        </w:tc>
        <w:tc>
          <w:tcPr>
            <w:tcW w:w="710" w:type="dxa"/>
            <w:tcBorders>
              <w:top w:val="nil"/>
              <w:left w:val="nil"/>
              <w:bottom w:val="nil"/>
              <w:right w:val="nil"/>
            </w:tcBorders>
            <w:shd w:val="clear" w:color="auto" w:fill="auto"/>
            <w:noWrap/>
            <w:vAlign w:val="center"/>
            <w:hideMark/>
          </w:tcPr>
          <w:p w14:paraId="1F7794B8" w14:textId="53232C7A" w:rsidR="00087E71" w:rsidRPr="0032233B" w:rsidRDefault="00087E71" w:rsidP="00087E71">
            <w:pPr>
              <w:spacing w:after="0" w:line="240" w:lineRule="auto"/>
              <w:jc w:val="right"/>
              <w:rPr>
                <w:rFonts w:cs="Arial"/>
                <w:color w:val="000000"/>
                <w:sz w:val="16"/>
                <w:szCs w:val="16"/>
              </w:rPr>
            </w:pPr>
            <w:r>
              <w:rPr>
                <w:rFonts w:cs="Arial"/>
                <w:color w:val="000000"/>
                <w:sz w:val="16"/>
                <w:szCs w:val="16"/>
              </w:rPr>
              <w:t>40 569</w:t>
            </w:r>
          </w:p>
        </w:tc>
        <w:tc>
          <w:tcPr>
            <w:tcW w:w="709" w:type="dxa"/>
            <w:tcBorders>
              <w:top w:val="nil"/>
              <w:left w:val="nil"/>
              <w:bottom w:val="nil"/>
              <w:right w:val="nil"/>
            </w:tcBorders>
            <w:shd w:val="clear" w:color="auto" w:fill="auto"/>
            <w:vAlign w:val="center"/>
            <w:hideMark/>
          </w:tcPr>
          <w:p w14:paraId="4991206C" w14:textId="288449AA" w:rsidR="00087E71" w:rsidRPr="0032233B" w:rsidRDefault="00087E71" w:rsidP="00087E71">
            <w:pPr>
              <w:spacing w:after="0" w:line="240" w:lineRule="auto"/>
              <w:jc w:val="right"/>
              <w:rPr>
                <w:rFonts w:cs="Arial"/>
                <w:color w:val="000000"/>
                <w:sz w:val="16"/>
                <w:szCs w:val="16"/>
              </w:rPr>
            </w:pPr>
            <w:r>
              <w:rPr>
                <w:rFonts w:cs="Arial"/>
                <w:color w:val="000000"/>
                <w:sz w:val="16"/>
                <w:szCs w:val="16"/>
              </w:rPr>
              <w:t>28 104</w:t>
            </w:r>
          </w:p>
        </w:tc>
        <w:tc>
          <w:tcPr>
            <w:tcW w:w="709" w:type="dxa"/>
            <w:tcBorders>
              <w:top w:val="nil"/>
              <w:left w:val="nil"/>
              <w:bottom w:val="nil"/>
              <w:right w:val="single" w:sz="4" w:space="0" w:color="auto"/>
            </w:tcBorders>
            <w:shd w:val="clear" w:color="auto" w:fill="auto"/>
            <w:vAlign w:val="center"/>
            <w:hideMark/>
          </w:tcPr>
          <w:p w14:paraId="5F95B74F" w14:textId="18AE5C8F" w:rsidR="00087E71" w:rsidRPr="0032233B" w:rsidRDefault="00087E71" w:rsidP="00087E71">
            <w:pPr>
              <w:spacing w:after="0" w:line="240" w:lineRule="auto"/>
              <w:jc w:val="right"/>
              <w:rPr>
                <w:rFonts w:cs="Arial"/>
                <w:color w:val="000000"/>
                <w:sz w:val="16"/>
                <w:szCs w:val="16"/>
              </w:rPr>
            </w:pPr>
            <w:r>
              <w:rPr>
                <w:rFonts w:cs="Arial"/>
                <w:color w:val="000000"/>
                <w:sz w:val="16"/>
                <w:szCs w:val="16"/>
              </w:rPr>
              <w:t>12 465</w:t>
            </w:r>
          </w:p>
        </w:tc>
        <w:tc>
          <w:tcPr>
            <w:tcW w:w="710" w:type="dxa"/>
            <w:tcBorders>
              <w:top w:val="nil"/>
              <w:left w:val="nil"/>
              <w:bottom w:val="nil"/>
              <w:right w:val="nil"/>
            </w:tcBorders>
            <w:shd w:val="clear" w:color="auto" w:fill="auto"/>
            <w:vAlign w:val="center"/>
            <w:hideMark/>
          </w:tcPr>
          <w:p w14:paraId="0DA63701" w14:textId="48800625" w:rsidR="00087E71" w:rsidRPr="0032233B" w:rsidRDefault="00087E71" w:rsidP="00087E71">
            <w:pPr>
              <w:spacing w:after="0" w:line="240" w:lineRule="auto"/>
              <w:jc w:val="right"/>
              <w:rPr>
                <w:rFonts w:cs="Arial"/>
                <w:color w:val="000000"/>
                <w:sz w:val="16"/>
                <w:szCs w:val="16"/>
              </w:rPr>
            </w:pPr>
            <w:r>
              <w:rPr>
                <w:rFonts w:cs="Arial"/>
                <w:color w:val="000000"/>
                <w:sz w:val="16"/>
                <w:szCs w:val="16"/>
              </w:rPr>
              <w:t>830</w:t>
            </w:r>
          </w:p>
        </w:tc>
        <w:tc>
          <w:tcPr>
            <w:tcW w:w="709" w:type="dxa"/>
            <w:tcBorders>
              <w:top w:val="nil"/>
              <w:left w:val="nil"/>
              <w:bottom w:val="nil"/>
              <w:right w:val="nil"/>
            </w:tcBorders>
            <w:shd w:val="clear" w:color="auto" w:fill="auto"/>
            <w:vAlign w:val="center"/>
            <w:hideMark/>
          </w:tcPr>
          <w:p w14:paraId="3C98EB05" w14:textId="18606FB1" w:rsidR="00087E71" w:rsidRPr="0032233B" w:rsidRDefault="00087E71" w:rsidP="00087E71">
            <w:pPr>
              <w:spacing w:after="0" w:line="240" w:lineRule="auto"/>
              <w:jc w:val="right"/>
              <w:rPr>
                <w:rFonts w:cs="Arial"/>
                <w:color w:val="000000"/>
                <w:sz w:val="16"/>
                <w:szCs w:val="16"/>
              </w:rPr>
            </w:pPr>
            <w:r>
              <w:rPr>
                <w:rFonts w:cs="Arial"/>
                <w:color w:val="000000"/>
                <w:sz w:val="16"/>
                <w:szCs w:val="16"/>
              </w:rPr>
              <w:t>693</w:t>
            </w:r>
          </w:p>
        </w:tc>
        <w:tc>
          <w:tcPr>
            <w:tcW w:w="709" w:type="dxa"/>
            <w:tcBorders>
              <w:top w:val="nil"/>
              <w:left w:val="nil"/>
              <w:bottom w:val="nil"/>
              <w:right w:val="single" w:sz="4" w:space="0" w:color="auto"/>
            </w:tcBorders>
            <w:shd w:val="clear" w:color="auto" w:fill="auto"/>
            <w:vAlign w:val="center"/>
            <w:hideMark/>
          </w:tcPr>
          <w:p w14:paraId="517CE77F" w14:textId="721479C1" w:rsidR="00087E71" w:rsidRPr="0032233B" w:rsidRDefault="00087E71" w:rsidP="00087E71">
            <w:pPr>
              <w:spacing w:after="0" w:line="240" w:lineRule="auto"/>
              <w:jc w:val="right"/>
              <w:rPr>
                <w:rFonts w:cs="Arial"/>
                <w:color w:val="000000"/>
                <w:sz w:val="16"/>
                <w:szCs w:val="16"/>
              </w:rPr>
            </w:pPr>
            <w:r>
              <w:rPr>
                <w:rFonts w:cs="Arial"/>
                <w:color w:val="000000"/>
                <w:sz w:val="16"/>
                <w:szCs w:val="16"/>
              </w:rPr>
              <w:t>137</w:t>
            </w:r>
          </w:p>
        </w:tc>
        <w:tc>
          <w:tcPr>
            <w:tcW w:w="710" w:type="dxa"/>
            <w:tcBorders>
              <w:top w:val="nil"/>
              <w:left w:val="single" w:sz="4" w:space="0" w:color="auto"/>
              <w:bottom w:val="nil"/>
              <w:right w:val="nil"/>
            </w:tcBorders>
            <w:vAlign w:val="center"/>
          </w:tcPr>
          <w:p w14:paraId="3FC9D452" w14:textId="27CC7D4C" w:rsidR="00087E71" w:rsidRPr="0032233B" w:rsidRDefault="00087E71" w:rsidP="00087E71">
            <w:pPr>
              <w:spacing w:after="0" w:line="240" w:lineRule="auto"/>
              <w:jc w:val="right"/>
              <w:rPr>
                <w:rFonts w:cs="Arial"/>
                <w:sz w:val="16"/>
                <w:szCs w:val="16"/>
              </w:rPr>
            </w:pPr>
            <w:r>
              <w:rPr>
                <w:rFonts w:cs="Arial"/>
                <w:color w:val="000000"/>
                <w:sz w:val="16"/>
                <w:szCs w:val="16"/>
              </w:rPr>
              <w:t>108</w:t>
            </w:r>
          </w:p>
        </w:tc>
        <w:tc>
          <w:tcPr>
            <w:tcW w:w="709" w:type="dxa"/>
            <w:tcBorders>
              <w:top w:val="nil"/>
              <w:left w:val="nil"/>
              <w:bottom w:val="nil"/>
              <w:right w:val="nil"/>
            </w:tcBorders>
            <w:vAlign w:val="center"/>
          </w:tcPr>
          <w:p w14:paraId="3CE317D2" w14:textId="036A62A4" w:rsidR="00087E71" w:rsidRPr="0032233B" w:rsidRDefault="00087E71" w:rsidP="00087E71">
            <w:pPr>
              <w:spacing w:after="0" w:line="240" w:lineRule="auto"/>
              <w:jc w:val="right"/>
              <w:rPr>
                <w:rFonts w:cs="Arial"/>
                <w:sz w:val="16"/>
                <w:szCs w:val="16"/>
              </w:rPr>
            </w:pPr>
            <w:r>
              <w:rPr>
                <w:rFonts w:cs="Arial"/>
                <w:color w:val="000000"/>
                <w:sz w:val="16"/>
                <w:szCs w:val="16"/>
              </w:rPr>
              <w:t>105</w:t>
            </w:r>
          </w:p>
        </w:tc>
        <w:tc>
          <w:tcPr>
            <w:tcW w:w="709" w:type="dxa"/>
            <w:tcBorders>
              <w:top w:val="nil"/>
              <w:left w:val="nil"/>
              <w:bottom w:val="nil"/>
              <w:right w:val="nil"/>
            </w:tcBorders>
            <w:vAlign w:val="center"/>
          </w:tcPr>
          <w:p w14:paraId="6F159872" w14:textId="545E4647" w:rsidR="00087E71" w:rsidRPr="0032233B" w:rsidRDefault="00087E71" w:rsidP="00087E71">
            <w:pPr>
              <w:spacing w:after="0" w:line="240" w:lineRule="auto"/>
              <w:jc w:val="right"/>
              <w:rPr>
                <w:rFonts w:cs="Arial"/>
                <w:sz w:val="16"/>
                <w:szCs w:val="16"/>
              </w:rPr>
            </w:pPr>
            <w:r>
              <w:rPr>
                <w:rFonts w:cs="Arial"/>
                <w:color w:val="000000"/>
                <w:sz w:val="16"/>
                <w:szCs w:val="16"/>
              </w:rPr>
              <w:t>3</w:t>
            </w:r>
          </w:p>
        </w:tc>
      </w:tr>
      <w:tr w:rsidR="00087E71" w:rsidRPr="0032233B" w14:paraId="34285C8D" w14:textId="77777777" w:rsidTr="00087E71">
        <w:trPr>
          <w:trHeight w:val="300"/>
        </w:trPr>
        <w:tc>
          <w:tcPr>
            <w:tcW w:w="1077" w:type="dxa"/>
            <w:tcBorders>
              <w:top w:val="nil"/>
              <w:left w:val="nil"/>
              <w:bottom w:val="nil"/>
              <w:right w:val="single" w:sz="4" w:space="0" w:color="auto"/>
            </w:tcBorders>
            <w:shd w:val="clear" w:color="auto" w:fill="auto"/>
            <w:vAlign w:val="center"/>
            <w:hideMark/>
          </w:tcPr>
          <w:p w14:paraId="7B5FAF1C" w14:textId="02E2A106" w:rsidR="00087E71" w:rsidRPr="0032233B" w:rsidRDefault="00087E71" w:rsidP="00087E71">
            <w:pPr>
              <w:spacing w:after="0" w:line="240" w:lineRule="auto"/>
              <w:jc w:val="center"/>
              <w:rPr>
                <w:rFonts w:cs="Arial"/>
                <w:color w:val="000000"/>
                <w:sz w:val="16"/>
                <w:szCs w:val="16"/>
              </w:rPr>
            </w:pPr>
            <w:r>
              <w:rPr>
                <w:rFonts w:cs="Arial"/>
                <w:color w:val="000000"/>
                <w:sz w:val="16"/>
                <w:szCs w:val="16"/>
              </w:rPr>
              <w:t>2021</w:t>
            </w:r>
          </w:p>
        </w:tc>
        <w:tc>
          <w:tcPr>
            <w:tcW w:w="710" w:type="dxa"/>
            <w:tcBorders>
              <w:top w:val="nil"/>
              <w:left w:val="nil"/>
              <w:bottom w:val="nil"/>
              <w:right w:val="nil"/>
            </w:tcBorders>
            <w:shd w:val="clear" w:color="auto" w:fill="auto"/>
            <w:noWrap/>
            <w:vAlign w:val="center"/>
            <w:hideMark/>
          </w:tcPr>
          <w:p w14:paraId="20CDAD06" w14:textId="294EE90D" w:rsidR="00087E71" w:rsidRPr="0032233B" w:rsidRDefault="00087E71" w:rsidP="00087E71">
            <w:pPr>
              <w:spacing w:after="0" w:line="240" w:lineRule="auto"/>
              <w:jc w:val="right"/>
              <w:rPr>
                <w:rFonts w:cs="Arial"/>
                <w:color w:val="000000"/>
                <w:sz w:val="16"/>
                <w:szCs w:val="16"/>
              </w:rPr>
            </w:pPr>
            <w:r>
              <w:rPr>
                <w:rFonts w:cs="Arial"/>
                <w:color w:val="000000"/>
                <w:sz w:val="16"/>
                <w:szCs w:val="16"/>
              </w:rPr>
              <w:t>44 933</w:t>
            </w:r>
          </w:p>
        </w:tc>
        <w:tc>
          <w:tcPr>
            <w:tcW w:w="709" w:type="dxa"/>
            <w:tcBorders>
              <w:top w:val="nil"/>
              <w:left w:val="nil"/>
              <w:bottom w:val="nil"/>
              <w:right w:val="nil"/>
            </w:tcBorders>
            <w:shd w:val="clear" w:color="auto" w:fill="auto"/>
            <w:vAlign w:val="center"/>
            <w:hideMark/>
          </w:tcPr>
          <w:p w14:paraId="0D738FBB" w14:textId="25830400" w:rsidR="00087E71" w:rsidRPr="0032233B" w:rsidRDefault="00087E71" w:rsidP="00087E71">
            <w:pPr>
              <w:spacing w:after="0" w:line="240" w:lineRule="auto"/>
              <w:jc w:val="right"/>
              <w:rPr>
                <w:rFonts w:cs="Arial"/>
                <w:color w:val="000000"/>
                <w:sz w:val="16"/>
                <w:szCs w:val="16"/>
              </w:rPr>
            </w:pPr>
            <w:r>
              <w:rPr>
                <w:rFonts w:cs="Arial"/>
                <w:color w:val="000000"/>
                <w:sz w:val="16"/>
                <w:szCs w:val="16"/>
              </w:rPr>
              <w:t>31 115</w:t>
            </w:r>
          </w:p>
        </w:tc>
        <w:tc>
          <w:tcPr>
            <w:tcW w:w="709" w:type="dxa"/>
            <w:tcBorders>
              <w:top w:val="nil"/>
              <w:left w:val="nil"/>
              <w:bottom w:val="nil"/>
              <w:right w:val="single" w:sz="4" w:space="0" w:color="auto"/>
            </w:tcBorders>
            <w:shd w:val="clear" w:color="auto" w:fill="auto"/>
            <w:vAlign w:val="center"/>
            <w:hideMark/>
          </w:tcPr>
          <w:p w14:paraId="255DB687" w14:textId="7F283690" w:rsidR="00087E71" w:rsidRPr="0032233B" w:rsidRDefault="00087E71" w:rsidP="00087E71">
            <w:pPr>
              <w:spacing w:after="0" w:line="240" w:lineRule="auto"/>
              <w:jc w:val="right"/>
              <w:rPr>
                <w:rFonts w:cs="Arial"/>
                <w:color w:val="000000"/>
                <w:sz w:val="16"/>
                <w:szCs w:val="16"/>
              </w:rPr>
            </w:pPr>
            <w:r>
              <w:rPr>
                <w:rFonts w:cs="Arial"/>
                <w:color w:val="000000"/>
                <w:sz w:val="16"/>
                <w:szCs w:val="16"/>
              </w:rPr>
              <w:t>13 818</w:t>
            </w:r>
          </w:p>
        </w:tc>
        <w:tc>
          <w:tcPr>
            <w:tcW w:w="710" w:type="dxa"/>
            <w:tcBorders>
              <w:top w:val="nil"/>
              <w:left w:val="nil"/>
              <w:bottom w:val="nil"/>
              <w:right w:val="nil"/>
            </w:tcBorders>
            <w:shd w:val="clear" w:color="auto" w:fill="auto"/>
            <w:noWrap/>
            <w:vAlign w:val="center"/>
            <w:hideMark/>
          </w:tcPr>
          <w:p w14:paraId="1730185C" w14:textId="65C8C9C6" w:rsidR="00087E71" w:rsidRPr="0032233B" w:rsidRDefault="00087E71" w:rsidP="00087E71">
            <w:pPr>
              <w:spacing w:after="0" w:line="240" w:lineRule="auto"/>
              <w:jc w:val="right"/>
              <w:rPr>
                <w:rFonts w:cs="Arial"/>
                <w:color w:val="000000"/>
                <w:sz w:val="16"/>
                <w:szCs w:val="16"/>
              </w:rPr>
            </w:pPr>
            <w:r>
              <w:rPr>
                <w:rFonts w:cs="Arial"/>
                <w:color w:val="000000"/>
                <w:sz w:val="16"/>
                <w:szCs w:val="16"/>
              </w:rPr>
              <w:t>43 980</w:t>
            </w:r>
          </w:p>
        </w:tc>
        <w:tc>
          <w:tcPr>
            <w:tcW w:w="709" w:type="dxa"/>
            <w:tcBorders>
              <w:top w:val="nil"/>
              <w:left w:val="nil"/>
              <w:bottom w:val="nil"/>
              <w:right w:val="nil"/>
            </w:tcBorders>
            <w:shd w:val="clear" w:color="auto" w:fill="auto"/>
            <w:vAlign w:val="center"/>
            <w:hideMark/>
          </w:tcPr>
          <w:p w14:paraId="2B23478E" w14:textId="6B4AEC5C" w:rsidR="00087E71" w:rsidRPr="0032233B" w:rsidRDefault="00087E71" w:rsidP="00087E71">
            <w:pPr>
              <w:spacing w:after="0" w:line="240" w:lineRule="auto"/>
              <w:jc w:val="right"/>
              <w:rPr>
                <w:rFonts w:cs="Arial"/>
                <w:color w:val="000000"/>
                <w:sz w:val="16"/>
                <w:szCs w:val="16"/>
              </w:rPr>
            </w:pPr>
            <w:r>
              <w:rPr>
                <w:rFonts w:cs="Arial"/>
                <w:color w:val="000000"/>
                <w:sz w:val="16"/>
                <w:szCs w:val="16"/>
              </w:rPr>
              <w:t>30 411</w:t>
            </w:r>
          </w:p>
        </w:tc>
        <w:tc>
          <w:tcPr>
            <w:tcW w:w="709" w:type="dxa"/>
            <w:tcBorders>
              <w:top w:val="nil"/>
              <w:left w:val="nil"/>
              <w:bottom w:val="nil"/>
              <w:right w:val="single" w:sz="4" w:space="0" w:color="auto"/>
            </w:tcBorders>
            <w:shd w:val="clear" w:color="auto" w:fill="auto"/>
            <w:vAlign w:val="center"/>
            <w:hideMark/>
          </w:tcPr>
          <w:p w14:paraId="037CED07" w14:textId="0E1E8FD0" w:rsidR="00087E71" w:rsidRPr="0032233B" w:rsidRDefault="00087E71" w:rsidP="00087E71">
            <w:pPr>
              <w:spacing w:after="0" w:line="240" w:lineRule="auto"/>
              <w:jc w:val="right"/>
              <w:rPr>
                <w:rFonts w:cs="Arial"/>
                <w:color w:val="000000"/>
                <w:sz w:val="16"/>
                <w:szCs w:val="16"/>
              </w:rPr>
            </w:pPr>
            <w:r>
              <w:rPr>
                <w:rFonts w:cs="Arial"/>
                <w:color w:val="000000"/>
                <w:sz w:val="16"/>
                <w:szCs w:val="16"/>
              </w:rPr>
              <w:t>13 569</w:t>
            </w:r>
          </w:p>
        </w:tc>
        <w:tc>
          <w:tcPr>
            <w:tcW w:w="710" w:type="dxa"/>
            <w:tcBorders>
              <w:top w:val="nil"/>
              <w:left w:val="nil"/>
              <w:bottom w:val="nil"/>
              <w:right w:val="nil"/>
            </w:tcBorders>
            <w:shd w:val="clear" w:color="auto" w:fill="auto"/>
            <w:vAlign w:val="center"/>
            <w:hideMark/>
          </w:tcPr>
          <w:p w14:paraId="6A9DE23C" w14:textId="5264C9EB" w:rsidR="00087E71" w:rsidRPr="0032233B" w:rsidRDefault="00087E71" w:rsidP="00087E71">
            <w:pPr>
              <w:spacing w:after="0" w:line="240" w:lineRule="auto"/>
              <w:jc w:val="right"/>
              <w:rPr>
                <w:rFonts w:cs="Arial"/>
                <w:color w:val="000000"/>
                <w:sz w:val="16"/>
                <w:szCs w:val="16"/>
              </w:rPr>
            </w:pPr>
            <w:r>
              <w:rPr>
                <w:rFonts w:cs="Arial"/>
                <w:color w:val="000000"/>
                <w:sz w:val="16"/>
                <w:szCs w:val="16"/>
              </w:rPr>
              <w:t>788</w:t>
            </w:r>
          </w:p>
        </w:tc>
        <w:tc>
          <w:tcPr>
            <w:tcW w:w="709" w:type="dxa"/>
            <w:tcBorders>
              <w:top w:val="nil"/>
              <w:left w:val="nil"/>
              <w:bottom w:val="nil"/>
              <w:right w:val="nil"/>
            </w:tcBorders>
            <w:shd w:val="clear" w:color="auto" w:fill="auto"/>
            <w:vAlign w:val="center"/>
            <w:hideMark/>
          </w:tcPr>
          <w:p w14:paraId="45FCF695" w14:textId="2F52BEE2" w:rsidR="00087E71" w:rsidRPr="0032233B" w:rsidRDefault="00087E71" w:rsidP="00087E71">
            <w:pPr>
              <w:spacing w:after="0" w:line="240" w:lineRule="auto"/>
              <w:jc w:val="right"/>
              <w:rPr>
                <w:rFonts w:cs="Arial"/>
                <w:color w:val="000000"/>
                <w:sz w:val="16"/>
                <w:szCs w:val="16"/>
              </w:rPr>
            </w:pPr>
            <w:r>
              <w:rPr>
                <w:rFonts w:cs="Arial"/>
                <w:color w:val="000000"/>
                <w:sz w:val="16"/>
                <w:szCs w:val="16"/>
              </w:rPr>
              <w:t>652</w:t>
            </w:r>
          </w:p>
        </w:tc>
        <w:tc>
          <w:tcPr>
            <w:tcW w:w="709" w:type="dxa"/>
            <w:tcBorders>
              <w:top w:val="nil"/>
              <w:left w:val="nil"/>
              <w:bottom w:val="nil"/>
              <w:right w:val="single" w:sz="4" w:space="0" w:color="auto"/>
            </w:tcBorders>
            <w:shd w:val="clear" w:color="auto" w:fill="auto"/>
            <w:vAlign w:val="center"/>
            <w:hideMark/>
          </w:tcPr>
          <w:p w14:paraId="148C835B" w14:textId="6A9C17B4" w:rsidR="00087E71" w:rsidRPr="0032233B" w:rsidRDefault="00087E71" w:rsidP="00087E71">
            <w:pPr>
              <w:spacing w:after="0" w:line="240" w:lineRule="auto"/>
              <w:jc w:val="right"/>
              <w:rPr>
                <w:rFonts w:cs="Arial"/>
                <w:color w:val="000000"/>
                <w:sz w:val="16"/>
                <w:szCs w:val="16"/>
              </w:rPr>
            </w:pPr>
            <w:r>
              <w:rPr>
                <w:rFonts w:cs="Arial"/>
                <w:color w:val="000000"/>
                <w:sz w:val="16"/>
                <w:szCs w:val="16"/>
              </w:rPr>
              <w:t>136</w:t>
            </w:r>
          </w:p>
        </w:tc>
        <w:tc>
          <w:tcPr>
            <w:tcW w:w="710" w:type="dxa"/>
            <w:tcBorders>
              <w:top w:val="nil"/>
              <w:left w:val="single" w:sz="4" w:space="0" w:color="auto"/>
              <w:bottom w:val="nil"/>
              <w:right w:val="nil"/>
            </w:tcBorders>
            <w:vAlign w:val="center"/>
          </w:tcPr>
          <w:p w14:paraId="6D97E9A3" w14:textId="7F9E7A1D" w:rsidR="00087E71" w:rsidRPr="0032233B" w:rsidRDefault="00087E71" w:rsidP="00087E71">
            <w:pPr>
              <w:spacing w:after="0" w:line="240" w:lineRule="auto"/>
              <w:jc w:val="right"/>
              <w:rPr>
                <w:rFonts w:cs="Arial"/>
                <w:color w:val="000000"/>
                <w:sz w:val="16"/>
                <w:szCs w:val="16"/>
              </w:rPr>
            </w:pPr>
            <w:r>
              <w:rPr>
                <w:rFonts w:cs="Arial"/>
                <w:color w:val="000000"/>
                <w:sz w:val="16"/>
                <w:szCs w:val="16"/>
              </w:rPr>
              <w:t>88</w:t>
            </w:r>
          </w:p>
        </w:tc>
        <w:tc>
          <w:tcPr>
            <w:tcW w:w="709" w:type="dxa"/>
            <w:tcBorders>
              <w:top w:val="nil"/>
              <w:left w:val="nil"/>
              <w:bottom w:val="nil"/>
              <w:right w:val="nil"/>
            </w:tcBorders>
            <w:vAlign w:val="center"/>
          </w:tcPr>
          <w:p w14:paraId="77EAF92A" w14:textId="3E8CE05C" w:rsidR="00087E71" w:rsidRPr="0032233B" w:rsidRDefault="00087E71" w:rsidP="00087E71">
            <w:pPr>
              <w:spacing w:after="0" w:line="240" w:lineRule="auto"/>
              <w:jc w:val="right"/>
              <w:rPr>
                <w:rFonts w:cs="Arial"/>
                <w:color w:val="000000"/>
                <w:sz w:val="16"/>
                <w:szCs w:val="16"/>
              </w:rPr>
            </w:pPr>
            <w:r>
              <w:rPr>
                <w:rFonts w:cs="Arial"/>
                <w:color w:val="000000"/>
                <w:sz w:val="16"/>
                <w:szCs w:val="16"/>
              </w:rPr>
              <w:t>82</w:t>
            </w:r>
          </w:p>
        </w:tc>
        <w:tc>
          <w:tcPr>
            <w:tcW w:w="709" w:type="dxa"/>
            <w:tcBorders>
              <w:top w:val="nil"/>
              <w:left w:val="nil"/>
              <w:bottom w:val="nil"/>
              <w:right w:val="nil"/>
            </w:tcBorders>
            <w:vAlign w:val="center"/>
          </w:tcPr>
          <w:p w14:paraId="0C65B047" w14:textId="2345D1CB" w:rsidR="00087E71" w:rsidRPr="0032233B" w:rsidRDefault="00087E71" w:rsidP="00087E71">
            <w:pPr>
              <w:spacing w:after="0" w:line="240" w:lineRule="auto"/>
              <w:jc w:val="right"/>
              <w:rPr>
                <w:rFonts w:cs="Arial"/>
                <w:color w:val="000000"/>
                <w:sz w:val="16"/>
                <w:szCs w:val="16"/>
              </w:rPr>
            </w:pPr>
            <w:r>
              <w:rPr>
                <w:rFonts w:cs="Arial"/>
                <w:color w:val="000000"/>
                <w:sz w:val="16"/>
                <w:szCs w:val="16"/>
              </w:rPr>
              <w:t>6</w:t>
            </w:r>
          </w:p>
        </w:tc>
      </w:tr>
      <w:tr w:rsidR="00087E71" w:rsidRPr="0032233B" w14:paraId="3B3AB923" w14:textId="77777777" w:rsidTr="00087E71">
        <w:trPr>
          <w:trHeight w:val="300"/>
        </w:trPr>
        <w:tc>
          <w:tcPr>
            <w:tcW w:w="1077" w:type="dxa"/>
            <w:tcBorders>
              <w:top w:val="nil"/>
              <w:left w:val="nil"/>
              <w:bottom w:val="nil"/>
              <w:right w:val="single" w:sz="4" w:space="0" w:color="auto"/>
            </w:tcBorders>
            <w:shd w:val="clear" w:color="auto" w:fill="auto"/>
            <w:vAlign w:val="center"/>
            <w:hideMark/>
          </w:tcPr>
          <w:p w14:paraId="0B734F03" w14:textId="0FA813A7" w:rsidR="00087E71" w:rsidRPr="0032233B" w:rsidRDefault="00087E71" w:rsidP="00087E71">
            <w:pPr>
              <w:spacing w:after="0" w:line="240" w:lineRule="auto"/>
              <w:jc w:val="center"/>
              <w:rPr>
                <w:rFonts w:cs="Arial"/>
                <w:color w:val="000000"/>
                <w:sz w:val="16"/>
                <w:szCs w:val="16"/>
              </w:rPr>
            </w:pPr>
            <w:r>
              <w:rPr>
                <w:rFonts w:cs="Arial"/>
                <w:color w:val="000000"/>
                <w:sz w:val="16"/>
                <w:szCs w:val="16"/>
              </w:rPr>
              <w:t>2022</w:t>
            </w:r>
          </w:p>
        </w:tc>
        <w:tc>
          <w:tcPr>
            <w:tcW w:w="710" w:type="dxa"/>
            <w:tcBorders>
              <w:top w:val="nil"/>
              <w:left w:val="nil"/>
              <w:bottom w:val="nil"/>
              <w:right w:val="nil"/>
            </w:tcBorders>
            <w:shd w:val="clear" w:color="auto" w:fill="auto"/>
            <w:noWrap/>
            <w:vAlign w:val="center"/>
            <w:hideMark/>
          </w:tcPr>
          <w:p w14:paraId="61AAEBFF" w14:textId="2223FA4D" w:rsidR="00087E71" w:rsidRPr="0032233B" w:rsidRDefault="00087E71" w:rsidP="00087E71">
            <w:pPr>
              <w:spacing w:after="0" w:line="240" w:lineRule="auto"/>
              <w:jc w:val="right"/>
              <w:rPr>
                <w:rFonts w:cs="Arial"/>
                <w:color w:val="000000"/>
                <w:sz w:val="16"/>
                <w:szCs w:val="16"/>
              </w:rPr>
            </w:pPr>
            <w:r>
              <w:rPr>
                <w:rFonts w:cs="Arial"/>
                <w:color w:val="000000"/>
                <w:sz w:val="16"/>
                <w:szCs w:val="16"/>
              </w:rPr>
              <w:t>44 608</w:t>
            </w:r>
          </w:p>
        </w:tc>
        <w:tc>
          <w:tcPr>
            <w:tcW w:w="709" w:type="dxa"/>
            <w:tcBorders>
              <w:top w:val="nil"/>
              <w:left w:val="nil"/>
              <w:bottom w:val="nil"/>
              <w:right w:val="nil"/>
            </w:tcBorders>
            <w:shd w:val="clear" w:color="auto" w:fill="auto"/>
            <w:vAlign w:val="center"/>
            <w:hideMark/>
          </w:tcPr>
          <w:p w14:paraId="752C8188" w14:textId="73075B33" w:rsidR="00087E71" w:rsidRPr="0032233B" w:rsidRDefault="00087E71" w:rsidP="00087E71">
            <w:pPr>
              <w:spacing w:after="0" w:line="240" w:lineRule="auto"/>
              <w:jc w:val="right"/>
              <w:rPr>
                <w:rFonts w:cs="Arial"/>
                <w:color w:val="000000"/>
                <w:sz w:val="16"/>
                <w:szCs w:val="16"/>
              </w:rPr>
            </w:pPr>
            <w:r>
              <w:rPr>
                <w:rFonts w:cs="Arial"/>
                <w:color w:val="000000"/>
                <w:sz w:val="16"/>
                <w:szCs w:val="16"/>
              </w:rPr>
              <w:t>29 904</w:t>
            </w:r>
          </w:p>
        </w:tc>
        <w:tc>
          <w:tcPr>
            <w:tcW w:w="709" w:type="dxa"/>
            <w:tcBorders>
              <w:top w:val="nil"/>
              <w:left w:val="nil"/>
              <w:bottom w:val="nil"/>
              <w:right w:val="single" w:sz="4" w:space="0" w:color="auto"/>
            </w:tcBorders>
            <w:shd w:val="clear" w:color="auto" w:fill="auto"/>
            <w:vAlign w:val="center"/>
            <w:hideMark/>
          </w:tcPr>
          <w:p w14:paraId="47722DD3" w14:textId="26409B52"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14 704</w:t>
            </w:r>
          </w:p>
        </w:tc>
        <w:tc>
          <w:tcPr>
            <w:tcW w:w="710" w:type="dxa"/>
            <w:tcBorders>
              <w:top w:val="nil"/>
              <w:left w:val="nil"/>
              <w:bottom w:val="nil"/>
              <w:right w:val="nil"/>
            </w:tcBorders>
            <w:shd w:val="clear" w:color="auto" w:fill="auto"/>
            <w:noWrap/>
            <w:vAlign w:val="center"/>
            <w:hideMark/>
          </w:tcPr>
          <w:p w14:paraId="0254D564" w14:textId="0B0F454A" w:rsidR="00087E71" w:rsidRPr="0032233B" w:rsidRDefault="00087E71" w:rsidP="00087E71">
            <w:pPr>
              <w:spacing w:after="0" w:line="240" w:lineRule="auto"/>
              <w:jc w:val="right"/>
              <w:rPr>
                <w:rFonts w:cs="Arial"/>
                <w:color w:val="000000"/>
                <w:sz w:val="16"/>
                <w:szCs w:val="16"/>
              </w:rPr>
            </w:pPr>
            <w:r>
              <w:rPr>
                <w:rFonts w:cs="Arial"/>
                <w:color w:val="000000"/>
                <w:sz w:val="16"/>
                <w:szCs w:val="16"/>
              </w:rPr>
              <w:t>43 561</w:t>
            </w:r>
          </w:p>
        </w:tc>
        <w:tc>
          <w:tcPr>
            <w:tcW w:w="709" w:type="dxa"/>
            <w:tcBorders>
              <w:top w:val="nil"/>
              <w:left w:val="nil"/>
              <w:bottom w:val="nil"/>
              <w:right w:val="nil"/>
            </w:tcBorders>
            <w:shd w:val="clear" w:color="auto" w:fill="auto"/>
            <w:vAlign w:val="center"/>
            <w:hideMark/>
          </w:tcPr>
          <w:p w14:paraId="0B8B19B9" w14:textId="6B83A043" w:rsidR="00087E71" w:rsidRPr="0032233B" w:rsidRDefault="00087E71" w:rsidP="00087E71">
            <w:pPr>
              <w:spacing w:after="0" w:line="240" w:lineRule="auto"/>
              <w:jc w:val="right"/>
              <w:rPr>
                <w:rFonts w:cs="Arial"/>
                <w:color w:val="000000"/>
                <w:sz w:val="16"/>
                <w:szCs w:val="16"/>
              </w:rPr>
            </w:pPr>
            <w:r>
              <w:rPr>
                <w:rFonts w:cs="Arial"/>
                <w:color w:val="000000"/>
                <w:sz w:val="16"/>
                <w:szCs w:val="16"/>
              </w:rPr>
              <w:t>29 140</w:t>
            </w:r>
          </w:p>
        </w:tc>
        <w:tc>
          <w:tcPr>
            <w:tcW w:w="709" w:type="dxa"/>
            <w:tcBorders>
              <w:top w:val="nil"/>
              <w:left w:val="nil"/>
              <w:bottom w:val="nil"/>
              <w:right w:val="single" w:sz="4" w:space="0" w:color="auto"/>
            </w:tcBorders>
            <w:shd w:val="clear" w:color="auto" w:fill="auto"/>
            <w:vAlign w:val="center"/>
            <w:hideMark/>
          </w:tcPr>
          <w:p w14:paraId="7266911E" w14:textId="547233E2" w:rsidR="00087E71" w:rsidRPr="0032233B" w:rsidRDefault="00087E71" w:rsidP="00087E71">
            <w:pPr>
              <w:spacing w:after="0" w:line="240" w:lineRule="auto"/>
              <w:jc w:val="right"/>
              <w:rPr>
                <w:rFonts w:cs="Arial"/>
                <w:color w:val="000000"/>
                <w:sz w:val="16"/>
                <w:szCs w:val="16"/>
              </w:rPr>
            </w:pPr>
            <w:r>
              <w:rPr>
                <w:rFonts w:cs="Arial"/>
                <w:color w:val="000000"/>
                <w:sz w:val="16"/>
                <w:szCs w:val="16"/>
              </w:rPr>
              <w:t>14 421</w:t>
            </w:r>
          </w:p>
        </w:tc>
        <w:tc>
          <w:tcPr>
            <w:tcW w:w="710" w:type="dxa"/>
            <w:tcBorders>
              <w:top w:val="nil"/>
              <w:left w:val="nil"/>
              <w:bottom w:val="nil"/>
              <w:right w:val="nil"/>
            </w:tcBorders>
            <w:shd w:val="clear" w:color="auto" w:fill="auto"/>
            <w:vAlign w:val="center"/>
            <w:hideMark/>
          </w:tcPr>
          <w:p w14:paraId="63DA2499" w14:textId="13B5DFF6" w:rsidR="00087E71" w:rsidRPr="0032233B" w:rsidRDefault="00087E71" w:rsidP="00087E71">
            <w:pPr>
              <w:spacing w:after="0" w:line="240" w:lineRule="auto"/>
              <w:jc w:val="right"/>
              <w:rPr>
                <w:rFonts w:cs="Arial"/>
                <w:color w:val="000000"/>
                <w:sz w:val="16"/>
                <w:szCs w:val="16"/>
              </w:rPr>
            </w:pPr>
            <w:r>
              <w:rPr>
                <w:rFonts w:cs="Arial"/>
                <w:color w:val="000000"/>
                <w:sz w:val="16"/>
                <w:szCs w:val="16"/>
              </w:rPr>
              <w:t>797</w:t>
            </w:r>
          </w:p>
        </w:tc>
        <w:tc>
          <w:tcPr>
            <w:tcW w:w="709" w:type="dxa"/>
            <w:tcBorders>
              <w:top w:val="nil"/>
              <w:left w:val="nil"/>
              <w:bottom w:val="nil"/>
              <w:right w:val="nil"/>
            </w:tcBorders>
            <w:shd w:val="clear" w:color="auto" w:fill="auto"/>
            <w:vAlign w:val="center"/>
            <w:hideMark/>
          </w:tcPr>
          <w:p w14:paraId="42BAE41D" w14:textId="7770BD79" w:rsidR="00087E71" w:rsidRPr="00087E71" w:rsidRDefault="00087E71" w:rsidP="00087E71">
            <w:pPr>
              <w:spacing w:after="0" w:line="240" w:lineRule="auto"/>
              <w:jc w:val="right"/>
              <w:rPr>
                <w:rFonts w:cs="Arial"/>
                <w:color w:val="000000"/>
                <w:sz w:val="16"/>
                <w:szCs w:val="16"/>
              </w:rPr>
            </w:pPr>
            <w:r w:rsidRPr="00087E71">
              <w:rPr>
                <w:rFonts w:cs="Arial"/>
                <w:color w:val="000000"/>
                <w:sz w:val="16"/>
                <w:szCs w:val="22"/>
              </w:rPr>
              <w:t>640</w:t>
            </w:r>
          </w:p>
        </w:tc>
        <w:tc>
          <w:tcPr>
            <w:tcW w:w="709" w:type="dxa"/>
            <w:tcBorders>
              <w:top w:val="nil"/>
              <w:left w:val="nil"/>
              <w:bottom w:val="nil"/>
              <w:right w:val="single" w:sz="4" w:space="0" w:color="auto"/>
            </w:tcBorders>
            <w:shd w:val="clear" w:color="auto" w:fill="auto"/>
            <w:vAlign w:val="center"/>
            <w:hideMark/>
          </w:tcPr>
          <w:p w14:paraId="16CE00E8" w14:textId="1BEE84E3" w:rsidR="00087E71" w:rsidRPr="0032233B" w:rsidRDefault="00087E71" w:rsidP="00087E71">
            <w:pPr>
              <w:spacing w:after="0" w:line="240" w:lineRule="auto"/>
              <w:jc w:val="right"/>
              <w:rPr>
                <w:rFonts w:cs="Arial"/>
                <w:color w:val="000000"/>
                <w:sz w:val="16"/>
                <w:szCs w:val="16"/>
              </w:rPr>
            </w:pPr>
            <w:r>
              <w:rPr>
                <w:rFonts w:cs="Arial"/>
                <w:color w:val="000000"/>
                <w:sz w:val="16"/>
                <w:szCs w:val="16"/>
              </w:rPr>
              <w:t>157</w:t>
            </w:r>
          </w:p>
        </w:tc>
        <w:tc>
          <w:tcPr>
            <w:tcW w:w="710" w:type="dxa"/>
            <w:tcBorders>
              <w:top w:val="nil"/>
              <w:left w:val="single" w:sz="4" w:space="0" w:color="auto"/>
              <w:bottom w:val="nil"/>
              <w:right w:val="nil"/>
            </w:tcBorders>
            <w:vAlign w:val="center"/>
          </w:tcPr>
          <w:p w14:paraId="78058BFC" w14:textId="6CCDA58E" w:rsidR="00087E71" w:rsidRPr="0032233B" w:rsidRDefault="00087E71" w:rsidP="00087E71">
            <w:pPr>
              <w:spacing w:after="0" w:line="240" w:lineRule="auto"/>
              <w:jc w:val="right"/>
              <w:rPr>
                <w:rFonts w:cs="Arial"/>
                <w:color w:val="000000"/>
                <w:sz w:val="16"/>
                <w:szCs w:val="16"/>
              </w:rPr>
            </w:pPr>
            <w:r>
              <w:rPr>
                <w:rFonts w:cs="Arial"/>
                <w:color w:val="000000"/>
                <w:sz w:val="16"/>
                <w:szCs w:val="16"/>
              </w:rPr>
              <w:t>88</w:t>
            </w:r>
          </w:p>
        </w:tc>
        <w:tc>
          <w:tcPr>
            <w:tcW w:w="709" w:type="dxa"/>
            <w:tcBorders>
              <w:top w:val="nil"/>
              <w:left w:val="nil"/>
              <w:bottom w:val="nil"/>
              <w:right w:val="nil"/>
            </w:tcBorders>
            <w:vAlign w:val="center"/>
          </w:tcPr>
          <w:p w14:paraId="07D83C3C" w14:textId="673CDCE4" w:rsidR="00087E71" w:rsidRPr="0032233B" w:rsidRDefault="00087E71" w:rsidP="00087E71">
            <w:pPr>
              <w:spacing w:after="0" w:line="240" w:lineRule="auto"/>
              <w:jc w:val="right"/>
              <w:rPr>
                <w:rFonts w:cs="Arial"/>
                <w:color w:val="000000"/>
                <w:sz w:val="16"/>
                <w:szCs w:val="16"/>
              </w:rPr>
            </w:pPr>
            <w:r>
              <w:rPr>
                <w:rFonts w:cs="Arial"/>
                <w:color w:val="000000"/>
                <w:sz w:val="16"/>
                <w:szCs w:val="16"/>
              </w:rPr>
              <w:t>83</w:t>
            </w:r>
          </w:p>
        </w:tc>
        <w:tc>
          <w:tcPr>
            <w:tcW w:w="709" w:type="dxa"/>
            <w:tcBorders>
              <w:top w:val="nil"/>
              <w:left w:val="nil"/>
              <w:bottom w:val="nil"/>
              <w:right w:val="nil"/>
            </w:tcBorders>
            <w:vAlign w:val="center"/>
          </w:tcPr>
          <w:p w14:paraId="0D8B7CAD" w14:textId="19CDA1DA" w:rsidR="00087E71" w:rsidRPr="0032233B" w:rsidRDefault="00087E71" w:rsidP="00087E71">
            <w:pPr>
              <w:spacing w:after="0" w:line="240" w:lineRule="auto"/>
              <w:jc w:val="right"/>
              <w:rPr>
                <w:rFonts w:cs="Arial"/>
                <w:color w:val="000000"/>
                <w:sz w:val="16"/>
                <w:szCs w:val="16"/>
              </w:rPr>
            </w:pPr>
            <w:r>
              <w:rPr>
                <w:rFonts w:cs="Arial"/>
                <w:color w:val="000000"/>
                <w:sz w:val="16"/>
                <w:szCs w:val="16"/>
              </w:rPr>
              <w:t>5</w:t>
            </w:r>
          </w:p>
        </w:tc>
      </w:tr>
      <w:tr w:rsidR="00C8357C" w:rsidRPr="0032233B" w14:paraId="3251B069" w14:textId="77777777" w:rsidTr="00C8357C">
        <w:trPr>
          <w:trHeight w:val="300"/>
        </w:trPr>
        <w:tc>
          <w:tcPr>
            <w:tcW w:w="1077" w:type="dxa"/>
            <w:tcBorders>
              <w:top w:val="nil"/>
              <w:left w:val="nil"/>
              <w:bottom w:val="nil"/>
              <w:right w:val="single" w:sz="4" w:space="0" w:color="auto"/>
            </w:tcBorders>
            <w:shd w:val="clear" w:color="auto" w:fill="auto"/>
            <w:vAlign w:val="center"/>
          </w:tcPr>
          <w:p w14:paraId="56DD47B5" w14:textId="6A83E905" w:rsidR="00C8357C" w:rsidRPr="0032233B" w:rsidRDefault="00C8357C" w:rsidP="00C8357C">
            <w:pPr>
              <w:spacing w:after="0" w:line="240" w:lineRule="auto"/>
              <w:jc w:val="center"/>
              <w:rPr>
                <w:rFonts w:cs="Arial"/>
                <w:sz w:val="16"/>
                <w:szCs w:val="16"/>
              </w:rPr>
            </w:pPr>
            <w:r>
              <w:rPr>
                <w:rFonts w:cs="Arial"/>
                <w:color w:val="000000"/>
                <w:sz w:val="16"/>
                <w:szCs w:val="16"/>
              </w:rPr>
              <w:t>2023</w:t>
            </w:r>
          </w:p>
        </w:tc>
        <w:tc>
          <w:tcPr>
            <w:tcW w:w="710" w:type="dxa"/>
            <w:tcBorders>
              <w:top w:val="nil"/>
              <w:left w:val="nil"/>
              <w:bottom w:val="nil"/>
              <w:right w:val="nil"/>
            </w:tcBorders>
            <w:shd w:val="clear" w:color="auto" w:fill="auto"/>
            <w:noWrap/>
            <w:vAlign w:val="center"/>
          </w:tcPr>
          <w:p w14:paraId="0214DC59" w14:textId="54E6F0AB" w:rsidR="00C8357C" w:rsidRPr="0032233B" w:rsidRDefault="00C8357C" w:rsidP="00C8357C">
            <w:pPr>
              <w:spacing w:after="0" w:line="240" w:lineRule="auto"/>
              <w:jc w:val="right"/>
              <w:rPr>
                <w:rFonts w:cs="Arial"/>
                <w:sz w:val="16"/>
                <w:szCs w:val="16"/>
              </w:rPr>
            </w:pPr>
            <w:r>
              <w:rPr>
                <w:rFonts w:cs="Arial"/>
                <w:color w:val="000000"/>
                <w:sz w:val="16"/>
                <w:szCs w:val="16"/>
              </w:rPr>
              <w:t>43 476</w:t>
            </w:r>
          </w:p>
        </w:tc>
        <w:tc>
          <w:tcPr>
            <w:tcW w:w="709" w:type="dxa"/>
            <w:tcBorders>
              <w:top w:val="nil"/>
              <w:left w:val="nil"/>
              <w:bottom w:val="nil"/>
              <w:right w:val="nil"/>
            </w:tcBorders>
            <w:shd w:val="clear" w:color="auto" w:fill="auto"/>
            <w:vAlign w:val="center"/>
          </w:tcPr>
          <w:p w14:paraId="755603E4" w14:textId="66D7D1B6" w:rsidR="00C8357C" w:rsidRPr="0032233B" w:rsidRDefault="00C8357C" w:rsidP="00C8357C">
            <w:pPr>
              <w:spacing w:after="0" w:line="240" w:lineRule="auto"/>
              <w:jc w:val="right"/>
              <w:rPr>
                <w:rFonts w:cs="Arial"/>
                <w:sz w:val="16"/>
                <w:szCs w:val="16"/>
              </w:rPr>
            </w:pPr>
            <w:r>
              <w:rPr>
                <w:rFonts w:cs="Arial"/>
                <w:color w:val="000000"/>
                <w:sz w:val="16"/>
                <w:szCs w:val="16"/>
              </w:rPr>
              <w:t>28 549</w:t>
            </w:r>
          </w:p>
        </w:tc>
        <w:tc>
          <w:tcPr>
            <w:tcW w:w="709" w:type="dxa"/>
            <w:tcBorders>
              <w:top w:val="nil"/>
              <w:left w:val="nil"/>
              <w:bottom w:val="nil"/>
              <w:right w:val="single" w:sz="4" w:space="0" w:color="auto"/>
            </w:tcBorders>
            <w:shd w:val="clear" w:color="auto" w:fill="auto"/>
            <w:vAlign w:val="center"/>
          </w:tcPr>
          <w:p w14:paraId="7FE03F8E" w14:textId="716F610D" w:rsidR="00C8357C" w:rsidRPr="0032233B" w:rsidRDefault="00C8357C" w:rsidP="00C8357C">
            <w:pPr>
              <w:spacing w:after="0" w:line="240" w:lineRule="auto"/>
              <w:jc w:val="right"/>
              <w:rPr>
                <w:rFonts w:cs="Arial"/>
                <w:sz w:val="16"/>
                <w:szCs w:val="16"/>
              </w:rPr>
            </w:pPr>
            <w:r>
              <w:rPr>
                <w:rFonts w:cs="Arial"/>
                <w:color w:val="000000"/>
                <w:sz w:val="16"/>
                <w:szCs w:val="16"/>
              </w:rPr>
              <w:t>14 927</w:t>
            </w:r>
          </w:p>
        </w:tc>
        <w:tc>
          <w:tcPr>
            <w:tcW w:w="710" w:type="dxa"/>
            <w:tcBorders>
              <w:top w:val="nil"/>
              <w:left w:val="nil"/>
              <w:bottom w:val="nil"/>
              <w:right w:val="nil"/>
            </w:tcBorders>
            <w:shd w:val="clear" w:color="auto" w:fill="auto"/>
            <w:noWrap/>
            <w:vAlign w:val="center"/>
          </w:tcPr>
          <w:p w14:paraId="58F339EC" w14:textId="517DB5AD" w:rsidR="00C8357C" w:rsidRPr="0032233B" w:rsidRDefault="00C8357C" w:rsidP="00C8357C">
            <w:pPr>
              <w:spacing w:after="0" w:line="240" w:lineRule="auto"/>
              <w:jc w:val="right"/>
              <w:rPr>
                <w:rFonts w:cs="Arial"/>
                <w:sz w:val="16"/>
                <w:szCs w:val="16"/>
              </w:rPr>
            </w:pPr>
            <w:r>
              <w:rPr>
                <w:rFonts w:cs="Arial"/>
                <w:color w:val="000000"/>
                <w:sz w:val="16"/>
                <w:szCs w:val="16"/>
              </w:rPr>
              <w:t>42 500</w:t>
            </w:r>
          </w:p>
        </w:tc>
        <w:tc>
          <w:tcPr>
            <w:tcW w:w="709" w:type="dxa"/>
            <w:tcBorders>
              <w:top w:val="nil"/>
              <w:left w:val="nil"/>
              <w:bottom w:val="nil"/>
              <w:right w:val="nil"/>
            </w:tcBorders>
            <w:shd w:val="clear" w:color="auto" w:fill="auto"/>
            <w:vAlign w:val="center"/>
          </w:tcPr>
          <w:p w14:paraId="0601FF02" w14:textId="10344E42" w:rsidR="00C8357C" w:rsidRPr="0032233B" w:rsidRDefault="00C8357C" w:rsidP="00C8357C">
            <w:pPr>
              <w:spacing w:after="0" w:line="240" w:lineRule="auto"/>
              <w:jc w:val="right"/>
              <w:rPr>
                <w:rFonts w:cs="Arial"/>
                <w:sz w:val="16"/>
                <w:szCs w:val="16"/>
              </w:rPr>
            </w:pPr>
            <w:r>
              <w:rPr>
                <w:rFonts w:cs="Arial"/>
                <w:color w:val="000000"/>
                <w:sz w:val="16"/>
                <w:szCs w:val="16"/>
              </w:rPr>
              <w:t>27 873</w:t>
            </w:r>
          </w:p>
        </w:tc>
        <w:tc>
          <w:tcPr>
            <w:tcW w:w="709" w:type="dxa"/>
            <w:tcBorders>
              <w:top w:val="nil"/>
              <w:left w:val="nil"/>
              <w:bottom w:val="nil"/>
              <w:right w:val="single" w:sz="4" w:space="0" w:color="auto"/>
            </w:tcBorders>
            <w:shd w:val="clear" w:color="auto" w:fill="auto"/>
            <w:vAlign w:val="center"/>
          </w:tcPr>
          <w:p w14:paraId="15A0B543" w14:textId="55C3288B" w:rsidR="00C8357C" w:rsidRPr="0032233B" w:rsidRDefault="00C8357C" w:rsidP="00C8357C">
            <w:pPr>
              <w:spacing w:after="0" w:line="240" w:lineRule="auto"/>
              <w:jc w:val="right"/>
              <w:rPr>
                <w:rFonts w:cs="Arial"/>
                <w:sz w:val="16"/>
                <w:szCs w:val="16"/>
              </w:rPr>
            </w:pPr>
            <w:r>
              <w:rPr>
                <w:rFonts w:cs="Arial"/>
                <w:color w:val="000000"/>
                <w:sz w:val="16"/>
                <w:szCs w:val="16"/>
              </w:rPr>
              <w:t>14 627</w:t>
            </w:r>
          </w:p>
        </w:tc>
        <w:tc>
          <w:tcPr>
            <w:tcW w:w="710" w:type="dxa"/>
            <w:tcBorders>
              <w:top w:val="nil"/>
              <w:left w:val="nil"/>
              <w:bottom w:val="nil"/>
              <w:right w:val="nil"/>
            </w:tcBorders>
            <w:shd w:val="clear" w:color="auto" w:fill="auto"/>
            <w:vAlign w:val="center"/>
          </w:tcPr>
          <w:p w14:paraId="51569465" w14:textId="3E5A1688" w:rsidR="00C8357C" w:rsidRPr="00C8357C" w:rsidRDefault="00C8357C" w:rsidP="00C8357C">
            <w:pPr>
              <w:spacing w:after="0" w:line="240" w:lineRule="auto"/>
              <w:jc w:val="right"/>
              <w:rPr>
                <w:rFonts w:cs="Arial"/>
                <w:color w:val="000000"/>
                <w:sz w:val="16"/>
                <w:szCs w:val="16"/>
              </w:rPr>
            </w:pPr>
            <w:r w:rsidRPr="00C8357C">
              <w:rPr>
                <w:rFonts w:cs="Arial"/>
                <w:color w:val="000000"/>
                <w:sz w:val="16"/>
                <w:szCs w:val="16"/>
              </w:rPr>
              <w:t>732</w:t>
            </w:r>
          </w:p>
        </w:tc>
        <w:tc>
          <w:tcPr>
            <w:tcW w:w="709" w:type="dxa"/>
            <w:tcBorders>
              <w:top w:val="nil"/>
              <w:left w:val="nil"/>
              <w:bottom w:val="nil"/>
              <w:right w:val="nil"/>
            </w:tcBorders>
            <w:shd w:val="clear" w:color="auto" w:fill="auto"/>
            <w:vAlign w:val="center"/>
          </w:tcPr>
          <w:p w14:paraId="0187C45B" w14:textId="456B3CFE" w:rsidR="00C8357C" w:rsidRPr="00C8357C" w:rsidRDefault="00C8357C" w:rsidP="00C8357C">
            <w:pPr>
              <w:spacing w:after="0" w:line="240" w:lineRule="auto"/>
              <w:jc w:val="right"/>
              <w:rPr>
                <w:rFonts w:cs="Arial"/>
                <w:color w:val="000000"/>
                <w:sz w:val="16"/>
                <w:szCs w:val="16"/>
              </w:rPr>
            </w:pPr>
            <w:r w:rsidRPr="00C8357C">
              <w:rPr>
                <w:rFonts w:cs="Arial"/>
                <w:color w:val="000000"/>
                <w:sz w:val="16"/>
                <w:szCs w:val="16"/>
              </w:rPr>
              <w:t>585</w:t>
            </w:r>
          </w:p>
        </w:tc>
        <w:tc>
          <w:tcPr>
            <w:tcW w:w="709" w:type="dxa"/>
            <w:tcBorders>
              <w:top w:val="nil"/>
              <w:left w:val="nil"/>
              <w:bottom w:val="nil"/>
              <w:right w:val="single" w:sz="4" w:space="0" w:color="auto"/>
            </w:tcBorders>
            <w:shd w:val="clear" w:color="auto" w:fill="auto"/>
            <w:vAlign w:val="center"/>
          </w:tcPr>
          <w:p w14:paraId="50848C7B" w14:textId="78EA6950" w:rsidR="00C8357C" w:rsidRPr="00C8357C" w:rsidRDefault="00C8357C" w:rsidP="00C8357C">
            <w:pPr>
              <w:spacing w:after="0" w:line="240" w:lineRule="auto"/>
              <w:jc w:val="right"/>
              <w:rPr>
                <w:rFonts w:cs="Arial"/>
                <w:color w:val="000000"/>
                <w:sz w:val="16"/>
                <w:szCs w:val="16"/>
              </w:rPr>
            </w:pPr>
            <w:r w:rsidRPr="00C8357C">
              <w:rPr>
                <w:rFonts w:cs="Arial"/>
                <w:color w:val="000000"/>
                <w:sz w:val="16"/>
                <w:szCs w:val="16"/>
              </w:rPr>
              <w:t>147</w:t>
            </w:r>
          </w:p>
        </w:tc>
        <w:tc>
          <w:tcPr>
            <w:tcW w:w="710" w:type="dxa"/>
            <w:tcBorders>
              <w:top w:val="nil"/>
              <w:left w:val="single" w:sz="4" w:space="0" w:color="auto"/>
              <w:bottom w:val="nil"/>
              <w:right w:val="nil"/>
            </w:tcBorders>
            <w:shd w:val="clear" w:color="auto" w:fill="auto"/>
            <w:vAlign w:val="center"/>
          </w:tcPr>
          <w:p w14:paraId="080E3815" w14:textId="7C593E54" w:rsidR="00C8357C" w:rsidRPr="00C8357C" w:rsidRDefault="00C8357C" w:rsidP="00C8357C">
            <w:pPr>
              <w:spacing w:after="0" w:line="240" w:lineRule="auto"/>
              <w:jc w:val="right"/>
              <w:rPr>
                <w:rFonts w:cs="Arial"/>
                <w:color w:val="000000"/>
                <w:sz w:val="16"/>
                <w:szCs w:val="16"/>
              </w:rPr>
            </w:pPr>
            <w:r w:rsidRPr="00C8357C">
              <w:rPr>
                <w:rFonts w:cs="Arial"/>
                <w:color w:val="000000"/>
                <w:sz w:val="16"/>
                <w:szCs w:val="16"/>
              </w:rPr>
              <w:t>77</w:t>
            </w:r>
          </w:p>
        </w:tc>
        <w:tc>
          <w:tcPr>
            <w:tcW w:w="709" w:type="dxa"/>
            <w:tcBorders>
              <w:top w:val="nil"/>
              <w:left w:val="nil"/>
              <w:bottom w:val="nil"/>
              <w:right w:val="nil"/>
            </w:tcBorders>
            <w:shd w:val="clear" w:color="auto" w:fill="auto"/>
            <w:vAlign w:val="center"/>
          </w:tcPr>
          <w:p w14:paraId="248A4410" w14:textId="085E5BB3" w:rsidR="00C8357C" w:rsidRPr="00C8357C" w:rsidRDefault="00C8357C" w:rsidP="00C8357C">
            <w:pPr>
              <w:spacing w:after="0" w:line="240" w:lineRule="auto"/>
              <w:jc w:val="right"/>
              <w:rPr>
                <w:rFonts w:cs="Arial"/>
                <w:color w:val="000000"/>
                <w:sz w:val="16"/>
                <w:szCs w:val="16"/>
              </w:rPr>
            </w:pPr>
            <w:r w:rsidRPr="00C8357C">
              <w:rPr>
                <w:rFonts w:cs="Arial"/>
                <w:color w:val="000000"/>
                <w:sz w:val="16"/>
                <w:szCs w:val="16"/>
              </w:rPr>
              <w:t>73</w:t>
            </w:r>
          </w:p>
        </w:tc>
        <w:tc>
          <w:tcPr>
            <w:tcW w:w="709" w:type="dxa"/>
            <w:tcBorders>
              <w:top w:val="nil"/>
              <w:left w:val="nil"/>
              <w:bottom w:val="nil"/>
              <w:right w:val="nil"/>
            </w:tcBorders>
            <w:shd w:val="clear" w:color="auto" w:fill="auto"/>
            <w:vAlign w:val="center"/>
          </w:tcPr>
          <w:p w14:paraId="6761E9C2" w14:textId="74E0FBD6" w:rsidR="00C8357C" w:rsidRPr="00C8357C" w:rsidRDefault="00C8357C" w:rsidP="00C8357C">
            <w:pPr>
              <w:spacing w:after="0" w:line="240" w:lineRule="auto"/>
              <w:jc w:val="right"/>
              <w:rPr>
                <w:rFonts w:cs="Arial"/>
                <w:color w:val="000000"/>
                <w:sz w:val="16"/>
                <w:szCs w:val="16"/>
              </w:rPr>
            </w:pPr>
            <w:r w:rsidRPr="00C8357C">
              <w:rPr>
                <w:rFonts w:cs="Arial"/>
                <w:color w:val="000000"/>
                <w:sz w:val="16"/>
                <w:szCs w:val="16"/>
              </w:rPr>
              <w:t>4</w:t>
            </w:r>
          </w:p>
        </w:tc>
      </w:tr>
    </w:tbl>
    <w:p w14:paraId="21BC641A" w14:textId="77777777" w:rsidR="00087E71" w:rsidRPr="008F6B9A" w:rsidRDefault="00087E71" w:rsidP="008F6B9A">
      <w:pPr>
        <w:spacing w:after="0" w:line="240" w:lineRule="auto"/>
        <w:rPr>
          <w:rFonts w:cs="Arial"/>
          <w:b/>
          <w:bCs/>
          <w:color w:val="000000"/>
          <w:szCs w:val="20"/>
        </w:rPr>
      </w:pPr>
    </w:p>
    <w:p w14:paraId="3E4F5347" w14:textId="77777777" w:rsidR="008F6B9A" w:rsidRPr="00BD1228" w:rsidRDefault="008F6B9A" w:rsidP="008F6B9A">
      <w:pPr>
        <w:spacing w:before="120" w:after="120"/>
        <w:jc w:val="both"/>
        <w:rPr>
          <w:sz w:val="16"/>
        </w:rPr>
      </w:pPr>
      <w:r w:rsidRPr="00BD1228">
        <w:rPr>
          <w:sz w:val="16"/>
        </w:rPr>
        <w:t>Zdroj: ČSÚ, SÚIP</w:t>
      </w:r>
    </w:p>
    <w:p w14:paraId="2BA13416" w14:textId="77777777" w:rsidR="00344573" w:rsidRDefault="00344573">
      <w:pPr>
        <w:spacing w:after="0" w:line="240" w:lineRule="auto"/>
        <w:rPr>
          <w:rFonts w:cs="Arial"/>
          <w:b/>
          <w:bCs/>
          <w:color w:val="000000"/>
          <w:szCs w:val="20"/>
        </w:rPr>
      </w:pPr>
      <w:r>
        <w:rPr>
          <w:rFonts w:cs="Arial"/>
          <w:b/>
          <w:bCs/>
          <w:color w:val="000000"/>
          <w:szCs w:val="20"/>
        </w:rPr>
        <w:br w:type="page"/>
      </w:r>
    </w:p>
    <w:p w14:paraId="5C873A78" w14:textId="190338A8" w:rsidR="008F6B9A" w:rsidRPr="008F6B9A" w:rsidRDefault="008F6B9A" w:rsidP="008F6B9A">
      <w:pPr>
        <w:spacing w:after="0" w:line="240" w:lineRule="auto"/>
        <w:rPr>
          <w:rFonts w:cs="Arial"/>
          <w:b/>
          <w:bCs/>
          <w:color w:val="000000"/>
          <w:szCs w:val="20"/>
        </w:rPr>
      </w:pPr>
      <w:r w:rsidRPr="008F6B9A">
        <w:rPr>
          <w:rFonts w:cs="Arial"/>
          <w:b/>
          <w:bCs/>
          <w:color w:val="000000"/>
          <w:szCs w:val="20"/>
        </w:rPr>
        <w:lastRenderedPageBreak/>
        <w:t xml:space="preserve">Graf 5.1: Pracovní úrazy s pracovní neschopností delší než 3 dny na 100 tis. pojištěnců podle </w:t>
      </w:r>
      <w:r w:rsidR="00BD6548">
        <w:rPr>
          <w:rFonts w:cs="Arial"/>
          <w:b/>
          <w:bCs/>
          <w:color w:val="000000"/>
          <w:szCs w:val="20"/>
        </w:rPr>
        <w:t>p</w:t>
      </w:r>
      <w:r w:rsidRPr="008F6B9A">
        <w:rPr>
          <w:rFonts w:cs="Arial"/>
          <w:b/>
          <w:bCs/>
          <w:color w:val="000000"/>
          <w:szCs w:val="20"/>
        </w:rPr>
        <w:t>ohlaví, 2013–2023</w:t>
      </w:r>
    </w:p>
    <w:p w14:paraId="67BD03FB" w14:textId="77777777" w:rsidR="008F6B9A" w:rsidRDefault="008F6B9A" w:rsidP="008F6B9A">
      <w:pPr>
        <w:spacing w:after="0" w:line="240" w:lineRule="auto"/>
        <w:rPr>
          <w:rFonts w:cs="Arial"/>
          <w:b/>
          <w:highlight w:val="yellow"/>
        </w:rPr>
      </w:pPr>
      <w:r>
        <w:rPr>
          <w:noProof/>
        </w:rPr>
        <w:drawing>
          <wp:inline distT="0" distB="0" distL="0" distR="0" wp14:anchorId="3F69ABFD" wp14:editId="28FAA56D">
            <wp:extent cx="6153150" cy="276225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1E118CE" w14:textId="4DA04A9A" w:rsidR="00C8357C" w:rsidRDefault="008F6B9A" w:rsidP="008F6B9A">
      <w:pPr>
        <w:spacing w:after="120"/>
        <w:jc w:val="both"/>
        <w:rPr>
          <w:sz w:val="16"/>
        </w:rPr>
      </w:pPr>
      <w:r w:rsidRPr="0032233B">
        <w:rPr>
          <w:sz w:val="16"/>
        </w:rPr>
        <w:t>Zdroj: ČSÚ</w:t>
      </w:r>
    </w:p>
    <w:p w14:paraId="195ACF7D" w14:textId="28D03EBF" w:rsidR="00C8357C" w:rsidRDefault="00C8357C">
      <w:pPr>
        <w:spacing w:after="0" w:line="240" w:lineRule="auto"/>
        <w:rPr>
          <w:sz w:val="16"/>
        </w:rPr>
      </w:pPr>
    </w:p>
    <w:p w14:paraId="0C69C64D" w14:textId="77777777" w:rsidR="008F6B9A" w:rsidRPr="008F6B9A" w:rsidRDefault="008F6B9A" w:rsidP="008F6B9A">
      <w:pPr>
        <w:spacing w:after="0" w:line="240" w:lineRule="auto"/>
        <w:rPr>
          <w:rFonts w:cs="Arial"/>
          <w:b/>
          <w:bCs/>
          <w:color w:val="000000"/>
          <w:szCs w:val="20"/>
        </w:rPr>
      </w:pPr>
      <w:r w:rsidRPr="008F6B9A">
        <w:rPr>
          <w:rFonts w:cs="Arial"/>
          <w:b/>
          <w:bCs/>
          <w:color w:val="000000"/>
          <w:szCs w:val="20"/>
        </w:rPr>
        <w:t>Graf 5.2: Pracovní úrazy s pracovní neschopností delší než 3 dny na 100 tis. pojištěnců podle odvětví (sekce CZ-NACE), 2023</w:t>
      </w:r>
    </w:p>
    <w:p w14:paraId="412723F3" w14:textId="77777777" w:rsidR="008F6B9A" w:rsidRDefault="008F6B9A" w:rsidP="008F6B9A">
      <w:pPr>
        <w:spacing w:after="0" w:line="240" w:lineRule="auto"/>
        <w:rPr>
          <w:rFonts w:cs="Arial"/>
          <w:b/>
          <w:highlight w:val="yellow"/>
        </w:rPr>
      </w:pPr>
      <w:r>
        <w:rPr>
          <w:noProof/>
        </w:rPr>
        <w:drawing>
          <wp:inline distT="0" distB="0" distL="0" distR="0" wp14:anchorId="03734C95" wp14:editId="62036C55">
            <wp:extent cx="6267450" cy="440055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DA5F06" w14:textId="77777777" w:rsidR="008F6B9A" w:rsidRPr="00251BF8" w:rsidRDefault="008F6B9A" w:rsidP="008F6B9A">
      <w:pPr>
        <w:spacing w:after="120"/>
        <w:jc w:val="both"/>
        <w:rPr>
          <w:sz w:val="16"/>
        </w:rPr>
      </w:pPr>
      <w:r w:rsidRPr="00251BF8">
        <w:rPr>
          <w:sz w:val="16"/>
        </w:rPr>
        <w:t>Zdroj: ČSÚ</w:t>
      </w:r>
    </w:p>
    <w:p w14:paraId="314295DE" w14:textId="3EB8C53C" w:rsidR="008F6B9A" w:rsidRPr="00E755F7" w:rsidRDefault="008F6B9A" w:rsidP="008F6B9A">
      <w:pPr>
        <w:spacing w:after="120"/>
        <w:jc w:val="both"/>
      </w:pPr>
      <w:r w:rsidRPr="00251BF8">
        <w:t xml:space="preserve">Z pohledu </w:t>
      </w:r>
      <w:r w:rsidRPr="00251BF8">
        <w:rPr>
          <w:b/>
        </w:rPr>
        <w:t>velikosti podniku</w:t>
      </w:r>
      <w:r w:rsidRPr="00251BF8">
        <w:t xml:space="preserve"> se v </w:t>
      </w:r>
      <w:r w:rsidR="00F01C1B" w:rsidRPr="00251BF8">
        <w:t>roce</w:t>
      </w:r>
      <w:r w:rsidRPr="00251BF8">
        <w:t xml:space="preserve"> 2023 nejvíce pracovních úrazů s pracovní neschopností delší než 3 dny událo v podnicích majících 100–249 zaměstnanců (</w:t>
      </w:r>
      <w:r w:rsidR="00F01C1B" w:rsidRPr="00251BF8">
        <w:t>1 167</w:t>
      </w:r>
      <w:r w:rsidRPr="00251BF8">
        <w:t xml:space="preserve"> případů v přepočtu na 100 tis. pojištěnců). Dále následovali zaměstnavatelé s 50–99 zaměstnanci, kteří vykázali </w:t>
      </w:r>
      <w:r w:rsidR="00F01C1B" w:rsidRPr="00251BF8">
        <w:t>1 130</w:t>
      </w:r>
      <w:r w:rsidRPr="00251BF8">
        <w:t xml:space="preserve"> pracovních úrazů na 100 tis. pojištěnců. Pro srovnání OSVČ zaznamenaly </w:t>
      </w:r>
      <w:r w:rsidR="00F01C1B" w:rsidRPr="00251BF8">
        <w:t>278</w:t>
      </w:r>
      <w:r w:rsidRPr="00251BF8">
        <w:t xml:space="preserve"> takovýchto případů na 100 tis. pojištěnců.</w:t>
      </w:r>
    </w:p>
    <w:p w14:paraId="06CFCC46" w14:textId="77777777" w:rsidR="003E1B21" w:rsidRPr="00C42FD6" w:rsidRDefault="003E1B21" w:rsidP="003E1B21">
      <w:pPr>
        <w:pStyle w:val="Nadpis3"/>
      </w:pPr>
      <w:bookmarkStart w:id="23" w:name="_Toc70950136"/>
      <w:bookmarkStart w:id="24" w:name="_Toc136412157"/>
      <w:bookmarkStart w:id="25" w:name="_Toc167965231"/>
      <w:r w:rsidRPr="00C42FD6">
        <w:lastRenderedPageBreak/>
        <w:t>4.6 Evropská statistika pracovních úrazů (ESAW)</w:t>
      </w:r>
      <w:bookmarkEnd w:id="23"/>
      <w:bookmarkEnd w:id="24"/>
      <w:bookmarkEnd w:id="25"/>
    </w:p>
    <w:p w14:paraId="6CDC5931" w14:textId="77777777" w:rsidR="003E1B21" w:rsidRPr="00EE492E" w:rsidRDefault="003E1B21" w:rsidP="003E1B21">
      <w:pPr>
        <w:spacing w:after="120"/>
        <w:jc w:val="both"/>
      </w:pPr>
      <w:r w:rsidRPr="00EE492E">
        <w:rPr>
          <w:rFonts w:cs="Arial"/>
          <w:szCs w:val="20"/>
        </w:rPr>
        <w:t xml:space="preserve">Evropská statistika pracovních úrazů – systém </w:t>
      </w:r>
      <w:r w:rsidRPr="00EE492E">
        <w:rPr>
          <w:rFonts w:cs="Arial"/>
          <w:b/>
          <w:szCs w:val="20"/>
        </w:rPr>
        <w:t>ESAW</w:t>
      </w:r>
      <w:r w:rsidRPr="00EE492E">
        <w:rPr>
          <w:rFonts w:cs="Arial"/>
          <w:szCs w:val="20"/>
        </w:rPr>
        <w:t xml:space="preserve"> (European Statistics on Accidents at Work) – umožňuje sledovat pracovní úrazovost na základě jednotné metodiky, kterou připravil Eurostat. Hlavním cílem je </w:t>
      </w:r>
      <w:r w:rsidRPr="00EE492E">
        <w:rPr>
          <w:rFonts w:cs="Arial"/>
          <w:b/>
          <w:szCs w:val="20"/>
        </w:rPr>
        <w:t>snížit</w:t>
      </w:r>
      <w:r w:rsidRPr="00EE492E">
        <w:rPr>
          <w:rFonts w:cs="Arial"/>
          <w:szCs w:val="20"/>
        </w:rPr>
        <w:t xml:space="preserve"> jak </w:t>
      </w:r>
      <w:r w:rsidRPr="00EE492E">
        <w:rPr>
          <w:rFonts w:cs="Arial"/>
          <w:b/>
          <w:szCs w:val="20"/>
        </w:rPr>
        <w:t>výskyt pracovních úrazů</w:t>
      </w:r>
      <w:r w:rsidRPr="00EE492E">
        <w:rPr>
          <w:rFonts w:cs="Arial"/>
          <w:szCs w:val="20"/>
        </w:rPr>
        <w:t xml:space="preserve">, tak dopady s nimi spojené (sociální problémy, ekonomické ztráty). Projekt ESAW na evropské úrovni svými výsledky významnou měrou přispívá k hlavnímu cíli statistiky pracovních úrazů, tj. </w:t>
      </w:r>
      <w:r w:rsidRPr="00EE492E">
        <w:rPr>
          <w:rFonts w:cs="Arial"/>
          <w:b/>
          <w:szCs w:val="20"/>
        </w:rPr>
        <w:t>vytvoření</w:t>
      </w:r>
      <w:r w:rsidRPr="00EE492E">
        <w:rPr>
          <w:rFonts w:cs="Arial"/>
          <w:szCs w:val="20"/>
        </w:rPr>
        <w:t xml:space="preserve"> dostatečného </w:t>
      </w:r>
      <w:r w:rsidRPr="00EE492E">
        <w:rPr>
          <w:rFonts w:cs="Arial"/>
          <w:b/>
          <w:szCs w:val="20"/>
        </w:rPr>
        <w:t>objemu údajů</w:t>
      </w:r>
      <w:r w:rsidRPr="00EE492E">
        <w:rPr>
          <w:rFonts w:cs="Arial"/>
          <w:szCs w:val="20"/>
        </w:rPr>
        <w:t xml:space="preserve"> o pracovní úrazovosti, na jejichž základě je zvyšována bezpečnost a ochrana zdraví při práci prostřednictvím účinných opatření, která umožňují aktivním způsobem předcházet pracovním úrazům, a tak snižovat jejich počet</w:t>
      </w:r>
      <w:r w:rsidRPr="00EE492E">
        <w:t>.</w:t>
      </w:r>
    </w:p>
    <w:p w14:paraId="5C569CBE" w14:textId="77777777" w:rsidR="003E1B21" w:rsidRPr="00EE492E" w:rsidRDefault="003E1B21" w:rsidP="003E1B21">
      <w:pPr>
        <w:spacing w:after="120"/>
        <w:jc w:val="both"/>
        <w:rPr>
          <w:rFonts w:cs="Arial"/>
          <w:szCs w:val="20"/>
        </w:rPr>
      </w:pPr>
      <w:r w:rsidRPr="00EE492E">
        <w:rPr>
          <w:rFonts w:cs="Arial"/>
          <w:szCs w:val="20"/>
        </w:rPr>
        <w:t xml:space="preserve">Rámcová směrnice 89/391/EHS týkající se opatření pro zlepšení bezpečnosti a ochrany zdraví zaměstnanců při práci zavedla povinnost pro zaměstnavatele vést seznam pracovních úrazů, které měly za následek pracovní neschopnost delší než 3 pracovní dny, a vypracovávat v souladu s vnitrostátními právními předpisy nebo zvyklostmi zprávy o pracovních úrazech, které utrpěli jeho zaměstnanci. Na tomto základě byl v roce 1990 zahájen projekt evropské statistiky pracovních úrazů s cílem harmonizovat údaje o všech pracovních úrazech, které měly za následek delší než třídenní pracovní neschopnost. Nařízení Evropského parlamentu a Rady (ES) č. 1338/2008 ze dne 16. prosince 2008 o statistice Společenství v oblasti veřejného zdraví a bezpečnosti a ochrany zdraví při práci stanoví povinnost poskytovat statistiky pracovních úrazů Komisi (Eurostatu). </w:t>
      </w:r>
    </w:p>
    <w:p w14:paraId="01C80D41" w14:textId="77777777" w:rsidR="003E1B21" w:rsidRPr="00844F02" w:rsidRDefault="003E1B21" w:rsidP="003E1B21">
      <w:pPr>
        <w:spacing w:after="120"/>
        <w:jc w:val="both"/>
        <w:rPr>
          <w:rFonts w:cs="Arial"/>
          <w:szCs w:val="20"/>
        </w:rPr>
      </w:pPr>
      <w:r w:rsidRPr="00844F02">
        <w:rPr>
          <w:rFonts w:cs="Arial"/>
          <w:szCs w:val="20"/>
        </w:rPr>
        <w:t xml:space="preserve">V České republice byl rozhodnutím Ministerstva práce a sociálních věcí zpracováním Zprávy o pracovní úrazovosti v České republice a správou databáze statistických údajů o pracovních úrazech ve formátu ESAW k zaslání do Eurostatu pověřen </w:t>
      </w:r>
      <w:r w:rsidRPr="00844F02">
        <w:rPr>
          <w:rFonts w:cs="Arial"/>
          <w:b/>
          <w:szCs w:val="20"/>
        </w:rPr>
        <w:t>Státní úřad inspekce práce</w:t>
      </w:r>
      <w:r w:rsidRPr="00844F02">
        <w:rPr>
          <w:rFonts w:cs="Arial"/>
          <w:szCs w:val="20"/>
        </w:rPr>
        <w:t>. Státní úřad inspekce práce (SÚIP) v této oblasti úzce spolupracuje s Českým báňským úřadem (ČBÚ) a ČSÚ.</w:t>
      </w:r>
    </w:p>
    <w:p w14:paraId="72B11D20" w14:textId="77777777" w:rsidR="003E1B21" w:rsidRPr="00844F02" w:rsidRDefault="003E1B21" w:rsidP="003E1B21">
      <w:pPr>
        <w:spacing w:after="120"/>
        <w:jc w:val="both"/>
        <w:rPr>
          <w:rFonts w:cs="Arial"/>
          <w:szCs w:val="20"/>
        </w:rPr>
      </w:pPr>
      <w:r w:rsidRPr="00844F02">
        <w:rPr>
          <w:rFonts w:cs="Arial"/>
          <w:b/>
          <w:szCs w:val="20"/>
        </w:rPr>
        <w:t>Statistiky</w:t>
      </w:r>
      <w:r w:rsidRPr="00844F02">
        <w:rPr>
          <w:rFonts w:cs="Arial"/>
          <w:szCs w:val="20"/>
        </w:rPr>
        <w:t xml:space="preserve"> se Eurostatu poskytují </w:t>
      </w:r>
      <w:r w:rsidRPr="00844F02">
        <w:rPr>
          <w:rFonts w:cs="Arial"/>
          <w:b/>
          <w:szCs w:val="20"/>
        </w:rPr>
        <w:t>každoročně</w:t>
      </w:r>
      <w:r w:rsidRPr="00844F02">
        <w:rPr>
          <w:rFonts w:cs="Arial"/>
          <w:szCs w:val="20"/>
        </w:rPr>
        <w:t xml:space="preserve"> a předkládají se nejpozději 18 měsíců po skončení referenčního roku. Eurostat zveřejňuje na svých stránkách výsledky zpracování dat za členské země EU, a to podle závažnosti pracovního úrazu, samostatně za smrtelné pracovní úrazy a za ostatní pracovní úrazy, které mají za následek pracovní neschopnost delší než 3 dny. K dispozici jsou dva základní ukazatele </w:t>
      </w:r>
      <w:r w:rsidRPr="00844F02">
        <w:rPr>
          <w:rFonts w:cs="Arial"/>
          <w:szCs w:val="20"/>
        </w:rPr>
        <w:br/>
        <w:t>– absolutní ukazatel počtu pracovních úrazů a relativní ukazatel standardizovaná míra výskytu. Data jsou tříděna podle pohlaví, věku, zaměstnání pojištěnce, ekonomické činnosti zaměstnavatele a dalších kritérií</w:t>
      </w:r>
      <w:r w:rsidRPr="00844F02">
        <w:rPr>
          <w:rStyle w:val="Znakapoznpodarou"/>
          <w:rFonts w:cs="Arial"/>
          <w:szCs w:val="20"/>
        </w:rPr>
        <w:footnoteReference w:id="6"/>
      </w:r>
      <w:r w:rsidRPr="00844F02">
        <w:rPr>
          <w:rFonts w:cs="Arial"/>
          <w:szCs w:val="20"/>
        </w:rPr>
        <w:t>.</w:t>
      </w:r>
    </w:p>
    <w:p w14:paraId="0FB73C68" w14:textId="18507ABD" w:rsidR="003E1B21" w:rsidRPr="00844F02" w:rsidRDefault="003E1B21" w:rsidP="003E1B21">
      <w:pPr>
        <w:spacing w:after="120"/>
        <w:jc w:val="both"/>
      </w:pPr>
      <w:r w:rsidRPr="00844F02">
        <w:t xml:space="preserve">Pro mezinárodní srovnání za členské státy EU byl v této publikaci použit relativní ukazatel – </w:t>
      </w:r>
      <w:r w:rsidRPr="00844F02">
        <w:rPr>
          <w:b/>
        </w:rPr>
        <w:t>standardizovaná míra výskytu pracovních úrazů</w:t>
      </w:r>
      <w:r w:rsidRPr="00844F02">
        <w:t xml:space="preserve"> na 100 tis. zaměstnaných osob, který je pro srovnání zemí různé velikosti vhodnějším ukazatelem než absolutní počet pracovních úrazů. Navíc ošetřuje problém rozdílné odvětvové struktury v jednotlivých zemích. Pro zachycení vývoje míry úrazovosti v členských zemích EU byly využity </w:t>
      </w:r>
      <w:r w:rsidRPr="00251BF8">
        <w:t>údaje za roky 2011–2021.</w:t>
      </w:r>
    </w:p>
    <w:p w14:paraId="03951BDB" w14:textId="77777777" w:rsidR="003E1B21" w:rsidRPr="00844F02" w:rsidRDefault="003E1B21" w:rsidP="003E1B21">
      <w:pPr>
        <w:spacing w:after="120"/>
        <w:jc w:val="both"/>
      </w:pPr>
      <w:r w:rsidRPr="00844F02">
        <w:t>Je však nutné upozornit na skutečnost, že vnitrostátní legislativa nebo zvyklosti v oblasti pracovní úrazovosti se mohou v jednotlivých zemích poměrně značně lišit, a tak i data předávaná do Eurostatu, přes veškerou snahu statistiků o harmonizaci a standardizaci, nemusí být zcela srovnatelná.</w:t>
      </w:r>
    </w:p>
    <w:p w14:paraId="0A5A4B45" w14:textId="77777777" w:rsidR="003E1B21" w:rsidRPr="00844F02" w:rsidRDefault="003E1B21" w:rsidP="003E1B21">
      <w:pPr>
        <w:pStyle w:val="Box1"/>
        <w:spacing w:before="120" w:after="120"/>
        <w:ind w:left="0"/>
        <w:jc w:val="both"/>
        <w:rPr>
          <w:i/>
        </w:rPr>
      </w:pPr>
      <w:r w:rsidRPr="00844F02">
        <w:rPr>
          <w:b/>
          <w:i/>
        </w:rPr>
        <w:t xml:space="preserve">Míra výskytu (četnost) </w:t>
      </w:r>
      <w:r w:rsidRPr="00844F02">
        <w:rPr>
          <w:i/>
        </w:rPr>
        <w:t xml:space="preserve">– ukazatel vyjadřuje počet pracovních úrazů na 100 000 zaměstnaných osob. Samostatné míry výskytu se počítají u smrtelných pracovních úrazů a pracovních úrazů, které mají za následek pracovní neschopnost delší než 3 dny. </w:t>
      </w:r>
    </w:p>
    <w:p w14:paraId="45065E13" w14:textId="77777777" w:rsidR="003E1B21" w:rsidRPr="00844F02" w:rsidRDefault="003E1B21" w:rsidP="003E1B21">
      <w:pPr>
        <w:pStyle w:val="Box1"/>
        <w:ind w:left="0"/>
        <w:jc w:val="both"/>
        <w:rPr>
          <w:i/>
          <w:u w:val="single"/>
        </w:rPr>
      </w:pPr>
      <w:r w:rsidRPr="00844F02">
        <w:rPr>
          <w:i/>
          <w:u w:val="single"/>
        </w:rPr>
        <w:t>Způsob výpočtu:</w:t>
      </w:r>
    </w:p>
    <w:p w14:paraId="2053C7BC" w14:textId="0617B623" w:rsidR="007C20D3" w:rsidRDefault="003E1B21" w:rsidP="003E1B21">
      <w:pPr>
        <w:pStyle w:val="Box1"/>
        <w:spacing w:before="120" w:after="120"/>
        <w:ind w:left="0"/>
        <w:contextualSpacing w:val="0"/>
        <w:jc w:val="both"/>
        <w:rPr>
          <w:i/>
        </w:rPr>
      </w:pPr>
      <w:r w:rsidRPr="00844F02">
        <w:rPr>
          <w:i/>
        </w:rPr>
        <w:t>Míra výskytu = počet úrazů (smrtelných nebo ostatních) / počet zaměstnaných osob ve sledované populaci x 100 000.</w:t>
      </w:r>
    </w:p>
    <w:p w14:paraId="56B31BA7" w14:textId="77777777" w:rsidR="007C20D3" w:rsidRDefault="007C20D3">
      <w:pPr>
        <w:spacing w:after="0" w:line="240" w:lineRule="auto"/>
        <w:rPr>
          <w:rFonts w:eastAsia="Calibri" w:cs="Arial"/>
          <w:i/>
          <w:szCs w:val="20"/>
        </w:rPr>
      </w:pPr>
      <w:r>
        <w:rPr>
          <w:i/>
        </w:rPr>
        <w:br w:type="page"/>
      </w:r>
    </w:p>
    <w:p w14:paraId="4922400D" w14:textId="77777777" w:rsidR="003E1B21" w:rsidRPr="00844F02" w:rsidRDefault="003E1B21" w:rsidP="003E1B21">
      <w:pPr>
        <w:pStyle w:val="Box1"/>
        <w:spacing w:before="120" w:after="120"/>
        <w:ind w:left="0"/>
        <w:contextualSpacing w:val="0"/>
        <w:jc w:val="both"/>
        <w:rPr>
          <w:i/>
        </w:rPr>
      </w:pPr>
      <w:r w:rsidRPr="00844F02">
        <w:rPr>
          <w:b/>
          <w:i/>
        </w:rPr>
        <w:lastRenderedPageBreak/>
        <w:t>Standardizovaná míra výskytu</w:t>
      </w:r>
      <w:r w:rsidRPr="00844F02">
        <w:rPr>
          <w:i/>
        </w:rPr>
        <w:t xml:space="preserve"> – standardizovaný počet pracovních úrazů na 100 000 zaměstnaných osob spočívající v použití stejné (standardizované) váhy v každém odvětví v každé zemi, jako je celková v rámci EU („standardizovaná“ míra úrazovosti). Použití standardizovaného ukazatele řeší problém častějšího výskytu pracovních úrazů v některých zaměstnáních v závislosti na vyšším podílu vysoce rizikových odvětví v průmyslové struktuře země. Standardizovaná míra pokrývá následující sekce klasifikace NACE: A, C–N</w:t>
      </w:r>
      <w:r>
        <w:rPr>
          <w:i/>
        </w:rPr>
        <w:t>,</w:t>
      </w:r>
      <w:r w:rsidRPr="00844F02">
        <w:rPr>
          <w:i/>
        </w:rPr>
        <w:t xml:space="preserve"> tj. bez sekcí B (Těžba a dobývání) a O–U (zahrnující některé služby).</w:t>
      </w:r>
    </w:p>
    <w:p w14:paraId="4BBED353" w14:textId="454D1DCB" w:rsidR="00B33613" w:rsidRPr="00251BF8" w:rsidRDefault="00B33613" w:rsidP="00B33613">
      <w:pPr>
        <w:spacing w:after="120"/>
        <w:jc w:val="both"/>
      </w:pPr>
      <w:r w:rsidRPr="00FD437F">
        <w:t xml:space="preserve">Co se týče </w:t>
      </w:r>
      <w:r w:rsidRPr="00FD437F">
        <w:rPr>
          <w:b/>
        </w:rPr>
        <w:t>pracovních úrazů</w:t>
      </w:r>
      <w:r w:rsidRPr="00FD437F">
        <w:t xml:space="preserve">, které si vyžádaly </w:t>
      </w:r>
      <w:r w:rsidRPr="00FD437F">
        <w:rPr>
          <w:b/>
        </w:rPr>
        <w:t>pracovní neschopnost delší než 3 dny</w:t>
      </w:r>
      <w:r w:rsidRPr="00FD437F">
        <w:t xml:space="preserve">, se </w:t>
      </w:r>
      <w:r w:rsidRPr="00FD437F">
        <w:rPr>
          <w:b/>
        </w:rPr>
        <w:t>Česká republika</w:t>
      </w:r>
      <w:r w:rsidRPr="00FD437F">
        <w:t xml:space="preserve"> </w:t>
      </w:r>
      <w:r w:rsidRPr="00251BF8">
        <w:t xml:space="preserve">s hodnotou standardizované míry </w:t>
      </w:r>
      <w:r w:rsidR="00C50880" w:rsidRPr="00251BF8">
        <w:t>808</w:t>
      </w:r>
      <w:r w:rsidRPr="00251BF8">
        <w:t xml:space="preserve"> pracovních úrazů na 100 tis. zaměstnaných osob v roce 202</w:t>
      </w:r>
      <w:r w:rsidR="00C50880" w:rsidRPr="00251BF8">
        <w:t>1</w:t>
      </w:r>
      <w:r w:rsidRPr="00251BF8">
        <w:t xml:space="preserve"> </w:t>
      </w:r>
      <w:r w:rsidR="00C50880" w:rsidRPr="00251BF8">
        <w:t xml:space="preserve">řadila stejně jako v předchozích dvou letech </w:t>
      </w:r>
      <w:r w:rsidRPr="00251BF8">
        <w:t xml:space="preserve">na </w:t>
      </w:r>
      <w:r w:rsidRPr="00251BF8">
        <w:rPr>
          <w:b/>
        </w:rPr>
        <w:t xml:space="preserve">16. místo </w:t>
      </w:r>
      <w:r w:rsidRPr="00251BF8">
        <w:t xml:space="preserve">v rámci </w:t>
      </w:r>
      <w:r w:rsidRPr="00251BF8">
        <w:rPr>
          <w:b/>
        </w:rPr>
        <w:t>EU27</w:t>
      </w:r>
      <w:r w:rsidRPr="00251BF8">
        <w:t xml:space="preserve">. Nejvyšší míra pracovní úrazovosti </w:t>
      </w:r>
      <w:r w:rsidR="00C50880" w:rsidRPr="00251BF8">
        <w:t xml:space="preserve">je podle Eurostatu dlouhodobě ve </w:t>
      </w:r>
      <w:r w:rsidRPr="00251BF8">
        <w:t>Francii</w:t>
      </w:r>
      <w:r w:rsidR="00C50880" w:rsidRPr="00251BF8">
        <w:t>, Portugalsku</w:t>
      </w:r>
      <w:r w:rsidRPr="00251BF8">
        <w:t xml:space="preserve"> a </w:t>
      </w:r>
      <w:r w:rsidR="00C50880" w:rsidRPr="00251BF8">
        <w:t xml:space="preserve"> Španělsku</w:t>
      </w:r>
      <w:r w:rsidR="00DD5A0D" w:rsidRPr="00251BF8">
        <w:t xml:space="preserve"> (v průběhu let v různém pořadí)</w:t>
      </w:r>
      <w:r w:rsidR="00C50880" w:rsidRPr="00251BF8">
        <w:t>. V roce 2021</w:t>
      </w:r>
      <w:r w:rsidRPr="00251BF8">
        <w:t xml:space="preserve"> činila v těchto zemích více než 2 </w:t>
      </w:r>
      <w:r w:rsidR="00C50880" w:rsidRPr="00251BF8">
        <w:t>5</w:t>
      </w:r>
      <w:r w:rsidRPr="00251BF8">
        <w:t>00 pracovních úrazů na 100 tis. zaměstnaných osob</w:t>
      </w:r>
      <w:r w:rsidR="00FD437F" w:rsidRPr="00251BF8">
        <w:t>, přičemž jen ve Francii to bylo 3 364 úrazů</w:t>
      </w:r>
      <w:r w:rsidRPr="00251BF8">
        <w:t>. S odstupem následovalo Dánsko (</w:t>
      </w:r>
      <w:r w:rsidR="00C50880" w:rsidRPr="00251BF8">
        <w:t>2 070</w:t>
      </w:r>
      <w:r w:rsidRPr="00251BF8">
        <w:t xml:space="preserve">), </w:t>
      </w:r>
      <w:r w:rsidR="00C50880" w:rsidRPr="00251BF8">
        <w:t xml:space="preserve">Lucembursko </w:t>
      </w:r>
      <w:r w:rsidR="00FD437F" w:rsidRPr="00251BF8">
        <w:t>(1 902) a Německo (1 </w:t>
      </w:r>
      <w:r w:rsidRPr="00251BF8">
        <w:t>8</w:t>
      </w:r>
      <w:r w:rsidR="00FD437F" w:rsidRPr="00251BF8">
        <w:t>59).</w:t>
      </w:r>
      <w:r w:rsidRPr="00251BF8">
        <w:t xml:space="preserve"> Průměr za státy EU27 činil 1 6</w:t>
      </w:r>
      <w:r w:rsidR="00FD437F" w:rsidRPr="00251BF8">
        <w:t>24</w:t>
      </w:r>
      <w:r w:rsidRPr="00251BF8">
        <w:t xml:space="preserve"> pracovních úrazů s minimálně 3denní pracovní neschopností na 100 tis. zaměstnaných osob. Nejnižší míra pracovní úrazovosti (pod hranicí 400 pracovních úrazů) byla v roce 202</w:t>
      </w:r>
      <w:r w:rsidR="00FD437F" w:rsidRPr="00251BF8">
        <w:t>1</w:t>
      </w:r>
      <w:r w:rsidRPr="00251BF8">
        <w:t xml:space="preserve"> vykázána v</w:t>
      </w:r>
      <w:r w:rsidR="00FD437F" w:rsidRPr="00251BF8">
        <w:t xml:space="preserve"> Rumunsku, </w:t>
      </w:r>
      <w:r w:rsidRPr="00251BF8">
        <w:t xml:space="preserve">Bulharsku, </w:t>
      </w:r>
      <w:r w:rsidR="00FD437F" w:rsidRPr="00251BF8">
        <w:t xml:space="preserve">Řecku a </w:t>
      </w:r>
      <w:r w:rsidRPr="00251BF8">
        <w:t>Lotyšsku</w:t>
      </w:r>
      <w:r w:rsidR="00FD437F" w:rsidRPr="00251BF8">
        <w:t>.</w:t>
      </w:r>
      <w:r w:rsidRPr="00251BF8">
        <w:t xml:space="preserve"> V </w:t>
      </w:r>
      <w:r w:rsidR="00FD437F" w:rsidRPr="00251BF8">
        <w:t xml:space="preserve">Rumunsku </w:t>
      </w:r>
      <w:r w:rsidRPr="00251BF8">
        <w:t xml:space="preserve">bylo na 100 000 zaměstnaných hlášeno pouze </w:t>
      </w:r>
      <w:r w:rsidR="00FD437F" w:rsidRPr="00251BF8">
        <w:t>52</w:t>
      </w:r>
      <w:r w:rsidRPr="00251BF8">
        <w:t xml:space="preserve"> pracovních úrazů s pracovní neschopností delší než 3 dny, v </w:t>
      </w:r>
      <w:r w:rsidR="00FD437F" w:rsidRPr="00251BF8">
        <w:t>Bulharsku</w:t>
      </w:r>
      <w:r w:rsidRPr="00251BF8">
        <w:t xml:space="preserve"> 81. </w:t>
      </w:r>
    </w:p>
    <w:p w14:paraId="72BDFA48" w14:textId="3E317353" w:rsidR="00B33613" w:rsidRPr="004E495A" w:rsidRDefault="00B33613" w:rsidP="00B33613">
      <w:pPr>
        <w:spacing w:after="120"/>
        <w:jc w:val="both"/>
      </w:pPr>
      <w:r w:rsidRPr="00251BF8">
        <w:t>Podle informací Eurostatu je v zemích s nejvyšší mírou výskytu pracovních úrazů (</w:t>
      </w:r>
      <w:r w:rsidR="00FD437F" w:rsidRPr="00251BF8">
        <w:t>Francie, Portugalsko či</w:t>
      </w:r>
      <w:r w:rsidR="00FD437F" w:rsidRPr="004E495A">
        <w:t xml:space="preserve"> </w:t>
      </w:r>
      <w:r w:rsidRPr="004E495A">
        <w:t>Španělsko) zaveden systém hlášení úrazů na základě pojištění. Osoba postižená úrazem obdrží při nahlášení úrazu významnou peněžní kompenzaci od pojišťovny. V zemích východní Evropy pracovní úrazovost nejčastěji spadá do systému sociálního zabezpečení. Z těchto zemí jedině Slovinsko a Estonsko vykázalo více než 1 000 pracovních úrazů s pracovní neschopností delší než 3 dny na 100 000 zaměstnaných osob. Dlouhodobě nejnižší míra v Rumunsku a Bulharsku, navíc s</w:t>
      </w:r>
      <w:r w:rsidR="00D21199">
        <w:t xml:space="preserve"> velkým </w:t>
      </w:r>
      <w:r w:rsidRPr="004E495A">
        <w:t>odstupem za ostatními státy, patrně do značné míry odráží vysoký podíl nenahlášených pracovních úrazů.</w:t>
      </w:r>
    </w:p>
    <w:p w14:paraId="7D3781E8" w14:textId="34E7B832" w:rsidR="00B33613" w:rsidRPr="004E495A" w:rsidRDefault="00B33613" w:rsidP="00B33613">
      <w:pPr>
        <w:spacing w:after="120"/>
        <w:jc w:val="both"/>
      </w:pPr>
      <w:r w:rsidRPr="00251BF8">
        <w:t xml:space="preserve">Jedná se o </w:t>
      </w:r>
      <w:r w:rsidR="00DD5A0D" w:rsidRPr="00251BF8">
        <w:t>druhý ročník dat</w:t>
      </w:r>
      <w:r w:rsidRPr="00251BF8">
        <w:t xml:space="preserve"> ze statistiky ESAW mapující období </w:t>
      </w:r>
      <w:r w:rsidR="002B6CB3">
        <w:t>poznamenané pandemií covidu-19</w:t>
      </w:r>
      <w:r w:rsidRPr="00251BF8">
        <w:t xml:space="preserve">. </w:t>
      </w:r>
      <w:r w:rsidR="00CF442A">
        <w:t>V</w:t>
      </w:r>
      <w:r w:rsidR="002B6CB3">
        <w:t> </w:t>
      </w:r>
      <w:r w:rsidR="00CF442A">
        <w:t xml:space="preserve">meziročním srovnání došlo v roce 2021 ve většině států k nárůstu standardizované míry výskytu pracovních úrazů na 100 tis. zaměstnaných. Nejvíce to bylo ve Francii (+767), Španělsku (+273), Portugalsku (+225) či Itálii (+208). Pouze na </w:t>
      </w:r>
      <w:r w:rsidR="004E495A" w:rsidRPr="00251BF8">
        <w:t xml:space="preserve">Kypru, </w:t>
      </w:r>
      <w:r w:rsidR="00CF442A">
        <w:t>v Maďarsku, Rumunsku</w:t>
      </w:r>
      <w:r w:rsidR="004E495A" w:rsidRPr="00251BF8">
        <w:t xml:space="preserve"> a </w:t>
      </w:r>
      <w:r w:rsidR="00CF442A">
        <w:t xml:space="preserve">na </w:t>
      </w:r>
      <w:r w:rsidR="004E495A" w:rsidRPr="00251BF8">
        <w:t>Malt</w:t>
      </w:r>
      <w:r w:rsidR="00CF442A">
        <w:t>ě míra výskytu pracovních úrazů klesala.</w:t>
      </w:r>
      <w:r w:rsidRPr="00251BF8">
        <w:t xml:space="preserve"> Je však potřeba dodat, že míra rozšíření nemoci covid-19 a s ní související opatření, která měla dopad i na pracovní úrazovost, se lišila napříč zeměmi.</w:t>
      </w:r>
    </w:p>
    <w:p w14:paraId="703EE96B" w14:textId="77777777" w:rsidR="00CF442A" w:rsidRDefault="00CF442A">
      <w:pPr>
        <w:spacing w:after="0" w:line="240" w:lineRule="auto"/>
        <w:rPr>
          <w:rFonts w:cs="Arial"/>
          <w:b/>
          <w:bCs/>
          <w:color w:val="000000"/>
          <w:szCs w:val="20"/>
        </w:rPr>
      </w:pPr>
      <w:r>
        <w:rPr>
          <w:rFonts w:cs="Arial"/>
          <w:b/>
          <w:bCs/>
          <w:color w:val="000000"/>
          <w:szCs w:val="20"/>
        </w:rPr>
        <w:br w:type="page"/>
      </w:r>
    </w:p>
    <w:p w14:paraId="72A58628" w14:textId="20DD98E2" w:rsidR="00B33613" w:rsidRPr="00B33613" w:rsidRDefault="00B33613" w:rsidP="00B33613">
      <w:pPr>
        <w:spacing w:after="0" w:line="240" w:lineRule="auto"/>
        <w:rPr>
          <w:rFonts w:cs="Arial"/>
          <w:b/>
          <w:bCs/>
          <w:color w:val="000000"/>
          <w:szCs w:val="20"/>
        </w:rPr>
      </w:pPr>
      <w:r w:rsidRPr="00B33613">
        <w:rPr>
          <w:rFonts w:cs="Arial"/>
          <w:b/>
          <w:bCs/>
          <w:color w:val="000000"/>
          <w:szCs w:val="20"/>
        </w:rPr>
        <w:lastRenderedPageBreak/>
        <w:t>Graf 6.1: Pracovní úrazy s pracovní neschopností delší než 3 pracovní dny v zemích EU (standardizovaná míra výskytu na 100 tis. zaměstnaných osob), 2021</w:t>
      </w:r>
    </w:p>
    <w:p w14:paraId="307593EF" w14:textId="77777777" w:rsidR="00B33613" w:rsidRDefault="00B33613" w:rsidP="008F6B9A">
      <w:pPr>
        <w:spacing w:after="0" w:line="240" w:lineRule="auto"/>
        <w:rPr>
          <w:rFonts w:cs="Arial"/>
          <w:b/>
          <w:highlight w:val="yellow"/>
        </w:rPr>
      </w:pPr>
      <w:r>
        <w:rPr>
          <w:noProof/>
        </w:rPr>
        <w:drawing>
          <wp:inline distT="0" distB="0" distL="0" distR="0" wp14:anchorId="68F852D0" wp14:editId="04E2811C">
            <wp:extent cx="6096000" cy="5067300"/>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F657B01" w14:textId="77777777" w:rsidR="00B33613" w:rsidRPr="00095759" w:rsidRDefault="00B33613" w:rsidP="00B33613">
      <w:pPr>
        <w:spacing w:after="120"/>
        <w:jc w:val="both"/>
        <w:rPr>
          <w:sz w:val="16"/>
        </w:rPr>
      </w:pPr>
      <w:r w:rsidRPr="00095759">
        <w:rPr>
          <w:sz w:val="16"/>
        </w:rPr>
        <w:t>Zdroj: Eurostat (ESAW)</w:t>
      </w:r>
    </w:p>
    <w:p w14:paraId="6C8315B0" w14:textId="77777777" w:rsidR="00B31735" w:rsidRPr="001C68C1" w:rsidRDefault="00B31735" w:rsidP="00B31735">
      <w:pPr>
        <w:spacing w:after="120"/>
        <w:jc w:val="both"/>
      </w:pPr>
      <w:r w:rsidRPr="00251BF8">
        <w:t xml:space="preserve">V oblasti </w:t>
      </w:r>
      <w:r w:rsidRPr="00251BF8">
        <w:rPr>
          <w:b/>
        </w:rPr>
        <w:t>smrtelných pracovních úrazů</w:t>
      </w:r>
      <w:r w:rsidRPr="00251BF8">
        <w:t xml:space="preserve"> se </w:t>
      </w:r>
      <w:r w:rsidRPr="00251BF8">
        <w:rPr>
          <w:b/>
        </w:rPr>
        <w:t>Česká republika</w:t>
      </w:r>
      <w:r w:rsidRPr="00251BF8">
        <w:t xml:space="preserve"> s hodnotou 2,0 smrtelných pracovních úrazů na 100 tis. zaměstnaných osob v roce 2021 řadila na </w:t>
      </w:r>
      <w:r w:rsidRPr="00251BF8">
        <w:rPr>
          <w:b/>
        </w:rPr>
        <w:t xml:space="preserve">19. místo </w:t>
      </w:r>
      <w:r w:rsidRPr="00251BF8">
        <w:t xml:space="preserve">v rámci </w:t>
      </w:r>
      <w:r w:rsidRPr="00251BF8">
        <w:rPr>
          <w:b/>
        </w:rPr>
        <w:t>EU27</w:t>
      </w:r>
      <w:r w:rsidRPr="00251BF8">
        <w:t>. V roce 2020 jí patřila 13. příčka. Zatímco v roce 2016 bylo Česko na úrovni celoevropského průměru, v roce 2020 ho převyšovalo o 0,4 úrazu v přepočtu na 100 tis. zaměstnaných. Naopak v roce 2021 byla hodnota za Českou republiku ve srovnání s celounijním průměrem, který činil 2,2 smrtelných pracovních úrazů, nižší. Nejvyšší míra smrtelné pracovní úrazovosti byla v roce 2021 podle Eurostatu v Litvě (5,5 na 100 tis. zaměstnaných osob) a na Maltě (5,0), kde ovšem vlivem velmi malé populace zaměstnaných osob dochází každoročně k velkým výkyvům tohoto ukazatele. Následovalo Lotyšsko a Francie s hodnotami 4,7 a 4,5. Naopak nejnižší míra smrtelné pracovní úrazovosti se dlouhodobě drží v Nizozemsku (0,4), Finsku (1,0), Německu, Řecku a Švédsku (shodně 1,1).</w:t>
      </w:r>
      <w:r w:rsidRPr="001C68C1">
        <w:t xml:space="preserve"> </w:t>
      </w:r>
    </w:p>
    <w:p w14:paraId="51A850F4" w14:textId="77777777" w:rsidR="00C8357C" w:rsidRDefault="00C8357C">
      <w:pPr>
        <w:spacing w:after="0" w:line="240" w:lineRule="auto"/>
        <w:rPr>
          <w:rFonts w:cs="Arial"/>
          <w:b/>
          <w:bCs/>
          <w:color w:val="000000"/>
          <w:szCs w:val="20"/>
        </w:rPr>
      </w:pPr>
      <w:r>
        <w:rPr>
          <w:rFonts w:cs="Arial"/>
          <w:b/>
          <w:bCs/>
          <w:color w:val="000000"/>
          <w:szCs w:val="20"/>
        </w:rPr>
        <w:br w:type="page"/>
      </w:r>
    </w:p>
    <w:p w14:paraId="25F0A995" w14:textId="3CC0F5F3" w:rsidR="00B33613" w:rsidRPr="00B33613" w:rsidRDefault="00B33613" w:rsidP="00B33613">
      <w:pPr>
        <w:spacing w:after="0" w:line="240" w:lineRule="auto"/>
        <w:rPr>
          <w:rFonts w:cs="Arial"/>
          <w:b/>
          <w:bCs/>
          <w:color w:val="000000"/>
          <w:szCs w:val="20"/>
        </w:rPr>
      </w:pPr>
      <w:r w:rsidRPr="00B33613">
        <w:rPr>
          <w:rFonts w:cs="Arial"/>
          <w:b/>
          <w:bCs/>
          <w:color w:val="000000"/>
          <w:szCs w:val="20"/>
        </w:rPr>
        <w:lastRenderedPageBreak/>
        <w:t>Tab. 6.1: Pracovní úrazy s pracovní neschopností delší než 3 pracovní dny v zemích EU (standardizovaná míra výskytu na 100 tis. zaměstnaných osob), 2011–2021</w:t>
      </w:r>
    </w:p>
    <w:tbl>
      <w:tblPr>
        <w:tblW w:w="9783" w:type="dxa"/>
        <w:tblCellMar>
          <w:left w:w="70" w:type="dxa"/>
          <w:right w:w="70" w:type="dxa"/>
        </w:tblCellMar>
        <w:tblLook w:val="04A0" w:firstRow="1" w:lastRow="0" w:firstColumn="1" w:lastColumn="0" w:noHBand="0" w:noVBand="1"/>
      </w:tblPr>
      <w:tblGrid>
        <w:gridCol w:w="1368"/>
        <w:gridCol w:w="765"/>
        <w:gridCol w:w="765"/>
        <w:gridCol w:w="765"/>
        <w:gridCol w:w="765"/>
        <w:gridCol w:w="765"/>
        <w:gridCol w:w="765"/>
        <w:gridCol w:w="765"/>
        <w:gridCol w:w="765"/>
        <w:gridCol w:w="765"/>
        <w:gridCol w:w="765"/>
        <w:gridCol w:w="765"/>
      </w:tblGrid>
      <w:tr w:rsidR="00B33613" w:rsidRPr="00166BEB" w14:paraId="76708460" w14:textId="4AA51464" w:rsidTr="00B33613">
        <w:trPr>
          <w:trHeight w:val="300"/>
        </w:trPr>
        <w:tc>
          <w:tcPr>
            <w:tcW w:w="0" w:type="auto"/>
            <w:tcBorders>
              <w:top w:val="single" w:sz="4" w:space="0" w:color="000000"/>
              <w:left w:val="nil"/>
              <w:bottom w:val="single" w:sz="4" w:space="0" w:color="000000"/>
              <w:right w:val="single" w:sz="4" w:space="0" w:color="000000"/>
            </w:tcBorders>
            <w:shd w:val="clear" w:color="000000" w:fill="F5DADD"/>
            <w:noWrap/>
            <w:vAlign w:val="center"/>
            <w:hideMark/>
          </w:tcPr>
          <w:p w14:paraId="69A3695D" w14:textId="77777777" w:rsidR="00B33613" w:rsidRPr="00166BEB" w:rsidRDefault="00B33613" w:rsidP="00B33613">
            <w:pPr>
              <w:spacing w:after="0" w:line="240" w:lineRule="auto"/>
              <w:rPr>
                <w:rFonts w:cs="Arial"/>
                <w:sz w:val="16"/>
                <w:szCs w:val="16"/>
                <w:highlight w:val="yellow"/>
              </w:rPr>
            </w:pPr>
            <w:r>
              <w:rPr>
                <w:rFonts w:cs="Arial"/>
                <w:sz w:val="16"/>
                <w:szCs w:val="16"/>
              </w:rPr>
              <w:t>Členské státy EU</w:t>
            </w:r>
          </w:p>
        </w:tc>
        <w:tc>
          <w:tcPr>
            <w:tcW w:w="765" w:type="dxa"/>
            <w:tcBorders>
              <w:top w:val="single" w:sz="4" w:space="0" w:color="000000"/>
              <w:left w:val="nil"/>
              <w:bottom w:val="single" w:sz="4" w:space="0" w:color="auto"/>
              <w:right w:val="single" w:sz="4" w:space="0" w:color="auto"/>
            </w:tcBorders>
            <w:shd w:val="clear" w:color="000000" w:fill="F5DADD"/>
            <w:noWrap/>
            <w:vAlign w:val="center"/>
            <w:hideMark/>
          </w:tcPr>
          <w:p w14:paraId="3D0E0601" w14:textId="77777777" w:rsidR="00B33613" w:rsidRPr="00166BEB" w:rsidRDefault="00B33613" w:rsidP="00B33613">
            <w:pPr>
              <w:spacing w:after="0" w:line="240" w:lineRule="auto"/>
              <w:jc w:val="center"/>
              <w:rPr>
                <w:rFonts w:cs="Arial"/>
                <w:sz w:val="16"/>
                <w:szCs w:val="16"/>
                <w:highlight w:val="yellow"/>
              </w:rPr>
            </w:pPr>
            <w:r>
              <w:rPr>
                <w:rFonts w:cs="Arial"/>
                <w:sz w:val="16"/>
                <w:szCs w:val="16"/>
              </w:rPr>
              <w:t>2011</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5E091972" w14:textId="77777777" w:rsidR="00B33613" w:rsidRPr="00166BEB" w:rsidRDefault="00B33613" w:rsidP="00B33613">
            <w:pPr>
              <w:spacing w:after="0" w:line="240" w:lineRule="auto"/>
              <w:jc w:val="center"/>
              <w:rPr>
                <w:rFonts w:cs="Arial"/>
                <w:sz w:val="16"/>
                <w:szCs w:val="16"/>
                <w:highlight w:val="yellow"/>
              </w:rPr>
            </w:pPr>
            <w:r>
              <w:rPr>
                <w:rFonts w:cs="Arial"/>
                <w:sz w:val="16"/>
                <w:szCs w:val="16"/>
              </w:rPr>
              <w:t>2012</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1E221663" w14:textId="77777777" w:rsidR="00B33613" w:rsidRPr="00166BEB" w:rsidRDefault="00B33613" w:rsidP="00B33613">
            <w:pPr>
              <w:spacing w:after="0" w:line="240" w:lineRule="auto"/>
              <w:jc w:val="center"/>
              <w:rPr>
                <w:rFonts w:cs="Arial"/>
                <w:sz w:val="16"/>
                <w:szCs w:val="16"/>
                <w:highlight w:val="yellow"/>
              </w:rPr>
            </w:pPr>
            <w:r>
              <w:rPr>
                <w:rFonts w:cs="Arial"/>
                <w:sz w:val="16"/>
                <w:szCs w:val="16"/>
              </w:rPr>
              <w:t>2013</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1CC1A3FE" w14:textId="77777777" w:rsidR="00B33613" w:rsidRPr="00166BEB" w:rsidRDefault="00B33613" w:rsidP="00B33613">
            <w:pPr>
              <w:spacing w:after="0" w:line="240" w:lineRule="auto"/>
              <w:jc w:val="center"/>
              <w:rPr>
                <w:rFonts w:cs="Arial"/>
                <w:sz w:val="16"/>
                <w:szCs w:val="16"/>
                <w:highlight w:val="yellow"/>
              </w:rPr>
            </w:pPr>
            <w:r>
              <w:rPr>
                <w:rFonts w:cs="Arial"/>
                <w:sz w:val="16"/>
                <w:szCs w:val="16"/>
              </w:rPr>
              <w:t>2014</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4BBCFA73" w14:textId="77777777" w:rsidR="00B33613" w:rsidRPr="00166BEB" w:rsidRDefault="00B33613" w:rsidP="00B33613">
            <w:pPr>
              <w:spacing w:after="0" w:line="240" w:lineRule="auto"/>
              <w:jc w:val="center"/>
              <w:rPr>
                <w:rFonts w:cs="Arial"/>
                <w:sz w:val="16"/>
                <w:szCs w:val="16"/>
                <w:highlight w:val="yellow"/>
              </w:rPr>
            </w:pPr>
            <w:r>
              <w:rPr>
                <w:rFonts w:cs="Arial"/>
                <w:sz w:val="16"/>
                <w:szCs w:val="16"/>
              </w:rPr>
              <w:t>2015</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2BE0E9F1" w14:textId="77777777" w:rsidR="00B33613" w:rsidRPr="00166BEB" w:rsidRDefault="00B33613" w:rsidP="00B33613">
            <w:pPr>
              <w:spacing w:after="0" w:line="240" w:lineRule="auto"/>
              <w:jc w:val="center"/>
              <w:rPr>
                <w:rFonts w:cs="Arial"/>
                <w:sz w:val="16"/>
                <w:szCs w:val="16"/>
                <w:highlight w:val="yellow"/>
              </w:rPr>
            </w:pPr>
            <w:r>
              <w:rPr>
                <w:rFonts w:cs="Arial"/>
                <w:sz w:val="16"/>
                <w:szCs w:val="16"/>
              </w:rPr>
              <w:t>2016</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6E7B860F" w14:textId="77777777" w:rsidR="00B33613" w:rsidRPr="00166BEB" w:rsidRDefault="00B33613" w:rsidP="00B33613">
            <w:pPr>
              <w:spacing w:after="0" w:line="240" w:lineRule="auto"/>
              <w:jc w:val="center"/>
              <w:rPr>
                <w:rFonts w:cs="Arial"/>
                <w:sz w:val="16"/>
                <w:szCs w:val="16"/>
                <w:highlight w:val="yellow"/>
              </w:rPr>
            </w:pPr>
            <w:r>
              <w:rPr>
                <w:rFonts w:cs="Arial"/>
                <w:sz w:val="16"/>
                <w:szCs w:val="16"/>
              </w:rPr>
              <w:t>2017</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13D2E08B" w14:textId="77777777" w:rsidR="00B33613" w:rsidRPr="00166BEB" w:rsidRDefault="00B33613" w:rsidP="00B33613">
            <w:pPr>
              <w:spacing w:after="0" w:line="240" w:lineRule="auto"/>
              <w:jc w:val="center"/>
              <w:rPr>
                <w:rFonts w:cs="Arial"/>
                <w:sz w:val="16"/>
                <w:szCs w:val="16"/>
                <w:highlight w:val="yellow"/>
              </w:rPr>
            </w:pPr>
            <w:r>
              <w:rPr>
                <w:rFonts w:cs="Arial"/>
                <w:sz w:val="16"/>
                <w:szCs w:val="16"/>
              </w:rPr>
              <w:t>2018</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1BFCE7F9" w14:textId="77777777" w:rsidR="00B33613" w:rsidRPr="00166BEB" w:rsidRDefault="00B33613" w:rsidP="00B33613">
            <w:pPr>
              <w:spacing w:after="0" w:line="240" w:lineRule="auto"/>
              <w:jc w:val="center"/>
              <w:rPr>
                <w:rFonts w:cs="Arial"/>
                <w:sz w:val="16"/>
                <w:szCs w:val="16"/>
                <w:highlight w:val="yellow"/>
              </w:rPr>
            </w:pPr>
            <w:r>
              <w:rPr>
                <w:rFonts w:cs="Arial"/>
                <w:sz w:val="16"/>
                <w:szCs w:val="16"/>
              </w:rPr>
              <w:t>2019</w:t>
            </w:r>
          </w:p>
        </w:tc>
        <w:tc>
          <w:tcPr>
            <w:tcW w:w="765" w:type="dxa"/>
            <w:tcBorders>
              <w:top w:val="single" w:sz="4" w:space="0" w:color="000000"/>
              <w:left w:val="single" w:sz="4" w:space="0" w:color="auto"/>
              <w:bottom w:val="single" w:sz="4" w:space="0" w:color="auto"/>
              <w:right w:val="single" w:sz="4" w:space="0" w:color="auto"/>
            </w:tcBorders>
            <w:shd w:val="clear" w:color="000000" w:fill="F5DADD"/>
            <w:vAlign w:val="center"/>
          </w:tcPr>
          <w:p w14:paraId="505C0D21" w14:textId="77777777" w:rsidR="00B33613" w:rsidRDefault="00B33613" w:rsidP="00B33613">
            <w:pPr>
              <w:spacing w:after="0" w:line="240" w:lineRule="auto"/>
              <w:jc w:val="center"/>
              <w:rPr>
                <w:rFonts w:cs="Arial"/>
                <w:sz w:val="16"/>
                <w:szCs w:val="16"/>
              </w:rPr>
            </w:pPr>
            <w:r>
              <w:rPr>
                <w:rFonts w:cs="Arial"/>
                <w:sz w:val="16"/>
                <w:szCs w:val="16"/>
              </w:rPr>
              <w:t>2020</w:t>
            </w:r>
          </w:p>
        </w:tc>
        <w:tc>
          <w:tcPr>
            <w:tcW w:w="765" w:type="dxa"/>
            <w:tcBorders>
              <w:top w:val="single" w:sz="4" w:space="0" w:color="000000"/>
              <w:left w:val="single" w:sz="4" w:space="0" w:color="auto"/>
              <w:bottom w:val="single" w:sz="4" w:space="0" w:color="auto"/>
              <w:right w:val="nil"/>
            </w:tcBorders>
            <w:shd w:val="clear" w:color="000000" w:fill="F5DADD"/>
            <w:vAlign w:val="center"/>
          </w:tcPr>
          <w:p w14:paraId="3A0C2854" w14:textId="56301AAD" w:rsidR="00B33613" w:rsidRDefault="00B33613" w:rsidP="00B33613">
            <w:pPr>
              <w:spacing w:after="0" w:line="240" w:lineRule="auto"/>
              <w:jc w:val="center"/>
              <w:rPr>
                <w:rFonts w:cs="Arial"/>
                <w:sz w:val="16"/>
                <w:szCs w:val="16"/>
              </w:rPr>
            </w:pPr>
            <w:r>
              <w:rPr>
                <w:rFonts w:cs="Arial"/>
                <w:sz w:val="16"/>
                <w:szCs w:val="16"/>
              </w:rPr>
              <w:t>2021</w:t>
            </w:r>
          </w:p>
        </w:tc>
      </w:tr>
      <w:tr w:rsidR="00B33613" w:rsidRPr="00166BEB" w14:paraId="6FB1329A" w14:textId="77777777" w:rsidTr="00B33613">
        <w:trPr>
          <w:trHeight w:val="300"/>
        </w:trPr>
        <w:tc>
          <w:tcPr>
            <w:tcW w:w="0" w:type="auto"/>
            <w:tcBorders>
              <w:top w:val="nil"/>
              <w:left w:val="nil"/>
              <w:bottom w:val="nil"/>
              <w:right w:val="nil"/>
            </w:tcBorders>
            <w:shd w:val="clear" w:color="auto" w:fill="auto"/>
            <w:noWrap/>
            <w:vAlign w:val="center"/>
            <w:hideMark/>
          </w:tcPr>
          <w:p w14:paraId="55934B76" w14:textId="77777777" w:rsidR="00B33613" w:rsidRPr="00166BEB" w:rsidRDefault="00B33613" w:rsidP="00B33613">
            <w:pPr>
              <w:spacing w:after="0" w:line="240" w:lineRule="auto"/>
              <w:rPr>
                <w:rFonts w:cs="Arial"/>
                <w:b/>
                <w:bCs/>
                <w:sz w:val="16"/>
                <w:szCs w:val="16"/>
                <w:highlight w:val="yellow"/>
              </w:rPr>
            </w:pPr>
            <w:r>
              <w:rPr>
                <w:rFonts w:cs="Arial"/>
                <w:b/>
                <w:bCs/>
                <w:sz w:val="16"/>
                <w:szCs w:val="16"/>
              </w:rPr>
              <w:t>EU27</w:t>
            </w:r>
          </w:p>
        </w:tc>
        <w:tc>
          <w:tcPr>
            <w:tcW w:w="765" w:type="dxa"/>
            <w:tcBorders>
              <w:top w:val="nil"/>
              <w:left w:val="single" w:sz="4" w:space="0" w:color="000000"/>
              <w:bottom w:val="nil"/>
              <w:right w:val="single" w:sz="4" w:space="0" w:color="auto"/>
            </w:tcBorders>
            <w:shd w:val="clear" w:color="auto" w:fill="auto"/>
            <w:noWrap/>
            <w:vAlign w:val="center"/>
            <w:hideMark/>
          </w:tcPr>
          <w:p w14:paraId="0EC2DFFC"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2 029,4</w:t>
            </w:r>
          </w:p>
        </w:tc>
        <w:tc>
          <w:tcPr>
            <w:tcW w:w="765" w:type="dxa"/>
            <w:tcBorders>
              <w:top w:val="nil"/>
              <w:left w:val="single" w:sz="4" w:space="0" w:color="auto"/>
              <w:bottom w:val="nil"/>
              <w:right w:val="single" w:sz="4" w:space="0" w:color="auto"/>
            </w:tcBorders>
            <w:shd w:val="clear" w:color="auto" w:fill="auto"/>
            <w:noWrap/>
            <w:vAlign w:val="center"/>
            <w:hideMark/>
          </w:tcPr>
          <w:p w14:paraId="65179286"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1 862,4</w:t>
            </w:r>
          </w:p>
        </w:tc>
        <w:tc>
          <w:tcPr>
            <w:tcW w:w="765" w:type="dxa"/>
            <w:tcBorders>
              <w:top w:val="nil"/>
              <w:left w:val="single" w:sz="4" w:space="0" w:color="auto"/>
              <w:bottom w:val="nil"/>
              <w:right w:val="single" w:sz="4" w:space="0" w:color="auto"/>
            </w:tcBorders>
            <w:shd w:val="clear" w:color="auto" w:fill="auto"/>
            <w:noWrap/>
            <w:vAlign w:val="center"/>
            <w:hideMark/>
          </w:tcPr>
          <w:p w14:paraId="545CFF90"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1 815,8</w:t>
            </w:r>
          </w:p>
        </w:tc>
        <w:tc>
          <w:tcPr>
            <w:tcW w:w="765" w:type="dxa"/>
            <w:tcBorders>
              <w:top w:val="nil"/>
              <w:left w:val="single" w:sz="4" w:space="0" w:color="auto"/>
              <w:bottom w:val="nil"/>
              <w:right w:val="single" w:sz="4" w:space="0" w:color="auto"/>
            </w:tcBorders>
            <w:shd w:val="clear" w:color="auto" w:fill="auto"/>
            <w:noWrap/>
            <w:vAlign w:val="center"/>
            <w:hideMark/>
          </w:tcPr>
          <w:p w14:paraId="0EC50BD6"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1 768,5</w:t>
            </w:r>
          </w:p>
        </w:tc>
        <w:tc>
          <w:tcPr>
            <w:tcW w:w="765" w:type="dxa"/>
            <w:tcBorders>
              <w:top w:val="nil"/>
              <w:left w:val="single" w:sz="4" w:space="0" w:color="auto"/>
              <w:bottom w:val="nil"/>
              <w:right w:val="single" w:sz="4" w:space="0" w:color="auto"/>
            </w:tcBorders>
            <w:shd w:val="clear" w:color="auto" w:fill="auto"/>
            <w:noWrap/>
            <w:vAlign w:val="center"/>
            <w:hideMark/>
          </w:tcPr>
          <w:p w14:paraId="3863C006"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1 761,9</w:t>
            </w:r>
          </w:p>
        </w:tc>
        <w:tc>
          <w:tcPr>
            <w:tcW w:w="765" w:type="dxa"/>
            <w:tcBorders>
              <w:top w:val="nil"/>
              <w:left w:val="single" w:sz="4" w:space="0" w:color="auto"/>
              <w:bottom w:val="nil"/>
              <w:right w:val="single" w:sz="4" w:space="0" w:color="auto"/>
            </w:tcBorders>
            <w:shd w:val="clear" w:color="auto" w:fill="auto"/>
            <w:noWrap/>
            <w:vAlign w:val="center"/>
            <w:hideMark/>
          </w:tcPr>
          <w:p w14:paraId="65CA7141"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1 772,4</w:t>
            </w:r>
          </w:p>
        </w:tc>
        <w:tc>
          <w:tcPr>
            <w:tcW w:w="765" w:type="dxa"/>
            <w:tcBorders>
              <w:top w:val="nil"/>
              <w:left w:val="single" w:sz="4" w:space="0" w:color="auto"/>
              <w:bottom w:val="nil"/>
              <w:right w:val="single" w:sz="4" w:space="0" w:color="auto"/>
            </w:tcBorders>
            <w:shd w:val="clear" w:color="auto" w:fill="auto"/>
            <w:noWrap/>
            <w:vAlign w:val="center"/>
            <w:hideMark/>
          </w:tcPr>
          <w:p w14:paraId="2267CAF8"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1 801,0</w:t>
            </w:r>
          </w:p>
        </w:tc>
        <w:tc>
          <w:tcPr>
            <w:tcW w:w="765" w:type="dxa"/>
            <w:tcBorders>
              <w:top w:val="nil"/>
              <w:left w:val="single" w:sz="4" w:space="0" w:color="auto"/>
              <w:bottom w:val="nil"/>
              <w:right w:val="single" w:sz="4" w:space="0" w:color="auto"/>
            </w:tcBorders>
            <w:shd w:val="clear" w:color="auto" w:fill="auto"/>
            <w:noWrap/>
            <w:vAlign w:val="center"/>
            <w:hideMark/>
          </w:tcPr>
          <w:p w14:paraId="02E24558"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1 768,9</w:t>
            </w:r>
          </w:p>
        </w:tc>
        <w:tc>
          <w:tcPr>
            <w:tcW w:w="765" w:type="dxa"/>
            <w:tcBorders>
              <w:top w:val="nil"/>
              <w:left w:val="single" w:sz="4" w:space="0" w:color="auto"/>
              <w:bottom w:val="nil"/>
              <w:right w:val="single" w:sz="4" w:space="0" w:color="auto"/>
            </w:tcBorders>
            <w:shd w:val="clear" w:color="auto" w:fill="auto"/>
            <w:noWrap/>
            <w:vAlign w:val="center"/>
            <w:hideMark/>
          </w:tcPr>
          <w:p w14:paraId="3D8AEBC1"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1 712,5</w:t>
            </w:r>
          </w:p>
        </w:tc>
        <w:tc>
          <w:tcPr>
            <w:tcW w:w="765" w:type="dxa"/>
            <w:tcBorders>
              <w:top w:val="nil"/>
              <w:left w:val="single" w:sz="4" w:space="0" w:color="auto"/>
              <w:bottom w:val="nil"/>
              <w:right w:val="single" w:sz="4" w:space="0" w:color="auto"/>
            </w:tcBorders>
            <w:shd w:val="clear" w:color="auto" w:fill="D9D9D9"/>
            <w:vAlign w:val="center"/>
          </w:tcPr>
          <w:p w14:paraId="15831A18" w14:textId="77777777" w:rsidR="00B33613" w:rsidRDefault="00B33613" w:rsidP="00B33613">
            <w:pPr>
              <w:spacing w:after="0" w:line="240" w:lineRule="auto"/>
              <w:jc w:val="right"/>
              <w:rPr>
                <w:rFonts w:cs="Arial"/>
                <w:b/>
                <w:bCs/>
                <w:sz w:val="16"/>
                <w:szCs w:val="16"/>
              </w:rPr>
            </w:pPr>
            <w:r>
              <w:rPr>
                <w:rFonts w:cs="Arial"/>
                <w:b/>
                <w:bCs/>
                <w:sz w:val="16"/>
                <w:szCs w:val="16"/>
              </w:rPr>
              <w:t>1 466,3</w:t>
            </w:r>
          </w:p>
        </w:tc>
        <w:tc>
          <w:tcPr>
            <w:tcW w:w="765" w:type="dxa"/>
            <w:tcBorders>
              <w:top w:val="nil"/>
              <w:left w:val="single" w:sz="4" w:space="0" w:color="auto"/>
              <w:bottom w:val="nil"/>
              <w:right w:val="nil"/>
            </w:tcBorders>
            <w:vAlign w:val="center"/>
          </w:tcPr>
          <w:p w14:paraId="1FB804F9" w14:textId="0E7C4967" w:rsidR="00B33613" w:rsidRDefault="00B33613" w:rsidP="00B33613">
            <w:pPr>
              <w:spacing w:after="0" w:line="240" w:lineRule="auto"/>
              <w:jc w:val="right"/>
              <w:rPr>
                <w:rFonts w:cs="Arial"/>
                <w:b/>
                <w:bCs/>
                <w:sz w:val="16"/>
                <w:szCs w:val="16"/>
              </w:rPr>
            </w:pPr>
            <w:r>
              <w:rPr>
                <w:rFonts w:cs="Arial"/>
                <w:b/>
                <w:bCs/>
                <w:sz w:val="16"/>
                <w:szCs w:val="16"/>
              </w:rPr>
              <w:t>1 624,0</w:t>
            </w:r>
          </w:p>
        </w:tc>
      </w:tr>
      <w:tr w:rsidR="00B33613" w:rsidRPr="00166BEB" w14:paraId="69941C9C" w14:textId="77777777" w:rsidTr="00B33613">
        <w:trPr>
          <w:trHeight w:val="300"/>
        </w:trPr>
        <w:tc>
          <w:tcPr>
            <w:tcW w:w="0" w:type="auto"/>
            <w:tcBorders>
              <w:top w:val="nil"/>
              <w:left w:val="nil"/>
              <w:bottom w:val="nil"/>
              <w:right w:val="nil"/>
            </w:tcBorders>
            <w:shd w:val="clear" w:color="auto" w:fill="auto"/>
            <w:noWrap/>
            <w:vAlign w:val="center"/>
            <w:hideMark/>
          </w:tcPr>
          <w:p w14:paraId="7BEF2365"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Belgie</w:t>
            </w:r>
          </w:p>
        </w:tc>
        <w:tc>
          <w:tcPr>
            <w:tcW w:w="765" w:type="dxa"/>
            <w:tcBorders>
              <w:top w:val="nil"/>
              <w:left w:val="single" w:sz="4" w:space="0" w:color="000000"/>
              <w:bottom w:val="nil"/>
              <w:right w:val="single" w:sz="4" w:space="0" w:color="auto"/>
            </w:tcBorders>
            <w:shd w:val="clear" w:color="auto" w:fill="auto"/>
            <w:noWrap/>
            <w:vAlign w:val="center"/>
            <w:hideMark/>
          </w:tcPr>
          <w:p w14:paraId="202DD7C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2 523,4</w:t>
            </w:r>
          </w:p>
        </w:tc>
        <w:tc>
          <w:tcPr>
            <w:tcW w:w="765" w:type="dxa"/>
            <w:tcBorders>
              <w:top w:val="nil"/>
              <w:left w:val="single" w:sz="4" w:space="0" w:color="auto"/>
              <w:bottom w:val="nil"/>
              <w:right w:val="single" w:sz="4" w:space="0" w:color="auto"/>
            </w:tcBorders>
            <w:shd w:val="clear" w:color="auto" w:fill="auto"/>
            <w:noWrap/>
            <w:vAlign w:val="center"/>
            <w:hideMark/>
          </w:tcPr>
          <w:p w14:paraId="19BC7B9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2 197,3</w:t>
            </w:r>
          </w:p>
        </w:tc>
        <w:tc>
          <w:tcPr>
            <w:tcW w:w="765" w:type="dxa"/>
            <w:tcBorders>
              <w:top w:val="nil"/>
              <w:left w:val="single" w:sz="4" w:space="0" w:color="auto"/>
              <w:bottom w:val="nil"/>
              <w:right w:val="single" w:sz="4" w:space="0" w:color="auto"/>
            </w:tcBorders>
            <w:shd w:val="clear" w:color="auto" w:fill="auto"/>
            <w:noWrap/>
            <w:vAlign w:val="center"/>
            <w:hideMark/>
          </w:tcPr>
          <w:p w14:paraId="6EDCFD9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2 147,3</w:t>
            </w:r>
          </w:p>
        </w:tc>
        <w:tc>
          <w:tcPr>
            <w:tcW w:w="765" w:type="dxa"/>
            <w:tcBorders>
              <w:top w:val="nil"/>
              <w:left w:val="single" w:sz="4" w:space="0" w:color="auto"/>
              <w:bottom w:val="nil"/>
              <w:right w:val="single" w:sz="4" w:space="0" w:color="auto"/>
            </w:tcBorders>
            <w:shd w:val="clear" w:color="000000" w:fill="D9D9D9"/>
            <w:noWrap/>
            <w:vAlign w:val="center"/>
            <w:hideMark/>
          </w:tcPr>
          <w:p w14:paraId="2EFA094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1 724,4</w:t>
            </w:r>
          </w:p>
        </w:tc>
        <w:tc>
          <w:tcPr>
            <w:tcW w:w="765" w:type="dxa"/>
            <w:tcBorders>
              <w:top w:val="nil"/>
              <w:left w:val="single" w:sz="4" w:space="0" w:color="auto"/>
              <w:bottom w:val="nil"/>
              <w:right w:val="single" w:sz="4" w:space="0" w:color="auto"/>
            </w:tcBorders>
            <w:shd w:val="clear" w:color="auto" w:fill="auto"/>
            <w:noWrap/>
            <w:vAlign w:val="center"/>
            <w:hideMark/>
          </w:tcPr>
          <w:p w14:paraId="4943179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1 518,6</w:t>
            </w:r>
          </w:p>
        </w:tc>
        <w:tc>
          <w:tcPr>
            <w:tcW w:w="765" w:type="dxa"/>
            <w:tcBorders>
              <w:top w:val="nil"/>
              <w:left w:val="single" w:sz="4" w:space="0" w:color="auto"/>
              <w:bottom w:val="nil"/>
              <w:right w:val="single" w:sz="4" w:space="0" w:color="auto"/>
            </w:tcBorders>
            <w:shd w:val="clear" w:color="auto" w:fill="auto"/>
            <w:noWrap/>
            <w:vAlign w:val="center"/>
            <w:hideMark/>
          </w:tcPr>
          <w:p w14:paraId="2DED3FD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1 972,2</w:t>
            </w:r>
          </w:p>
        </w:tc>
        <w:tc>
          <w:tcPr>
            <w:tcW w:w="765" w:type="dxa"/>
            <w:tcBorders>
              <w:top w:val="nil"/>
              <w:left w:val="single" w:sz="4" w:space="0" w:color="auto"/>
              <w:bottom w:val="nil"/>
              <w:right w:val="single" w:sz="4" w:space="0" w:color="auto"/>
            </w:tcBorders>
            <w:shd w:val="clear" w:color="auto" w:fill="auto"/>
            <w:noWrap/>
            <w:vAlign w:val="center"/>
            <w:hideMark/>
          </w:tcPr>
          <w:p w14:paraId="01B8081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1 946,3</w:t>
            </w:r>
          </w:p>
        </w:tc>
        <w:tc>
          <w:tcPr>
            <w:tcW w:w="765" w:type="dxa"/>
            <w:tcBorders>
              <w:top w:val="nil"/>
              <w:left w:val="single" w:sz="4" w:space="0" w:color="auto"/>
              <w:bottom w:val="nil"/>
              <w:right w:val="single" w:sz="4" w:space="0" w:color="auto"/>
            </w:tcBorders>
            <w:shd w:val="clear" w:color="auto" w:fill="auto"/>
            <w:noWrap/>
            <w:vAlign w:val="center"/>
            <w:hideMark/>
          </w:tcPr>
          <w:p w14:paraId="0C1ADEB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1 866,3</w:t>
            </w:r>
          </w:p>
        </w:tc>
        <w:tc>
          <w:tcPr>
            <w:tcW w:w="765" w:type="dxa"/>
            <w:tcBorders>
              <w:top w:val="nil"/>
              <w:left w:val="single" w:sz="4" w:space="0" w:color="auto"/>
              <w:bottom w:val="nil"/>
              <w:right w:val="single" w:sz="4" w:space="0" w:color="auto"/>
            </w:tcBorders>
            <w:shd w:val="clear" w:color="auto" w:fill="auto"/>
            <w:noWrap/>
            <w:vAlign w:val="center"/>
            <w:hideMark/>
          </w:tcPr>
          <w:p w14:paraId="7DDE676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1 746,0</w:t>
            </w:r>
          </w:p>
        </w:tc>
        <w:tc>
          <w:tcPr>
            <w:tcW w:w="765" w:type="dxa"/>
            <w:tcBorders>
              <w:top w:val="nil"/>
              <w:left w:val="single" w:sz="4" w:space="0" w:color="auto"/>
              <w:bottom w:val="nil"/>
              <w:right w:val="single" w:sz="4" w:space="0" w:color="auto"/>
            </w:tcBorders>
            <w:shd w:val="clear" w:color="auto" w:fill="D9D9D9"/>
            <w:vAlign w:val="center"/>
          </w:tcPr>
          <w:p w14:paraId="583193E1" w14:textId="77777777" w:rsidR="00B33613" w:rsidRDefault="00B33613" w:rsidP="00B33613">
            <w:pPr>
              <w:spacing w:after="0" w:line="240" w:lineRule="auto"/>
              <w:jc w:val="right"/>
              <w:rPr>
                <w:rFonts w:cs="Arial"/>
                <w:sz w:val="16"/>
                <w:szCs w:val="16"/>
              </w:rPr>
            </w:pPr>
            <w:r>
              <w:rPr>
                <w:rFonts w:cs="Arial"/>
                <w:sz w:val="16"/>
                <w:szCs w:val="16"/>
              </w:rPr>
              <w:t>1 503,4</w:t>
            </w:r>
          </w:p>
        </w:tc>
        <w:tc>
          <w:tcPr>
            <w:tcW w:w="765" w:type="dxa"/>
            <w:tcBorders>
              <w:top w:val="nil"/>
              <w:left w:val="single" w:sz="4" w:space="0" w:color="auto"/>
              <w:bottom w:val="nil"/>
              <w:right w:val="nil"/>
            </w:tcBorders>
            <w:vAlign w:val="center"/>
          </w:tcPr>
          <w:p w14:paraId="2A61B949" w14:textId="51189B28" w:rsidR="00B33613" w:rsidRDefault="00B33613" w:rsidP="00B33613">
            <w:pPr>
              <w:spacing w:after="0" w:line="240" w:lineRule="auto"/>
              <w:jc w:val="right"/>
              <w:rPr>
                <w:rFonts w:cs="Arial"/>
                <w:sz w:val="16"/>
                <w:szCs w:val="16"/>
              </w:rPr>
            </w:pPr>
            <w:r>
              <w:rPr>
                <w:rFonts w:cs="Arial"/>
                <w:sz w:val="16"/>
                <w:szCs w:val="16"/>
              </w:rPr>
              <w:t>1 580,7</w:t>
            </w:r>
          </w:p>
        </w:tc>
      </w:tr>
      <w:tr w:rsidR="00B33613" w:rsidRPr="00166BEB" w14:paraId="16908C54" w14:textId="77777777" w:rsidTr="00B33613">
        <w:trPr>
          <w:trHeight w:val="300"/>
        </w:trPr>
        <w:tc>
          <w:tcPr>
            <w:tcW w:w="0" w:type="auto"/>
            <w:tcBorders>
              <w:top w:val="nil"/>
              <w:left w:val="nil"/>
              <w:bottom w:val="nil"/>
              <w:right w:val="nil"/>
            </w:tcBorders>
            <w:shd w:val="clear" w:color="auto" w:fill="auto"/>
            <w:noWrap/>
            <w:vAlign w:val="center"/>
            <w:hideMark/>
          </w:tcPr>
          <w:p w14:paraId="721A7173"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Bulharsko</w:t>
            </w:r>
          </w:p>
        </w:tc>
        <w:tc>
          <w:tcPr>
            <w:tcW w:w="765" w:type="dxa"/>
            <w:tcBorders>
              <w:top w:val="nil"/>
              <w:left w:val="single" w:sz="4" w:space="0" w:color="000000"/>
              <w:bottom w:val="nil"/>
              <w:right w:val="single" w:sz="4" w:space="0" w:color="auto"/>
            </w:tcBorders>
            <w:shd w:val="clear" w:color="auto" w:fill="auto"/>
            <w:noWrap/>
            <w:vAlign w:val="center"/>
            <w:hideMark/>
          </w:tcPr>
          <w:p w14:paraId="7B7F39D7"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84,6</w:t>
            </w:r>
          </w:p>
        </w:tc>
        <w:tc>
          <w:tcPr>
            <w:tcW w:w="765" w:type="dxa"/>
            <w:tcBorders>
              <w:top w:val="nil"/>
              <w:left w:val="single" w:sz="4" w:space="0" w:color="auto"/>
              <w:bottom w:val="nil"/>
              <w:right w:val="single" w:sz="4" w:space="0" w:color="auto"/>
            </w:tcBorders>
            <w:shd w:val="clear" w:color="auto" w:fill="auto"/>
            <w:noWrap/>
            <w:vAlign w:val="center"/>
            <w:hideMark/>
          </w:tcPr>
          <w:p w14:paraId="5ADAF10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84,9</w:t>
            </w:r>
          </w:p>
        </w:tc>
        <w:tc>
          <w:tcPr>
            <w:tcW w:w="765" w:type="dxa"/>
            <w:tcBorders>
              <w:top w:val="nil"/>
              <w:left w:val="single" w:sz="4" w:space="0" w:color="auto"/>
              <w:bottom w:val="nil"/>
              <w:right w:val="single" w:sz="4" w:space="0" w:color="auto"/>
            </w:tcBorders>
            <w:shd w:val="clear" w:color="auto" w:fill="auto"/>
            <w:noWrap/>
            <w:vAlign w:val="center"/>
            <w:hideMark/>
          </w:tcPr>
          <w:p w14:paraId="1C5E7AF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79,7</w:t>
            </w:r>
          </w:p>
        </w:tc>
        <w:tc>
          <w:tcPr>
            <w:tcW w:w="765" w:type="dxa"/>
            <w:tcBorders>
              <w:top w:val="nil"/>
              <w:left w:val="single" w:sz="4" w:space="0" w:color="auto"/>
              <w:bottom w:val="nil"/>
              <w:right w:val="single" w:sz="4" w:space="0" w:color="auto"/>
            </w:tcBorders>
            <w:shd w:val="clear" w:color="auto" w:fill="auto"/>
            <w:noWrap/>
            <w:vAlign w:val="center"/>
            <w:hideMark/>
          </w:tcPr>
          <w:p w14:paraId="6FA0C14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82,5</w:t>
            </w:r>
          </w:p>
        </w:tc>
        <w:tc>
          <w:tcPr>
            <w:tcW w:w="765" w:type="dxa"/>
            <w:tcBorders>
              <w:top w:val="nil"/>
              <w:left w:val="single" w:sz="4" w:space="0" w:color="auto"/>
              <w:bottom w:val="nil"/>
              <w:right w:val="single" w:sz="4" w:space="0" w:color="auto"/>
            </w:tcBorders>
            <w:shd w:val="clear" w:color="auto" w:fill="auto"/>
            <w:noWrap/>
            <w:vAlign w:val="center"/>
            <w:hideMark/>
          </w:tcPr>
          <w:p w14:paraId="0524AA2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82,8</w:t>
            </w:r>
          </w:p>
        </w:tc>
        <w:tc>
          <w:tcPr>
            <w:tcW w:w="765" w:type="dxa"/>
            <w:tcBorders>
              <w:top w:val="nil"/>
              <w:left w:val="single" w:sz="4" w:space="0" w:color="auto"/>
              <w:bottom w:val="nil"/>
              <w:right w:val="single" w:sz="4" w:space="0" w:color="auto"/>
            </w:tcBorders>
            <w:shd w:val="clear" w:color="auto" w:fill="auto"/>
            <w:noWrap/>
            <w:vAlign w:val="center"/>
            <w:hideMark/>
          </w:tcPr>
          <w:p w14:paraId="6AA135E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76,0</w:t>
            </w:r>
          </w:p>
        </w:tc>
        <w:tc>
          <w:tcPr>
            <w:tcW w:w="765" w:type="dxa"/>
            <w:tcBorders>
              <w:top w:val="nil"/>
              <w:left w:val="single" w:sz="4" w:space="0" w:color="auto"/>
              <w:bottom w:val="nil"/>
              <w:right w:val="single" w:sz="4" w:space="0" w:color="auto"/>
            </w:tcBorders>
            <w:shd w:val="clear" w:color="auto" w:fill="auto"/>
            <w:noWrap/>
            <w:vAlign w:val="center"/>
            <w:hideMark/>
          </w:tcPr>
          <w:p w14:paraId="459E73B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79,0</w:t>
            </w:r>
          </w:p>
        </w:tc>
        <w:tc>
          <w:tcPr>
            <w:tcW w:w="765" w:type="dxa"/>
            <w:tcBorders>
              <w:top w:val="nil"/>
              <w:left w:val="single" w:sz="4" w:space="0" w:color="auto"/>
              <w:bottom w:val="nil"/>
              <w:right w:val="single" w:sz="4" w:space="0" w:color="auto"/>
            </w:tcBorders>
            <w:shd w:val="clear" w:color="auto" w:fill="auto"/>
            <w:noWrap/>
            <w:vAlign w:val="center"/>
            <w:hideMark/>
          </w:tcPr>
          <w:p w14:paraId="6AC9997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77,7</w:t>
            </w:r>
          </w:p>
        </w:tc>
        <w:tc>
          <w:tcPr>
            <w:tcW w:w="765" w:type="dxa"/>
            <w:tcBorders>
              <w:top w:val="nil"/>
              <w:left w:val="single" w:sz="4" w:space="0" w:color="auto"/>
              <w:bottom w:val="nil"/>
              <w:right w:val="single" w:sz="4" w:space="0" w:color="auto"/>
            </w:tcBorders>
            <w:shd w:val="clear" w:color="auto" w:fill="auto"/>
            <w:noWrap/>
            <w:vAlign w:val="center"/>
            <w:hideMark/>
          </w:tcPr>
          <w:p w14:paraId="5311DC6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83,1</w:t>
            </w:r>
          </w:p>
        </w:tc>
        <w:tc>
          <w:tcPr>
            <w:tcW w:w="765" w:type="dxa"/>
            <w:tcBorders>
              <w:top w:val="nil"/>
              <w:left w:val="single" w:sz="4" w:space="0" w:color="auto"/>
              <w:bottom w:val="nil"/>
              <w:right w:val="single" w:sz="4" w:space="0" w:color="auto"/>
            </w:tcBorders>
            <w:shd w:val="clear" w:color="auto" w:fill="D9D9D9"/>
            <w:vAlign w:val="center"/>
          </w:tcPr>
          <w:p w14:paraId="6F41114A" w14:textId="77777777" w:rsidR="00B33613" w:rsidRDefault="00B33613" w:rsidP="00B33613">
            <w:pPr>
              <w:spacing w:after="0" w:line="240" w:lineRule="auto"/>
              <w:jc w:val="right"/>
              <w:rPr>
                <w:rFonts w:cs="Arial"/>
                <w:sz w:val="16"/>
                <w:szCs w:val="16"/>
              </w:rPr>
            </w:pPr>
            <w:r>
              <w:rPr>
                <w:rFonts w:cs="Arial"/>
                <w:sz w:val="16"/>
                <w:szCs w:val="16"/>
              </w:rPr>
              <w:t>76,8</w:t>
            </w:r>
          </w:p>
        </w:tc>
        <w:tc>
          <w:tcPr>
            <w:tcW w:w="765" w:type="dxa"/>
            <w:tcBorders>
              <w:top w:val="nil"/>
              <w:left w:val="single" w:sz="4" w:space="0" w:color="auto"/>
              <w:bottom w:val="nil"/>
              <w:right w:val="nil"/>
            </w:tcBorders>
            <w:vAlign w:val="center"/>
          </w:tcPr>
          <w:p w14:paraId="6D8BC3C8" w14:textId="380523D9" w:rsidR="00B33613" w:rsidRDefault="00B33613" w:rsidP="00B33613">
            <w:pPr>
              <w:spacing w:after="0" w:line="240" w:lineRule="auto"/>
              <w:jc w:val="right"/>
              <w:rPr>
                <w:rFonts w:cs="Arial"/>
                <w:sz w:val="16"/>
                <w:szCs w:val="16"/>
              </w:rPr>
            </w:pPr>
            <w:r>
              <w:rPr>
                <w:rFonts w:cs="Arial"/>
                <w:sz w:val="16"/>
                <w:szCs w:val="16"/>
              </w:rPr>
              <w:t>80,5</w:t>
            </w:r>
          </w:p>
        </w:tc>
      </w:tr>
      <w:tr w:rsidR="00B33613" w:rsidRPr="00166BEB" w14:paraId="6E362E42" w14:textId="77777777" w:rsidTr="00B33613">
        <w:trPr>
          <w:trHeight w:val="300"/>
        </w:trPr>
        <w:tc>
          <w:tcPr>
            <w:tcW w:w="0" w:type="auto"/>
            <w:tcBorders>
              <w:top w:val="nil"/>
              <w:left w:val="nil"/>
              <w:bottom w:val="nil"/>
              <w:right w:val="nil"/>
            </w:tcBorders>
            <w:shd w:val="clear" w:color="auto" w:fill="auto"/>
            <w:noWrap/>
            <w:vAlign w:val="center"/>
            <w:hideMark/>
          </w:tcPr>
          <w:p w14:paraId="4264344E" w14:textId="77777777" w:rsidR="00B33613" w:rsidRPr="00166BEB" w:rsidRDefault="00B33613" w:rsidP="00B33613">
            <w:pPr>
              <w:spacing w:after="0" w:line="240" w:lineRule="auto"/>
              <w:ind w:firstLineChars="100" w:firstLine="160"/>
              <w:rPr>
                <w:rFonts w:cs="Arial"/>
                <w:b/>
                <w:bCs/>
                <w:sz w:val="16"/>
                <w:szCs w:val="16"/>
                <w:highlight w:val="yellow"/>
              </w:rPr>
            </w:pPr>
            <w:r>
              <w:rPr>
                <w:rFonts w:cs="Arial"/>
                <w:b/>
                <w:bCs/>
                <w:sz w:val="16"/>
                <w:szCs w:val="16"/>
              </w:rPr>
              <w:t>Česko</w:t>
            </w:r>
          </w:p>
        </w:tc>
        <w:tc>
          <w:tcPr>
            <w:tcW w:w="765" w:type="dxa"/>
            <w:tcBorders>
              <w:top w:val="nil"/>
              <w:left w:val="single" w:sz="4" w:space="0" w:color="000000"/>
              <w:bottom w:val="nil"/>
              <w:right w:val="single" w:sz="4" w:space="0" w:color="auto"/>
            </w:tcBorders>
            <w:shd w:val="clear" w:color="auto" w:fill="auto"/>
            <w:noWrap/>
            <w:vAlign w:val="center"/>
            <w:hideMark/>
          </w:tcPr>
          <w:p w14:paraId="19375A3F"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971,4</w:t>
            </w:r>
          </w:p>
        </w:tc>
        <w:tc>
          <w:tcPr>
            <w:tcW w:w="765" w:type="dxa"/>
            <w:tcBorders>
              <w:top w:val="nil"/>
              <w:left w:val="single" w:sz="4" w:space="0" w:color="auto"/>
              <w:bottom w:val="nil"/>
              <w:right w:val="single" w:sz="4" w:space="0" w:color="auto"/>
            </w:tcBorders>
            <w:shd w:val="clear" w:color="auto" w:fill="auto"/>
            <w:noWrap/>
            <w:vAlign w:val="center"/>
            <w:hideMark/>
          </w:tcPr>
          <w:p w14:paraId="7B8DE86B"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941,4</w:t>
            </w:r>
          </w:p>
        </w:tc>
        <w:tc>
          <w:tcPr>
            <w:tcW w:w="765" w:type="dxa"/>
            <w:tcBorders>
              <w:top w:val="nil"/>
              <w:left w:val="single" w:sz="4" w:space="0" w:color="auto"/>
              <w:bottom w:val="nil"/>
              <w:right w:val="single" w:sz="4" w:space="0" w:color="auto"/>
            </w:tcBorders>
            <w:shd w:val="clear" w:color="auto" w:fill="auto"/>
            <w:noWrap/>
            <w:vAlign w:val="center"/>
            <w:hideMark/>
          </w:tcPr>
          <w:p w14:paraId="0E1A404B"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896,1</w:t>
            </w:r>
          </w:p>
        </w:tc>
        <w:tc>
          <w:tcPr>
            <w:tcW w:w="765" w:type="dxa"/>
            <w:tcBorders>
              <w:top w:val="nil"/>
              <w:left w:val="single" w:sz="4" w:space="0" w:color="auto"/>
              <w:bottom w:val="nil"/>
              <w:right w:val="single" w:sz="4" w:space="0" w:color="auto"/>
            </w:tcBorders>
            <w:shd w:val="clear" w:color="auto" w:fill="auto"/>
            <w:noWrap/>
            <w:vAlign w:val="center"/>
            <w:hideMark/>
          </w:tcPr>
          <w:p w14:paraId="2021349F"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907,0</w:t>
            </w:r>
          </w:p>
        </w:tc>
        <w:tc>
          <w:tcPr>
            <w:tcW w:w="765" w:type="dxa"/>
            <w:tcBorders>
              <w:top w:val="nil"/>
              <w:left w:val="single" w:sz="4" w:space="0" w:color="auto"/>
              <w:bottom w:val="nil"/>
              <w:right w:val="single" w:sz="4" w:space="0" w:color="auto"/>
            </w:tcBorders>
            <w:shd w:val="clear" w:color="auto" w:fill="auto"/>
            <w:noWrap/>
            <w:vAlign w:val="center"/>
            <w:hideMark/>
          </w:tcPr>
          <w:p w14:paraId="34EC7428"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953,3</w:t>
            </w:r>
          </w:p>
        </w:tc>
        <w:tc>
          <w:tcPr>
            <w:tcW w:w="765" w:type="dxa"/>
            <w:tcBorders>
              <w:top w:val="nil"/>
              <w:left w:val="single" w:sz="4" w:space="0" w:color="auto"/>
              <w:bottom w:val="nil"/>
              <w:right w:val="single" w:sz="4" w:space="0" w:color="auto"/>
            </w:tcBorders>
            <w:shd w:val="clear" w:color="auto" w:fill="auto"/>
            <w:noWrap/>
            <w:vAlign w:val="center"/>
            <w:hideMark/>
          </w:tcPr>
          <w:p w14:paraId="6E30E571"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917,1</w:t>
            </w:r>
          </w:p>
        </w:tc>
        <w:tc>
          <w:tcPr>
            <w:tcW w:w="765" w:type="dxa"/>
            <w:tcBorders>
              <w:top w:val="nil"/>
              <w:left w:val="single" w:sz="4" w:space="0" w:color="auto"/>
              <w:bottom w:val="nil"/>
              <w:right w:val="single" w:sz="4" w:space="0" w:color="auto"/>
            </w:tcBorders>
            <w:shd w:val="clear" w:color="auto" w:fill="auto"/>
            <w:noWrap/>
            <w:vAlign w:val="center"/>
            <w:hideMark/>
          </w:tcPr>
          <w:p w14:paraId="64DF01C1"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884,2</w:t>
            </w:r>
          </w:p>
        </w:tc>
        <w:tc>
          <w:tcPr>
            <w:tcW w:w="765" w:type="dxa"/>
            <w:tcBorders>
              <w:top w:val="nil"/>
              <w:left w:val="single" w:sz="4" w:space="0" w:color="auto"/>
              <w:bottom w:val="nil"/>
              <w:right w:val="single" w:sz="4" w:space="0" w:color="auto"/>
            </w:tcBorders>
            <w:shd w:val="clear" w:color="auto" w:fill="auto"/>
            <w:noWrap/>
            <w:vAlign w:val="center"/>
            <w:hideMark/>
          </w:tcPr>
          <w:p w14:paraId="5A5343EB"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948,7</w:t>
            </w:r>
          </w:p>
        </w:tc>
        <w:tc>
          <w:tcPr>
            <w:tcW w:w="765" w:type="dxa"/>
            <w:tcBorders>
              <w:top w:val="nil"/>
              <w:left w:val="single" w:sz="4" w:space="0" w:color="auto"/>
              <w:bottom w:val="nil"/>
              <w:right w:val="single" w:sz="4" w:space="0" w:color="auto"/>
            </w:tcBorders>
            <w:shd w:val="clear" w:color="auto" w:fill="auto"/>
            <w:noWrap/>
            <w:vAlign w:val="center"/>
            <w:hideMark/>
          </w:tcPr>
          <w:p w14:paraId="47618369" w14:textId="77777777" w:rsidR="00B33613" w:rsidRPr="00166BEB" w:rsidRDefault="00B33613" w:rsidP="00B33613">
            <w:pPr>
              <w:spacing w:after="0" w:line="240" w:lineRule="auto"/>
              <w:jc w:val="right"/>
              <w:rPr>
                <w:rFonts w:cs="Arial"/>
                <w:b/>
                <w:bCs/>
                <w:sz w:val="16"/>
                <w:szCs w:val="16"/>
                <w:highlight w:val="yellow"/>
              </w:rPr>
            </w:pPr>
            <w:r>
              <w:rPr>
                <w:rFonts w:cs="Arial"/>
                <w:b/>
                <w:bCs/>
                <w:sz w:val="16"/>
                <w:szCs w:val="16"/>
              </w:rPr>
              <w:t>933,8</w:t>
            </w:r>
          </w:p>
        </w:tc>
        <w:tc>
          <w:tcPr>
            <w:tcW w:w="765" w:type="dxa"/>
            <w:tcBorders>
              <w:top w:val="nil"/>
              <w:left w:val="single" w:sz="4" w:space="0" w:color="auto"/>
              <w:bottom w:val="nil"/>
              <w:right w:val="single" w:sz="4" w:space="0" w:color="auto"/>
            </w:tcBorders>
            <w:shd w:val="clear" w:color="auto" w:fill="D9D9D9"/>
            <w:vAlign w:val="center"/>
          </w:tcPr>
          <w:p w14:paraId="02FB2259" w14:textId="77777777" w:rsidR="00B33613" w:rsidRDefault="00B33613" w:rsidP="00B33613">
            <w:pPr>
              <w:spacing w:after="0" w:line="240" w:lineRule="auto"/>
              <w:jc w:val="right"/>
              <w:rPr>
                <w:rFonts w:cs="Arial"/>
                <w:b/>
                <w:bCs/>
                <w:sz w:val="16"/>
                <w:szCs w:val="16"/>
              </w:rPr>
            </w:pPr>
            <w:r>
              <w:rPr>
                <w:rFonts w:cs="Arial"/>
                <w:b/>
                <w:bCs/>
                <w:sz w:val="16"/>
                <w:szCs w:val="16"/>
              </w:rPr>
              <w:t>719,7</w:t>
            </w:r>
          </w:p>
        </w:tc>
        <w:tc>
          <w:tcPr>
            <w:tcW w:w="765" w:type="dxa"/>
            <w:tcBorders>
              <w:top w:val="nil"/>
              <w:left w:val="single" w:sz="4" w:space="0" w:color="auto"/>
              <w:bottom w:val="nil"/>
              <w:right w:val="nil"/>
            </w:tcBorders>
            <w:vAlign w:val="center"/>
          </w:tcPr>
          <w:p w14:paraId="07A9667B" w14:textId="383D1F43" w:rsidR="00B33613" w:rsidRDefault="00B33613" w:rsidP="00B33613">
            <w:pPr>
              <w:spacing w:after="0" w:line="240" w:lineRule="auto"/>
              <w:jc w:val="right"/>
              <w:rPr>
                <w:rFonts w:cs="Arial"/>
                <w:b/>
                <w:bCs/>
                <w:sz w:val="16"/>
                <w:szCs w:val="16"/>
              </w:rPr>
            </w:pPr>
            <w:r>
              <w:rPr>
                <w:rFonts w:cs="Arial"/>
                <w:b/>
                <w:bCs/>
                <w:sz w:val="16"/>
                <w:szCs w:val="16"/>
              </w:rPr>
              <w:t>807,6</w:t>
            </w:r>
          </w:p>
        </w:tc>
      </w:tr>
      <w:tr w:rsidR="00B33613" w:rsidRPr="00166BEB" w14:paraId="0A89B768" w14:textId="77777777" w:rsidTr="00B33613">
        <w:trPr>
          <w:trHeight w:val="300"/>
        </w:trPr>
        <w:tc>
          <w:tcPr>
            <w:tcW w:w="0" w:type="auto"/>
            <w:tcBorders>
              <w:top w:val="nil"/>
              <w:left w:val="nil"/>
              <w:bottom w:val="nil"/>
              <w:right w:val="nil"/>
            </w:tcBorders>
            <w:shd w:val="clear" w:color="auto" w:fill="auto"/>
            <w:noWrap/>
            <w:vAlign w:val="center"/>
            <w:hideMark/>
          </w:tcPr>
          <w:p w14:paraId="2F9996BC"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Dánsko</w:t>
            </w:r>
          </w:p>
        </w:tc>
        <w:tc>
          <w:tcPr>
            <w:tcW w:w="765" w:type="dxa"/>
            <w:tcBorders>
              <w:top w:val="nil"/>
              <w:left w:val="single" w:sz="4" w:space="0" w:color="000000"/>
              <w:bottom w:val="nil"/>
              <w:right w:val="single" w:sz="4" w:space="0" w:color="auto"/>
            </w:tcBorders>
            <w:shd w:val="clear" w:color="auto" w:fill="auto"/>
            <w:noWrap/>
            <w:vAlign w:val="center"/>
            <w:hideMark/>
          </w:tcPr>
          <w:p w14:paraId="32386E6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2 239,4</w:t>
            </w:r>
          </w:p>
        </w:tc>
        <w:tc>
          <w:tcPr>
            <w:tcW w:w="765" w:type="dxa"/>
            <w:tcBorders>
              <w:top w:val="nil"/>
              <w:left w:val="single" w:sz="4" w:space="0" w:color="auto"/>
              <w:bottom w:val="nil"/>
              <w:right w:val="single" w:sz="4" w:space="0" w:color="auto"/>
            </w:tcBorders>
            <w:shd w:val="clear" w:color="auto" w:fill="auto"/>
            <w:noWrap/>
            <w:vAlign w:val="center"/>
            <w:hideMark/>
          </w:tcPr>
          <w:p w14:paraId="39F069E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2 177,9</w:t>
            </w:r>
          </w:p>
        </w:tc>
        <w:tc>
          <w:tcPr>
            <w:tcW w:w="765" w:type="dxa"/>
            <w:tcBorders>
              <w:top w:val="nil"/>
              <w:left w:val="single" w:sz="4" w:space="0" w:color="auto"/>
              <w:bottom w:val="nil"/>
              <w:right w:val="single" w:sz="4" w:space="0" w:color="auto"/>
            </w:tcBorders>
            <w:shd w:val="clear" w:color="auto" w:fill="auto"/>
            <w:noWrap/>
            <w:vAlign w:val="center"/>
            <w:hideMark/>
          </w:tcPr>
          <w:p w14:paraId="571B2F1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2 094,2</w:t>
            </w:r>
          </w:p>
        </w:tc>
        <w:tc>
          <w:tcPr>
            <w:tcW w:w="765" w:type="dxa"/>
            <w:tcBorders>
              <w:top w:val="nil"/>
              <w:left w:val="single" w:sz="4" w:space="0" w:color="auto"/>
              <w:bottom w:val="nil"/>
              <w:right w:val="single" w:sz="4" w:space="0" w:color="auto"/>
            </w:tcBorders>
            <w:shd w:val="clear" w:color="auto" w:fill="auto"/>
            <w:noWrap/>
            <w:vAlign w:val="center"/>
            <w:hideMark/>
          </w:tcPr>
          <w:p w14:paraId="48E94D7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1 983,1</w:t>
            </w:r>
          </w:p>
        </w:tc>
        <w:tc>
          <w:tcPr>
            <w:tcW w:w="765" w:type="dxa"/>
            <w:tcBorders>
              <w:top w:val="nil"/>
              <w:left w:val="single" w:sz="4" w:space="0" w:color="auto"/>
              <w:bottom w:val="nil"/>
              <w:right w:val="single" w:sz="4" w:space="0" w:color="auto"/>
            </w:tcBorders>
            <w:shd w:val="clear" w:color="auto" w:fill="auto"/>
            <w:noWrap/>
            <w:vAlign w:val="center"/>
            <w:hideMark/>
          </w:tcPr>
          <w:p w14:paraId="394E4B4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1 787,8</w:t>
            </w:r>
          </w:p>
        </w:tc>
        <w:tc>
          <w:tcPr>
            <w:tcW w:w="765" w:type="dxa"/>
            <w:tcBorders>
              <w:top w:val="nil"/>
              <w:left w:val="single" w:sz="4" w:space="0" w:color="auto"/>
              <w:bottom w:val="nil"/>
              <w:right w:val="single" w:sz="4" w:space="0" w:color="auto"/>
            </w:tcBorders>
            <w:shd w:val="clear" w:color="auto" w:fill="auto"/>
            <w:noWrap/>
            <w:vAlign w:val="center"/>
            <w:hideMark/>
          </w:tcPr>
          <w:p w14:paraId="0BAA328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1 813,0</w:t>
            </w:r>
          </w:p>
        </w:tc>
        <w:tc>
          <w:tcPr>
            <w:tcW w:w="765" w:type="dxa"/>
            <w:tcBorders>
              <w:top w:val="nil"/>
              <w:left w:val="single" w:sz="4" w:space="0" w:color="auto"/>
              <w:bottom w:val="nil"/>
              <w:right w:val="single" w:sz="4" w:space="0" w:color="auto"/>
            </w:tcBorders>
            <w:shd w:val="clear" w:color="auto" w:fill="auto"/>
            <w:noWrap/>
            <w:vAlign w:val="center"/>
            <w:hideMark/>
          </w:tcPr>
          <w:p w14:paraId="1B61B2E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1 614,4</w:t>
            </w:r>
          </w:p>
        </w:tc>
        <w:tc>
          <w:tcPr>
            <w:tcW w:w="765" w:type="dxa"/>
            <w:tcBorders>
              <w:top w:val="nil"/>
              <w:left w:val="single" w:sz="4" w:space="0" w:color="auto"/>
              <w:bottom w:val="nil"/>
              <w:right w:val="single" w:sz="4" w:space="0" w:color="auto"/>
            </w:tcBorders>
            <w:shd w:val="clear" w:color="auto" w:fill="auto"/>
            <w:noWrap/>
            <w:vAlign w:val="center"/>
            <w:hideMark/>
          </w:tcPr>
          <w:p w14:paraId="0E17ED9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1 770,0</w:t>
            </w:r>
          </w:p>
        </w:tc>
        <w:tc>
          <w:tcPr>
            <w:tcW w:w="765" w:type="dxa"/>
            <w:tcBorders>
              <w:top w:val="nil"/>
              <w:left w:val="single" w:sz="4" w:space="0" w:color="auto"/>
              <w:bottom w:val="nil"/>
              <w:right w:val="single" w:sz="4" w:space="0" w:color="auto"/>
            </w:tcBorders>
            <w:shd w:val="clear" w:color="auto" w:fill="auto"/>
            <w:noWrap/>
            <w:vAlign w:val="center"/>
            <w:hideMark/>
          </w:tcPr>
          <w:p w14:paraId="4702151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1 933,9</w:t>
            </w:r>
          </w:p>
        </w:tc>
        <w:tc>
          <w:tcPr>
            <w:tcW w:w="765" w:type="dxa"/>
            <w:tcBorders>
              <w:top w:val="nil"/>
              <w:left w:val="single" w:sz="4" w:space="0" w:color="auto"/>
              <w:bottom w:val="nil"/>
              <w:right w:val="single" w:sz="4" w:space="0" w:color="auto"/>
            </w:tcBorders>
            <w:shd w:val="clear" w:color="auto" w:fill="D9D9D9"/>
            <w:vAlign w:val="center"/>
          </w:tcPr>
          <w:p w14:paraId="35EEFFE6" w14:textId="77777777" w:rsidR="00B33613" w:rsidRDefault="00B33613" w:rsidP="00B33613">
            <w:pPr>
              <w:spacing w:after="0" w:line="240" w:lineRule="auto"/>
              <w:jc w:val="right"/>
              <w:rPr>
                <w:rFonts w:cs="Arial"/>
                <w:sz w:val="16"/>
                <w:szCs w:val="16"/>
              </w:rPr>
            </w:pPr>
            <w:r>
              <w:rPr>
                <w:rFonts w:cs="Arial"/>
                <w:sz w:val="16"/>
                <w:szCs w:val="16"/>
              </w:rPr>
              <w:t>1 902,3</w:t>
            </w:r>
          </w:p>
        </w:tc>
        <w:tc>
          <w:tcPr>
            <w:tcW w:w="765" w:type="dxa"/>
            <w:tcBorders>
              <w:top w:val="nil"/>
              <w:left w:val="single" w:sz="4" w:space="0" w:color="auto"/>
              <w:bottom w:val="nil"/>
              <w:right w:val="nil"/>
            </w:tcBorders>
            <w:vAlign w:val="center"/>
          </w:tcPr>
          <w:p w14:paraId="453E69BA" w14:textId="1BE5289B" w:rsidR="00B33613" w:rsidRDefault="00B33613" w:rsidP="00B33613">
            <w:pPr>
              <w:spacing w:after="0" w:line="240" w:lineRule="auto"/>
              <w:jc w:val="right"/>
              <w:rPr>
                <w:rFonts w:cs="Arial"/>
                <w:sz w:val="16"/>
                <w:szCs w:val="16"/>
              </w:rPr>
            </w:pPr>
            <w:r>
              <w:rPr>
                <w:rFonts w:cs="Arial"/>
                <w:sz w:val="16"/>
                <w:szCs w:val="16"/>
              </w:rPr>
              <w:t>2 070,1</w:t>
            </w:r>
          </w:p>
        </w:tc>
      </w:tr>
      <w:tr w:rsidR="00B33613" w:rsidRPr="00166BEB" w14:paraId="5E0660A3" w14:textId="77777777" w:rsidTr="00B33613">
        <w:trPr>
          <w:trHeight w:val="300"/>
        </w:trPr>
        <w:tc>
          <w:tcPr>
            <w:tcW w:w="0" w:type="auto"/>
            <w:tcBorders>
              <w:top w:val="nil"/>
              <w:left w:val="nil"/>
              <w:bottom w:val="nil"/>
              <w:right w:val="nil"/>
            </w:tcBorders>
            <w:shd w:val="clear" w:color="auto" w:fill="auto"/>
            <w:noWrap/>
            <w:vAlign w:val="center"/>
            <w:hideMark/>
          </w:tcPr>
          <w:p w14:paraId="604DBB6A"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Estonsko</w:t>
            </w:r>
          </w:p>
        </w:tc>
        <w:tc>
          <w:tcPr>
            <w:tcW w:w="765" w:type="dxa"/>
            <w:tcBorders>
              <w:top w:val="nil"/>
              <w:left w:val="single" w:sz="4" w:space="0" w:color="000000"/>
              <w:bottom w:val="nil"/>
              <w:right w:val="single" w:sz="4" w:space="0" w:color="auto"/>
            </w:tcBorders>
            <w:shd w:val="clear" w:color="auto" w:fill="auto"/>
            <w:noWrap/>
            <w:vAlign w:val="center"/>
            <w:hideMark/>
          </w:tcPr>
          <w:p w14:paraId="211BB8E9"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1 076,2</w:t>
            </w:r>
          </w:p>
        </w:tc>
        <w:tc>
          <w:tcPr>
            <w:tcW w:w="765" w:type="dxa"/>
            <w:tcBorders>
              <w:top w:val="nil"/>
              <w:left w:val="single" w:sz="4" w:space="0" w:color="auto"/>
              <w:bottom w:val="nil"/>
              <w:right w:val="single" w:sz="4" w:space="0" w:color="auto"/>
            </w:tcBorders>
            <w:shd w:val="clear" w:color="auto" w:fill="auto"/>
            <w:noWrap/>
            <w:vAlign w:val="center"/>
            <w:hideMark/>
          </w:tcPr>
          <w:p w14:paraId="3F918F99"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1 005,5</w:t>
            </w:r>
          </w:p>
        </w:tc>
        <w:tc>
          <w:tcPr>
            <w:tcW w:w="765" w:type="dxa"/>
            <w:tcBorders>
              <w:top w:val="nil"/>
              <w:left w:val="single" w:sz="4" w:space="0" w:color="auto"/>
              <w:bottom w:val="nil"/>
              <w:right w:val="single" w:sz="4" w:space="0" w:color="auto"/>
            </w:tcBorders>
            <w:shd w:val="clear" w:color="auto" w:fill="auto"/>
            <w:noWrap/>
            <w:vAlign w:val="center"/>
            <w:hideMark/>
          </w:tcPr>
          <w:p w14:paraId="4E3EA8F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1 095,4</w:t>
            </w:r>
          </w:p>
        </w:tc>
        <w:tc>
          <w:tcPr>
            <w:tcW w:w="765" w:type="dxa"/>
            <w:tcBorders>
              <w:top w:val="nil"/>
              <w:left w:val="single" w:sz="4" w:space="0" w:color="auto"/>
              <w:bottom w:val="nil"/>
              <w:right w:val="single" w:sz="4" w:space="0" w:color="auto"/>
            </w:tcBorders>
            <w:shd w:val="clear" w:color="auto" w:fill="auto"/>
            <w:noWrap/>
            <w:vAlign w:val="center"/>
            <w:hideMark/>
          </w:tcPr>
          <w:p w14:paraId="54E4D10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1 137,9</w:t>
            </w:r>
          </w:p>
        </w:tc>
        <w:tc>
          <w:tcPr>
            <w:tcW w:w="765" w:type="dxa"/>
            <w:tcBorders>
              <w:top w:val="nil"/>
              <w:left w:val="single" w:sz="4" w:space="0" w:color="auto"/>
              <w:bottom w:val="nil"/>
              <w:right w:val="single" w:sz="4" w:space="0" w:color="auto"/>
            </w:tcBorders>
            <w:shd w:val="clear" w:color="auto" w:fill="auto"/>
            <w:noWrap/>
            <w:vAlign w:val="center"/>
            <w:hideMark/>
          </w:tcPr>
          <w:p w14:paraId="6934472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1 204,4</w:t>
            </w:r>
          </w:p>
        </w:tc>
        <w:tc>
          <w:tcPr>
            <w:tcW w:w="765" w:type="dxa"/>
            <w:tcBorders>
              <w:top w:val="nil"/>
              <w:left w:val="single" w:sz="4" w:space="0" w:color="auto"/>
              <w:bottom w:val="nil"/>
              <w:right w:val="single" w:sz="4" w:space="0" w:color="auto"/>
            </w:tcBorders>
            <w:shd w:val="clear" w:color="auto" w:fill="auto"/>
            <w:noWrap/>
            <w:vAlign w:val="center"/>
            <w:hideMark/>
          </w:tcPr>
          <w:p w14:paraId="159A407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1 210,4</w:t>
            </w:r>
          </w:p>
        </w:tc>
        <w:tc>
          <w:tcPr>
            <w:tcW w:w="765" w:type="dxa"/>
            <w:tcBorders>
              <w:top w:val="nil"/>
              <w:left w:val="single" w:sz="4" w:space="0" w:color="auto"/>
              <w:bottom w:val="nil"/>
              <w:right w:val="single" w:sz="4" w:space="0" w:color="auto"/>
            </w:tcBorders>
            <w:shd w:val="clear" w:color="auto" w:fill="auto"/>
            <w:noWrap/>
            <w:vAlign w:val="center"/>
            <w:hideMark/>
          </w:tcPr>
          <w:p w14:paraId="59A7EFE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1 050,6</w:t>
            </w:r>
          </w:p>
        </w:tc>
        <w:tc>
          <w:tcPr>
            <w:tcW w:w="765" w:type="dxa"/>
            <w:tcBorders>
              <w:top w:val="nil"/>
              <w:left w:val="single" w:sz="4" w:space="0" w:color="auto"/>
              <w:bottom w:val="nil"/>
              <w:right w:val="single" w:sz="4" w:space="0" w:color="auto"/>
            </w:tcBorders>
            <w:shd w:val="clear" w:color="auto" w:fill="auto"/>
            <w:noWrap/>
            <w:vAlign w:val="center"/>
            <w:hideMark/>
          </w:tcPr>
          <w:p w14:paraId="1AAAF5C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1 033,1</w:t>
            </w:r>
          </w:p>
        </w:tc>
        <w:tc>
          <w:tcPr>
            <w:tcW w:w="765" w:type="dxa"/>
            <w:tcBorders>
              <w:top w:val="nil"/>
              <w:left w:val="single" w:sz="4" w:space="0" w:color="auto"/>
              <w:bottom w:val="nil"/>
              <w:right w:val="single" w:sz="4" w:space="0" w:color="auto"/>
            </w:tcBorders>
            <w:shd w:val="clear" w:color="auto" w:fill="auto"/>
            <w:noWrap/>
            <w:vAlign w:val="center"/>
            <w:hideMark/>
          </w:tcPr>
          <w:p w14:paraId="2BA418C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1 178,0</w:t>
            </w:r>
          </w:p>
        </w:tc>
        <w:tc>
          <w:tcPr>
            <w:tcW w:w="765" w:type="dxa"/>
            <w:tcBorders>
              <w:top w:val="nil"/>
              <w:left w:val="single" w:sz="4" w:space="0" w:color="auto"/>
              <w:bottom w:val="nil"/>
              <w:right w:val="single" w:sz="4" w:space="0" w:color="auto"/>
            </w:tcBorders>
            <w:shd w:val="clear" w:color="auto" w:fill="D9D9D9"/>
            <w:vAlign w:val="center"/>
          </w:tcPr>
          <w:p w14:paraId="5158692E" w14:textId="77777777" w:rsidR="00B33613" w:rsidRDefault="00B33613" w:rsidP="00B33613">
            <w:pPr>
              <w:spacing w:after="0" w:line="240" w:lineRule="auto"/>
              <w:jc w:val="right"/>
              <w:rPr>
                <w:rFonts w:cs="Arial"/>
                <w:sz w:val="16"/>
                <w:szCs w:val="16"/>
              </w:rPr>
            </w:pPr>
            <w:r>
              <w:rPr>
                <w:rFonts w:cs="Arial"/>
                <w:sz w:val="16"/>
                <w:szCs w:val="16"/>
              </w:rPr>
              <w:t>1 032,5</w:t>
            </w:r>
          </w:p>
        </w:tc>
        <w:tc>
          <w:tcPr>
            <w:tcW w:w="765" w:type="dxa"/>
            <w:tcBorders>
              <w:top w:val="nil"/>
              <w:left w:val="single" w:sz="4" w:space="0" w:color="auto"/>
              <w:bottom w:val="nil"/>
              <w:right w:val="nil"/>
            </w:tcBorders>
            <w:vAlign w:val="center"/>
          </w:tcPr>
          <w:p w14:paraId="4D14119E" w14:textId="41537EED" w:rsidR="00B33613" w:rsidRDefault="00B33613" w:rsidP="00B33613">
            <w:pPr>
              <w:spacing w:after="0" w:line="240" w:lineRule="auto"/>
              <w:jc w:val="right"/>
              <w:rPr>
                <w:rFonts w:cs="Arial"/>
                <w:sz w:val="16"/>
                <w:szCs w:val="16"/>
              </w:rPr>
            </w:pPr>
            <w:r>
              <w:rPr>
                <w:rFonts w:cs="Arial"/>
                <w:sz w:val="16"/>
                <w:szCs w:val="16"/>
              </w:rPr>
              <w:t>1 085,4</w:t>
            </w:r>
          </w:p>
        </w:tc>
      </w:tr>
      <w:tr w:rsidR="00B33613" w:rsidRPr="00166BEB" w14:paraId="40DCAF7F" w14:textId="77777777" w:rsidTr="00B33613">
        <w:trPr>
          <w:trHeight w:val="300"/>
        </w:trPr>
        <w:tc>
          <w:tcPr>
            <w:tcW w:w="0" w:type="auto"/>
            <w:tcBorders>
              <w:top w:val="nil"/>
              <w:left w:val="nil"/>
              <w:bottom w:val="nil"/>
              <w:right w:val="nil"/>
            </w:tcBorders>
            <w:shd w:val="clear" w:color="auto" w:fill="auto"/>
            <w:noWrap/>
            <w:vAlign w:val="center"/>
            <w:hideMark/>
          </w:tcPr>
          <w:p w14:paraId="35B642B4"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Finsko</w:t>
            </w:r>
          </w:p>
        </w:tc>
        <w:tc>
          <w:tcPr>
            <w:tcW w:w="765" w:type="dxa"/>
            <w:tcBorders>
              <w:top w:val="nil"/>
              <w:left w:val="single" w:sz="4" w:space="0" w:color="000000"/>
              <w:bottom w:val="nil"/>
              <w:right w:val="single" w:sz="4" w:space="0" w:color="auto"/>
            </w:tcBorders>
            <w:shd w:val="clear" w:color="auto" w:fill="auto"/>
            <w:noWrap/>
            <w:vAlign w:val="center"/>
            <w:hideMark/>
          </w:tcPr>
          <w:p w14:paraId="2C29C60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2 481,0</w:t>
            </w:r>
          </w:p>
        </w:tc>
        <w:tc>
          <w:tcPr>
            <w:tcW w:w="765" w:type="dxa"/>
            <w:tcBorders>
              <w:top w:val="nil"/>
              <w:left w:val="single" w:sz="4" w:space="0" w:color="auto"/>
              <w:bottom w:val="nil"/>
              <w:right w:val="single" w:sz="4" w:space="0" w:color="auto"/>
            </w:tcBorders>
            <w:shd w:val="clear" w:color="auto" w:fill="auto"/>
            <w:noWrap/>
            <w:vAlign w:val="center"/>
            <w:hideMark/>
          </w:tcPr>
          <w:p w14:paraId="599F2E8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2 166,1</w:t>
            </w:r>
          </w:p>
        </w:tc>
        <w:tc>
          <w:tcPr>
            <w:tcW w:w="765" w:type="dxa"/>
            <w:tcBorders>
              <w:top w:val="nil"/>
              <w:left w:val="single" w:sz="4" w:space="0" w:color="auto"/>
              <w:bottom w:val="nil"/>
              <w:right w:val="single" w:sz="4" w:space="0" w:color="auto"/>
            </w:tcBorders>
            <w:shd w:val="clear" w:color="auto" w:fill="auto"/>
            <w:noWrap/>
            <w:vAlign w:val="center"/>
            <w:hideMark/>
          </w:tcPr>
          <w:p w14:paraId="4AC889B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2 229,8</w:t>
            </w:r>
          </w:p>
        </w:tc>
        <w:tc>
          <w:tcPr>
            <w:tcW w:w="765" w:type="dxa"/>
            <w:tcBorders>
              <w:top w:val="nil"/>
              <w:left w:val="single" w:sz="4" w:space="0" w:color="auto"/>
              <w:bottom w:val="nil"/>
              <w:right w:val="single" w:sz="4" w:space="0" w:color="auto"/>
            </w:tcBorders>
            <w:shd w:val="clear" w:color="auto" w:fill="auto"/>
            <w:noWrap/>
            <w:vAlign w:val="center"/>
            <w:hideMark/>
          </w:tcPr>
          <w:p w14:paraId="0A57424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2 083,2</w:t>
            </w:r>
          </w:p>
        </w:tc>
        <w:tc>
          <w:tcPr>
            <w:tcW w:w="765" w:type="dxa"/>
            <w:tcBorders>
              <w:top w:val="nil"/>
              <w:left w:val="single" w:sz="4" w:space="0" w:color="auto"/>
              <w:bottom w:val="nil"/>
              <w:right w:val="single" w:sz="4" w:space="0" w:color="auto"/>
            </w:tcBorders>
            <w:shd w:val="clear" w:color="auto" w:fill="auto"/>
            <w:noWrap/>
            <w:vAlign w:val="center"/>
            <w:hideMark/>
          </w:tcPr>
          <w:p w14:paraId="5096D57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1 963,9</w:t>
            </w:r>
          </w:p>
        </w:tc>
        <w:tc>
          <w:tcPr>
            <w:tcW w:w="765" w:type="dxa"/>
            <w:tcBorders>
              <w:top w:val="nil"/>
              <w:left w:val="single" w:sz="4" w:space="0" w:color="auto"/>
              <w:bottom w:val="nil"/>
              <w:right w:val="single" w:sz="4" w:space="0" w:color="auto"/>
            </w:tcBorders>
            <w:shd w:val="clear" w:color="auto" w:fill="auto"/>
            <w:noWrap/>
            <w:vAlign w:val="center"/>
            <w:hideMark/>
          </w:tcPr>
          <w:p w14:paraId="4587319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1 860,2</w:t>
            </w:r>
          </w:p>
        </w:tc>
        <w:tc>
          <w:tcPr>
            <w:tcW w:w="765" w:type="dxa"/>
            <w:tcBorders>
              <w:top w:val="nil"/>
              <w:left w:val="single" w:sz="4" w:space="0" w:color="auto"/>
              <w:bottom w:val="nil"/>
              <w:right w:val="single" w:sz="4" w:space="0" w:color="auto"/>
            </w:tcBorders>
            <w:shd w:val="clear" w:color="auto" w:fill="auto"/>
            <w:noWrap/>
            <w:vAlign w:val="center"/>
            <w:hideMark/>
          </w:tcPr>
          <w:p w14:paraId="6E86F42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1 906,2</w:t>
            </w:r>
          </w:p>
        </w:tc>
        <w:tc>
          <w:tcPr>
            <w:tcW w:w="765" w:type="dxa"/>
            <w:tcBorders>
              <w:top w:val="nil"/>
              <w:left w:val="single" w:sz="4" w:space="0" w:color="auto"/>
              <w:bottom w:val="nil"/>
              <w:right w:val="single" w:sz="4" w:space="0" w:color="auto"/>
            </w:tcBorders>
            <w:shd w:val="clear" w:color="auto" w:fill="auto"/>
            <w:noWrap/>
            <w:vAlign w:val="center"/>
            <w:hideMark/>
          </w:tcPr>
          <w:p w14:paraId="4A525FA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1 892,1</w:t>
            </w:r>
          </w:p>
        </w:tc>
        <w:tc>
          <w:tcPr>
            <w:tcW w:w="765" w:type="dxa"/>
            <w:tcBorders>
              <w:top w:val="nil"/>
              <w:left w:val="single" w:sz="4" w:space="0" w:color="auto"/>
              <w:bottom w:val="nil"/>
              <w:right w:val="single" w:sz="4" w:space="0" w:color="auto"/>
            </w:tcBorders>
            <w:shd w:val="clear" w:color="auto" w:fill="auto"/>
            <w:noWrap/>
            <w:vAlign w:val="center"/>
            <w:hideMark/>
          </w:tcPr>
          <w:p w14:paraId="552B71F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1 850,6</w:t>
            </w:r>
          </w:p>
        </w:tc>
        <w:tc>
          <w:tcPr>
            <w:tcW w:w="765" w:type="dxa"/>
            <w:tcBorders>
              <w:top w:val="nil"/>
              <w:left w:val="single" w:sz="4" w:space="0" w:color="auto"/>
              <w:bottom w:val="nil"/>
              <w:right w:val="single" w:sz="4" w:space="0" w:color="auto"/>
            </w:tcBorders>
            <w:shd w:val="clear" w:color="auto" w:fill="D9D9D9"/>
            <w:vAlign w:val="center"/>
          </w:tcPr>
          <w:p w14:paraId="7EBEE4D7" w14:textId="77777777" w:rsidR="00B33613" w:rsidRDefault="00B33613" w:rsidP="00B33613">
            <w:pPr>
              <w:spacing w:after="0" w:line="240" w:lineRule="auto"/>
              <w:jc w:val="right"/>
              <w:rPr>
                <w:rFonts w:cs="Arial"/>
                <w:sz w:val="16"/>
                <w:szCs w:val="16"/>
              </w:rPr>
            </w:pPr>
            <w:r>
              <w:rPr>
                <w:rFonts w:cs="Arial"/>
                <w:sz w:val="16"/>
                <w:szCs w:val="16"/>
              </w:rPr>
              <w:t>1 393,0</w:t>
            </w:r>
          </w:p>
        </w:tc>
        <w:tc>
          <w:tcPr>
            <w:tcW w:w="765" w:type="dxa"/>
            <w:tcBorders>
              <w:top w:val="nil"/>
              <w:left w:val="single" w:sz="4" w:space="0" w:color="auto"/>
              <w:bottom w:val="nil"/>
              <w:right w:val="nil"/>
            </w:tcBorders>
            <w:vAlign w:val="center"/>
          </w:tcPr>
          <w:p w14:paraId="68A1EF19" w14:textId="3B3921EA" w:rsidR="00B33613" w:rsidRDefault="00B33613" w:rsidP="00B33613">
            <w:pPr>
              <w:spacing w:after="0" w:line="240" w:lineRule="auto"/>
              <w:jc w:val="right"/>
              <w:rPr>
                <w:rFonts w:cs="Arial"/>
                <w:sz w:val="16"/>
                <w:szCs w:val="16"/>
              </w:rPr>
            </w:pPr>
            <w:r>
              <w:rPr>
                <w:rFonts w:cs="Arial"/>
                <w:sz w:val="16"/>
                <w:szCs w:val="16"/>
              </w:rPr>
              <w:t>1 653,7</w:t>
            </w:r>
          </w:p>
        </w:tc>
      </w:tr>
      <w:tr w:rsidR="00B33613" w:rsidRPr="00166BEB" w14:paraId="359FD1DC" w14:textId="77777777" w:rsidTr="00B33613">
        <w:trPr>
          <w:trHeight w:val="300"/>
        </w:trPr>
        <w:tc>
          <w:tcPr>
            <w:tcW w:w="0" w:type="auto"/>
            <w:tcBorders>
              <w:top w:val="nil"/>
              <w:left w:val="nil"/>
              <w:bottom w:val="nil"/>
              <w:right w:val="nil"/>
            </w:tcBorders>
            <w:shd w:val="clear" w:color="auto" w:fill="auto"/>
            <w:noWrap/>
            <w:vAlign w:val="center"/>
            <w:hideMark/>
          </w:tcPr>
          <w:p w14:paraId="6D456C22"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Francie</w:t>
            </w:r>
          </w:p>
        </w:tc>
        <w:tc>
          <w:tcPr>
            <w:tcW w:w="765" w:type="dxa"/>
            <w:tcBorders>
              <w:top w:val="nil"/>
              <w:left w:val="single" w:sz="4" w:space="0" w:color="000000"/>
              <w:bottom w:val="nil"/>
              <w:right w:val="single" w:sz="4" w:space="0" w:color="auto"/>
            </w:tcBorders>
            <w:shd w:val="clear" w:color="auto" w:fill="auto"/>
            <w:noWrap/>
            <w:vAlign w:val="center"/>
            <w:hideMark/>
          </w:tcPr>
          <w:p w14:paraId="1B523BC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4 579,0</w:t>
            </w:r>
          </w:p>
        </w:tc>
        <w:tc>
          <w:tcPr>
            <w:tcW w:w="765" w:type="dxa"/>
            <w:tcBorders>
              <w:top w:val="nil"/>
              <w:left w:val="single" w:sz="4" w:space="0" w:color="auto"/>
              <w:bottom w:val="nil"/>
              <w:right w:val="single" w:sz="4" w:space="0" w:color="auto"/>
            </w:tcBorders>
            <w:shd w:val="clear" w:color="auto" w:fill="auto"/>
            <w:noWrap/>
            <w:vAlign w:val="center"/>
            <w:hideMark/>
          </w:tcPr>
          <w:p w14:paraId="3CCB281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3 047,9</w:t>
            </w:r>
          </w:p>
        </w:tc>
        <w:tc>
          <w:tcPr>
            <w:tcW w:w="765" w:type="dxa"/>
            <w:tcBorders>
              <w:top w:val="nil"/>
              <w:left w:val="single" w:sz="4" w:space="0" w:color="auto"/>
              <w:bottom w:val="nil"/>
              <w:right w:val="single" w:sz="4" w:space="0" w:color="auto"/>
            </w:tcBorders>
            <w:shd w:val="clear" w:color="auto" w:fill="auto"/>
            <w:noWrap/>
            <w:vAlign w:val="center"/>
            <w:hideMark/>
          </w:tcPr>
          <w:p w14:paraId="58CCDC8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3 163,5</w:t>
            </w:r>
          </w:p>
        </w:tc>
        <w:tc>
          <w:tcPr>
            <w:tcW w:w="765" w:type="dxa"/>
            <w:tcBorders>
              <w:top w:val="nil"/>
              <w:left w:val="single" w:sz="4" w:space="0" w:color="auto"/>
              <w:bottom w:val="nil"/>
              <w:right w:val="single" w:sz="4" w:space="0" w:color="auto"/>
            </w:tcBorders>
            <w:shd w:val="clear" w:color="000000" w:fill="D9D9D9"/>
            <w:noWrap/>
            <w:vAlign w:val="center"/>
            <w:hideMark/>
          </w:tcPr>
          <w:p w14:paraId="46361F4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3 385,7</w:t>
            </w:r>
          </w:p>
        </w:tc>
        <w:tc>
          <w:tcPr>
            <w:tcW w:w="765" w:type="dxa"/>
            <w:tcBorders>
              <w:top w:val="nil"/>
              <w:left w:val="single" w:sz="4" w:space="0" w:color="auto"/>
              <w:bottom w:val="nil"/>
              <w:right w:val="single" w:sz="4" w:space="0" w:color="auto"/>
            </w:tcBorders>
            <w:shd w:val="clear" w:color="auto" w:fill="auto"/>
            <w:noWrap/>
            <w:vAlign w:val="center"/>
            <w:hideMark/>
          </w:tcPr>
          <w:p w14:paraId="255A017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3 490,1</w:t>
            </w:r>
          </w:p>
        </w:tc>
        <w:tc>
          <w:tcPr>
            <w:tcW w:w="765" w:type="dxa"/>
            <w:tcBorders>
              <w:top w:val="nil"/>
              <w:left w:val="single" w:sz="4" w:space="0" w:color="auto"/>
              <w:bottom w:val="nil"/>
              <w:right w:val="single" w:sz="4" w:space="0" w:color="auto"/>
            </w:tcBorders>
            <w:shd w:val="clear" w:color="auto" w:fill="auto"/>
            <w:noWrap/>
            <w:vAlign w:val="center"/>
            <w:hideMark/>
          </w:tcPr>
          <w:p w14:paraId="08F8027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3 409,2</w:t>
            </w:r>
          </w:p>
        </w:tc>
        <w:tc>
          <w:tcPr>
            <w:tcW w:w="765" w:type="dxa"/>
            <w:tcBorders>
              <w:top w:val="nil"/>
              <w:left w:val="single" w:sz="4" w:space="0" w:color="auto"/>
              <w:bottom w:val="nil"/>
              <w:right w:val="single" w:sz="4" w:space="0" w:color="auto"/>
            </w:tcBorders>
            <w:shd w:val="clear" w:color="000000" w:fill="D9D9D9"/>
            <w:noWrap/>
            <w:vAlign w:val="center"/>
            <w:hideMark/>
          </w:tcPr>
          <w:p w14:paraId="2D8236F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3 307,1</w:t>
            </w:r>
          </w:p>
        </w:tc>
        <w:tc>
          <w:tcPr>
            <w:tcW w:w="765" w:type="dxa"/>
            <w:tcBorders>
              <w:top w:val="nil"/>
              <w:left w:val="single" w:sz="4" w:space="0" w:color="auto"/>
              <w:bottom w:val="nil"/>
              <w:right w:val="single" w:sz="4" w:space="0" w:color="auto"/>
            </w:tcBorders>
            <w:shd w:val="clear" w:color="auto" w:fill="auto"/>
            <w:noWrap/>
            <w:vAlign w:val="center"/>
            <w:hideMark/>
          </w:tcPr>
          <w:p w14:paraId="7784598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3 421,2</w:t>
            </w:r>
          </w:p>
        </w:tc>
        <w:tc>
          <w:tcPr>
            <w:tcW w:w="765" w:type="dxa"/>
            <w:tcBorders>
              <w:top w:val="nil"/>
              <w:left w:val="single" w:sz="4" w:space="0" w:color="auto"/>
              <w:bottom w:val="nil"/>
              <w:right w:val="single" w:sz="4" w:space="0" w:color="auto"/>
            </w:tcBorders>
            <w:shd w:val="clear" w:color="auto" w:fill="auto"/>
            <w:noWrap/>
            <w:vAlign w:val="center"/>
            <w:hideMark/>
          </w:tcPr>
          <w:p w14:paraId="2B6AA2A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3 406,9</w:t>
            </w:r>
          </w:p>
        </w:tc>
        <w:tc>
          <w:tcPr>
            <w:tcW w:w="765" w:type="dxa"/>
            <w:tcBorders>
              <w:top w:val="nil"/>
              <w:left w:val="single" w:sz="4" w:space="0" w:color="auto"/>
              <w:bottom w:val="nil"/>
              <w:right w:val="single" w:sz="4" w:space="0" w:color="auto"/>
            </w:tcBorders>
            <w:shd w:val="clear" w:color="auto" w:fill="D9D9D9"/>
            <w:vAlign w:val="center"/>
          </w:tcPr>
          <w:p w14:paraId="34EE8CA7" w14:textId="77777777" w:rsidR="00B33613" w:rsidRDefault="00B33613" w:rsidP="00B33613">
            <w:pPr>
              <w:spacing w:after="0" w:line="240" w:lineRule="auto"/>
              <w:jc w:val="right"/>
              <w:rPr>
                <w:rFonts w:cs="Arial"/>
                <w:sz w:val="16"/>
                <w:szCs w:val="16"/>
              </w:rPr>
            </w:pPr>
            <w:r>
              <w:rPr>
                <w:rFonts w:cs="Arial"/>
                <w:sz w:val="16"/>
                <w:szCs w:val="16"/>
              </w:rPr>
              <w:t>2 597,5</w:t>
            </w:r>
          </w:p>
        </w:tc>
        <w:tc>
          <w:tcPr>
            <w:tcW w:w="765" w:type="dxa"/>
            <w:tcBorders>
              <w:top w:val="nil"/>
              <w:left w:val="single" w:sz="4" w:space="0" w:color="auto"/>
              <w:bottom w:val="nil"/>
              <w:right w:val="nil"/>
            </w:tcBorders>
            <w:vAlign w:val="center"/>
          </w:tcPr>
          <w:p w14:paraId="6CC9699E" w14:textId="19D6E35B" w:rsidR="00B33613" w:rsidRDefault="00B33613" w:rsidP="00B33613">
            <w:pPr>
              <w:spacing w:after="0" w:line="240" w:lineRule="auto"/>
              <w:jc w:val="right"/>
              <w:rPr>
                <w:rFonts w:cs="Arial"/>
                <w:sz w:val="16"/>
                <w:szCs w:val="16"/>
              </w:rPr>
            </w:pPr>
            <w:r>
              <w:rPr>
                <w:rFonts w:cs="Arial"/>
                <w:sz w:val="16"/>
                <w:szCs w:val="16"/>
              </w:rPr>
              <w:t>3 364,3</w:t>
            </w:r>
          </w:p>
        </w:tc>
      </w:tr>
      <w:tr w:rsidR="00B33613" w:rsidRPr="00166BEB" w14:paraId="00BF6A54" w14:textId="77777777" w:rsidTr="00B33613">
        <w:trPr>
          <w:trHeight w:val="300"/>
        </w:trPr>
        <w:tc>
          <w:tcPr>
            <w:tcW w:w="0" w:type="auto"/>
            <w:tcBorders>
              <w:top w:val="nil"/>
              <w:left w:val="nil"/>
              <w:bottom w:val="nil"/>
              <w:right w:val="nil"/>
            </w:tcBorders>
            <w:shd w:val="clear" w:color="auto" w:fill="auto"/>
            <w:noWrap/>
            <w:vAlign w:val="center"/>
            <w:hideMark/>
          </w:tcPr>
          <w:p w14:paraId="4F42B40C"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Chorvatsko</w:t>
            </w:r>
          </w:p>
        </w:tc>
        <w:tc>
          <w:tcPr>
            <w:tcW w:w="765" w:type="dxa"/>
            <w:tcBorders>
              <w:top w:val="nil"/>
              <w:left w:val="single" w:sz="4" w:space="0" w:color="000000"/>
              <w:bottom w:val="nil"/>
              <w:right w:val="single" w:sz="4" w:space="0" w:color="auto"/>
            </w:tcBorders>
            <w:shd w:val="clear" w:color="auto" w:fill="auto"/>
            <w:noWrap/>
            <w:vAlign w:val="center"/>
            <w:hideMark/>
          </w:tcPr>
          <w:p w14:paraId="4D02030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1 012,4</w:t>
            </w:r>
          </w:p>
        </w:tc>
        <w:tc>
          <w:tcPr>
            <w:tcW w:w="765" w:type="dxa"/>
            <w:tcBorders>
              <w:top w:val="nil"/>
              <w:left w:val="single" w:sz="4" w:space="0" w:color="auto"/>
              <w:bottom w:val="nil"/>
              <w:right w:val="single" w:sz="4" w:space="0" w:color="auto"/>
            </w:tcBorders>
            <w:shd w:val="clear" w:color="auto" w:fill="auto"/>
            <w:noWrap/>
            <w:vAlign w:val="center"/>
            <w:hideMark/>
          </w:tcPr>
          <w:p w14:paraId="613A249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835,9</w:t>
            </w:r>
          </w:p>
        </w:tc>
        <w:tc>
          <w:tcPr>
            <w:tcW w:w="765" w:type="dxa"/>
            <w:tcBorders>
              <w:top w:val="nil"/>
              <w:left w:val="single" w:sz="4" w:space="0" w:color="auto"/>
              <w:bottom w:val="nil"/>
              <w:right w:val="single" w:sz="4" w:space="0" w:color="auto"/>
            </w:tcBorders>
            <w:shd w:val="clear" w:color="auto" w:fill="auto"/>
            <w:noWrap/>
            <w:vAlign w:val="center"/>
            <w:hideMark/>
          </w:tcPr>
          <w:p w14:paraId="0E9B806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867,9</w:t>
            </w:r>
          </w:p>
        </w:tc>
        <w:tc>
          <w:tcPr>
            <w:tcW w:w="765" w:type="dxa"/>
            <w:tcBorders>
              <w:top w:val="nil"/>
              <w:left w:val="single" w:sz="4" w:space="0" w:color="auto"/>
              <w:bottom w:val="nil"/>
              <w:right w:val="single" w:sz="4" w:space="0" w:color="auto"/>
            </w:tcBorders>
            <w:shd w:val="clear" w:color="auto" w:fill="auto"/>
            <w:noWrap/>
            <w:vAlign w:val="center"/>
            <w:hideMark/>
          </w:tcPr>
          <w:p w14:paraId="7E9A332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906,5</w:t>
            </w:r>
          </w:p>
        </w:tc>
        <w:tc>
          <w:tcPr>
            <w:tcW w:w="765" w:type="dxa"/>
            <w:tcBorders>
              <w:top w:val="nil"/>
              <w:left w:val="single" w:sz="4" w:space="0" w:color="auto"/>
              <w:bottom w:val="nil"/>
              <w:right w:val="single" w:sz="4" w:space="0" w:color="auto"/>
            </w:tcBorders>
            <w:shd w:val="clear" w:color="auto" w:fill="auto"/>
            <w:noWrap/>
            <w:vAlign w:val="center"/>
            <w:hideMark/>
          </w:tcPr>
          <w:p w14:paraId="7CA863E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989,0</w:t>
            </w:r>
          </w:p>
        </w:tc>
        <w:tc>
          <w:tcPr>
            <w:tcW w:w="765" w:type="dxa"/>
            <w:tcBorders>
              <w:top w:val="nil"/>
              <w:left w:val="single" w:sz="4" w:space="0" w:color="auto"/>
              <w:bottom w:val="nil"/>
              <w:right w:val="single" w:sz="4" w:space="0" w:color="auto"/>
            </w:tcBorders>
            <w:shd w:val="clear" w:color="auto" w:fill="auto"/>
            <w:noWrap/>
            <w:vAlign w:val="center"/>
            <w:hideMark/>
          </w:tcPr>
          <w:p w14:paraId="630DC34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984,3</w:t>
            </w:r>
          </w:p>
        </w:tc>
        <w:tc>
          <w:tcPr>
            <w:tcW w:w="765" w:type="dxa"/>
            <w:tcBorders>
              <w:top w:val="nil"/>
              <w:left w:val="single" w:sz="4" w:space="0" w:color="auto"/>
              <w:bottom w:val="nil"/>
              <w:right w:val="single" w:sz="4" w:space="0" w:color="auto"/>
            </w:tcBorders>
            <w:shd w:val="clear" w:color="auto" w:fill="auto"/>
            <w:noWrap/>
            <w:vAlign w:val="center"/>
            <w:hideMark/>
          </w:tcPr>
          <w:p w14:paraId="22094859"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1 044,2</w:t>
            </w:r>
          </w:p>
        </w:tc>
        <w:tc>
          <w:tcPr>
            <w:tcW w:w="765" w:type="dxa"/>
            <w:tcBorders>
              <w:top w:val="nil"/>
              <w:left w:val="single" w:sz="4" w:space="0" w:color="auto"/>
              <w:bottom w:val="nil"/>
              <w:right w:val="single" w:sz="4" w:space="0" w:color="auto"/>
            </w:tcBorders>
            <w:shd w:val="clear" w:color="auto" w:fill="auto"/>
            <w:noWrap/>
            <w:vAlign w:val="center"/>
            <w:hideMark/>
          </w:tcPr>
          <w:p w14:paraId="592931B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868,2</w:t>
            </w:r>
          </w:p>
        </w:tc>
        <w:tc>
          <w:tcPr>
            <w:tcW w:w="765" w:type="dxa"/>
            <w:tcBorders>
              <w:top w:val="nil"/>
              <w:left w:val="single" w:sz="4" w:space="0" w:color="auto"/>
              <w:bottom w:val="nil"/>
              <w:right w:val="single" w:sz="4" w:space="0" w:color="auto"/>
            </w:tcBorders>
            <w:shd w:val="clear" w:color="auto" w:fill="auto"/>
            <w:noWrap/>
            <w:vAlign w:val="center"/>
            <w:hideMark/>
          </w:tcPr>
          <w:p w14:paraId="1C65C40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791,9</w:t>
            </w:r>
          </w:p>
        </w:tc>
        <w:tc>
          <w:tcPr>
            <w:tcW w:w="765" w:type="dxa"/>
            <w:tcBorders>
              <w:top w:val="nil"/>
              <w:left w:val="single" w:sz="4" w:space="0" w:color="auto"/>
              <w:bottom w:val="nil"/>
              <w:right w:val="single" w:sz="4" w:space="0" w:color="auto"/>
            </w:tcBorders>
            <w:shd w:val="clear" w:color="auto" w:fill="D9D9D9"/>
            <w:vAlign w:val="center"/>
          </w:tcPr>
          <w:p w14:paraId="071D1184" w14:textId="77777777" w:rsidR="00B33613" w:rsidRDefault="00B33613" w:rsidP="00B33613">
            <w:pPr>
              <w:spacing w:after="0" w:line="240" w:lineRule="auto"/>
              <w:jc w:val="right"/>
              <w:rPr>
                <w:rFonts w:cs="Arial"/>
                <w:sz w:val="16"/>
                <w:szCs w:val="16"/>
              </w:rPr>
            </w:pPr>
            <w:r>
              <w:rPr>
                <w:rFonts w:cs="Arial"/>
                <w:sz w:val="16"/>
                <w:szCs w:val="16"/>
              </w:rPr>
              <w:t>564,4</w:t>
            </w:r>
          </w:p>
        </w:tc>
        <w:tc>
          <w:tcPr>
            <w:tcW w:w="765" w:type="dxa"/>
            <w:tcBorders>
              <w:top w:val="nil"/>
              <w:left w:val="single" w:sz="4" w:space="0" w:color="auto"/>
              <w:bottom w:val="nil"/>
              <w:right w:val="nil"/>
            </w:tcBorders>
            <w:vAlign w:val="center"/>
          </w:tcPr>
          <w:p w14:paraId="5CE14EDC" w14:textId="63DCC943" w:rsidR="00B33613" w:rsidRDefault="00B33613" w:rsidP="00B33613">
            <w:pPr>
              <w:spacing w:after="0" w:line="240" w:lineRule="auto"/>
              <w:jc w:val="right"/>
              <w:rPr>
                <w:rFonts w:cs="Arial"/>
                <w:sz w:val="16"/>
                <w:szCs w:val="16"/>
              </w:rPr>
            </w:pPr>
            <w:r>
              <w:rPr>
                <w:rFonts w:cs="Arial"/>
                <w:sz w:val="16"/>
                <w:szCs w:val="16"/>
              </w:rPr>
              <w:t>635,6</w:t>
            </w:r>
          </w:p>
        </w:tc>
      </w:tr>
      <w:tr w:rsidR="00B33613" w:rsidRPr="00166BEB" w14:paraId="5E288E1E" w14:textId="77777777" w:rsidTr="00B33613">
        <w:trPr>
          <w:trHeight w:val="300"/>
        </w:trPr>
        <w:tc>
          <w:tcPr>
            <w:tcW w:w="0" w:type="auto"/>
            <w:tcBorders>
              <w:top w:val="nil"/>
              <w:left w:val="nil"/>
              <w:bottom w:val="nil"/>
              <w:right w:val="nil"/>
            </w:tcBorders>
            <w:shd w:val="clear" w:color="auto" w:fill="auto"/>
            <w:noWrap/>
            <w:vAlign w:val="center"/>
            <w:hideMark/>
          </w:tcPr>
          <w:p w14:paraId="4A5ED2BC"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Irsko</w:t>
            </w:r>
          </w:p>
        </w:tc>
        <w:tc>
          <w:tcPr>
            <w:tcW w:w="765" w:type="dxa"/>
            <w:tcBorders>
              <w:top w:val="nil"/>
              <w:left w:val="single" w:sz="4" w:space="0" w:color="000000"/>
              <w:bottom w:val="nil"/>
              <w:right w:val="single" w:sz="4" w:space="0" w:color="auto"/>
            </w:tcBorders>
            <w:shd w:val="clear" w:color="auto" w:fill="auto"/>
            <w:noWrap/>
            <w:vAlign w:val="center"/>
            <w:hideMark/>
          </w:tcPr>
          <w:p w14:paraId="32C760C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955,0</w:t>
            </w:r>
          </w:p>
        </w:tc>
        <w:tc>
          <w:tcPr>
            <w:tcW w:w="765" w:type="dxa"/>
            <w:tcBorders>
              <w:top w:val="nil"/>
              <w:left w:val="single" w:sz="4" w:space="0" w:color="auto"/>
              <w:bottom w:val="nil"/>
              <w:right w:val="single" w:sz="4" w:space="0" w:color="auto"/>
            </w:tcBorders>
            <w:shd w:val="clear" w:color="auto" w:fill="auto"/>
            <w:noWrap/>
            <w:vAlign w:val="center"/>
            <w:hideMark/>
          </w:tcPr>
          <w:p w14:paraId="25D99CA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809,6</w:t>
            </w:r>
          </w:p>
        </w:tc>
        <w:tc>
          <w:tcPr>
            <w:tcW w:w="765" w:type="dxa"/>
            <w:tcBorders>
              <w:top w:val="nil"/>
              <w:left w:val="single" w:sz="4" w:space="0" w:color="auto"/>
              <w:bottom w:val="nil"/>
              <w:right w:val="single" w:sz="4" w:space="0" w:color="auto"/>
            </w:tcBorders>
            <w:shd w:val="clear" w:color="auto" w:fill="auto"/>
            <w:noWrap/>
            <w:vAlign w:val="center"/>
            <w:hideMark/>
          </w:tcPr>
          <w:p w14:paraId="285B4FA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1 036,1</w:t>
            </w:r>
          </w:p>
        </w:tc>
        <w:tc>
          <w:tcPr>
            <w:tcW w:w="765" w:type="dxa"/>
            <w:tcBorders>
              <w:top w:val="nil"/>
              <w:left w:val="single" w:sz="4" w:space="0" w:color="auto"/>
              <w:bottom w:val="nil"/>
              <w:right w:val="single" w:sz="4" w:space="0" w:color="auto"/>
            </w:tcBorders>
            <w:shd w:val="clear" w:color="auto" w:fill="auto"/>
            <w:noWrap/>
            <w:vAlign w:val="center"/>
            <w:hideMark/>
          </w:tcPr>
          <w:p w14:paraId="520C11E9"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1 072,0</w:t>
            </w:r>
          </w:p>
        </w:tc>
        <w:tc>
          <w:tcPr>
            <w:tcW w:w="765" w:type="dxa"/>
            <w:tcBorders>
              <w:top w:val="nil"/>
              <w:left w:val="single" w:sz="4" w:space="0" w:color="auto"/>
              <w:bottom w:val="nil"/>
              <w:right w:val="single" w:sz="4" w:space="0" w:color="auto"/>
            </w:tcBorders>
            <w:shd w:val="clear" w:color="auto" w:fill="auto"/>
            <w:noWrap/>
            <w:vAlign w:val="center"/>
            <w:hideMark/>
          </w:tcPr>
          <w:p w14:paraId="3417F9B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924,0</w:t>
            </w:r>
          </w:p>
        </w:tc>
        <w:tc>
          <w:tcPr>
            <w:tcW w:w="765" w:type="dxa"/>
            <w:tcBorders>
              <w:top w:val="nil"/>
              <w:left w:val="single" w:sz="4" w:space="0" w:color="auto"/>
              <w:bottom w:val="nil"/>
              <w:right w:val="single" w:sz="4" w:space="0" w:color="auto"/>
            </w:tcBorders>
            <w:shd w:val="clear" w:color="auto" w:fill="auto"/>
            <w:noWrap/>
            <w:vAlign w:val="center"/>
            <w:hideMark/>
          </w:tcPr>
          <w:p w14:paraId="16D4257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768,9</w:t>
            </w:r>
          </w:p>
        </w:tc>
        <w:tc>
          <w:tcPr>
            <w:tcW w:w="765" w:type="dxa"/>
            <w:tcBorders>
              <w:top w:val="nil"/>
              <w:left w:val="single" w:sz="4" w:space="0" w:color="auto"/>
              <w:bottom w:val="nil"/>
              <w:right w:val="single" w:sz="4" w:space="0" w:color="auto"/>
            </w:tcBorders>
            <w:shd w:val="clear" w:color="auto" w:fill="auto"/>
            <w:noWrap/>
            <w:vAlign w:val="center"/>
            <w:hideMark/>
          </w:tcPr>
          <w:p w14:paraId="63AF333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1 115,9</w:t>
            </w:r>
          </w:p>
        </w:tc>
        <w:tc>
          <w:tcPr>
            <w:tcW w:w="765" w:type="dxa"/>
            <w:tcBorders>
              <w:top w:val="nil"/>
              <w:left w:val="single" w:sz="4" w:space="0" w:color="auto"/>
              <w:bottom w:val="nil"/>
              <w:right w:val="single" w:sz="4" w:space="0" w:color="auto"/>
            </w:tcBorders>
            <w:shd w:val="clear" w:color="auto" w:fill="auto"/>
            <w:noWrap/>
            <w:vAlign w:val="center"/>
            <w:hideMark/>
          </w:tcPr>
          <w:p w14:paraId="534C495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789,5</w:t>
            </w:r>
          </w:p>
        </w:tc>
        <w:tc>
          <w:tcPr>
            <w:tcW w:w="765" w:type="dxa"/>
            <w:tcBorders>
              <w:top w:val="nil"/>
              <w:left w:val="single" w:sz="4" w:space="0" w:color="auto"/>
              <w:bottom w:val="nil"/>
              <w:right w:val="single" w:sz="4" w:space="0" w:color="auto"/>
            </w:tcBorders>
            <w:shd w:val="clear" w:color="auto" w:fill="auto"/>
            <w:noWrap/>
            <w:vAlign w:val="center"/>
            <w:hideMark/>
          </w:tcPr>
          <w:p w14:paraId="30A5E38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559,5</w:t>
            </w:r>
          </w:p>
        </w:tc>
        <w:tc>
          <w:tcPr>
            <w:tcW w:w="765" w:type="dxa"/>
            <w:tcBorders>
              <w:top w:val="nil"/>
              <w:left w:val="single" w:sz="4" w:space="0" w:color="auto"/>
              <w:bottom w:val="nil"/>
              <w:right w:val="single" w:sz="4" w:space="0" w:color="auto"/>
            </w:tcBorders>
            <w:shd w:val="clear" w:color="auto" w:fill="D9D9D9"/>
            <w:vAlign w:val="center"/>
          </w:tcPr>
          <w:p w14:paraId="67165482" w14:textId="77777777" w:rsidR="00B33613" w:rsidRDefault="00B33613" w:rsidP="00B33613">
            <w:pPr>
              <w:spacing w:after="0" w:line="240" w:lineRule="auto"/>
              <w:jc w:val="right"/>
              <w:rPr>
                <w:rFonts w:cs="Arial"/>
                <w:sz w:val="16"/>
                <w:szCs w:val="16"/>
              </w:rPr>
            </w:pPr>
            <w:r>
              <w:rPr>
                <w:rFonts w:cs="Arial"/>
                <w:sz w:val="16"/>
                <w:szCs w:val="16"/>
              </w:rPr>
              <w:t>534,2</w:t>
            </w:r>
          </w:p>
        </w:tc>
        <w:tc>
          <w:tcPr>
            <w:tcW w:w="765" w:type="dxa"/>
            <w:tcBorders>
              <w:top w:val="nil"/>
              <w:left w:val="single" w:sz="4" w:space="0" w:color="auto"/>
              <w:bottom w:val="nil"/>
              <w:right w:val="nil"/>
            </w:tcBorders>
            <w:vAlign w:val="center"/>
          </w:tcPr>
          <w:p w14:paraId="40C3ADCF" w14:textId="2821F9D1" w:rsidR="00B33613" w:rsidRDefault="00B33613" w:rsidP="00B33613">
            <w:pPr>
              <w:spacing w:after="0" w:line="240" w:lineRule="auto"/>
              <w:jc w:val="right"/>
              <w:rPr>
                <w:rFonts w:cs="Arial"/>
                <w:sz w:val="16"/>
                <w:szCs w:val="16"/>
              </w:rPr>
            </w:pPr>
            <w:r>
              <w:rPr>
                <w:rFonts w:cs="Arial"/>
                <w:sz w:val="16"/>
                <w:szCs w:val="16"/>
              </w:rPr>
              <w:t>667,7</w:t>
            </w:r>
          </w:p>
        </w:tc>
      </w:tr>
      <w:tr w:rsidR="00B33613" w:rsidRPr="00166BEB" w14:paraId="56C0FEEB" w14:textId="77777777" w:rsidTr="00B33613">
        <w:trPr>
          <w:trHeight w:val="300"/>
        </w:trPr>
        <w:tc>
          <w:tcPr>
            <w:tcW w:w="0" w:type="auto"/>
            <w:tcBorders>
              <w:top w:val="nil"/>
              <w:left w:val="nil"/>
              <w:bottom w:val="nil"/>
              <w:right w:val="nil"/>
            </w:tcBorders>
            <w:shd w:val="clear" w:color="auto" w:fill="auto"/>
            <w:noWrap/>
            <w:vAlign w:val="center"/>
            <w:hideMark/>
          </w:tcPr>
          <w:p w14:paraId="54E1012B"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Itálie</w:t>
            </w:r>
          </w:p>
        </w:tc>
        <w:tc>
          <w:tcPr>
            <w:tcW w:w="765" w:type="dxa"/>
            <w:tcBorders>
              <w:top w:val="nil"/>
              <w:left w:val="single" w:sz="4" w:space="0" w:color="000000"/>
              <w:bottom w:val="nil"/>
              <w:right w:val="single" w:sz="4" w:space="0" w:color="auto"/>
            </w:tcBorders>
            <w:shd w:val="clear" w:color="auto" w:fill="auto"/>
            <w:noWrap/>
            <w:vAlign w:val="center"/>
            <w:hideMark/>
          </w:tcPr>
          <w:p w14:paraId="56F6BA8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2 004,7</w:t>
            </w:r>
          </w:p>
        </w:tc>
        <w:tc>
          <w:tcPr>
            <w:tcW w:w="765" w:type="dxa"/>
            <w:tcBorders>
              <w:top w:val="nil"/>
              <w:left w:val="single" w:sz="4" w:space="0" w:color="auto"/>
              <w:bottom w:val="nil"/>
              <w:right w:val="single" w:sz="4" w:space="0" w:color="auto"/>
            </w:tcBorders>
            <w:shd w:val="clear" w:color="auto" w:fill="auto"/>
            <w:noWrap/>
            <w:vAlign w:val="center"/>
            <w:hideMark/>
          </w:tcPr>
          <w:p w14:paraId="525E495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1 682,6</w:t>
            </w:r>
          </w:p>
        </w:tc>
        <w:tc>
          <w:tcPr>
            <w:tcW w:w="765" w:type="dxa"/>
            <w:tcBorders>
              <w:top w:val="nil"/>
              <w:left w:val="single" w:sz="4" w:space="0" w:color="auto"/>
              <w:bottom w:val="nil"/>
              <w:right w:val="single" w:sz="4" w:space="0" w:color="auto"/>
            </w:tcBorders>
            <w:shd w:val="clear" w:color="auto" w:fill="auto"/>
            <w:noWrap/>
            <w:vAlign w:val="center"/>
            <w:hideMark/>
          </w:tcPr>
          <w:p w14:paraId="06319F2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1 711,8</w:t>
            </w:r>
          </w:p>
        </w:tc>
        <w:tc>
          <w:tcPr>
            <w:tcW w:w="765" w:type="dxa"/>
            <w:tcBorders>
              <w:top w:val="nil"/>
              <w:left w:val="single" w:sz="4" w:space="0" w:color="auto"/>
              <w:bottom w:val="nil"/>
              <w:right w:val="single" w:sz="4" w:space="0" w:color="auto"/>
            </w:tcBorders>
            <w:shd w:val="clear" w:color="auto" w:fill="auto"/>
            <w:noWrap/>
            <w:vAlign w:val="center"/>
            <w:hideMark/>
          </w:tcPr>
          <w:p w14:paraId="38B436C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1 619,2</w:t>
            </w:r>
          </w:p>
        </w:tc>
        <w:tc>
          <w:tcPr>
            <w:tcW w:w="765" w:type="dxa"/>
            <w:tcBorders>
              <w:top w:val="nil"/>
              <w:left w:val="single" w:sz="4" w:space="0" w:color="auto"/>
              <w:bottom w:val="nil"/>
              <w:right w:val="single" w:sz="4" w:space="0" w:color="auto"/>
            </w:tcBorders>
            <w:shd w:val="clear" w:color="auto" w:fill="auto"/>
            <w:noWrap/>
            <w:vAlign w:val="center"/>
            <w:hideMark/>
          </w:tcPr>
          <w:p w14:paraId="74A610F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1 515,7</w:t>
            </w:r>
          </w:p>
        </w:tc>
        <w:tc>
          <w:tcPr>
            <w:tcW w:w="765" w:type="dxa"/>
            <w:tcBorders>
              <w:top w:val="nil"/>
              <w:left w:val="single" w:sz="4" w:space="0" w:color="auto"/>
              <w:bottom w:val="nil"/>
              <w:right w:val="single" w:sz="4" w:space="0" w:color="auto"/>
            </w:tcBorders>
            <w:shd w:val="clear" w:color="auto" w:fill="auto"/>
            <w:noWrap/>
            <w:vAlign w:val="center"/>
            <w:hideMark/>
          </w:tcPr>
          <w:p w14:paraId="21E58EB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1 477,1</w:t>
            </w:r>
          </w:p>
        </w:tc>
        <w:tc>
          <w:tcPr>
            <w:tcW w:w="765" w:type="dxa"/>
            <w:tcBorders>
              <w:top w:val="nil"/>
              <w:left w:val="single" w:sz="4" w:space="0" w:color="auto"/>
              <w:bottom w:val="nil"/>
              <w:right w:val="single" w:sz="4" w:space="0" w:color="auto"/>
            </w:tcBorders>
            <w:shd w:val="clear" w:color="auto" w:fill="auto"/>
            <w:noWrap/>
            <w:vAlign w:val="center"/>
            <w:hideMark/>
          </w:tcPr>
          <w:p w14:paraId="7EA0411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1 456,0</w:t>
            </w:r>
          </w:p>
        </w:tc>
        <w:tc>
          <w:tcPr>
            <w:tcW w:w="765" w:type="dxa"/>
            <w:tcBorders>
              <w:top w:val="nil"/>
              <w:left w:val="single" w:sz="4" w:space="0" w:color="auto"/>
              <w:bottom w:val="nil"/>
              <w:right w:val="single" w:sz="4" w:space="0" w:color="auto"/>
            </w:tcBorders>
            <w:shd w:val="clear" w:color="auto" w:fill="auto"/>
            <w:noWrap/>
            <w:vAlign w:val="center"/>
            <w:hideMark/>
          </w:tcPr>
          <w:p w14:paraId="64ED136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1 382,9</w:t>
            </w:r>
          </w:p>
        </w:tc>
        <w:tc>
          <w:tcPr>
            <w:tcW w:w="765" w:type="dxa"/>
            <w:tcBorders>
              <w:top w:val="nil"/>
              <w:left w:val="single" w:sz="4" w:space="0" w:color="auto"/>
              <w:bottom w:val="nil"/>
              <w:right w:val="single" w:sz="4" w:space="0" w:color="auto"/>
            </w:tcBorders>
            <w:shd w:val="clear" w:color="auto" w:fill="auto"/>
            <w:noWrap/>
            <w:vAlign w:val="center"/>
            <w:hideMark/>
          </w:tcPr>
          <w:p w14:paraId="760F05F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1 354,4</w:t>
            </w:r>
          </w:p>
        </w:tc>
        <w:tc>
          <w:tcPr>
            <w:tcW w:w="765" w:type="dxa"/>
            <w:tcBorders>
              <w:top w:val="nil"/>
              <w:left w:val="single" w:sz="4" w:space="0" w:color="auto"/>
              <w:bottom w:val="nil"/>
              <w:right w:val="single" w:sz="4" w:space="0" w:color="auto"/>
            </w:tcBorders>
            <w:shd w:val="clear" w:color="auto" w:fill="D9D9D9"/>
            <w:vAlign w:val="center"/>
          </w:tcPr>
          <w:p w14:paraId="396434D0" w14:textId="77777777" w:rsidR="00B33613" w:rsidRDefault="00B33613" w:rsidP="00B33613">
            <w:pPr>
              <w:spacing w:after="0" w:line="240" w:lineRule="auto"/>
              <w:jc w:val="right"/>
              <w:rPr>
                <w:rFonts w:cs="Arial"/>
                <w:sz w:val="16"/>
                <w:szCs w:val="16"/>
              </w:rPr>
            </w:pPr>
            <w:r>
              <w:rPr>
                <w:rFonts w:cs="Arial"/>
                <w:sz w:val="16"/>
                <w:szCs w:val="16"/>
              </w:rPr>
              <w:t>1 036,8</w:t>
            </w:r>
          </w:p>
        </w:tc>
        <w:tc>
          <w:tcPr>
            <w:tcW w:w="765" w:type="dxa"/>
            <w:tcBorders>
              <w:top w:val="nil"/>
              <w:left w:val="single" w:sz="4" w:space="0" w:color="auto"/>
              <w:bottom w:val="nil"/>
              <w:right w:val="nil"/>
            </w:tcBorders>
            <w:vAlign w:val="center"/>
          </w:tcPr>
          <w:p w14:paraId="608288A8" w14:textId="3A797EAC" w:rsidR="00B33613" w:rsidRDefault="00B33613" w:rsidP="00B33613">
            <w:pPr>
              <w:spacing w:after="0" w:line="240" w:lineRule="auto"/>
              <w:jc w:val="right"/>
              <w:rPr>
                <w:rFonts w:cs="Arial"/>
                <w:sz w:val="16"/>
                <w:szCs w:val="16"/>
              </w:rPr>
            </w:pPr>
            <w:r>
              <w:rPr>
                <w:rFonts w:cs="Arial"/>
                <w:sz w:val="16"/>
                <w:szCs w:val="16"/>
              </w:rPr>
              <w:t>1 244,6</w:t>
            </w:r>
          </w:p>
        </w:tc>
      </w:tr>
      <w:tr w:rsidR="00B33613" w:rsidRPr="00166BEB" w14:paraId="3D8BA6EC" w14:textId="77777777" w:rsidTr="00B33613">
        <w:trPr>
          <w:trHeight w:val="300"/>
        </w:trPr>
        <w:tc>
          <w:tcPr>
            <w:tcW w:w="0" w:type="auto"/>
            <w:tcBorders>
              <w:top w:val="nil"/>
              <w:left w:val="nil"/>
              <w:bottom w:val="nil"/>
              <w:right w:val="nil"/>
            </w:tcBorders>
            <w:shd w:val="clear" w:color="auto" w:fill="auto"/>
            <w:noWrap/>
            <w:vAlign w:val="center"/>
            <w:hideMark/>
          </w:tcPr>
          <w:p w14:paraId="45006EBD"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Kypr</w:t>
            </w:r>
          </w:p>
        </w:tc>
        <w:tc>
          <w:tcPr>
            <w:tcW w:w="765" w:type="dxa"/>
            <w:tcBorders>
              <w:top w:val="nil"/>
              <w:left w:val="single" w:sz="4" w:space="0" w:color="000000"/>
              <w:bottom w:val="nil"/>
              <w:right w:val="single" w:sz="4" w:space="0" w:color="auto"/>
            </w:tcBorders>
            <w:shd w:val="clear" w:color="auto" w:fill="auto"/>
            <w:noWrap/>
            <w:vAlign w:val="center"/>
            <w:hideMark/>
          </w:tcPr>
          <w:p w14:paraId="3CA51BA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858,6</w:t>
            </w:r>
          </w:p>
        </w:tc>
        <w:tc>
          <w:tcPr>
            <w:tcW w:w="765" w:type="dxa"/>
            <w:tcBorders>
              <w:top w:val="nil"/>
              <w:left w:val="single" w:sz="4" w:space="0" w:color="auto"/>
              <w:bottom w:val="nil"/>
              <w:right w:val="single" w:sz="4" w:space="0" w:color="auto"/>
            </w:tcBorders>
            <w:shd w:val="clear" w:color="auto" w:fill="auto"/>
            <w:noWrap/>
            <w:vAlign w:val="center"/>
            <w:hideMark/>
          </w:tcPr>
          <w:p w14:paraId="2523C5F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754,8</w:t>
            </w:r>
          </w:p>
        </w:tc>
        <w:tc>
          <w:tcPr>
            <w:tcW w:w="765" w:type="dxa"/>
            <w:tcBorders>
              <w:top w:val="nil"/>
              <w:left w:val="single" w:sz="4" w:space="0" w:color="auto"/>
              <w:bottom w:val="nil"/>
              <w:right w:val="single" w:sz="4" w:space="0" w:color="auto"/>
            </w:tcBorders>
            <w:shd w:val="clear" w:color="auto" w:fill="auto"/>
            <w:noWrap/>
            <w:vAlign w:val="center"/>
            <w:hideMark/>
          </w:tcPr>
          <w:p w14:paraId="686D7F5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571,5</w:t>
            </w:r>
          </w:p>
        </w:tc>
        <w:tc>
          <w:tcPr>
            <w:tcW w:w="765" w:type="dxa"/>
            <w:tcBorders>
              <w:top w:val="nil"/>
              <w:left w:val="single" w:sz="4" w:space="0" w:color="auto"/>
              <w:bottom w:val="nil"/>
              <w:right w:val="single" w:sz="4" w:space="0" w:color="auto"/>
            </w:tcBorders>
            <w:shd w:val="clear" w:color="auto" w:fill="auto"/>
            <w:noWrap/>
            <w:vAlign w:val="center"/>
            <w:hideMark/>
          </w:tcPr>
          <w:p w14:paraId="4BBA65A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870,7</w:t>
            </w:r>
          </w:p>
        </w:tc>
        <w:tc>
          <w:tcPr>
            <w:tcW w:w="765" w:type="dxa"/>
            <w:tcBorders>
              <w:top w:val="nil"/>
              <w:left w:val="single" w:sz="4" w:space="0" w:color="auto"/>
              <w:bottom w:val="nil"/>
              <w:right w:val="single" w:sz="4" w:space="0" w:color="auto"/>
            </w:tcBorders>
            <w:shd w:val="clear" w:color="auto" w:fill="auto"/>
            <w:noWrap/>
            <w:vAlign w:val="center"/>
            <w:hideMark/>
          </w:tcPr>
          <w:p w14:paraId="48DA6A9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697,3</w:t>
            </w:r>
          </w:p>
        </w:tc>
        <w:tc>
          <w:tcPr>
            <w:tcW w:w="765" w:type="dxa"/>
            <w:tcBorders>
              <w:top w:val="nil"/>
              <w:left w:val="single" w:sz="4" w:space="0" w:color="auto"/>
              <w:bottom w:val="nil"/>
              <w:right w:val="single" w:sz="4" w:space="0" w:color="auto"/>
            </w:tcBorders>
            <w:shd w:val="clear" w:color="auto" w:fill="auto"/>
            <w:noWrap/>
            <w:vAlign w:val="center"/>
            <w:hideMark/>
          </w:tcPr>
          <w:p w14:paraId="7E391D0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716,7</w:t>
            </w:r>
          </w:p>
        </w:tc>
        <w:tc>
          <w:tcPr>
            <w:tcW w:w="765" w:type="dxa"/>
            <w:tcBorders>
              <w:top w:val="nil"/>
              <w:left w:val="single" w:sz="4" w:space="0" w:color="auto"/>
              <w:bottom w:val="nil"/>
              <w:right w:val="single" w:sz="4" w:space="0" w:color="auto"/>
            </w:tcBorders>
            <w:shd w:val="clear" w:color="auto" w:fill="auto"/>
            <w:noWrap/>
            <w:vAlign w:val="center"/>
            <w:hideMark/>
          </w:tcPr>
          <w:p w14:paraId="701B18B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751,4</w:t>
            </w:r>
          </w:p>
        </w:tc>
        <w:tc>
          <w:tcPr>
            <w:tcW w:w="765" w:type="dxa"/>
            <w:tcBorders>
              <w:top w:val="nil"/>
              <w:left w:val="single" w:sz="4" w:space="0" w:color="auto"/>
              <w:bottom w:val="nil"/>
              <w:right w:val="single" w:sz="4" w:space="0" w:color="auto"/>
            </w:tcBorders>
            <w:shd w:val="clear" w:color="auto" w:fill="auto"/>
            <w:noWrap/>
            <w:vAlign w:val="center"/>
            <w:hideMark/>
          </w:tcPr>
          <w:p w14:paraId="5A8F0A0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766,9</w:t>
            </w:r>
          </w:p>
        </w:tc>
        <w:tc>
          <w:tcPr>
            <w:tcW w:w="765" w:type="dxa"/>
            <w:tcBorders>
              <w:top w:val="nil"/>
              <w:left w:val="single" w:sz="4" w:space="0" w:color="auto"/>
              <w:bottom w:val="nil"/>
              <w:right w:val="single" w:sz="4" w:space="0" w:color="auto"/>
            </w:tcBorders>
            <w:shd w:val="clear" w:color="auto" w:fill="auto"/>
            <w:noWrap/>
            <w:vAlign w:val="center"/>
            <w:hideMark/>
          </w:tcPr>
          <w:p w14:paraId="3C81872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818,9</w:t>
            </w:r>
          </w:p>
        </w:tc>
        <w:tc>
          <w:tcPr>
            <w:tcW w:w="765" w:type="dxa"/>
            <w:tcBorders>
              <w:top w:val="nil"/>
              <w:left w:val="single" w:sz="4" w:space="0" w:color="auto"/>
              <w:bottom w:val="nil"/>
              <w:right w:val="single" w:sz="4" w:space="0" w:color="auto"/>
            </w:tcBorders>
            <w:shd w:val="clear" w:color="auto" w:fill="D9D9D9"/>
            <w:vAlign w:val="center"/>
          </w:tcPr>
          <w:p w14:paraId="502A3191" w14:textId="77777777" w:rsidR="00B33613" w:rsidRDefault="00B33613" w:rsidP="00B33613">
            <w:pPr>
              <w:spacing w:after="0" w:line="240" w:lineRule="auto"/>
              <w:jc w:val="right"/>
              <w:rPr>
                <w:rFonts w:cs="Arial"/>
                <w:sz w:val="16"/>
                <w:szCs w:val="16"/>
              </w:rPr>
            </w:pPr>
            <w:r>
              <w:rPr>
                <w:rFonts w:cs="Arial"/>
                <w:sz w:val="16"/>
                <w:szCs w:val="16"/>
              </w:rPr>
              <w:t>584,9</w:t>
            </w:r>
          </w:p>
        </w:tc>
        <w:tc>
          <w:tcPr>
            <w:tcW w:w="765" w:type="dxa"/>
            <w:tcBorders>
              <w:top w:val="nil"/>
              <w:left w:val="single" w:sz="4" w:space="0" w:color="auto"/>
              <w:bottom w:val="nil"/>
              <w:right w:val="nil"/>
            </w:tcBorders>
            <w:vAlign w:val="center"/>
          </w:tcPr>
          <w:p w14:paraId="3C5F34CF" w14:textId="61FD6BB7" w:rsidR="00B33613" w:rsidRDefault="00B33613" w:rsidP="00B33613">
            <w:pPr>
              <w:spacing w:after="0" w:line="240" w:lineRule="auto"/>
              <w:jc w:val="right"/>
              <w:rPr>
                <w:rFonts w:cs="Arial"/>
                <w:sz w:val="16"/>
                <w:szCs w:val="16"/>
              </w:rPr>
            </w:pPr>
            <w:r>
              <w:rPr>
                <w:rFonts w:cs="Arial"/>
                <w:sz w:val="16"/>
                <w:szCs w:val="16"/>
              </w:rPr>
              <w:t>529,8</w:t>
            </w:r>
          </w:p>
        </w:tc>
      </w:tr>
      <w:tr w:rsidR="00B33613" w:rsidRPr="00166BEB" w14:paraId="6BA38731" w14:textId="77777777" w:rsidTr="00B33613">
        <w:trPr>
          <w:trHeight w:val="300"/>
        </w:trPr>
        <w:tc>
          <w:tcPr>
            <w:tcW w:w="0" w:type="auto"/>
            <w:tcBorders>
              <w:top w:val="nil"/>
              <w:left w:val="nil"/>
              <w:bottom w:val="nil"/>
              <w:right w:val="nil"/>
            </w:tcBorders>
            <w:shd w:val="clear" w:color="auto" w:fill="auto"/>
            <w:noWrap/>
            <w:vAlign w:val="center"/>
            <w:hideMark/>
          </w:tcPr>
          <w:p w14:paraId="318F734B"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Litva</w:t>
            </w:r>
          </w:p>
        </w:tc>
        <w:tc>
          <w:tcPr>
            <w:tcW w:w="765" w:type="dxa"/>
            <w:tcBorders>
              <w:top w:val="nil"/>
              <w:left w:val="single" w:sz="4" w:space="0" w:color="000000"/>
              <w:bottom w:val="nil"/>
              <w:right w:val="single" w:sz="4" w:space="0" w:color="auto"/>
            </w:tcBorders>
            <w:shd w:val="clear" w:color="auto" w:fill="auto"/>
            <w:noWrap/>
            <w:vAlign w:val="center"/>
            <w:hideMark/>
          </w:tcPr>
          <w:p w14:paraId="6746C9A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235,3</w:t>
            </w:r>
          </w:p>
        </w:tc>
        <w:tc>
          <w:tcPr>
            <w:tcW w:w="765" w:type="dxa"/>
            <w:tcBorders>
              <w:top w:val="nil"/>
              <w:left w:val="single" w:sz="4" w:space="0" w:color="auto"/>
              <w:bottom w:val="nil"/>
              <w:right w:val="single" w:sz="4" w:space="0" w:color="auto"/>
            </w:tcBorders>
            <w:shd w:val="clear" w:color="auto" w:fill="auto"/>
            <w:noWrap/>
            <w:vAlign w:val="center"/>
            <w:hideMark/>
          </w:tcPr>
          <w:p w14:paraId="21B206F9"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280,2</w:t>
            </w:r>
          </w:p>
        </w:tc>
        <w:tc>
          <w:tcPr>
            <w:tcW w:w="765" w:type="dxa"/>
            <w:tcBorders>
              <w:top w:val="nil"/>
              <w:left w:val="single" w:sz="4" w:space="0" w:color="auto"/>
              <w:bottom w:val="nil"/>
              <w:right w:val="single" w:sz="4" w:space="0" w:color="auto"/>
            </w:tcBorders>
            <w:shd w:val="clear" w:color="auto" w:fill="auto"/>
            <w:noWrap/>
            <w:vAlign w:val="center"/>
            <w:hideMark/>
          </w:tcPr>
          <w:p w14:paraId="45C23DF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259,7</w:t>
            </w:r>
          </w:p>
        </w:tc>
        <w:tc>
          <w:tcPr>
            <w:tcW w:w="765" w:type="dxa"/>
            <w:tcBorders>
              <w:top w:val="nil"/>
              <w:left w:val="single" w:sz="4" w:space="0" w:color="auto"/>
              <w:bottom w:val="nil"/>
              <w:right w:val="single" w:sz="4" w:space="0" w:color="auto"/>
            </w:tcBorders>
            <w:shd w:val="clear" w:color="auto" w:fill="auto"/>
            <w:noWrap/>
            <w:vAlign w:val="center"/>
            <w:hideMark/>
          </w:tcPr>
          <w:p w14:paraId="47D13AA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296,7</w:t>
            </w:r>
          </w:p>
        </w:tc>
        <w:tc>
          <w:tcPr>
            <w:tcW w:w="765" w:type="dxa"/>
            <w:tcBorders>
              <w:top w:val="nil"/>
              <w:left w:val="single" w:sz="4" w:space="0" w:color="auto"/>
              <w:bottom w:val="nil"/>
              <w:right w:val="single" w:sz="4" w:space="0" w:color="auto"/>
            </w:tcBorders>
            <w:shd w:val="clear" w:color="auto" w:fill="auto"/>
            <w:noWrap/>
            <w:vAlign w:val="center"/>
            <w:hideMark/>
          </w:tcPr>
          <w:p w14:paraId="40C4CCE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313,9</w:t>
            </w:r>
          </w:p>
        </w:tc>
        <w:tc>
          <w:tcPr>
            <w:tcW w:w="765" w:type="dxa"/>
            <w:tcBorders>
              <w:top w:val="nil"/>
              <w:left w:val="single" w:sz="4" w:space="0" w:color="auto"/>
              <w:bottom w:val="nil"/>
              <w:right w:val="single" w:sz="4" w:space="0" w:color="auto"/>
            </w:tcBorders>
            <w:shd w:val="clear" w:color="auto" w:fill="auto"/>
            <w:noWrap/>
            <w:vAlign w:val="center"/>
            <w:hideMark/>
          </w:tcPr>
          <w:p w14:paraId="58F65DE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332,7</w:t>
            </w:r>
          </w:p>
        </w:tc>
        <w:tc>
          <w:tcPr>
            <w:tcW w:w="765" w:type="dxa"/>
            <w:tcBorders>
              <w:top w:val="nil"/>
              <w:left w:val="single" w:sz="4" w:space="0" w:color="auto"/>
              <w:bottom w:val="nil"/>
              <w:right w:val="single" w:sz="4" w:space="0" w:color="auto"/>
            </w:tcBorders>
            <w:shd w:val="clear" w:color="auto" w:fill="auto"/>
            <w:noWrap/>
            <w:vAlign w:val="center"/>
            <w:hideMark/>
          </w:tcPr>
          <w:p w14:paraId="7E7DAE39"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377,0</w:t>
            </w:r>
          </w:p>
        </w:tc>
        <w:tc>
          <w:tcPr>
            <w:tcW w:w="765" w:type="dxa"/>
            <w:tcBorders>
              <w:top w:val="nil"/>
              <w:left w:val="single" w:sz="4" w:space="0" w:color="auto"/>
              <w:bottom w:val="nil"/>
              <w:right w:val="single" w:sz="4" w:space="0" w:color="auto"/>
            </w:tcBorders>
            <w:shd w:val="clear" w:color="auto" w:fill="auto"/>
            <w:noWrap/>
            <w:vAlign w:val="center"/>
            <w:hideMark/>
          </w:tcPr>
          <w:p w14:paraId="3691C73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353,8</w:t>
            </w:r>
          </w:p>
        </w:tc>
        <w:tc>
          <w:tcPr>
            <w:tcW w:w="765" w:type="dxa"/>
            <w:tcBorders>
              <w:top w:val="nil"/>
              <w:left w:val="single" w:sz="4" w:space="0" w:color="auto"/>
              <w:bottom w:val="nil"/>
              <w:right w:val="single" w:sz="4" w:space="0" w:color="auto"/>
            </w:tcBorders>
            <w:shd w:val="clear" w:color="auto" w:fill="auto"/>
            <w:noWrap/>
            <w:vAlign w:val="center"/>
            <w:hideMark/>
          </w:tcPr>
          <w:p w14:paraId="1193F18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437,7</w:t>
            </w:r>
          </w:p>
        </w:tc>
        <w:tc>
          <w:tcPr>
            <w:tcW w:w="765" w:type="dxa"/>
            <w:tcBorders>
              <w:top w:val="nil"/>
              <w:left w:val="single" w:sz="4" w:space="0" w:color="auto"/>
              <w:bottom w:val="nil"/>
              <w:right w:val="single" w:sz="4" w:space="0" w:color="auto"/>
            </w:tcBorders>
            <w:shd w:val="clear" w:color="auto" w:fill="D9D9D9"/>
            <w:vAlign w:val="center"/>
          </w:tcPr>
          <w:p w14:paraId="73A5A780" w14:textId="77777777" w:rsidR="00B33613" w:rsidRDefault="00B33613" w:rsidP="00B33613">
            <w:pPr>
              <w:spacing w:after="0" w:line="240" w:lineRule="auto"/>
              <w:jc w:val="right"/>
              <w:rPr>
                <w:rFonts w:cs="Arial"/>
                <w:sz w:val="16"/>
                <w:szCs w:val="16"/>
              </w:rPr>
            </w:pPr>
            <w:r>
              <w:rPr>
                <w:rFonts w:cs="Arial"/>
                <w:sz w:val="16"/>
                <w:szCs w:val="16"/>
              </w:rPr>
              <w:t>369,0</w:t>
            </w:r>
          </w:p>
        </w:tc>
        <w:tc>
          <w:tcPr>
            <w:tcW w:w="765" w:type="dxa"/>
            <w:tcBorders>
              <w:top w:val="nil"/>
              <w:left w:val="single" w:sz="4" w:space="0" w:color="auto"/>
              <w:bottom w:val="nil"/>
              <w:right w:val="nil"/>
            </w:tcBorders>
            <w:vAlign w:val="center"/>
          </w:tcPr>
          <w:p w14:paraId="7A3BFCCB" w14:textId="521A4683" w:rsidR="00B33613" w:rsidRDefault="00B33613" w:rsidP="00B33613">
            <w:pPr>
              <w:spacing w:after="0" w:line="240" w:lineRule="auto"/>
              <w:jc w:val="right"/>
              <w:rPr>
                <w:rFonts w:cs="Arial"/>
                <w:sz w:val="16"/>
                <w:szCs w:val="16"/>
              </w:rPr>
            </w:pPr>
            <w:r>
              <w:rPr>
                <w:rFonts w:cs="Arial"/>
                <w:sz w:val="16"/>
                <w:szCs w:val="16"/>
              </w:rPr>
              <w:t>407,6</w:t>
            </w:r>
          </w:p>
        </w:tc>
      </w:tr>
      <w:tr w:rsidR="00B33613" w:rsidRPr="00166BEB" w14:paraId="76E2D61F" w14:textId="77777777" w:rsidTr="00B33613">
        <w:trPr>
          <w:trHeight w:val="300"/>
        </w:trPr>
        <w:tc>
          <w:tcPr>
            <w:tcW w:w="0" w:type="auto"/>
            <w:tcBorders>
              <w:top w:val="nil"/>
              <w:left w:val="nil"/>
              <w:bottom w:val="nil"/>
              <w:right w:val="nil"/>
            </w:tcBorders>
            <w:shd w:val="clear" w:color="auto" w:fill="auto"/>
            <w:noWrap/>
            <w:vAlign w:val="center"/>
            <w:hideMark/>
          </w:tcPr>
          <w:p w14:paraId="7B865417"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Lotyšsko</w:t>
            </w:r>
          </w:p>
        </w:tc>
        <w:tc>
          <w:tcPr>
            <w:tcW w:w="765" w:type="dxa"/>
            <w:tcBorders>
              <w:top w:val="nil"/>
              <w:left w:val="single" w:sz="4" w:space="0" w:color="000000"/>
              <w:bottom w:val="nil"/>
              <w:right w:val="single" w:sz="4" w:space="0" w:color="auto"/>
            </w:tcBorders>
            <w:shd w:val="clear" w:color="auto" w:fill="auto"/>
            <w:noWrap/>
            <w:vAlign w:val="center"/>
            <w:hideMark/>
          </w:tcPr>
          <w:p w14:paraId="6B54E8C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195,6</w:t>
            </w:r>
          </w:p>
        </w:tc>
        <w:tc>
          <w:tcPr>
            <w:tcW w:w="765" w:type="dxa"/>
            <w:tcBorders>
              <w:top w:val="nil"/>
              <w:left w:val="single" w:sz="4" w:space="0" w:color="auto"/>
              <w:bottom w:val="nil"/>
              <w:right w:val="single" w:sz="4" w:space="0" w:color="auto"/>
            </w:tcBorders>
            <w:shd w:val="clear" w:color="auto" w:fill="auto"/>
            <w:noWrap/>
            <w:vAlign w:val="center"/>
            <w:hideMark/>
          </w:tcPr>
          <w:p w14:paraId="3372B57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194,5</w:t>
            </w:r>
          </w:p>
        </w:tc>
        <w:tc>
          <w:tcPr>
            <w:tcW w:w="765" w:type="dxa"/>
            <w:tcBorders>
              <w:top w:val="nil"/>
              <w:left w:val="single" w:sz="4" w:space="0" w:color="auto"/>
              <w:bottom w:val="nil"/>
              <w:right w:val="single" w:sz="4" w:space="0" w:color="auto"/>
            </w:tcBorders>
            <w:shd w:val="clear" w:color="auto" w:fill="auto"/>
            <w:noWrap/>
            <w:vAlign w:val="center"/>
            <w:hideMark/>
          </w:tcPr>
          <w:p w14:paraId="52A97A37"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224,5</w:t>
            </w:r>
          </w:p>
        </w:tc>
        <w:tc>
          <w:tcPr>
            <w:tcW w:w="765" w:type="dxa"/>
            <w:tcBorders>
              <w:top w:val="nil"/>
              <w:left w:val="single" w:sz="4" w:space="0" w:color="auto"/>
              <w:bottom w:val="nil"/>
              <w:right w:val="single" w:sz="4" w:space="0" w:color="auto"/>
            </w:tcBorders>
            <w:shd w:val="clear" w:color="auto" w:fill="auto"/>
            <w:noWrap/>
            <w:vAlign w:val="center"/>
            <w:hideMark/>
          </w:tcPr>
          <w:p w14:paraId="4AC268D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222,8</w:t>
            </w:r>
          </w:p>
        </w:tc>
        <w:tc>
          <w:tcPr>
            <w:tcW w:w="765" w:type="dxa"/>
            <w:tcBorders>
              <w:top w:val="nil"/>
              <w:left w:val="single" w:sz="4" w:space="0" w:color="auto"/>
              <w:bottom w:val="nil"/>
              <w:right w:val="single" w:sz="4" w:space="0" w:color="auto"/>
            </w:tcBorders>
            <w:shd w:val="clear" w:color="auto" w:fill="auto"/>
            <w:noWrap/>
            <w:vAlign w:val="center"/>
            <w:hideMark/>
          </w:tcPr>
          <w:p w14:paraId="1F3D10A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248,0</w:t>
            </w:r>
          </w:p>
        </w:tc>
        <w:tc>
          <w:tcPr>
            <w:tcW w:w="765" w:type="dxa"/>
            <w:tcBorders>
              <w:top w:val="nil"/>
              <w:left w:val="single" w:sz="4" w:space="0" w:color="auto"/>
              <w:bottom w:val="nil"/>
              <w:right w:val="single" w:sz="4" w:space="0" w:color="auto"/>
            </w:tcBorders>
            <w:shd w:val="clear" w:color="auto" w:fill="auto"/>
            <w:noWrap/>
            <w:vAlign w:val="center"/>
            <w:hideMark/>
          </w:tcPr>
          <w:p w14:paraId="04B44C2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235,9</w:t>
            </w:r>
          </w:p>
        </w:tc>
        <w:tc>
          <w:tcPr>
            <w:tcW w:w="765" w:type="dxa"/>
            <w:tcBorders>
              <w:top w:val="nil"/>
              <w:left w:val="single" w:sz="4" w:space="0" w:color="auto"/>
              <w:bottom w:val="nil"/>
              <w:right w:val="single" w:sz="4" w:space="0" w:color="auto"/>
            </w:tcBorders>
            <w:shd w:val="clear" w:color="auto" w:fill="auto"/>
            <w:noWrap/>
            <w:vAlign w:val="center"/>
            <w:hideMark/>
          </w:tcPr>
          <w:p w14:paraId="13DB4A1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246,6</w:t>
            </w:r>
          </w:p>
        </w:tc>
        <w:tc>
          <w:tcPr>
            <w:tcW w:w="765" w:type="dxa"/>
            <w:tcBorders>
              <w:top w:val="nil"/>
              <w:left w:val="single" w:sz="4" w:space="0" w:color="auto"/>
              <w:bottom w:val="nil"/>
              <w:right w:val="single" w:sz="4" w:space="0" w:color="auto"/>
            </w:tcBorders>
            <w:shd w:val="clear" w:color="auto" w:fill="auto"/>
            <w:noWrap/>
            <w:vAlign w:val="center"/>
            <w:hideMark/>
          </w:tcPr>
          <w:p w14:paraId="5EB5415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280,5</w:t>
            </w:r>
          </w:p>
        </w:tc>
        <w:tc>
          <w:tcPr>
            <w:tcW w:w="765" w:type="dxa"/>
            <w:tcBorders>
              <w:top w:val="nil"/>
              <w:left w:val="single" w:sz="4" w:space="0" w:color="auto"/>
              <w:bottom w:val="nil"/>
              <w:right w:val="single" w:sz="4" w:space="0" w:color="auto"/>
            </w:tcBorders>
            <w:shd w:val="clear" w:color="auto" w:fill="auto"/>
            <w:noWrap/>
            <w:vAlign w:val="center"/>
            <w:hideMark/>
          </w:tcPr>
          <w:p w14:paraId="6A98BEA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266,2</w:t>
            </w:r>
          </w:p>
        </w:tc>
        <w:tc>
          <w:tcPr>
            <w:tcW w:w="765" w:type="dxa"/>
            <w:tcBorders>
              <w:top w:val="nil"/>
              <w:left w:val="single" w:sz="4" w:space="0" w:color="auto"/>
              <w:bottom w:val="nil"/>
              <w:right w:val="single" w:sz="4" w:space="0" w:color="auto"/>
            </w:tcBorders>
            <w:shd w:val="clear" w:color="auto" w:fill="D9D9D9"/>
            <w:vAlign w:val="center"/>
          </w:tcPr>
          <w:p w14:paraId="00D63BC0" w14:textId="77777777" w:rsidR="00B33613" w:rsidRDefault="00B33613" w:rsidP="00B33613">
            <w:pPr>
              <w:spacing w:after="0" w:line="240" w:lineRule="auto"/>
              <w:jc w:val="right"/>
              <w:rPr>
                <w:rFonts w:cs="Arial"/>
                <w:sz w:val="16"/>
                <w:szCs w:val="16"/>
              </w:rPr>
            </w:pPr>
            <w:r>
              <w:rPr>
                <w:rFonts w:cs="Arial"/>
                <w:sz w:val="16"/>
                <w:szCs w:val="16"/>
              </w:rPr>
              <w:t>284,9</w:t>
            </w:r>
          </w:p>
        </w:tc>
        <w:tc>
          <w:tcPr>
            <w:tcW w:w="765" w:type="dxa"/>
            <w:tcBorders>
              <w:top w:val="nil"/>
              <w:left w:val="single" w:sz="4" w:space="0" w:color="auto"/>
              <w:bottom w:val="nil"/>
              <w:right w:val="nil"/>
            </w:tcBorders>
            <w:vAlign w:val="center"/>
          </w:tcPr>
          <w:p w14:paraId="2EB3BCFE" w14:textId="550FF32B" w:rsidR="00B33613" w:rsidRDefault="00B33613" w:rsidP="00B33613">
            <w:pPr>
              <w:spacing w:after="0" w:line="240" w:lineRule="auto"/>
              <w:jc w:val="right"/>
              <w:rPr>
                <w:rFonts w:cs="Arial"/>
                <w:sz w:val="16"/>
                <w:szCs w:val="16"/>
              </w:rPr>
            </w:pPr>
            <w:r>
              <w:rPr>
                <w:rFonts w:cs="Arial"/>
                <w:sz w:val="16"/>
                <w:szCs w:val="16"/>
              </w:rPr>
              <w:t>317,4</w:t>
            </w:r>
          </w:p>
        </w:tc>
      </w:tr>
      <w:tr w:rsidR="00B33613" w:rsidRPr="00166BEB" w14:paraId="4F383390" w14:textId="77777777" w:rsidTr="00B33613">
        <w:trPr>
          <w:trHeight w:val="300"/>
        </w:trPr>
        <w:tc>
          <w:tcPr>
            <w:tcW w:w="0" w:type="auto"/>
            <w:tcBorders>
              <w:top w:val="nil"/>
              <w:left w:val="nil"/>
              <w:bottom w:val="nil"/>
              <w:right w:val="nil"/>
            </w:tcBorders>
            <w:shd w:val="clear" w:color="auto" w:fill="auto"/>
            <w:noWrap/>
            <w:vAlign w:val="center"/>
            <w:hideMark/>
          </w:tcPr>
          <w:p w14:paraId="773D597F"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Lucembursko</w:t>
            </w:r>
          </w:p>
        </w:tc>
        <w:tc>
          <w:tcPr>
            <w:tcW w:w="765" w:type="dxa"/>
            <w:tcBorders>
              <w:top w:val="nil"/>
              <w:left w:val="single" w:sz="4" w:space="0" w:color="000000"/>
              <w:bottom w:val="nil"/>
              <w:right w:val="single" w:sz="4" w:space="0" w:color="auto"/>
            </w:tcBorders>
            <w:shd w:val="clear" w:color="auto" w:fill="auto"/>
            <w:noWrap/>
            <w:vAlign w:val="center"/>
            <w:hideMark/>
          </w:tcPr>
          <w:p w14:paraId="079F4F4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2 396,6</w:t>
            </w:r>
          </w:p>
        </w:tc>
        <w:tc>
          <w:tcPr>
            <w:tcW w:w="765" w:type="dxa"/>
            <w:tcBorders>
              <w:top w:val="nil"/>
              <w:left w:val="single" w:sz="4" w:space="0" w:color="auto"/>
              <w:bottom w:val="nil"/>
              <w:right w:val="single" w:sz="4" w:space="0" w:color="auto"/>
            </w:tcBorders>
            <w:shd w:val="clear" w:color="auto" w:fill="auto"/>
            <w:noWrap/>
            <w:vAlign w:val="center"/>
            <w:hideMark/>
          </w:tcPr>
          <w:p w14:paraId="05B03CA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2 324,1</w:t>
            </w:r>
          </w:p>
        </w:tc>
        <w:tc>
          <w:tcPr>
            <w:tcW w:w="765" w:type="dxa"/>
            <w:tcBorders>
              <w:top w:val="nil"/>
              <w:left w:val="single" w:sz="4" w:space="0" w:color="auto"/>
              <w:bottom w:val="nil"/>
              <w:right w:val="single" w:sz="4" w:space="0" w:color="auto"/>
            </w:tcBorders>
            <w:shd w:val="clear" w:color="auto" w:fill="auto"/>
            <w:noWrap/>
            <w:vAlign w:val="center"/>
            <w:hideMark/>
          </w:tcPr>
          <w:p w14:paraId="55142D9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2 465,9</w:t>
            </w:r>
          </w:p>
        </w:tc>
        <w:tc>
          <w:tcPr>
            <w:tcW w:w="765" w:type="dxa"/>
            <w:tcBorders>
              <w:top w:val="nil"/>
              <w:left w:val="single" w:sz="4" w:space="0" w:color="auto"/>
              <w:bottom w:val="nil"/>
              <w:right w:val="single" w:sz="4" w:space="0" w:color="auto"/>
            </w:tcBorders>
            <w:shd w:val="clear" w:color="auto" w:fill="auto"/>
            <w:noWrap/>
            <w:vAlign w:val="center"/>
            <w:hideMark/>
          </w:tcPr>
          <w:p w14:paraId="02268A1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2 286,8</w:t>
            </w:r>
          </w:p>
        </w:tc>
        <w:tc>
          <w:tcPr>
            <w:tcW w:w="765" w:type="dxa"/>
            <w:tcBorders>
              <w:top w:val="nil"/>
              <w:left w:val="single" w:sz="4" w:space="0" w:color="auto"/>
              <w:bottom w:val="nil"/>
              <w:right w:val="single" w:sz="4" w:space="0" w:color="auto"/>
            </w:tcBorders>
            <w:shd w:val="clear" w:color="auto" w:fill="auto"/>
            <w:noWrap/>
            <w:vAlign w:val="center"/>
            <w:hideMark/>
          </w:tcPr>
          <w:p w14:paraId="1B8BAA8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2 255,8</w:t>
            </w:r>
          </w:p>
        </w:tc>
        <w:tc>
          <w:tcPr>
            <w:tcW w:w="765" w:type="dxa"/>
            <w:tcBorders>
              <w:top w:val="nil"/>
              <w:left w:val="single" w:sz="4" w:space="0" w:color="auto"/>
              <w:bottom w:val="nil"/>
              <w:right w:val="single" w:sz="4" w:space="0" w:color="auto"/>
            </w:tcBorders>
            <w:shd w:val="clear" w:color="auto" w:fill="auto"/>
            <w:noWrap/>
            <w:vAlign w:val="center"/>
            <w:hideMark/>
          </w:tcPr>
          <w:p w14:paraId="581AF78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2 510,8</w:t>
            </w:r>
          </w:p>
        </w:tc>
        <w:tc>
          <w:tcPr>
            <w:tcW w:w="765" w:type="dxa"/>
            <w:tcBorders>
              <w:top w:val="nil"/>
              <w:left w:val="single" w:sz="4" w:space="0" w:color="auto"/>
              <w:bottom w:val="nil"/>
              <w:right w:val="single" w:sz="4" w:space="0" w:color="auto"/>
            </w:tcBorders>
            <w:shd w:val="clear" w:color="auto" w:fill="auto"/>
            <w:noWrap/>
            <w:vAlign w:val="center"/>
            <w:hideMark/>
          </w:tcPr>
          <w:p w14:paraId="1D96129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2 131,2</w:t>
            </w:r>
          </w:p>
        </w:tc>
        <w:tc>
          <w:tcPr>
            <w:tcW w:w="765" w:type="dxa"/>
            <w:tcBorders>
              <w:top w:val="nil"/>
              <w:left w:val="single" w:sz="4" w:space="0" w:color="auto"/>
              <w:bottom w:val="nil"/>
              <w:right w:val="single" w:sz="4" w:space="0" w:color="auto"/>
            </w:tcBorders>
            <w:shd w:val="clear" w:color="auto" w:fill="auto"/>
            <w:noWrap/>
            <w:vAlign w:val="center"/>
            <w:hideMark/>
          </w:tcPr>
          <w:p w14:paraId="2154E97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2 285,9</w:t>
            </w:r>
          </w:p>
        </w:tc>
        <w:tc>
          <w:tcPr>
            <w:tcW w:w="765" w:type="dxa"/>
            <w:tcBorders>
              <w:top w:val="nil"/>
              <w:left w:val="single" w:sz="4" w:space="0" w:color="auto"/>
              <w:bottom w:val="nil"/>
              <w:right w:val="single" w:sz="4" w:space="0" w:color="auto"/>
            </w:tcBorders>
            <w:shd w:val="clear" w:color="auto" w:fill="auto"/>
            <w:noWrap/>
            <w:vAlign w:val="center"/>
            <w:hideMark/>
          </w:tcPr>
          <w:p w14:paraId="518CC78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2 289,3</w:t>
            </w:r>
          </w:p>
        </w:tc>
        <w:tc>
          <w:tcPr>
            <w:tcW w:w="765" w:type="dxa"/>
            <w:tcBorders>
              <w:top w:val="nil"/>
              <w:left w:val="single" w:sz="4" w:space="0" w:color="auto"/>
              <w:bottom w:val="nil"/>
              <w:right w:val="single" w:sz="4" w:space="0" w:color="auto"/>
            </w:tcBorders>
            <w:shd w:val="clear" w:color="auto" w:fill="D9D9D9"/>
            <w:vAlign w:val="center"/>
          </w:tcPr>
          <w:p w14:paraId="20CE7AD4" w14:textId="77777777" w:rsidR="00B33613" w:rsidRDefault="00B33613" w:rsidP="00B33613">
            <w:pPr>
              <w:spacing w:after="0" w:line="240" w:lineRule="auto"/>
              <w:jc w:val="right"/>
              <w:rPr>
                <w:rFonts w:cs="Arial"/>
                <w:sz w:val="16"/>
                <w:szCs w:val="16"/>
              </w:rPr>
            </w:pPr>
            <w:r>
              <w:rPr>
                <w:rFonts w:cs="Arial"/>
                <w:sz w:val="16"/>
                <w:szCs w:val="16"/>
              </w:rPr>
              <w:t>1 748,3</w:t>
            </w:r>
          </w:p>
        </w:tc>
        <w:tc>
          <w:tcPr>
            <w:tcW w:w="765" w:type="dxa"/>
            <w:tcBorders>
              <w:top w:val="nil"/>
              <w:left w:val="single" w:sz="4" w:space="0" w:color="auto"/>
              <w:bottom w:val="nil"/>
              <w:right w:val="nil"/>
            </w:tcBorders>
            <w:vAlign w:val="center"/>
          </w:tcPr>
          <w:p w14:paraId="2B36F3B8" w14:textId="5FF0A1D2" w:rsidR="00B33613" w:rsidRDefault="00B33613" w:rsidP="00B33613">
            <w:pPr>
              <w:spacing w:after="0" w:line="240" w:lineRule="auto"/>
              <w:jc w:val="right"/>
              <w:rPr>
                <w:rFonts w:cs="Arial"/>
                <w:sz w:val="16"/>
                <w:szCs w:val="16"/>
              </w:rPr>
            </w:pPr>
            <w:r>
              <w:rPr>
                <w:rFonts w:cs="Arial"/>
                <w:sz w:val="16"/>
                <w:szCs w:val="16"/>
              </w:rPr>
              <w:t>1 902,0</w:t>
            </w:r>
          </w:p>
        </w:tc>
      </w:tr>
      <w:tr w:rsidR="00B33613" w:rsidRPr="00166BEB" w14:paraId="489EE56D" w14:textId="77777777" w:rsidTr="00B33613">
        <w:trPr>
          <w:trHeight w:val="300"/>
        </w:trPr>
        <w:tc>
          <w:tcPr>
            <w:tcW w:w="0" w:type="auto"/>
            <w:tcBorders>
              <w:top w:val="nil"/>
              <w:left w:val="nil"/>
              <w:bottom w:val="nil"/>
              <w:right w:val="nil"/>
            </w:tcBorders>
            <w:shd w:val="clear" w:color="auto" w:fill="auto"/>
            <w:noWrap/>
            <w:vAlign w:val="center"/>
            <w:hideMark/>
          </w:tcPr>
          <w:p w14:paraId="3A1EEF28"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Maďarsko</w:t>
            </w:r>
          </w:p>
        </w:tc>
        <w:tc>
          <w:tcPr>
            <w:tcW w:w="765" w:type="dxa"/>
            <w:tcBorders>
              <w:top w:val="nil"/>
              <w:left w:val="single" w:sz="4" w:space="0" w:color="000000"/>
              <w:bottom w:val="nil"/>
              <w:right w:val="single" w:sz="4" w:space="0" w:color="auto"/>
            </w:tcBorders>
            <w:shd w:val="clear" w:color="auto" w:fill="auto"/>
            <w:noWrap/>
            <w:vAlign w:val="center"/>
            <w:hideMark/>
          </w:tcPr>
          <w:p w14:paraId="4FC9B52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531,1</w:t>
            </w:r>
          </w:p>
        </w:tc>
        <w:tc>
          <w:tcPr>
            <w:tcW w:w="765" w:type="dxa"/>
            <w:tcBorders>
              <w:top w:val="nil"/>
              <w:left w:val="single" w:sz="4" w:space="0" w:color="auto"/>
              <w:bottom w:val="nil"/>
              <w:right w:val="single" w:sz="4" w:space="0" w:color="auto"/>
            </w:tcBorders>
            <w:shd w:val="clear" w:color="auto" w:fill="auto"/>
            <w:noWrap/>
            <w:vAlign w:val="center"/>
            <w:hideMark/>
          </w:tcPr>
          <w:p w14:paraId="0838BC3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534,4</w:t>
            </w:r>
          </w:p>
        </w:tc>
        <w:tc>
          <w:tcPr>
            <w:tcW w:w="765" w:type="dxa"/>
            <w:tcBorders>
              <w:top w:val="nil"/>
              <w:left w:val="single" w:sz="4" w:space="0" w:color="auto"/>
              <w:bottom w:val="nil"/>
              <w:right w:val="single" w:sz="4" w:space="0" w:color="auto"/>
            </w:tcBorders>
            <w:shd w:val="clear" w:color="auto" w:fill="auto"/>
            <w:noWrap/>
            <w:vAlign w:val="center"/>
            <w:hideMark/>
          </w:tcPr>
          <w:p w14:paraId="039A6D2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487,2</w:t>
            </w:r>
          </w:p>
        </w:tc>
        <w:tc>
          <w:tcPr>
            <w:tcW w:w="765" w:type="dxa"/>
            <w:tcBorders>
              <w:top w:val="nil"/>
              <w:left w:val="single" w:sz="4" w:space="0" w:color="auto"/>
              <w:bottom w:val="nil"/>
              <w:right w:val="single" w:sz="4" w:space="0" w:color="auto"/>
            </w:tcBorders>
            <w:shd w:val="clear" w:color="auto" w:fill="auto"/>
            <w:noWrap/>
            <w:vAlign w:val="center"/>
            <w:hideMark/>
          </w:tcPr>
          <w:p w14:paraId="5659D70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549,0</w:t>
            </w:r>
          </w:p>
        </w:tc>
        <w:tc>
          <w:tcPr>
            <w:tcW w:w="765" w:type="dxa"/>
            <w:tcBorders>
              <w:top w:val="nil"/>
              <w:left w:val="single" w:sz="4" w:space="0" w:color="auto"/>
              <w:bottom w:val="nil"/>
              <w:right w:val="single" w:sz="4" w:space="0" w:color="auto"/>
            </w:tcBorders>
            <w:shd w:val="clear" w:color="auto" w:fill="auto"/>
            <w:noWrap/>
            <w:vAlign w:val="center"/>
            <w:hideMark/>
          </w:tcPr>
          <w:p w14:paraId="4F9AA59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569,2</w:t>
            </w:r>
          </w:p>
        </w:tc>
        <w:tc>
          <w:tcPr>
            <w:tcW w:w="765" w:type="dxa"/>
            <w:tcBorders>
              <w:top w:val="nil"/>
              <w:left w:val="single" w:sz="4" w:space="0" w:color="auto"/>
              <w:bottom w:val="nil"/>
              <w:right w:val="single" w:sz="4" w:space="0" w:color="auto"/>
            </w:tcBorders>
            <w:shd w:val="clear" w:color="auto" w:fill="auto"/>
            <w:noWrap/>
            <w:vAlign w:val="center"/>
            <w:hideMark/>
          </w:tcPr>
          <w:p w14:paraId="7ACF9CB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722,2</w:t>
            </w:r>
          </w:p>
        </w:tc>
        <w:tc>
          <w:tcPr>
            <w:tcW w:w="765" w:type="dxa"/>
            <w:tcBorders>
              <w:top w:val="nil"/>
              <w:left w:val="single" w:sz="4" w:space="0" w:color="auto"/>
              <w:bottom w:val="nil"/>
              <w:right w:val="single" w:sz="4" w:space="0" w:color="auto"/>
            </w:tcBorders>
            <w:shd w:val="clear" w:color="auto" w:fill="auto"/>
            <w:noWrap/>
            <w:vAlign w:val="center"/>
            <w:hideMark/>
          </w:tcPr>
          <w:p w14:paraId="09BB48C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639,7</w:t>
            </w:r>
          </w:p>
        </w:tc>
        <w:tc>
          <w:tcPr>
            <w:tcW w:w="765" w:type="dxa"/>
            <w:tcBorders>
              <w:top w:val="nil"/>
              <w:left w:val="single" w:sz="4" w:space="0" w:color="auto"/>
              <w:bottom w:val="nil"/>
              <w:right w:val="single" w:sz="4" w:space="0" w:color="auto"/>
            </w:tcBorders>
            <w:shd w:val="clear" w:color="auto" w:fill="auto"/>
            <w:noWrap/>
            <w:vAlign w:val="center"/>
            <w:hideMark/>
          </w:tcPr>
          <w:p w14:paraId="70E30A1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596,0</w:t>
            </w:r>
          </w:p>
        </w:tc>
        <w:tc>
          <w:tcPr>
            <w:tcW w:w="765" w:type="dxa"/>
            <w:tcBorders>
              <w:top w:val="nil"/>
              <w:left w:val="single" w:sz="4" w:space="0" w:color="auto"/>
              <w:bottom w:val="nil"/>
              <w:right w:val="single" w:sz="4" w:space="0" w:color="auto"/>
            </w:tcBorders>
            <w:shd w:val="clear" w:color="auto" w:fill="auto"/>
            <w:noWrap/>
            <w:vAlign w:val="center"/>
            <w:hideMark/>
          </w:tcPr>
          <w:p w14:paraId="51084AA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605,0</w:t>
            </w:r>
          </w:p>
        </w:tc>
        <w:tc>
          <w:tcPr>
            <w:tcW w:w="765" w:type="dxa"/>
            <w:tcBorders>
              <w:top w:val="nil"/>
              <w:left w:val="single" w:sz="4" w:space="0" w:color="auto"/>
              <w:bottom w:val="nil"/>
              <w:right w:val="single" w:sz="4" w:space="0" w:color="auto"/>
            </w:tcBorders>
            <w:shd w:val="clear" w:color="auto" w:fill="D9D9D9"/>
            <w:vAlign w:val="center"/>
          </w:tcPr>
          <w:p w14:paraId="46260C7E" w14:textId="77777777" w:rsidR="00B33613" w:rsidRDefault="00B33613" w:rsidP="00B33613">
            <w:pPr>
              <w:spacing w:after="0" w:line="240" w:lineRule="auto"/>
              <w:jc w:val="right"/>
              <w:rPr>
                <w:rFonts w:cs="Arial"/>
                <w:sz w:val="16"/>
                <w:szCs w:val="16"/>
              </w:rPr>
            </w:pPr>
            <w:r>
              <w:rPr>
                <w:rFonts w:cs="Arial"/>
                <w:sz w:val="16"/>
                <w:szCs w:val="16"/>
              </w:rPr>
              <w:t>638,9</w:t>
            </w:r>
          </w:p>
        </w:tc>
        <w:tc>
          <w:tcPr>
            <w:tcW w:w="765" w:type="dxa"/>
            <w:tcBorders>
              <w:top w:val="nil"/>
              <w:left w:val="single" w:sz="4" w:space="0" w:color="auto"/>
              <w:bottom w:val="nil"/>
              <w:right w:val="nil"/>
            </w:tcBorders>
            <w:vAlign w:val="center"/>
          </w:tcPr>
          <w:p w14:paraId="42D2101F" w14:textId="2D7CD007" w:rsidR="00B33613" w:rsidRDefault="00B33613" w:rsidP="00B33613">
            <w:pPr>
              <w:spacing w:after="0" w:line="240" w:lineRule="auto"/>
              <w:jc w:val="right"/>
              <w:rPr>
                <w:rFonts w:cs="Arial"/>
                <w:sz w:val="16"/>
                <w:szCs w:val="16"/>
              </w:rPr>
            </w:pPr>
            <w:r>
              <w:rPr>
                <w:rFonts w:cs="Arial"/>
                <w:sz w:val="16"/>
                <w:szCs w:val="16"/>
              </w:rPr>
              <w:t>607,0</w:t>
            </w:r>
          </w:p>
        </w:tc>
      </w:tr>
      <w:tr w:rsidR="00B33613" w:rsidRPr="00166BEB" w14:paraId="5BDB6FD4" w14:textId="77777777" w:rsidTr="00B33613">
        <w:trPr>
          <w:trHeight w:val="300"/>
        </w:trPr>
        <w:tc>
          <w:tcPr>
            <w:tcW w:w="0" w:type="auto"/>
            <w:tcBorders>
              <w:top w:val="nil"/>
              <w:left w:val="nil"/>
              <w:bottom w:val="nil"/>
              <w:right w:val="nil"/>
            </w:tcBorders>
            <w:shd w:val="clear" w:color="auto" w:fill="auto"/>
            <w:noWrap/>
            <w:vAlign w:val="center"/>
            <w:hideMark/>
          </w:tcPr>
          <w:p w14:paraId="12D45520"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Malta</w:t>
            </w:r>
          </w:p>
        </w:tc>
        <w:tc>
          <w:tcPr>
            <w:tcW w:w="765" w:type="dxa"/>
            <w:tcBorders>
              <w:top w:val="nil"/>
              <w:left w:val="single" w:sz="4" w:space="0" w:color="000000"/>
              <w:bottom w:val="nil"/>
              <w:right w:val="single" w:sz="4" w:space="0" w:color="auto"/>
            </w:tcBorders>
            <w:shd w:val="clear" w:color="auto" w:fill="auto"/>
            <w:noWrap/>
            <w:vAlign w:val="center"/>
            <w:hideMark/>
          </w:tcPr>
          <w:p w14:paraId="76D26DE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1 848,0</w:t>
            </w:r>
          </w:p>
        </w:tc>
        <w:tc>
          <w:tcPr>
            <w:tcW w:w="765" w:type="dxa"/>
            <w:tcBorders>
              <w:top w:val="nil"/>
              <w:left w:val="single" w:sz="4" w:space="0" w:color="auto"/>
              <w:bottom w:val="nil"/>
              <w:right w:val="single" w:sz="4" w:space="0" w:color="auto"/>
            </w:tcBorders>
            <w:shd w:val="clear" w:color="auto" w:fill="auto"/>
            <w:noWrap/>
            <w:vAlign w:val="center"/>
            <w:hideMark/>
          </w:tcPr>
          <w:p w14:paraId="01CE7F5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2 008,7</w:t>
            </w:r>
          </w:p>
        </w:tc>
        <w:tc>
          <w:tcPr>
            <w:tcW w:w="765" w:type="dxa"/>
            <w:tcBorders>
              <w:top w:val="nil"/>
              <w:left w:val="single" w:sz="4" w:space="0" w:color="auto"/>
              <w:bottom w:val="nil"/>
              <w:right w:val="single" w:sz="4" w:space="0" w:color="auto"/>
            </w:tcBorders>
            <w:shd w:val="clear" w:color="auto" w:fill="auto"/>
            <w:noWrap/>
            <w:vAlign w:val="center"/>
            <w:hideMark/>
          </w:tcPr>
          <w:p w14:paraId="69F74F5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1 888,1</w:t>
            </w:r>
          </w:p>
        </w:tc>
        <w:tc>
          <w:tcPr>
            <w:tcW w:w="765" w:type="dxa"/>
            <w:tcBorders>
              <w:top w:val="nil"/>
              <w:left w:val="single" w:sz="4" w:space="0" w:color="auto"/>
              <w:bottom w:val="nil"/>
              <w:right w:val="single" w:sz="4" w:space="0" w:color="auto"/>
            </w:tcBorders>
            <w:shd w:val="clear" w:color="auto" w:fill="auto"/>
            <w:noWrap/>
            <w:vAlign w:val="center"/>
            <w:hideMark/>
          </w:tcPr>
          <w:p w14:paraId="4FAAD129"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1 863,7</w:t>
            </w:r>
          </w:p>
        </w:tc>
        <w:tc>
          <w:tcPr>
            <w:tcW w:w="765" w:type="dxa"/>
            <w:tcBorders>
              <w:top w:val="nil"/>
              <w:left w:val="single" w:sz="4" w:space="0" w:color="auto"/>
              <w:bottom w:val="nil"/>
              <w:right w:val="single" w:sz="4" w:space="0" w:color="auto"/>
            </w:tcBorders>
            <w:shd w:val="clear" w:color="auto" w:fill="auto"/>
            <w:noWrap/>
            <w:vAlign w:val="center"/>
            <w:hideMark/>
          </w:tcPr>
          <w:p w14:paraId="6726F09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1 675,0</w:t>
            </w:r>
          </w:p>
        </w:tc>
        <w:tc>
          <w:tcPr>
            <w:tcW w:w="765" w:type="dxa"/>
            <w:tcBorders>
              <w:top w:val="nil"/>
              <w:left w:val="single" w:sz="4" w:space="0" w:color="auto"/>
              <w:bottom w:val="nil"/>
              <w:right w:val="single" w:sz="4" w:space="0" w:color="auto"/>
            </w:tcBorders>
            <w:shd w:val="clear" w:color="auto" w:fill="auto"/>
            <w:noWrap/>
            <w:vAlign w:val="center"/>
            <w:hideMark/>
          </w:tcPr>
          <w:p w14:paraId="5BE9349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1 507,4</w:t>
            </w:r>
          </w:p>
        </w:tc>
        <w:tc>
          <w:tcPr>
            <w:tcW w:w="765" w:type="dxa"/>
            <w:tcBorders>
              <w:top w:val="nil"/>
              <w:left w:val="single" w:sz="4" w:space="0" w:color="auto"/>
              <w:bottom w:val="nil"/>
              <w:right w:val="single" w:sz="4" w:space="0" w:color="auto"/>
            </w:tcBorders>
            <w:shd w:val="clear" w:color="auto" w:fill="auto"/>
            <w:noWrap/>
            <w:vAlign w:val="center"/>
            <w:hideMark/>
          </w:tcPr>
          <w:p w14:paraId="1C92526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1 057,5</w:t>
            </w:r>
          </w:p>
        </w:tc>
        <w:tc>
          <w:tcPr>
            <w:tcW w:w="765" w:type="dxa"/>
            <w:tcBorders>
              <w:top w:val="nil"/>
              <w:left w:val="single" w:sz="4" w:space="0" w:color="auto"/>
              <w:bottom w:val="nil"/>
              <w:right w:val="single" w:sz="4" w:space="0" w:color="auto"/>
            </w:tcBorders>
            <w:shd w:val="clear" w:color="auto" w:fill="auto"/>
            <w:noWrap/>
            <w:vAlign w:val="center"/>
            <w:hideMark/>
          </w:tcPr>
          <w:p w14:paraId="346F137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1 202,4</w:t>
            </w:r>
          </w:p>
        </w:tc>
        <w:tc>
          <w:tcPr>
            <w:tcW w:w="765" w:type="dxa"/>
            <w:tcBorders>
              <w:top w:val="nil"/>
              <w:left w:val="single" w:sz="4" w:space="0" w:color="auto"/>
              <w:bottom w:val="nil"/>
              <w:right w:val="single" w:sz="4" w:space="0" w:color="auto"/>
            </w:tcBorders>
            <w:shd w:val="clear" w:color="auto" w:fill="auto"/>
            <w:noWrap/>
            <w:vAlign w:val="center"/>
            <w:hideMark/>
          </w:tcPr>
          <w:p w14:paraId="244A162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1 187,1</w:t>
            </w:r>
          </w:p>
        </w:tc>
        <w:tc>
          <w:tcPr>
            <w:tcW w:w="765" w:type="dxa"/>
            <w:tcBorders>
              <w:top w:val="nil"/>
              <w:left w:val="single" w:sz="4" w:space="0" w:color="auto"/>
              <w:bottom w:val="nil"/>
              <w:right w:val="single" w:sz="4" w:space="0" w:color="auto"/>
            </w:tcBorders>
            <w:shd w:val="clear" w:color="auto" w:fill="D9D9D9"/>
            <w:vAlign w:val="center"/>
          </w:tcPr>
          <w:p w14:paraId="49413EF8" w14:textId="77777777" w:rsidR="00B33613" w:rsidRDefault="00B33613" w:rsidP="00B33613">
            <w:pPr>
              <w:spacing w:after="0" w:line="240" w:lineRule="auto"/>
              <w:jc w:val="right"/>
              <w:rPr>
                <w:rFonts w:cs="Arial"/>
                <w:sz w:val="16"/>
                <w:szCs w:val="16"/>
              </w:rPr>
            </w:pPr>
            <w:r>
              <w:rPr>
                <w:rFonts w:cs="Arial"/>
                <w:sz w:val="16"/>
                <w:szCs w:val="16"/>
              </w:rPr>
              <w:t>829,3</w:t>
            </w:r>
          </w:p>
        </w:tc>
        <w:tc>
          <w:tcPr>
            <w:tcW w:w="765" w:type="dxa"/>
            <w:tcBorders>
              <w:top w:val="nil"/>
              <w:left w:val="single" w:sz="4" w:space="0" w:color="auto"/>
              <w:bottom w:val="nil"/>
              <w:right w:val="nil"/>
            </w:tcBorders>
            <w:vAlign w:val="center"/>
          </w:tcPr>
          <w:p w14:paraId="04E4F70E" w14:textId="2845751C" w:rsidR="00B33613" w:rsidRDefault="00B33613" w:rsidP="00B33613">
            <w:pPr>
              <w:spacing w:after="0" w:line="240" w:lineRule="auto"/>
              <w:jc w:val="right"/>
              <w:rPr>
                <w:rFonts w:cs="Arial"/>
                <w:sz w:val="16"/>
                <w:szCs w:val="16"/>
              </w:rPr>
            </w:pPr>
            <w:r>
              <w:rPr>
                <w:rFonts w:cs="Arial"/>
                <w:sz w:val="16"/>
                <w:szCs w:val="16"/>
              </w:rPr>
              <w:t>824,9</w:t>
            </w:r>
          </w:p>
        </w:tc>
      </w:tr>
      <w:tr w:rsidR="00B33613" w:rsidRPr="00166BEB" w14:paraId="6CC4B15F" w14:textId="77777777" w:rsidTr="00B33613">
        <w:trPr>
          <w:trHeight w:val="300"/>
        </w:trPr>
        <w:tc>
          <w:tcPr>
            <w:tcW w:w="0" w:type="auto"/>
            <w:tcBorders>
              <w:top w:val="nil"/>
              <w:left w:val="nil"/>
              <w:bottom w:val="nil"/>
              <w:right w:val="nil"/>
            </w:tcBorders>
            <w:shd w:val="clear" w:color="auto" w:fill="auto"/>
            <w:noWrap/>
            <w:vAlign w:val="center"/>
            <w:hideMark/>
          </w:tcPr>
          <w:p w14:paraId="0C5DFE85"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Německo</w:t>
            </w:r>
          </w:p>
        </w:tc>
        <w:tc>
          <w:tcPr>
            <w:tcW w:w="765" w:type="dxa"/>
            <w:tcBorders>
              <w:top w:val="nil"/>
              <w:left w:val="single" w:sz="4" w:space="0" w:color="000000"/>
              <w:bottom w:val="nil"/>
              <w:right w:val="single" w:sz="4" w:space="0" w:color="auto"/>
            </w:tcBorders>
            <w:shd w:val="clear" w:color="auto" w:fill="auto"/>
            <w:noWrap/>
            <w:vAlign w:val="center"/>
            <w:hideMark/>
          </w:tcPr>
          <w:p w14:paraId="0CF9FA6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2 369,1</w:t>
            </w:r>
          </w:p>
        </w:tc>
        <w:tc>
          <w:tcPr>
            <w:tcW w:w="765" w:type="dxa"/>
            <w:tcBorders>
              <w:top w:val="nil"/>
              <w:left w:val="single" w:sz="4" w:space="0" w:color="auto"/>
              <w:bottom w:val="nil"/>
              <w:right w:val="single" w:sz="4" w:space="0" w:color="auto"/>
            </w:tcBorders>
            <w:shd w:val="clear" w:color="auto" w:fill="auto"/>
            <w:noWrap/>
            <w:vAlign w:val="center"/>
            <w:hideMark/>
          </w:tcPr>
          <w:p w14:paraId="6D07085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2 202,5</w:t>
            </w:r>
          </w:p>
        </w:tc>
        <w:tc>
          <w:tcPr>
            <w:tcW w:w="765" w:type="dxa"/>
            <w:tcBorders>
              <w:top w:val="nil"/>
              <w:left w:val="single" w:sz="4" w:space="0" w:color="auto"/>
              <w:bottom w:val="nil"/>
              <w:right w:val="single" w:sz="4" w:space="0" w:color="auto"/>
            </w:tcBorders>
            <w:shd w:val="clear" w:color="auto" w:fill="auto"/>
            <w:noWrap/>
            <w:vAlign w:val="center"/>
            <w:hideMark/>
          </w:tcPr>
          <w:p w14:paraId="41D7FF2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2 178,4</w:t>
            </w:r>
          </w:p>
        </w:tc>
        <w:tc>
          <w:tcPr>
            <w:tcW w:w="765" w:type="dxa"/>
            <w:tcBorders>
              <w:top w:val="nil"/>
              <w:left w:val="single" w:sz="4" w:space="0" w:color="auto"/>
              <w:bottom w:val="nil"/>
              <w:right w:val="single" w:sz="4" w:space="0" w:color="auto"/>
            </w:tcBorders>
            <w:shd w:val="clear" w:color="auto" w:fill="auto"/>
            <w:noWrap/>
            <w:vAlign w:val="center"/>
            <w:hideMark/>
          </w:tcPr>
          <w:p w14:paraId="16640CE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2 124,2</w:t>
            </w:r>
          </w:p>
        </w:tc>
        <w:tc>
          <w:tcPr>
            <w:tcW w:w="765" w:type="dxa"/>
            <w:tcBorders>
              <w:top w:val="nil"/>
              <w:left w:val="single" w:sz="4" w:space="0" w:color="auto"/>
              <w:bottom w:val="nil"/>
              <w:right w:val="single" w:sz="4" w:space="0" w:color="auto"/>
            </w:tcBorders>
            <w:shd w:val="clear" w:color="auto" w:fill="auto"/>
            <w:noWrap/>
            <w:vAlign w:val="center"/>
            <w:hideMark/>
          </w:tcPr>
          <w:p w14:paraId="1750BBD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2 096,8</w:t>
            </w:r>
          </w:p>
        </w:tc>
        <w:tc>
          <w:tcPr>
            <w:tcW w:w="765" w:type="dxa"/>
            <w:tcBorders>
              <w:top w:val="nil"/>
              <w:left w:val="single" w:sz="4" w:space="0" w:color="auto"/>
              <w:bottom w:val="nil"/>
              <w:right w:val="single" w:sz="4" w:space="0" w:color="auto"/>
            </w:tcBorders>
            <w:shd w:val="clear" w:color="auto" w:fill="auto"/>
            <w:noWrap/>
            <w:vAlign w:val="center"/>
            <w:hideMark/>
          </w:tcPr>
          <w:p w14:paraId="0F41DAA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2 079,9</w:t>
            </w:r>
          </w:p>
        </w:tc>
        <w:tc>
          <w:tcPr>
            <w:tcW w:w="765" w:type="dxa"/>
            <w:tcBorders>
              <w:top w:val="nil"/>
              <w:left w:val="single" w:sz="4" w:space="0" w:color="auto"/>
              <w:bottom w:val="nil"/>
              <w:right w:val="single" w:sz="4" w:space="0" w:color="auto"/>
            </w:tcBorders>
            <w:shd w:val="clear" w:color="auto" w:fill="auto"/>
            <w:noWrap/>
            <w:vAlign w:val="center"/>
            <w:hideMark/>
          </w:tcPr>
          <w:p w14:paraId="6C6D119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2 058,1</w:t>
            </w:r>
          </w:p>
        </w:tc>
        <w:tc>
          <w:tcPr>
            <w:tcW w:w="765" w:type="dxa"/>
            <w:tcBorders>
              <w:top w:val="nil"/>
              <w:left w:val="single" w:sz="4" w:space="0" w:color="auto"/>
              <w:bottom w:val="nil"/>
              <w:right w:val="single" w:sz="4" w:space="0" w:color="auto"/>
            </w:tcBorders>
            <w:shd w:val="clear" w:color="auto" w:fill="auto"/>
            <w:noWrap/>
            <w:vAlign w:val="center"/>
            <w:hideMark/>
          </w:tcPr>
          <w:p w14:paraId="2F48325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1 985,8</w:t>
            </w:r>
          </w:p>
        </w:tc>
        <w:tc>
          <w:tcPr>
            <w:tcW w:w="765" w:type="dxa"/>
            <w:tcBorders>
              <w:top w:val="nil"/>
              <w:left w:val="single" w:sz="4" w:space="0" w:color="auto"/>
              <w:bottom w:val="nil"/>
              <w:right w:val="single" w:sz="4" w:space="0" w:color="auto"/>
            </w:tcBorders>
            <w:shd w:val="clear" w:color="auto" w:fill="auto"/>
            <w:noWrap/>
            <w:vAlign w:val="center"/>
            <w:hideMark/>
          </w:tcPr>
          <w:p w14:paraId="7FC0B3E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1 939,5</w:t>
            </w:r>
          </w:p>
        </w:tc>
        <w:tc>
          <w:tcPr>
            <w:tcW w:w="765" w:type="dxa"/>
            <w:tcBorders>
              <w:top w:val="nil"/>
              <w:left w:val="single" w:sz="4" w:space="0" w:color="auto"/>
              <w:bottom w:val="nil"/>
              <w:right w:val="single" w:sz="4" w:space="0" w:color="auto"/>
            </w:tcBorders>
            <w:shd w:val="clear" w:color="auto" w:fill="D9D9D9"/>
            <w:vAlign w:val="center"/>
          </w:tcPr>
          <w:p w14:paraId="1EC3C0BA" w14:textId="77777777" w:rsidR="00B33613" w:rsidRDefault="00B33613" w:rsidP="00B33613">
            <w:pPr>
              <w:spacing w:after="0" w:line="240" w:lineRule="auto"/>
              <w:jc w:val="right"/>
              <w:rPr>
                <w:rFonts w:cs="Arial"/>
                <w:sz w:val="16"/>
                <w:szCs w:val="16"/>
              </w:rPr>
            </w:pPr>
            <w:r>
              <w:rPr>
                <w:rFonts w:cs="Arial"/>
                <w:sz w:val="16"/>
                <w:szCs w:val="16"/>
              </w:rPr>
              <w:t>1 782,2</w:t>
            </w:r>
          </w:p>
        </w:tc>
        <w:tc>
          <w:tcPr>
            <w:tcW w:w="765" w:type="dxa"/>
            <w:tcBorders>
              <w:top w:val="nil"/>
              <w:left w:val="single" w:sz="4" w:space="0" w:color="auto"/>
              <w:bottom w:val="nil"/>
              <w:right w:val="nil"/>
            </w:tcBorders>
            <w:vAlign w:val="center"/>
          </w:tcPr>
          <w:p w14:paraId="4B5EC2D5" w14:textId="0BAA817A" w:rsidR="00B33613" w:rsidRDefault="00B33613" w:rsidP="00B33613">
            <w:pPr>
              <w:spacing w:after="0" w:line="240" w:lineRule="auto"/>
              <w:jc w:val="right"/>
              <w:rPr>
                <w:rFonts w:cs="Arial"/>
                <w:sz w:val="16"/>
                <w:szCs w:val="16"/>
              </w:rPr>
            </w:pPr>
            <w:r>
              <w:rPr>
                <w:rFonts w:cs="Arial"/>
                <w:sz w:val="16"/>
                <w:szCs w:val="16"/>
              </w:rPr>
              <w:t>1 858,9</w:t>
            </w:r>
          </w:p>
        </w:tc>
      </w:tr>
      <w:tr w:rsidR="00B33613" w:rsidRPr="00166BEB" w14:paraId="3D49AF0C" w14:textId="77777777" w:rsidTr="00B33613">
        <w:trPr>
          <w:trHeight w:val="300"/>
        </w:trPr>
        <w:tc>
          <w:tcPr>
            <w:tcW w:w="0" w:type="auto"/>
            <w:tcBorders>
              <w:top w:val="nil"/>
              <w:left w:val="nil"/>
              <w:bottom w:val="nil"/>
              <w:right w:val="nil"/>
            </w:tcBorders>
            <w:shd w:val="clear" w:color="auto" w:fill="auto"/>
            <w:noWrap/>
            <w:vAlign w:val="center"/>
            <w:hideMark/>
          </w:tcPr>
          <w:p w14:paraId="50D57CAD"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Nizozemsko</w:t>
            </w:r>
          </w:p>
        </w:tc>
        <w:tc>
          <w:tcPr>
            <w:tcW w:w="765" w:type="dxa"/>
            <w:tcBorders>
              <w:top w:val="nil"/>
              <w:left w:val="single" w:sz="4" w:space="0" w:color="000000"/>
              <w:bottom w:val="nil"/>
              <w:right w:val="single" w:sz="4" w:space="0" w:color="auto"/>
            </w:tcBorders>
            <w:shd w:val="clear" w:color="auto" w:fill="auto"/>
            <w:noWrap/>
            <w:vAlign w:val="center"/>
            <w:hideMark/>
          </w:tcPr>
          <w:p w14:paraId="291CD9B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2 268,7</w:t>
            </w:r>
          </w:p>
        </w:tc>
        <w:tc>
          <w:tcPr>
            <w:tcW w:w="765" w:type="dxa"/>
            <w:tcBorders>
              <w:top w:val="nil"/>
              <w:left w:val="single" w:sz="4" w:space="0" w:color="auto"/>
              <w:bottom w:val="nil"/>
              <w:right w:val="single" w:sz="4" w:space="0" w:color="auto"/>
            </w:tcBorders>
            <w:shd w:val="clear" w:color="auto" w:fill="auto"/>
            <w:noWrap/>
            <w:vAlign w:val="center"/>
            <w:hideMark/>
          </w:tcPr>
          <w:p w14:paraId="52D9AF7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2 663,4</w:t>
            </w:r>
          </w:p>
        </w:tc>
        <w:tc>
          <w:tcPr>
            <w:tcW w:w="765" w:type="dxa"/>
            <w:tcBorders>
              <w:top w:val="nil"/>
              <w:left w:val="single" w:sz="4" w:space="0" w:color="auto"/>
              <w:bottom w:val="nil"/>
              <w:right w:val="single" w:sz="4" w:space="0" w:color="auto"/>
            </w:tcBorders>
            <w:shd w:val="clear" w:color="auto" w:fill="auto"/>
            <w:noWrap/>
            <w:vAlign w:val="center"/>
            <w:hideMark/>
          </w:tcPr>
          <w:p w14:paraId="042CCAC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2 278,2</w:t>
            </w:r>
          </w:p>
        </w:tc>
        <w:tc>
          <w:tcPr>
            <w:tcW w:w="765" w:type="dxa"/>
            <w:tcBorders>
              <w:top w:val="nil"/>
              <w:left w:val="single" w:sz="4" w:space="0" w:color="auto"/>
              <w:bottom w:val="nil"/>
              <w:right w:val="single" w:sz="4" w:space="0" w:color="auto"/>
            </w:tcBorders>
            <w:shd w:val="clear" w:color="000000" w:fill="D9D9D9"/>
            <w:noWrap/>
            <w:vAlign w:val="center"/>
            <w:hideMark/>
          </w:tcPr>
          <w:p w14:paraId="456C4C19"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1 393,6</w:t>
            </w:r>
          </w:p>
        </w:tc>
        <w:tc>
          <w:tcPr>
            <w:tcW w:w="765" w:type="dxa"/>
            <w:tcBorders>
              <w:top w:val="nil"/>
              <w:left w:val="single" w:sz="4" w:space="0" w:color="auto"/>
              <w:bottom w:val="nil"/>
              <w:right w:val="single" w:sz="4" w:space="0" w:color="auto"/>
            </w:tcBorders>
            <w:shd w:val="clear" w:color="auto" w:fill="auto"/>
            <w:noWrap/>
            <w:vAlign w:val="center"/>
            <w:hideMark/>
          </w:tcPr>
          <w:p w14:paraId="66B0351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1 241,1</w:t>
            </w:r>
          </w:p>
        </w:tc>
        <w:tc>
          <w:tcPr>
            <w:tcW w:w="765" w:type="dxa"/>
            <w:tcBorders>
              <w:top w:val="nil"/>
              <w:left w:val="single" w:sz="4" w:space="0" w:color="auto"/>
              <w:bottom w:val="nil"/>
              <w:right w:val="single" w:sz="4" w:space="0" w:color="auto"/>
            </w:tcBorders>
            <w:shd w:val="clear" w:color="auto" w:fill="auto"/>
            <w:noWrap/>
            <w:vAlign w:val="center"/>
            <w:hideMark/>
          </w:tcPr>
          <w:p w14:paraId="10F0D327"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1 304,1</w:t>
            </w:r>
          </w:p>
        </w:tc>
        <w:tc>
          <w:tcPr>
            <w:tcW w:w="765" w:type="dxa"/>
            <w:tcBorders>
              <w:top w:val="nil"/>
              <w:left w:val="single" w:sz="4" w:space="0" w:color="auto"/>
              <w:bottom w:val="nil"/>
              <w:right w:val="single" w:sz="4" w:space="0" w:color="auto"/>
            </w:tcBorders>
            <w:shd w:val="clear" w:color="auto" w:fill="auto"/>
            <w:noWrap/>
            <w:vAlign w:val="center"/>
            <w:hideMark/>
          </w:tcPr>
          <w:p w14:paraId="01E129F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1 451,7</w:t>
            </w:r>
          </w:p>
        </w:tc>
        <w:tc>
          <w:tcPr>
            <w:tcW w:w="765" w:type="dxa"/>
            <w:tcBorders>
              <w:top w:val="nil"/>
              <w:left w:val="single" w:sz="4" w:space="0" w:color="auto"/>
              <w:bottom w:val="nil"/>
              <w:right w:val="single" w:sz="4" w:space="0" w:color="auto"/>
            </w:tcBorders>
            <w:shd w:val="clear" w:color="auto" w:fill="auto"/>
            <w:noWrap/>
            <w:vAlign w:val="center"/>
            <w:hideMark/>
          </w:tcPr>
          <w:p w14:paraId="3613449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1 431,9</w:t>
            </w:r>
          </w:p>
        </w:tc>
        <w:tc>
          <w:tcPr>
            <w:tcW w:w="765" w:type="dxa"/>
            <w:tcBorders>
              <w:top w:val="nil"/>
              <w:left w:val="single" w:sz="4" w:space="0" w:color="auto"/>
              <w:bottom w:val="nil"/>
              <w:right w:val="single" w:sz="4" w:space="0" w:color="auto"/>
            </w:tcBorders>
            <w:shd w:val="clear" w:color="auto" w:fill="auto"/>
            <w:noWrap/>
            <w:vAlign w:val="center"/>
            <w:hideMark/>
          </w:tcPr>
          <w:p w14:paraId="1C3C261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1 327,2</w:t>
            </w:r>
          </w:p>
        </w:tc>
        <w:tc>
          <w:tcPr>
            <w:tcW w:w="765" w:type="dxa"/>
            <w:tcBorders>
              <w:top w:val="nil"/>
              <w:left w:val="single" w:sz="4" w:space="0" w:color="auto"/>
              <w:bottom w:val="nil"/>
              <w:right w:val="single" w:sz="4" w:space="0" w:color="auto"/>
            </w:tcBorders>
            <w:shd w:val="clear" w:color="auto" w:fill="D9D9D9"/>
            <w:vAlign w:val="center"/>
          </w:tcPr>
          <w:p w14:paraId="4A8EE04E" w14:textId="77777777" w:rsidR="00B33613" w:rsidRDefault="00B33613" w:rsidP="00B33613">
            <w:pPr>
              <w:spacing w:after="0" w:line="240" w:lineRule="auto"/>
              <w:jc w:val="right"/>
              <w:rPr>
                <w:rFonts w:cs="Arial"/>
                <w:sz w:val="16"/>
                <w:szCs w:val="16"/>
              </w:rPr>
            </w:pPr>
            <w:r>
              <w:rPr>
                <w:rFonts w:cs="Arial"/>
                <w:sz w:val="16"/>
                <w:szCs w:val="16"/>
              </w:rPr>
              <w:t>1 139,6</w:t>
            </w:r>
          </w:p>
        </w:tc>
        <w:tc>
          <w:tcPr>
            <w:tcW w:w="765" w:type="dxa"/>
            <w:tcBorders>
              <w:top w:val="nil"/>
              <w:left w:val="single" w:sz="4" w:space="0" w:color="auto"/>
              <w:bottom w:val="nil"/>
              <w:right w:val="nil"/>
            </w:tcBorders>
            <w:vAlign w:val="center"/>
          </w:tcPr>
          <w:p w14:paraId="7F23256D" w14:textId="2735D1AE" w:rsidR="00B33613" w:rsidRDefault="00B33613" w:rsidP="00B33613">
            <w:pPr>
              <w:spacing w:after="0" w:line="240" w:lineRule="auto"/>
              <w:jc w:val="right"/>
              <w:rPr>
                <w:rFonts w:cs="Arial"/>
                <w:sz w:val="16"/>
                <w:szCs w:val="16"/>
              </w:rPr>
            </w:pPr>
            <w:r>
              <w:rPr>
                <w:rFonts w:cs="Arial"/>
                <w:sz w:val="16"/>
                <w:szCs w:val="16"/>
              </w:rPr>
              <w:t>1 164,9</w:t>
            </w:r>
          </w:p>
        </w:tc>
      </w:tr>
      <w:tr w:rsidR="00B33613" w:rsidRPr="00166BEB" w14:paraId="3062EBC8" w14:textId="77777777" w:rsidTr="00B33613">
        <w:trPr>
          <w:trHeight w:val="300"/>
        </w:trPr>
        <w:tc>
          <w:tcPr>
            <w:tcW w:w="0" w:type="auto"/>
            <w:tcBorders>
              <w:top w:val="nil"/>
              <w:left w:val="nil"/>
              <w:bottom w:val="nil"/>
              <w:right w:val="nil"/>
            </w:tcBorders>
            <w:shd w:val="clear" w:color="auto" w:fill="auto"/>
            <w:noWrap/>
            <w:vAlign w:val="center"/>
            <w:hideMark/>
          </w:tcPr>
          <w:p w14:paraId="4ECD26B1"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Polsko</w:t>
            </w:r>
          </w:p>
        </w:tc>
        <w:tc>
          <w:tcPr>
            <w:tcW w:w="765" w:type="dxa"/>
            <w:tcBorders>
              <w:top w:val="nil"/>
              <w:left w:val="single" w:sz="4" w:space="0" w:color="000000"/>
              <w:bottom w:val="nil"/>
              <w:right w:val="single" w:sz="4" w:space="0" w:color="auto"/>
            </w:tcBorders>
            <w:shd w:val="clear" w:color="auto" w:fill="auto"/>
            <w:noWrap/>
            <w:vAlign w:val="center"/>
            <w:hideMark/>
          </w:tcPr>
          <w:p w14:paraId="2F522B2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580,9</w:t>
            </w:r>
          </w:p>
        </w:tc>
        <w:tc>
          <w:tcPr>
            <w:tcW w:w="765" w:type="dxa"/>
            <w:tcBorders>
              <w:top w:val="nil"/>
              <w:left w:val="single" w:sz="4" w:space="0" w:color="auto"/>
              <w:bottom w:val="nil"/>
              <w:right w:val="single" w:sz="4" w:space="0" w:color="auto"/>
            </w:tcBorders>
            <w:shd w:val="clear" w:color="auto" w:fill="auto"/>
            <w:noWrap/>
            <w:vAlign w:val="center"/>
            <w:hideMark/>
          </w:tcPr>
          <w:p w14:paraId="7E4DF1E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607,2</w:t>
            </w:r>
          </w:p>
        </w:tc>
        <w:tc>
          <w:tcPr>
            <w:tcW w:w="765" w:type="dxa"/>
            <w:tcBorders>
              <w:top w:val="nil"/>
              <w:left w:val="single" w:sz="4" w:space="0" w:color="auto"/>
              <w:bottom w:val="nil"/>
              <w:right w:val="single" w:sz="4" w:space="0" w:color="auto"/>
            </w:tcBorders>
            <w:shd w:val="clear" w:color="auto" w:fill="auto"/>
            <w:noWrap/>
            <w:vAlign w:val="center"/>
            <w:hideMark/>
          </w:tcPr>
          <w:p w14:paraId="0F46CF8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540,8</w:t>
            </w:r>
          </w:p>
        </w:tc>
        <w:tc>
          <w:tcPr>
            <w:tcW w:w="765" w:type="dxa"/>
            <w:tcBorders>
              <w:top w:val="nil"/>
              <w:left w:val="single" w:sz="4" w:space="0" w:color="auto"/>
              <w:bottom w:val="nil"/>
              <w:right w:val="single" w:sz="4" w:space="0" w:color="auto"/>
            </w:tcBorders>
            <w:shd w:val="clear" w:color="auto" w:fill="auto"/>
            <w:noWrap/>
            <w:vAlign w:val="center"/>
            <w:hideMark/>
          </w:tcPr>
          <w:p w14:paraId="2A93BA4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525,2</w:t>
            </w:r>
          </w:p>
        </w:tc>
        <w:tc>
          <w:tcPr>
            <w:tcW w:w="765" w:type="dxa"/>
            <w:tcBorders>
              <w:top w:val="nil"/>
              <w:left w:val="single" w:sz="4" w:space="0" w:color="auto"/>
              <w:bottom w:val="nil"/>
              <w:right w:val="single" w:sz="4" w:space="0" w:color="auto"/>
            </w:tcBorders>
            <w:shd w:val="clear" w:color="auto" w:fill="auto"/>
            <w:noWrap/>
            <w:vAlign w:val="center"/>
            <w:hideMark/>
          </w:tcPr>
          <w:p w14:paraId="005DAF3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535,1</w:t>
            </w:r>
          </w:p>
        </w:tc>
        <w:tc>
          <w:tcPr>
            <w:tcW w:w="765" w:type="dxa"/>
            <w:tcBorders>
              <w:top w:val="nil"/>
              <w:left w:val="single" w:sz="4" w:space="0" w:color="auto"/>
              <w:bottom w:val="nil"/>
              <w:right w:val="single" w:sz="4" w:space="0" w:color="auto"/>
            </w:tcBorders>
            <w:shd w:val="clear" w:color="auto" w:fill="auto"/>
            <w:noWrap/>
            <w:vAlign w:val="center"/>
            <w:hideMark/>
          </w:tcPr>
          <w:p w14:paraId="251711F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537,7</w:t>
            </w:r>
          </w:p>
        </w:tc>
        <w:tc>
          <w:tcPr>
            <w:tcW w:w="765" w:type="dxa"/>
            <w:tcBorders>
              <w:top w:val="nil"/>
              <w:left w:val="single" w:sz="4" w:space="0" w:color="auto"/>
              <w:bottom w:val="nil"/>
              <w:right w:val="single" w:sz="4" w:space="0" w:color="auto"/>
            </w:tcBorders>
            <w:shd w:val="clear" w:color="auto" w:fill="auto"/>
            <w:noWrap/>
            <w:vAlign w:val="center"/>
            <w:hideMark/>
          </w:tcPr>
          <w:p w14:paraId="011913CB"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518,1</w:t>
            </w:r>
          </w:p>
        </w:tc>
        <w:tc>
          <w:tcPr>
            <w:tcW w:w="765" w:type="dxa"/>
            <w:tcBorders>
              <w:top w:val="nil"/>
              <w:left w:val="single" w:sz="4" w:space="0" w:color="auto"/>
              <w:bottom w:val="nil"/>
              <w:right w:val="single" w:sz="4" w:space="0" w:color="auto"/>
            </w:tcBorders>
            <w:shd w:val="clear" w:color="auto" w:fill="auto"/>
            <w:noWrap/>
            <w:vAlign w:val="center"/>
            <w:hideMark/>
          </w:tcPr>
          <w:p w14:paraId="3A18F33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574,2</w:t>
            </w:r>
          </w:p>
        </w:tc>
        <w:tc>
          <w:tcPr>
            <w:tcW w:w="765" w:type="dxa"/>
            <w:tcBorders>
              <w:top w:val="nil"/>
              <w:left w:val="single" w:sz="4" w:space="0" w:color="auto"/>
              <w:bottom w:val="nil"/>
              <w:right w:val="single" w:sz="4" w:space="0" w:color="auto"/>
            </w:tcBorders>
            <w:shd w:val="clear" w:color="auto" w:fill="auto"/>
            <w:noWrap/>
            <w:vAlign w:val="center"/>
            <w:hideMark/>
          </w:tcPr>
          <w:p w14:paraId="6A366B3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479,1</w:t>
            </w:r>
          </w:p>
        </w:tc>
        <w:tc>
          <w:tcPr>
            <w:tcW w:w="765" w:type="dxa"/>
            <w:tcBorders>
              <w:top w:val="nil"/>
              <w:left w:val="single" w:sz="4" w:space="0" w:color="auto"/>
              <w:bottom w:val="nil"/>
              <w:right w:val="single" w:sz="4" w:space="0" w:color="auto"/>
            </w:tcBorders>
            <w:shd w:val="clear" w:color="auto" w:fill="D9D9D9"/>
            <w:vAlign w:val="center"/>
          </w:tcPr>
          <w:p w14:paraId="44BC7FDD" w14:textId="77777777" w:rsidR="00B33613" w:rsidRDefault="00B33613" w:rsidP="00B33613">
            <w:pPr>
              <w:spacing w:after="0" w:line="240" w:lineRule="auto"/>
              <w:jc w:val="right"/>
              <w:rPr>
                <w:rFonts w:cs="Arial"/>
                <w:sz w:val="16"/>
                <w:szCs w:val="16"/>
              </w:rPr>
            </w:pPr>
            <w:r>
              <w:rPr>
                <w:rFonts w:cs="Arial"/>
                <w:sz w:val="16"/>
                <w:szCs w:val="16"/>
              </w:rPr>
              <w:t>424,0</w:t>
            </w:r>
          </w:p>
        </w:tc>
        <w:tc>
          <w:tcPr>
            <w:tcW w:w="765" w:type="dxa"/>
            <w:tcBorders>
              <w:top w:val="nil"/>
              <w:left w:val="single" w:sz="4" w:space="0" w:color="auto"/>
              <w:bottom w:val="nil"/>
              <w:right w:val="nil"/>
            </w:tcBorders>
            <w:vAlign w:val="center"/>
          </w:tcPr>
          <w:p w14:paraId="3115244E" w14:textId="56B9C811" w:rsidR="00B33613" w:rsidRDefault="00B33613" w:rsidP="00B33613">
            <w:pPr>
              <w:spacing w:after="0" w:line="240" w:lineRule="auto"/>
              <w:jc w:val="right"/>
              <w:rPr>
                <w:rFonts w:cs="Arial"/>
                <w:sz w:val="16"/>
                <w:szCs w:val="16"/>
              </w:rPr>
            </w:pPr>
            <w:r>
              <w:rPr>
                <w:rFonts w:cs="Arial"/>
                <w:sz w:val="16"/>
                <w:szCs w:val="16"/>
              </w:rPr>
              <w:t>464,4</w:t>
            </w:r>
          </w:p>
        </w:tc>
      </w:tr>
      <w:tr w:rsidR="00B33613" w:rsidRPr="00166BEB" w14:paraId="438FB228" w14:textId="77777777" w:rsidTr="00B33613">
        <w:trPr>
          <w:trHeight w:val="300"/>
        </w:trPr>
        <w:tc>
          <w:tcPr>
            <w:tcW w:w="0" w:type="auto"/>
            <w:tcBorders>
              <w:top w:val="nil"/>
              <w:left w:val="nil"/>
              <w:bottom w:val="nil"/>
              <w:right w:val="nil"/>
            </w:tcBorders>
            <w:shd w:val="clear" w:color="auto" w:fill="auto"/>
            <w:noWrap/>
            <w:vAlign w:val="center"/>
            <w:hideMark/>
          </w:tcPr>
          <w:p w14:paraId="5DFC208F"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Portugalsko</w:t>
            </w:r>
          </w:p>
        </w:tc>
        <w:tc>
          <w:tcPr>
            <w:tcW w:w="765" w:type="dxa"/>
            <w:tcBorders>
              <w:top w:val="nil"/>
              <w:left w:val="single" w:sz="4" w:space="0" w:color="000000"/>
              <w:bottom w:val="nil"/>
              <w:right w:val="single" w:sz="4" w:space="0" w:color="auto"/>
            </w:tcBorders>
            <w:shd w:val="clear" w:color="auto" w:fill="auto"/>
            <w:noWrap/>
            <w:vAlign w:val="center"/>
            <w:hideMark/>
          </w:tcPr>
          <w:p w14:paraId="2C7A040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3 537,0</w:t>
            </w:r>
          </w:p>
        </w:tc>
        <w:tc>
          <w:tcPr>
            <w:tcW w:w="765" w:type="dxa"/>
            <w:tcBorders>
              <w:top w:val="nil"/>
              <w:left w:val="single" w:sz="4" w:space="0" w:color="auto"/>
              <w:bottom w:val="nil"/>
              <w:right w:val="single" w:sz="4" w:space="0" w:color="auto"/>
            </w:tcBorders>
            <w:shd w:val="clear" w:color="auto" w:fill="auto"/>
            <w:noWrap/>
            <w:vAlign w:val="center"/>
            <w:hideMark/>
          </w:tcPr>
          <w:p w14:paraId="5FF9B14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3 563,5</w:t>
            </w:r>
          </w:p>
        </w:tc>
        <w:tc>
          <w:tcPr>
            <w:tcW w:w="765" w:type="dxa"/>
            <w:tcBorders>
              <w:top w:val="nil"/>
              <w:left w:val="single" w:sz="4" w:space="0" w:color="auto"/>
              <w:bottom w:val="nil"/>
              <w:right w:val="single" w:sz="4" w:space="0" w:color="auto"/>
            </w:tcBorders>
            <w:shd w:val="clear" w:color="auto" w:fill="auto"/>
            <w:noWrap/>
            <w:vAlign w:val="center"/>
            <w:hideMark/>
          </w:tcPr>
          <w:p w14:paraId="09139D4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3 618,8</w:t>
            </w:r>
          </w:p>
        </w:tc>
        <w:tc>
          <w:tcPr>
            <w:tcW w:w="765" w:type="dxa"/>
            <w:tcBorders>
              <w:top w:val="nil"/>
              <w:left w:val="single" w:sz="4" w:space="0" w:color="auto"/>
              <w:bottom w:val="nil"/>
              <w:right w:val="single" w:sz="4" w:space="0" w:color="auto"/>
            </w:tcBorders>
            <w:shd w:val="clear" w:color="auto" w:fill="auto"/>
            <w:noWrap/>
            <w:vAlign w:val="center"/>
            <w:hideMark/>
          </w:tcPr>
          <w:p w14:paraId="5084AEF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3 582,2</w:t>
            </w:r>
          </w:p>
        </w:tc>
        <w:tc>
          <w:tcPr>
            <w:tcW w:w="765" w:type="dxa"/>
            <w:tcBorders>
              <w:top w:val="nil"/>
              <w:left w:val="single" w:sz="4" w:space="0" w:color="auto"/>
              <w:bottom w:val="nil"/>
              <w:right w:val="single" w:sz="4" w:space="0" w:color="auto"/>
            </w:tcBorders>
            <w:shd w:val="clear" w:color="auto" w:fill="auto"/>
            <w:noWrap/>
            <w:vAlign w:val="center"/>
            <w:hideMark/>
          </w:tcPr>
          <w:p w14:paraId="0D39FAB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3 677,2</w:t>
            </w:r>
          </w:p>
        </w:tc>
        <w:tc>
          <w:tcPr>
            <w:tcW w:w="765" w:type="dxa"/>
            <w:tcBorders>
              <w:top w:val="nil"/>
              <w:left w:val="single" w:sz="4" w:space="0" w:color="auto"/>
              <w:bottom w:val="nil"/>
              <w:right w:val="single" w:sz="4" w:space="0" w:color="auto"/>
            </w:tcBorders>
            <w:shd w:val="clear" w:color="auto" w:fill="auto"/>
            <w:noWrap/>
            <w:vAlign w:val="center"/>
            <w:hideMark/>
          </w:tcPr>
          <w:p w14:paraId="04546AB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3 589,5</w:t>
            </w:r>
          </w:p>
        </w:tc>
        <w:tc>
          <w:tcPr>
            <w:tcW w:w="765" w:type="dxa"/>
            <w:tcBorders>
              <w:top w:val="nil"/>
              <w:left w:val="single" w:sz="4" w:space="0" w:color="auto"/>
              <w:bottom w:val="nil"/>
              <w:right w:val="single" w:sz="4" w:space="0" w:color="auto"/>
            </w:tcBorders>
            <w:shd w:val="clear" w:color="auto" w:fill="auto"/>
            <w:noWrap/>
            <w:vAlign w:val="center"/>
            <w:hideMark/>
          </w:tcPr>
          <w:p w14:paraId="358FC53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3 563,4</w:t>
            </w:r>
          </w:p>
        </w:tc>
        <w:tc>
          <w:tcPr>
            <w:tcW w:w="765" w:type="dxa"/>
            <w:tcBorders>
              <w:top w:val="nil"/>
              <w:left w:val="single" w:sz="4" w:space="0" w:color="auto"/>
              <w:bottom w:val="nil"/>
              <w:right w:val="single" w:sz="4" w:space="0" w:color="auto"/>
            </w:tcBorders>
            <w:shd w:val="clear" w:color="auto" w:fill="auto"/>
            <w:noWrap/>
            <w:vAlign w:val="center"/>
            <w:hideMark/>
          </w:tcPr>
          <w:p w14:paraId="678D2EF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3 342,9</w:t>
            </w:r>
          </w:p>
        </w:tc>
        <w:tc>
          <w:tcPr>
            <w:tcW w:w="765" w:type="dxa"/>
            <w:tcBorders>
              <w:top w:val="nil"/>
              <w:left w:val="single" w:sz="4" w:space="0" w:color="auto"/>
              <w:bottom w:val="nil"/>
              <w:right w:val="single" w:sz="4" w:space="0" w:color="auto"/>
            </w:tcBorders>
            <w:shd w:val="clear" w:color="auto" w:fill="auto"/>
            <w:noWrap/>
            <w:vAlign w:val="center"/>
            <w:hideMark/>
          </w:tcPr>
          <w:p w14:paraId="2E50643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3 283,7</w:t>
            </w:r>
          </w:p>
        </w:tc>
        <w:tc>
          <w:tcPr>
            <w:tcW w:w="765" w:type="dxa"/>
            <w:tcBorders>
              <w:top w:val="nil"/>
              <w:left w:val="single" w:sz="4" w:space="0" w:color="auto"/>
              <w:bottom w:val="nil"/>
              <w:right w:val="single" w:sz="4" w:space="0" w:color="auto"/>
            </w:tcBorders>
            <w:shd w:val="clear" w:color="auto" w:fill="D9D9D9"/>
            <w:vAlign w:val="center"/>
          </w:tcPr>
          <w:p w14:paraId="5D229189" w14:textId="77777777" w:rsidR="00B33613" w:rsidRDefault="00B33613" w:rsidP="00B33613">
            <w:pPr>
              <w:spacing w:after="0" w:line="240" w:lineRule="auto"/>
              <w:jc w:val="right"/>
              <w:rPr>
                <w:rFonts w:cs="Arial"/>
                <w:sz w:val="16"/>
                <w:szCs w:val="16"/>
              </w:rPr>
            </w:pPr>
            <w:r>
              <w:rPr>
                <w:rFonts w:cs="Arial"/>
                <w:sz w:val="16"/>
                <w:szCs w:val="16"/>
              </w:rPr>
              <w:t>2 814,2</w:t>
            </w:r>
          </w:p>
        </w:tc>
        <w:tc>
          <w:tcPr>
            <w:tcW w:w="765" w:type="dxa"/>
            <w:tcBorders>
              <w:top w:val="nil"/>
              <w:left w:val="single" w:sz="4" w:space="0" w:color="auto"/>
              <w:bottom w:val="nil"/>
              <w:right w:val="nil"/>
            </w:tcBorders>
            <w:vAlign w:val="center"/>
          </w:tcPr>
          <w:p w14:paraId="168205BA" w14:textId="303D156F" w:rsidR="00B33613" w:rsidRDefault="00B33613" w:rsidP="00B33613">
            <w:pPr>
              <w:spacing w:after="0" w:line="240" w:lineRule="auto"/>
              <w:jc w:val="right"/>
              <w:rPr>
                <w:rFonts w:cs="Arial"/>
                <w:sz w:val="16"/>
                <w:szCs w:val="16"/>
              </w:rPr>
            </w:pPr>
            <w:r>
              <w:rPr>
                <w:rFonts w:cs="Arial"/>
                <w:sz w:val="16"/>
                <w:szCs w:val="16"/>
              </w:rPr>
              <w:t>3 038,9</w:t>
            </w:r>
          </w:p>
        </w:tc>
      </w:tr>
      <w:tr w:rsidR="00B33613" w:rsidRPr="00166BEB" w14:paraId="7ACFBCC6" w14:textId="77777777" w:rsidTr="00B33613">
        <w:trPr>
          <w:trHeight w:val="300"/>
        </w:trPr>
        <w:tc>
          <w:tcPr>
            <w:tcW w:w="0" w:type="auto"/>
            <w:tcBorders>
              <w:top w:val="nil"/>
              <w:left w:val="nil"/>
              <w:bottom w:val="nil"/>
              <w:right w:val="nil"/>
            </w:tcBorders>
            <w:shd w:val="clear" w:color="auto" w:fill="auto"/>
            <w:noWrap/>
            <w:vAlign w:val="center"/>
            <w:hideMark/>
          </w:tcPr>
          <w:p w14:paraId="7AB2818B"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Rakousko</w:t>
            </w:r>
          </w:p>
        </w:tc>
        <w:tc>
          <w:tcPr>
            <w:tcW w:w="765" w:type="dxa"/>
            <w:tcBorders>
              <w:top w:val="nil"/>
              <w:left w:val="single" w:sz="4" w:space="0" w:color="000000"/>
              <w:bottom w:val="nil"/>
              <w:right w:val="single" w:sz="4" w:space="0" w:color="auto"/>
            </w:tcBorders>
            <w:shd w:val="clear" w:color="auto" w:fill="auto"/>
            <w:noWrap/>
            <w:vAlign w:val="center"/>
            <w:hideMark/>
          </w:tcPr>
          <w:p w14:paraId="2D20A99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1 961,3</w:t>
            </w:r>
          </w:p>
        </w:tc>
        <w:tc>
          <w:tcPr>
            <w:tcW w:w="765" w:type="dxa"/>
            <w:tcBorders>
              <w:top w:val="nil"/>
              <w:left w:val="single" w:sz="4" w:space="0" w:color="auto"/>
              <w:bottom w:val="nil"/>
              <w:right w:val="single" w:sz="4" w:space="0" w:color="auto"/>
            </w:tcBorders>
            <w:shd w:val="clear" w:color="auto" w:fill="auto"/>
            <w:noWrap/>
            <w:vAlign w:val="center"/>
            <w:hideMark/>
          </w:tcPr>
          <w:p w14:paraId="59177FB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1 902,5</w:t>
            </w:r>
          </w:p>
        </w:tc>
        <w:tc>
          <w:tcPr>
            <w:tcW w:w="765" w:type="dxa"/>
            <w:tcBorders>
              <w:top w:val="nil"/>
              <w:left w:val="single" w:sz="4" w:space="0" w:color="auto"/>
              <w:bottom w:val="nil"/>
              <w:right w:val="single" w:sz="4" w:space="0" w:color="auto"/>
            </w:tcBorders>
            <w:shd w:val="clear" w:color="auto" w:fill="auto"/>
            <w:noWrap/>
            <w:vAlign w:val="center"/>
            <w:hideMark/>
          </w:tcPr>
          <w:p w14:paraId="758C6D1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1 840,2</w:t>
            </w:r>
          </w:p>
        </w:tc>
        <w:tc>
          <w:tcPr>
            <w:tcW w:w="765" w:type="dxa"/>
            <w:tcBorders>
              <w:top w:val="nil"/>
              <w:left w:val="single" w:sz="4" w:space="0" w:color="auto"/>
              <w:bottom w:val="nil"/>
              <w:right w:val="single" w:sz="4" w:space="0" w:color="auto"/>
            </w:tcBorders>
            <w:shd w:val="clear" w:color="auto" w:fill="auto"/>
            <w:noWrap/>
            <w:vAlign w:val="center"/>
            <w:hideMark/>
          </w:tcPr>
          <w:p w14:paraId="27422017"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1 806,0</w:t>
            </w:r>
          </w:p>
        </w:tc>
        <w:tc>
          <w:tcPr>
            <w:tcW w:w="765" w:type="dxa"/>
            <w:tcBorders>
              <w:top w:val="nil"/>
              <w:left w:val="single" w:sz="4" w:space="0" w:color="auto"/>
              <w:bottom w:val="nil"/>
              <w:right w:val="single" w:sz="4" w:space="0" w:color="auto"/>
            </w:tcBorders>
            <w:shd w:val="clear" w:color="auto" w:fill="auto"/>
            <w:noWrap/>
            <w:vAlign w:val="center"/>
            <w:hideMark/>
          </w:tcPr>
          <w:p w14:paraId="2ED5DB4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1 749,8</w:t>
            </w:r>
          </w:p>
        </w:tc>
        <w:tc>
          <w:tcPr>
            <w:tcW w:w="765" w:type="dxa"/>
            <w:tcBorders>
              <w:top w:val="nil"/>
              <w:left w:val="single" w:sz="4" w:space="0" w:color="auto"/>
              <w:bottom w:val="nil"/>
              <w:right w:val="single" w:sz="4" w:space="0" w:color="auto"/>
            </w:tcBorders>
            <w:shd w:val="clear" w:color="auto" w:fill="auto"/>
            <w:noWrap/>
            <w:vAlign w:val="center"/>
            <w:hideMark/>
          </w:tcPr>
          <w:p w14:paraId="5D49691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2 102,3</w:t>
            </w:r>
          </w:p>
        </w:tc>
        <w:tc>
          <w:tcPr>
            <w:tcW w:w="765" w:type="dxa"/>
            <w:tcBorders>
              <w:top w:val="nil"/>
              <w:left w:val="single" w:sz="4" w:space="0" w:color="auto"/>
              <w:bottom w:val="nil"/>
              <w:right w:val="single" w:sz="4" w:space="0" w:color="auto"/>
            </w:tcBorders>
            <w:shd w:val="clear" w:color="auto" w:fill="auto"/>
            <w:noWrap/>
            <w:vAlign w:val="center"/>
            <w:hideMark/>
          </w:tcPr>
          <w:p w14:paraId="64506ED7"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2 072,6</w:t>
            </w:r>
          </w:p>
        </w:tc>
        <w:tc>
          <w:tcPr>
            <w:tcW w:w="765" w:type="dxa"/>
            <w:tcBorders>
              <w:top w:val="nil"/>
              <w:left w:val="single" w:sz="4" w:space="0" w:color="auto"/>
              <w:bottom w:val="nil"/>
              <w:right w:val="single" w:sz="4" w:space="0" w:color="auto"/>
            </w:tcBorders>
            <w:shd w:val="clear" w:color="auto" w:fill="auto"/>
            <w:noWrap/>
            <w:vAlign w:val="center"/>
            <w:hideMark/>
          </w:tcPr>
          <w:p w14:paraId="7CB91AC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1 864,2</w:t>
            </w:r>
          </w:p>
        </w:tc>
        <w:tc>
          <w:tcPr>
            <w:tcW w:w="765" w:type="dxa"/>
            <w:tcBorders>
              <w:top w:val="nil"/>
              <w:left w:val="single" w:sz="4" w:space="0" w:color="auto"/>
              <w:bottom w:val="nil"/>
              <w:right w:val="single" w:sz="4" w:space="0" w:color="auto"/>
            </w:tcBorders>
            <w:shd w:val="clear" w:color="auto" w:fill="auto"/>
            <w:noWrap/>
            <w:vAlign w:val="center"/>
            <w:hideMark/>
          </w:tcPr>
          <w:p w14:paraId="6444202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1 721,6</w:t>
            </w:r>
          </w:p>
        </w:tc>
        <w:tc>
          <w:tcPr>
            <w:tcW w:w="765" w:type="dxa"/>
            <w:tcBorders>
              <w:top w:val="nil"/>
              <w:left w:val="single" w:sz="4" w:space="0" w:color="auto"/>
              <w:bottom w:val="nil"/>
              <w:right w:val="single" w:sz="4" w:space="0" w:color="auto"/>
            </w:tcBorders>
            <w:shd w:val="clear" w:color="auto" w:fill="D9D9D9"/>
            <w:vAlign w:val="center"/>
          </w:tcPr>
          <w:p w14:paraId="24914684" w14:textId="77777777" w:rsidR="00B33613" w:rsidRDefault="00B33613" w:rsidP="00B33613">
            <w:pPr>
              <w:spacing w:after="0" w:line="240" w:lineRule="auto"/>
              <w:jc w:val="right"/>
              <w:rPr>
                <w:rFonts w:cs="Arial"/>
                <w:sz w:val="16"/>
                <w:szCs w:val="16"/>
              </w:rPr>
            </w:pPr>
            <w:r>
              <w:rPr>
                <w:rFonts w:cs="Arial"/>
                <w:sz w:val="16"/>
                <w:szCs w:val="16"/>
              </w:rPr>
              <w:t>1 531,7</w:t>
            </w:r>
          </w:p>
        </w:tc>
        <w:tc>
          <w:tcPr>
            <w:tcW w:w="765" w:type="dxa"/>
            <w:tcBorders>
              <w:top w:val="nil"/>
              <w:left w:val="single" w:sz="4" w:space="0" w:color="auto"/>
              <w:bottom w:val="nil"/>
              <w:right w:val="nil"/>
            </w:tcBorders>
            <w:vAlign w:val="center"/>
          </w:tcPr>
          <w:p w14:paraId="64F1A02F" w14:textId="326C1453" w:rsidR="00B33613" w:rsidRDefault="00B33613" w:rsidP="00B33613">
            <w:pPr>
              <w:spacing w:after="0" w:line="240" w:lineRule="auto"/>
              <w:jc w:val="right"/>
              <w:rPr>
                <w:rFonts w:cs="Arial"/>
                <w:sz w:val="16"/>
                <w:szCs w:val="16"/>
              </w:rPr>
            </w:pPr>
            <w:r>
              <w:rPr>
                <w:rFonts w:cs="Arial"/>
                <w:sz w:val="16"/>
                <w:szCs w:val="16"/>
              </w:rPr>
              <w:t>1 628,7</w:t>
            </w:r>
          </w:p>
        </w:tc>
      </w:tr>
      <w:tr w:rsidR="00B33613" w:rsidRPr="00166BEB" w14:paraId="02256630" w14:textId="77777777" w:rsidTr="00B33613">
        <w:trPr>
          <w:trHeight w:val="300"/>
        </w:trPr>
        <w:tc>
          <w:tcPr>
            <w:tcW w:w="0" w:type="auto"/>
            <w:tcBorders>
              <w:top w:val="nil"/>
              <w:left w:val="nil"/>
              <w:bottom w:val="nil"/>
              <w:right w:val="nil"/>
            </w:tcBorders>
            <w:shd w:val="clear" w:color="auto" w:fill="auto"/>
            <w:noWrap/>
            <w:vAlign w:val="center"/>
            <w:hideMark/>
          </w:tcPr>
          <w:p w14:paraId="0E89F1D7"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Rumunsko</w:t>
            </w:r>
          </w:p>
        </w:tc>
        <w:tc>
          <w:tcPr>
            <w:tcW w:w="765" w:type="dxa"/>
            <w:tcBorders>
              <w:top w:val="nil"/>
              <w:left w:val="single" w:sz="4" w:space="0" w:color="000000"/>
              <w:bottom w:val="nil"/>
              <w:right w:val="single" w:sz="4" w:space="0" w:color="auto"/>
            </w:tcBorders>
            <w:shd w:val="clear" w:color="auto" w:fill="auto"/>
            <w:noWrap/>
            <w:vAlign w:val="center"/>
            <w:hideMark/>
          </w:tcPr>
          <w:p w14:paraId="5D0F8CF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74,8</w:t>
            </w:r>
          </w:p>
        </w:tc>
        <w:tc>
          <w:tcPr>
            <w:tcW w:w="765" w:type="dxa"/>
            <w:tcBorders>
              <w:top w:val="nil"/>
              <w:left w:val="single" w:sz="4" w:space="0" w:color="auto"/>
              <w:bottom w:val="nil"/>
              <w:right w:val="single" w:sz="4" w:space="0" w:color="auto"/>
            </w:tcBorders>
            <w:shd w:val="clear" w:color="auto" w:fill="auto"/>
            <w:noWrap/>
            <w:vAlign w:val="center"/>
            <w:hideMark/>
          </w:tcPr>
          <w:p w14:paraId="389F9AA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72,5</w:t>
            </w:r>
          </w:p>
        </w:tc>
        <w:tc>
          <w:tcPr>
            <w:tcW w:w="765" w:type="dxa"/>
            <w:tcBorders>
              <w:top w:val="nil"/>
              <w:left w:val="single" w:sz="4" w:space="0" w:color="auto"/>
              <w:bottom w:val="nil"/>
              <w:right w:val="single" w:sz="4" w:space="0" w:color="auto"/>
            </w:tcBorders>
            <w:shd w:val="clear" w:color="auto" w:fill="auto"/>
            <w:noWrap/>
            <w:vAlign w:val="center"/>
            <w:hideMark/>
          </w:tcPr>
          <w:p w14:paraId="5DFBBD1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76,7</w:t>
            </w:r>
          </w:p>
        </w:tc>
        <w:tc>
          <w:tcPr>
            <w:tcW w:w="765" w:type="dxa"/>
            <w:tcBorders>
              <w:top w:val="nil"/>
              <w:left w:val="single" w:sz="4" w:space="0" w:color="auto"/>
              <w:bottom w:val="nil"/>
              <w:right w:val="single" w:sz="4" w:space="0" w:color="auto"/>
            </w:tcBorders>
            <w:shd w:val="clear" w:color="auto" w:fill="auto"/>
            <w:noWrap/>
            <w:vAlign w:val="center"/>
            <w:hideMark/>
          </w:tcPr>
          <w:p w14:paraId="1D9335A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74,8</w:t>
            </w:r>
          </w:p>
        </w:tc>
        <w:tc>
          <w:tcPr>
            <w:tcW w:w="765" w:type="dxa"/>
            <w:tcBorders>
              <w:top w:val="nil"/>
              <w:left w:val="single" w:sz="4" w:space="0" w:color="auto"/>
              <w:bottom w:val="nil"/>
              <w:right w:val="single" w:sz="4" w:space="0" w:color="auto"/>
            </w:tcBorders>
            <w:shd w:val="clear" w:color="auto" w:fill="auto"/>
            <w:noWrap/>
            <w:vAlign w:val="center"/>
            <w:hideMark/>
          </w:tcPr>
          <w:p w14:paraId="337E87B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85,8</w:t>
            </w:r>
          </w:p>
        </w:tc>
        <w:tc>
          <w:tcPr>
            <w:tcW w:w="765" w:type="dxa"/>
            <w:tcBorders>
              <w:top w:val="nil"/>
              <w:left w:val="single" w:sz="4" w:space="0" w:color="auto"/>
              <w:bottom w:val="nil"/>
              <w:right w:val="single" w:sz="4" w:space="0" w:color="auto"/>
            </w:tcBorders>
            <w:shd w:val="clear" w:color="auto" w:fill="auto"/>
            <w:noWrap/>
            <w:vAlign w:val="center"/>
            <w:hideMark/>
          </w:tcPr>
          <w:p w14:paraId="1829198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87,4</w:t>
            </w:r>
          </w:p>
        </w:tc>
        <w:tc>
          <w:tcPr>
            <w:tcW w:w="765" w:type="dxa"/>
            <w:tcBorders>
              <w:top w:val="nil"/>
              <w:left w:val="single" w:sz="4" w:space="0" w:color="auto"/>
              <w:bottom w:val="nil"/>
              <w:right w:val="single" w:sz="4" w:space="0" w:color="auto"/>
            </w:tcBorders>
            <w:shd w:val="clear" w:color="auto" w:fill="auto"/>
            <w:noWrap/>
            <w:vAlign w:val="center"/>
            <w:hideMark/>
          </w:tcPr>
          <w:p w14:paraId="7BC408C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91,8</w:t>
            </w:r>
          </w:p>
        </w:tc>
        <w:tc>
          <w:tcPr>
            <w:tcW w:w="765" w:type="dxa"/>
            <w:tcBorders>
              <w:top w:val="nil"/>
              <w:left w:val="single" w:sz="4" w:space="0" w:color="auto"/>
              <w:bottom w:val="nil"/>
              <w:right w:val="single" w:sz="4" w:space="0" w:color="auto"/>
            </w:tcBorders>
            <w:shd w:val="clear" w:color="auto" w:fill="auto"/>
            <w:noWrap/>
            <w:vAlign w:val="center"/>
            <w:hideMark/>
          </w:tcPr>
          <w:p w14:paraId="2A92C7B7"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92,5</w:t>
            </w:r>
          </w:p>
        </w:tc>
        <w:tc>
          <w:tcPr>
            <w:tcW w:w="765" w:type="dxa"/>
            <w:tcBorders>
              <w:top w:val="nil"/>
              <w:left w:val="single" w:sz="4" w:space="0" w:color="auto"/>
              <w:bottom w:val="nil"/>
              <w:right w:val="single" w:sz="4" w:space="0" w:color="auto"/>
            </w:tcBorders>
            <w:shd w:val="clear" w:color="auto" w:fill="auto"/>
            <w:noWrap/>
            <w:vAlign w:val="center"/>
            <w:hideMark/>
          </w:tcPr>
          <w:p w14:paraId="5C047B2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79,8</w:t>
            </w:r>
          </w:p>
        </w:tc>
        <w:tc>
          <w:tcPr>
            <w:tcW w:w="765" w:type="dxa"/>
            <w:tcBorders>
              <w:top w:val="nil"/>
              <w:left w:val="single" w:sz="4" w:space="0" w:color="auto"/>
              <w:bottom w:val="nil"/>
              <w:right w:val="single" w:sz="4" w:space="0" w:color="auto"/>
            </w:tcBorders>
            <w:shd w:val="clear" w:color="auto" w:fill="D9D9D9"/>
            <w:vAlign w:val="center"/>
          </w:tcPr>
          <w:p w14:paraId="32F4EEBE" w14:textId="77777777" w:rsidR="00B33613" w:rsidRDefault="00B33613" w:rsidP="00B33613">
            <w:pPr>
              <w:spacing w:after="0" w:line="240" w:lineRule="auto"/>
              <w:jc w:val="right"/>
              <w:rPr>
                <w:rFonts w:cs="Arial"/>
                <w:sz w:val="16"/>
                <w:szCs w:val="16"/>
              </w:rPr>
            </w:pPr>
            <w:r>
              <w:rPr>
                <w:rFonts w:cs="Arial"/>
                <w:sz w:val="16"/>
                <w:szCs w:val="16"/>
              </w:rPr>
              <w:t>80,6</w:t>
            </w:r>
          </w:p>
        </w:tc>
        <w:tc>
          <w:tcPr>
            <w:tcW w:w="765" w:type="dxa"/>
            <w:tcBorders>
              <w:top w:val="nil"/>
              <w:left w:val="single" w:sz="4" w:space="0" w:color="auto"/>
              <w:bottom w:val="nil"/>
              <w:right w:val="nil"/>
            </w:tcBorders>
            <w:vAlign w:val="center"/>
          </w:tcPr>
          <w:p w14:paraId="6B09CBD0" w14:textId="77547530" w:rsidR="00B33613" w:rsidRDefault="00B33613" w:rsidP="00B33613">
            <w:pPr>
              <w:spacing w:after="0" w:line="240" w:lineRule="auto"/>
              <w:jc w:val="right"/>
              <w:rPr>
                <w:rFonts w:cs="Arial"/>
                <w:sz w:val="16"/>
                <w:szCs w:val="16"/>
              </w:rPr>
            </w:pPr>
            <w:r>
              <w:rPr>
                <w:rFonts w:cs="Arial"/>
                <w:sz w:val="16"/>
                <w:szCs w:val="16"/>
              </w:rPr>
              <w:t>51,8</w:t>
            </w:r>
          </w:p>
        </w:tc>
      </w:tr>
      <w:tr w:rsidR="00B33613" w:rsidRPr="00166BEB" w14:paraId="28559EC2" w14:textId="77777777" w:rsidTr="00B33613">
        <w:trPr>
          <w:trHeight w:val="300"/>
        </w:trPr>
        <w:tc>
          <w:tcPr>
            <w:tcW w:w="0" w:type="auto"/>
            <w:tcBorders>
              <w:top w:val="nil"/>
              <w:left w:val="nil"/>
              <w:bottom w:val="nil"/>
              <w:right w:val="nil"/>
            </w:tcBorders>
            <w:shd w:val="clear" w:color="auto" w:fill="auto"/>
            <w:noWrap/>
            <w:vAlign w:val="center"/>
            <w:hideMark/>
          </w:tcPr>
          <w:p w14:paraId="6FCDEB6B"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Řecko</w:t>
            </w:r>
          </w:p>
        </w:tc>
        <w:tc>
          <w:tcPr>
            <w:tcW w:w="765" w:type="dxa"/>
            <w:tcBorders>
              <w:top w:val="nil"/>
              <w:left w:val="single" w:sz="4" w:space="0" w:color="000000"/>
              <w:bottom w:val="nil"/>
              <w:right w:val="single" w:sz="4" w:space="0" w:color="auto"/>
            </w:tcBorders>
            <w:shd w:val="clear" w:color="auto" w:fill="auto"/>
            <w:noWrap/>
            <w:vAlign w:val="center"/>
            <w:hideMark/>
          </w:tcPr>
          <w:p w14:paraId="49CD599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519,0</w:t>
            </w:r>
          </w:p>
        </w:tc>
        <w:tc>
          <w:tcPr>
            <w:tcW w:w="765" w:type="dxa"/>
            <w:tcBorders>
              <w:top w:val="nil"/>
              <w:left w:val="single" w:sz="4" w:space="0" w:color="auto"/>
              <w:bottom w:val="nil"/>
              <w:right w:val="single" w:sz="4" w:space="0" w:color="auto"/>
            </w:tcBorders>
            <w:shd w:val="clear" w:color="auto" w:fill="auto"/>
            <w:noWrap/>
            <w:vAlign w:val="center"/>
            <w:hideMark/>
          </w:tcPr>
          <w:p w14:paraId="65F3C29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459,5</w:t>
            </w:r>
          </w:p>
        </w:tc>
        <w:tc>
          <w:tcPr>
            <w:tcW w:w="765" w:type="dxa"/>
            <w:tcBorders>
              <w:top w:val="nil"/>
              <w:left w:val="single" w:sz="4" w:space="0" w:color="auto"/>
              <w:bottom w:val="nil"/>
              <w:right w:val="single" w:sz="4" w:space="0" w:color="auto"/>
            </w:tcBorders>
            <w:shd w:val="clear" w:color="auto" w:fill="auto"/>
            <w:noWrap/>
            <w:vAlign w:val="center"/>
            <w:hideMark/>
          </w:tcPr>
          <w:p w14:paraId="537DCE1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447,0</w:t>
            </w:r>
          </w:p>
        </w:tc>
        <w:tc>
          <w:tcPr>
            <w:tcW w:w="765" w:type="dxa"/>
            <w:tcBorders>
              <w:top w:val="nil"/>
              <w:left w:val="single" w:sz="4" w:space="0" w:color="auto"/>
              <w:bottom w:val="nil"/>
              <w:right w:val="single" w:sz="4" w:space="0" w:color="auto"/>
            </w:tcBorders>
            <w:shd w:val="clear" w:color="000000" w:fill="D9D9D9"/>
            <w:noWrap/>
            <w:vAlign w:val="center"/>
            <w:hideMark/>
          </w:tcPr>
          <w:p w14:paraId="1C570B2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152,1</w:t>
            </w:r>
          </w:p>
        </w:tc>
        <w:tc>
          <w:tcPr>
            <w:tcW w:w="765" w:type="dxa"/>
            <w:tcBorders>
              <w:top w:val="nil"/>
              <w:left w:val="single" w:sz="4" w:space="0" w:color="auto"/>
              <w:bottom w:val="nil"/>
              <w:right w:val="single" w:sz="4" w:space="0" w:color="auto"/>
            </w:tcBorders>
            <w:shd w:val="clear" w:color="auto" w:fill="auto"/>
            <w:noWrap/>
            <w:vAlign w:val="center"/>
            <w:hideMark/>
          </w:tcPr>
          <w:p w14:paraId="52540B7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241,4</w:t>
            </w:r>
          </w:p>
        </w:tc>
        <w:tc>
          <w:tcPr>
            <w:tcW w:w="765" w:type="dxa"/>
            <w:tcBorders>
              <w:top w:val="nil"/>
              <w:left w:val="single" w:sz="4" w:space="0" w:color="auto"/>
              <w:bottom w:val="nil"/>
              <w:right w:val="single" w:sz="4" w:space="0" w:color="auto"/>
            </w:tcBorders>
            <w:shd w:val="clear" w:color="auto" w:fill="auto"/>
            <w:noWrap/>
            <w:vAlign w:val="center"/>
            <w:hideMark/>
          </w:tcPr>
          <w:p w14:paraId="7D47EF4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229,1</w:t>
            </w:r>
          </w:p>
        </w:tc>
        <w:tc>
          <w:tcPr>
            <w:tcW w:w="765" w:type="dxa"/>
            <w:tcBorders>
              <w:top w:val="nil"/>
              <w:left w:val="single" w:sz="4" w:space="0" w:color="auto"/>
              <w:bottom w:val="nil"/>
              <w:right w:val="single" w:sz="4" w:space="0" w:color="auto"/>
            </w:tcBorders>
            <w:shd w:val="clear" w:color="auto" w:fill="auto"/>
            <w:noWrap/>
            <w:vAlign w:val="center"/>
            <w:hideMark/>
          </w:tcPr>
          <w:p w14:paraId="4BB44379"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236,4</w:t>
            </w:r>
          </w:p>
        </w:tc>
        <w:tc>
          <w:tcPr>
            <w:tcW w:w="765" w:type="dxa"/>
            <w:tcBorders>
              <w:top w:val="nil"/>
              <w:left w:val="single" w:sz="4" w:space="0" w:color="auto"/>
              <w:bottom w:val="nil"/>
              <w:right w:val="single" w:sz="4" w:space="0" w:color="auto"/>
            </w:tcBorders>
            <w:shd w:val="clear" w:color="auto" w:fill="auto"/>
            <w:noWrap/>
            <w:vAlign w:val="center"/>
            <w:hideMark/>
          </w:tcPr>
          <w:p w14:paraId="5D8D656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172,6</w:t>
            </w:r>
          </w:p>
        </w:tc>
        <w:tc>
          <w:tcPr>
            <w:tcW w:w="765" w:type="dxa"/>
            <w:tcBorders>
              <w:top w:val="nil"/>
              <w:left w:val="single" w:sz="4" w:space="0" w:color="auto"/>
              <w:bottom w:val="nil"/>
              <w:right w:val="single" w:sz="4" w:space="0" w:color="auto"/>
            </w:tcBorders>
            <w:shd w:val="clear" w:color="auto" w:fill="auto"/>
            <w:noWrap/>
            <w:vAlign w:val="center"/>
            <w:hideMark/>
          </w:tcPr>
          <w:p w14:paraId="14770DB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197,2</w:t>
            </w:r>
          </w:p>
        </w:tc>
        <w:tc>
          <w:tcPr>
            <w:tcW w:w="765" w:type="dxa"/>
            <w:tcBorders>
              <w:top w:val="nil"/>
              <w:left w:val="single" w:sz="4" w:space="0" w:color="auto"/>
              <w:bottom w:val="nil"/>
              <w:right w:val="single" w:sz="4" w:space="0" w:color="auto"/>
            </w:tcBorders>
            <w:shd w:val="clear" w:color="auto" w:fill="D9D9D9"/>
            <w:vAlign w:val="center"/>
          </w:tcPr>
          <w:p w14:paraId="3655BFEE" w14:textId="77777777" w:rsidR="00B33613" w:rsidRDefault="00B33613" w:rsidP="00B33613">
            <w:pPr>
              <w:spacing w:after="0" w:line="240" w:lineRule="auto"/>
              <w:jc w:val="right"/>
              <w:rPr>
                <w:rFonts w:cs="Arial"/>
                <w:sz w:val="16"/>
                <w:szCs w:val="16"/>
              </w:rPr>
            </w:pPr>
            <w:r>
              <w:rPr>
                <w:rFonts w:cs="Arial"/>
                <w:sz w:val="16"/>
                <w:szCs w:val="16"/>
              </w:rPr>
              <w:t>157,0</w:t>
            </w:r>
          </w:p>
        </w:tc>
        <w:tc>
          <w:tcPr>
            <w:tcW w:w="765" w:type="dxa"/>
            <w:tcBorders>
              <w:top w:val="nil"/>
              <w:left w:val="single" w:sz="4" w:space="0" w:color="auto"/>
              <w:bottom w:val="nil"/>
              <w:right w:val="nil"/>
            </w:tcBorders>
            <w:vAlign w:val="center"/>
          </w:tcPr>
          <w:p w14:paraId="42F37547" w14:textId="7E20A5C0" w:rsidR="00B33613" w:rsidRDefault="00B33613" w:rsidP="00B33613">
            <w:pPr>
              <w:spacing w:after="0" w:line="240" w:lineRule="auto"/>
              <w:jc w:val="right"/>
              <w:rPr>
                <w:rFonts w:cs="Arial"/>
                <w:sz w:val="16"/>
                <w:szCs w:val="16"/>
              </w:rPr>
            </w:pPr>
            <w:r>
              <w:rPr>
                <w:rFonts w:cs="Arial"/>
                <w:sz w:val="16"/>
                <w:szCs w:val="16"/>
              </w:rPr>
              <w:t>174,3</w:t>
            </w:r>
          </w:p>
        </w:tc>
      </w:tr>
      <w:tr w:rsidR="00B33613" w:rsidRPr="00166BEB" w14:paraId="579A2048" w14:textId="77777777" w:rsidTr="00B33613">
        <w:trPr>
          <w:trHeight w:val="300"/>
        </w:trPr>
        <w:tc>
          <w:tcPr>
            <w:tcW w:w="0" w:type="auto"/>
            <w:tcBorders>
              <w:top w:val="nil"/>
              <w:left w:val="nil"/>
              <w:bottom w:val="nil"/>
              <w:right w:val="nil"/>
            </w:tcBorders>
            <w:shd w:val="clear" w:color="auto" w:fill="auto"/>
            <w:noWrap/>
            <w:vAlign w:val="center"/>
            <w:hideMark/>
          </w:tcPr>
          <w:p w14:paraId="77B83CA9"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Slovensko</w:t>
            </w:r>
          </w:p>
        </w:tc>
        <w:tc>
          <w:tcPr>
            <w:tcW w:w="765" w:type="dxa"/>
            <w:tcBorders>
              <w:top w:val="nil"/>
              <w:left w:val="single" w:sz="4" w:space="0" w:color="000000"/>
              <w:bottom w:val="nil"/>
              <w:right w:val="single" w:sz="4" w:space="0" w:color="auto"/>
            </w:tcBorders>
            <w:shd w:val="clear" w:color="auto" w:fill="auto"/>
            <w:noWrap/>
            <w:vAlign w:val="center"/>
            <w:hideMark/>
          </w:tcPr>
          <w:p w14:paraId="71FC047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444,9</w:t>
            </w:r>
          </w:p>
        </w:tc>
        <w:tc>
          <w:tcPr>
            <w:tcW w:w="765" w:type="dxa"/>
            <w:tcBorders>
              <w:top w:val="nil"/>
              <w:left w:val="single" w:sz="4" w:space="0" w:color="auto"/>
              <w:bottom w:val="nil"/>
              <w:right w:val="single" w:sz="4" w:space="0" w:color="auto"/>
            </w:tcBorders>
            <w:shd w:val="clear" w:color="auto" w:fill="auto"/>
            <w:noWrap/>
            <w:vAlign w:val="center"/>
            <w:hideMark/>
          </w:tcPr>
          <w:p w14:paraId="6C44712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421,2</w:t>
            </w:r>
          </w:p>
        </w:tc>
        <w:tc>
          <w:tcPr>
            <w:tcW w:w="765" w:type="dxa"/>
            <w:tcBorders>
              <w:top w:val="nil"/>
              <w:left w:val="single" w:sz="4" w:space="0" w:color="auto"/>
              <w:bottom w:val="nil"/>
              <w:right w:val="single" w:sz="4" w:space="0" w:color="auto"/>
            </w:tcBorders>
            <w:shd w:val="clear" w:color="auto" w:fill="auto"/>
            <w:noWrap/>
            <w:vAlign w:val="center"/>
            <w:hideMark/>
          </w:tcPr>
          <w:p w14:paraId="18B5748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426,9</w:t>
            </w:r>
          </w:p>
        </w:tc>
        <w:tc>
          <w:tcPr>
            <w:tcW w:w="765" w:type="dxa"/>
            <w:tcBorders>
              <w:top w:val="nil"/>
              <w:left w:val="single" w:sz="4" w:space="0" w:color="auto"/>
              <w:bottom w:val="nil"/>
              <w:right w:val="single" w:sz="4" w:space="0" w:color="auto"/>
            </w:tcBorders>
            <w:shd w:val="clear" w:color="auto" w:fill="auto"/>
            <w:noWrap/>
            <w:vAlign w:val="center"/>
            <w:hideMark/>
          </w:tcPr>
          <w:p w14:paraId="04444207"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414,9</w:t>
            </w:r>
          </w:p>
        </w:tc>
        <w:tc>
          <w:tcPr>
            <w:tcW w:w="765" w:type="dxa"/>
            <w:tcBorders>
              <w:top w:val="nil"/>
              <w:left w:val="single" w:sz="4" w:space="0" w:color="auto"/>
              <w:bottom w:val="nil"/>
              <w:right w:val="single" w:sz="4" w:space="0" w:color="auto"/>
            </w:tcBorders>
            <w:shd w:val="clear" w:color="auto" w:fill="auto"/>
            <w:noWrap/>
            <w:vAlign w:val="center"/>
            <w:hideMark/>
          </w:tcPr>
          <w:p w14:paraId="49A5B7F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525,9</w:t>
            </w:r>
          </w:p>
        </w:tc>
        <w:tc>
          <w:tcPr>
            <w:tcW w:w="765" w:type="dxa"/>
            <w:tcBorders>
              <w:top w:val="nil"/>
              <w:left w:val="single" w:sz="4" w:space="0" w:color="auto"/>
              <w:bottom w:val="nil"/>
              <w:right w:val="single" w:sz="4" w:space="0" w:color="auto"/>
            </w:tcBorders>
            <w:shd w:val="clear" w:color="auto" w:fill="auto"/>
            <w:noWrap/>
            <w:vAlign w:val="center"/>
            <w:hideMark/>
          </w:tcPr>
          <w:p w14:paraId="759086F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533,5</w:t>
            </w:r>
          </w:p>
        </w:tc>
        <w:tc>
          <w:tcPr>
            <w:tcW w:w="765" w:type="dxa"/>
            <w:tcBorders>
              <w:top w:val="nil"/>
              <w:left w:val="single" w:sz="4" w:space="0" w:color="auto"/>
              <w:bottom w:val="nil"/>
              <w:right w:val="single" w:sz="4" w:space="0" w:color="auto"/>
            </w:tcBorders>
            <w:shd w:val="clear" w:color="auto" w:fill="auto"/>
            <w:noWrap/>
            <w:vAlign w:val="center"/>
            <w:hideMark/>
          </w:tcPr>
          <w:p w14:paraId="449720C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530,9</w:t>
            </w:r>
          </w:p>
        </w:tc>
        <w:tc>
          <w:tcPr>
            <w:tcW w:w="765" w:type="dxa"/>
            <w:tcBorders>
              <w:top w:val="nil"/>
              <w:left w:val="single" w:sz="4" w:space="0" w:color="auto"/>
              <w:bottom w:val="nil"/>
              <w:right w:val="single" w:sz="4" w:space="0" w:color="auto"/>
            </w:tcBorders>
            <w:shd w:val="clear" w:color="auto" w:fill="auto"/>
            <w:noWrap/>
            <w:vAlign w:val="center"/>
            <w:hideMark/>
          </w:tcPr>
          <w:p w14:paraId="74D0505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538,6</w:t>
            </w:r>
          </w:p>
        </w:tc>
        <w:tc>
          <w:tcPr>
            <w:tcW w:w="765" w:type="dxa"/>
            <w:tcBorders>
              <w:top w:val="nil"/>
              <w:left w:val="single" w:sz="4" w:space="0" w:color="auto"/>
              <w:bottom w:val="nil"/>
              <w:right w:val="single" w:sz="4" w:space="0" w:color="auto"/>
            </w:tcBorders>
            <w:shd w:val="clear" w:color="auto" w:fill="auto"/>
            <w:noWrap/>
            <w:vAlign w:val="center"/>
            <w:hideMark/>
          </w:tcPr>
          <w:p w14:paraId="76A8388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520,8</w:t>
            </w:r>
          </w:p>
        </w:tc>
        <w:tc>
          <w:tcPr>
            <w:tcW w:w="765" w:type="dxa"/>
            <w:tcBorders>
              <w:top w:val="nil"/>
              <w:left w:val="single" w:sz="4" w:space="0" w:color="auto"/>
              <w:bottom w:val="nil"/>
              <w:right w:val="single" w:sz="4" w:space="0" w:color="auto"/>
            </w:tcBorders>
            <w:shd w:val="clear" w:color="auto" w:fill="D9D9D9"/>
            <w:vAlign w:val="center"/>
          </w:tcPr>
          <w:p w14:paraId="2E8E9D18" w14:textId="77777777" w:rsidR="00B33613" w:rsidRDefault="00B33613" w:rsidP="00B33613">
            <w:pPr>
              <w:spacing w:after="0" w:line="240" w:lineRule="auto"/>
              <w:jc w:val="right"/>
              <w:rPr>
                <w:rFonts w:cs="Arial"/>
                <w:sz w:val="16"/>
                <w:szCs w:val="16"/>
              </w:rPr>
            </w:pPr>
            <w:r>
              <w:rPr>
                <w:rFonts w:cs="Arial"/>
                <w:sz w:val="16"/>
                <w:szCs w:val="16"/>
              </w:rPr>
              <w:t>433,1</w:t>
            </w:r>
          </w:p>
        </w:tc>
        <w:tc>
          <w:tcPr>
            <w:tcW w:w="765" w:type="dxa"/>
            <w:tcBorders>
              <w:top w:val="nil"/>
              <w:left w:val="single" w:sz="4" w:space="0" w:color="auto"/>
              <w:bottom w:val="nil"/>
              <w:right w:val="nil"/>
            </w:tcBorders>
            <w:vAlign w:val="center"/>
          </w:tcPr>
          <w:p w14:paraId="095E978B" w14:textId="4583A592" w:rsidR="00B33613" w:rsidRDefault="00B33613" w:rsidP="00B33613">
            <w:pPr>
              <w:spacing w:after="0" w:line="240" w:lineRule="auto"/>
              <w:jc w:val="right"/>
              <w:rPr>
                <w:rFonts w:cs="Arial"/>
                <w:sz w:val="16"/>
                <w:szCs w:val="16"/>
              </w:rPr>
            </w:pPr>
            <w:r>
              <w:rPr>
                <w:rFonts w:cs="Arial"/>
                <w:sz w:val="16"/>
                <w:szCs w:val="16"/>
              </w:rPr>
              <w:t>442,8</w:t>
            </w:r>
          </w:p>
        </w:tc>
      </w:tr>
      <w:tr w:rsidR="00B33613" w:rsidRPr="00166BEB" w14:paraId="74C0C1E2" w14:textId="77777777" w:rsidTr="00B33613">
        <w:trPr>
          <w:trHeight w:val="300"/>
        </w:trPr>
        <w:tc>
          <w:tcPr>
            <w:tcW w:w="0" w:type="auto"/>
            <w:tcBorders>
              <w:top w:val="nil"/>
              <w:left w:val="nil"/>
              <w:bottom w:val="nil"/>
              <w:right w:val="nil"/>
            </w:tcBorders>
            <w:shd w:val="clear" w:color="auto" w:fill="auto"/>
            <w:noWrap/>
            <w:vAlign w:val="center"/>
            <w:hideMark/>
          </w:tcPr>
          <w:p w14:paraId="4ED54D23"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Slovinsko</w:t>
            </w:r>
          </w:p>
        </w:tc>
        <w:tc>
          <w:tcPr>
            <w:tcW w:w="765" w:type="dxa"/>
            <w:tcBorders>
              <w:top w:val="nil"/>
              <w:left w:val="single" w:sz="4" w:space="0" w:color="000000"/>
              <w:bottom w:val="nil"/>
              <w:right w:val="single" w:sz="4" w:space="0" w:color="auto"/>
            </w:tcBorders>
            <w:shd w:val="clear" w:color="auto" w:fill="auto"/>
            <w:noWrap/>
            <w:vAlign w:val="center"/>
            <w:hideMark/>
          </w:tcPr>
          <w:p w14:paraId="67FD0F87"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2 006,8</w:t>
            </w:r>
          </w:p>
        </w:tc>
        <w:tc>
          <w:tcPr>
            <w:tcW w:w="765" w:type="dxa"/>
            <w:tcBorders>
              <w:top w:val="nil"/>
              <w:left w:val="single" w:sz="4" w:space="0" w:color="auto"/>
              <w:bottom w:val="nil"/>
              <w:right w:val="single" w:sz="4" w:space="0" w:color="auto"/>
            </w:tcBorders>
            <w:shd w:val="clear" w:color="auto" w:fill="auto"/>
            <w:noWrap/>
            <w:vAlign w:val="center"/>
            <w:hideMark/>
          </w:tcPr>
          <w:p w14:paraId="7249A9B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1 787,7</w:t>
            </w:r>
          </w:p>
        </w:tc>
        <w:tc>
          <w:tcPr>
            <w:tcW w:w="765" w:type="dxa"/>
            <w:tcBorders>
              <w:top w:val="nil"/>
              <w:left w:val="single" w:sz="4" w:space="0" w:color="auto"/>
              <w:bottom w:val="nil"/>
              <w:right w:val="single" w:sz="4" w:space="0" w:color="auto"/>
            </w:tcBorders>
            <w:shd w:val="clear" w:color="auto" w:fill="auto"/>
            <w:noWrap/>
            <w:vAlign w:val="center"/>
            <w:hideMark/>
          </w:tcPr>
          <w:p w14:paraId="0F020052"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1 594,7</w:t>
            </w:r>
          </w:p>
        </w:tc>
        <w:tc>
          <w:tcPr>
            <w:tcW w:w="765" w:type="dxa"/>
            <w:tcBorders>
              <w:top w:val="nil"/>
              <w:left w:val="single" w:sz="4" w:space="0" w:color="auto"/>
              <w:bottom w:val="nil"/>
              <w:right w:val="single" w:sz="4" w:space="0" w:color="auto"/>
            </w:tcBorders>
            <w:shd w:val="clear" w:color="auto" w:fill="auto"/>
            <w:noWrap/>
            <w:vAlign w:val="center"/>
            <w:hideMark/>
          </w:tcPr>
          <w:p w14:paraId="5AD30E0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1 627,1</w:t>
            </w:r>
          </w:p>
        </w:tc>
        <w:tc>
          <w:tcPr>
            <w:tcW w:w="765" w:type="dxa"/>
            <w:tcBorders>
              <w:top w:val="nil"/>
              <w:left w:val="single" w:sz="4" w:space="0" w:color="auto"/>
              <w:bottom w:val="nil"/>
              <w:right w:val="single" w:sz="4" w:space="0" w:color="auto"/>
            </w:tcBorders>
            <w:shd w:val="clear" w:color="auto" w:fill="auto"/>
            <w:noWrap/>
            <w:vAlign w:val="center"/>
            <w:hideMark/>
          </w:tcPr>
          <w:p w14:paraId="6DCECE67"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1 658,8</w:t>
            </w:r>
          </w:p>
        </w:tc>
        <w:tc>
          <w:tcPr>
            <w:tcW w:w="765" w:type="dxa"/>
            <w:tcBorders>
              <w:top w:val="nil"/>
              <w:left w:val="single" w:sz="4" w:space="0" w:color="auto"/>
              <w:bottom w:val="nil"/>
              <w:right w:val="single" w:sz="4" w:space="0" w:color="auto"/>
            </w:tcBorders>
            <w:shd w:val="clear" w:color="auto" w:fill="auto"/>
            <w:noWrap/>
            <w:vAlign w:val="center"/>
            <w:hideMark/>
          </w:tcPr>
          <w:p w14:paraId="31D142C6"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1 556,7</w:t>
            </w:r>
          </w:p>
        </w:tc>
        <w:tc>
          <w:tcPr>
            <w:tcW w:w="765" w:type="dxa"/>
            <w:tcBorders>
              <w:top w:val="nil"/>
              <w:left w:val="single" w:sz="4" w:space="0" w:color="auto"/>
              <w:bottom w:val="nil"/>
              <w:right w:val="single" w:sz="4" w:space="0" w:color="auto"/>
            </w:tcBorders>
            <w:shd w:val="clear" w:color="auto" w:fill="auto"/>
            <w:noWrap/>
            <w:vAlign w:val="center"/>
            <w:hideMark/>
          </w:tcPr>
          <w:p w14:paraId="43FB7B6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1 636,7</w:t>
            </w:r>
          </w:p>
        </w:tc>
        <w:tc>
          <w:tcPr>
            <w:tcW w:w="765" w:type="dxa"/>
            <w:tcBorders>
              <w:top w:val="nil"/>
              <w:left w:val="single" w:sz="4" w:space="0" w:color="auto"/>
              <w:bottom w:val="nil"/>
              <w:right w:val="single" w:sz="4" w:space="0" w:color="auto"/>
            </w:tcBorders>
            <w:shd w:val="clear" w:color="auto" w:fill="auto"/>
            <w:noWrap/>
            <w:vAlign w:val="center"/>
            <w:hideMark/>
          </w:tcPr>
          <w:p w14:paraId="21BAC1B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1 567,2</w:t>
            </w:r>
          </w:p>
        </w:tc>
        <w:tc>
          <w:tcPr>
            <w:tcW w:w="765" w:type="dxa"/>
            <w:tcBorders>
              <w:top w:val="nil"/>
              <w:left w:val="single" w:sz="4" w:space="0" w:color="auto"/>
              <w:bottom w:val="nil"/>
              <w:right w:val="single" w:sz="4" w:space="0" w:color="auto"/>
            </w:tcBorders>
            <w:shd w:val="clear" w:color="auto" w:fill="auto"/>
            <w:noWrap/>
            <w:vAlign w:val="center"/>
            <w:hideMark/>
          </w:tcPr>
          <w:p w14:paraId="14A751E5"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1 477,0</w:t>
            </w:r>
          </w:p>
        </w:tc>
        <w:tc>
          <w:tcPr>
            <w:tcW w:w="765" w:type="dxa"/>
            <w:tcBorders>
              <w:top w:val="nil"/>
              <w:left w:val="single" w:sz="4" w:space="0" w:color="auto"/>
              <w:bottom w:val="nil"/>
              <w:right w:val="single" w:sz="4" w:space="0" w:color="auto"/>
            </w:tcBorders>
            <w:shd w:val="clear" w:color="auto" w:fill="D9D9D9"/>
            <w:vAlign w:val="center"/>
          </w:tcPr>
          <w:p w14:paraId="71FD76AF" w14:textId="77777777" w:rsidR="00B33613" w:rsidRDefault="00B33613" w:rsidP="00B33613">
            <w:pPr>
              <w:spacing w:after="0" w:line="240" w:lineRule="auto"/>
              <w:jc w:val="right"/>
              <w:rPr>
                <w:rFonts w:cs="Arial"/>
                <w:sz w:val="16"/>
                <w:szCs w:val="16"/>
              </w:rPr>
            </w:pPr>
            <w:r>
              <w:rPr>
                <w:rFonts w:cs="Arial"/>
                <w:sz w:val="16"/>
                <w:szCs w:val="16"/>
              </w:rPr>
              <w:t>1 294,4</w:t>
            </w:r>
          </w:p>
        </w:tc>
        <w:tc>
          <w:tcPr>
            <w:tcW w:w="765" w:type="dxa"/>
            <w:tcBorders>
              <w:top w:val="nil"/>
              <w:left w:val="single" w:sz="4" w:space="0" w:color="auto"/>
              <w:bottom w:val="nil"/>
              <w:right w:val="nil"/>
            </w:tcBorders>
            <w:vAlign w:val="center"/>
          </w:tcPr>
          <w:p w14:paraId="4B3DAFB7" w14:textId="66739E64" w:rsidR="00B33613" w:rsidRDefault="00B33613" w:rsidP="00B33613">
            <w:pPr>
              <w:spacing w:after="0" w:line="240" w:lineRule="auto"/>
              <w:jc w:val="right"/>
              <w:rPr>
                <w:rFonts w:cs="Arial"/>
                <w:sz w:val="16"/>
                <w:szCs w:val="16"/>
              </w:rPr>
            </w:pPr>
            <w:r>
              <w:rPr>
                <w:rFonts w:cs="Arial"/>
                <w:sz w:val="16"/>
                <w:szCs w:val="16"/>
              </w:rPr>
              <w:t>1 376,4</w:t>
            </w:r>
          </w:p>
        </w:tc>
      </w:tr>
      <w:tr w:rsidR="00B33613" w:rsidRPr="00166BEB" w14:paraId="164BC100" w14:textId="77777777" w:rsidTr="00B33613">
        <w:trPr>
          <w:trHeight w:val="300"/>
        </w:trPr>
        <w:tc>
          <w:tcPr>
            <w:tcW w:w="0" w:type="auto"/>
            <w:tcBorders>
              <w:top w:val="nil"/>
              <w:left w:val="nil"/>
              <w:bottom w:val="nil"/>
              <w:right w:val="nil"/>
            </w:tcBorders>
            <w:shd w:val="clear" w:color="auto" w:fill="auto"/>
            <w:noWrap/>
            <w:vAlign w:val="center"/>
            <w:hideMark/>
          </w:tcPr>
          <w:p w14:paraId="21DAE966"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Španělsko</w:t>
            </w:r>
          </w:p>
        </w:tc>
        <w:tc>
          <w:tcPr>
            <w:tcW w:w="765" w:type="dxa"/>
            <w:tcBorders>
              <w:top w:val="nil"/>
              <w:left w:val="single" w:sz="4" w:space="0" w:color="000000"/>
              <w:bottom w:val="nil"/>
              <w:right w:val="single" w:sz="4" w:space="0" w:color="auto"/>
            </w:tcBorders>
            <w:shd w:val="clear" w:color="auto" w:fill="auto"/>
            <w:noWrap/>
            <w:vAlign w:val="center"/>
            <w:hideMark/>
          </w:tcPr>
          <w:p w14:paraId="6638AFE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3 421,6</w:t>
            </w:r>
          </w:p>
        </w:tc>
        <w:tc>
          <w:tcPr>
            <w:tcW w:w="765" w:type="dxa"/>
            <w:tcBorders>
              <w:top w:val="nil"/>
              <w:left w:val="single" w:sz="4" w:space="0" w:color="auto"/>
              <w:bottom w:val="nil"/>
              <w:right w:val="single" w:sz="4" w:space="0" w:color="auto"/>
            </w:tcBorders>
            <w:shd w:val="clear" w:color="auto" w:fill="auto"/>
            <w:noWrap/>
            <w:vAlign w:val="center"/>
            <w:hideMark/>
          </w:tcPr>
          <w:p w14:paraId="27C19740"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2 889,6</w:t>
            </w:r>
          </w:p>
        </w:tc>
        <w:tc>
          <w:tcPr>
            <w:tcW w:w="765" w:type="dxa"/>
            <w:tcBorders>
              <w:top w:val="nil"/>
              <w:left w:val="single" w:sz="4" w:space="0" w:color="auto"/>
              <w:bottom w:val="nil"/>
              <w:right w:val="single" w:sz="4" w:space="0" w:color="auto"/>
            </w:tcBorders>
            <w:shd w:val="clear" w:color="auto" w:fill="auto"/>
            <w:noWrap/>
            <w:vAlign w:val="center"/>
            <w:hideMark/>
          </w:tcPr>
          <w:p w14:paraId="48D433AA"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2 909,0</w:t>
            </w:r>
          </w:p>
        </w:tc>
        <w:tc>
          <w:tcPr>
            <w:tcW w:w="765" w:type="dxa"/>
            <w:tcBorders>
              <w:top w:val="nil"/>
              <w:left w:val="single" w:sz="4" w:space="0" w:color="auto"/>
              <w:bottom w:val="nil"/>
              <w:right w:val="single" w:sz="4" w:space="0" w:color="auto"/>
            </w:tcBorders>
            <w:shd w:val="clear" w:color="auto" w:fill="auto"/>
            <w:noWrap/>
            <w:vAlign w:val="center"/>
            <w:hideMark/>
          </w:tcPr>
          <w:p w14:paraId="0FCECA3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3 220,4</w:t>
            </w:r>
          </w:p>
        </w:tc>
        <w:tc>
          <w:tcPr>
            <w:tcW w:w="765" w:type="dxa"/>
            <w:tcBorders>
              <w:top w:val="nil"/>
              <w:left w:val="single" w:sz="4" w:space="0" w:color="auto"/>
              <w:bottom w:val="nil"/>
              <w:right w:val="single" w:sz="4" w:space="0" w:color="auto"/>
            </w:tcBorders>
            <w:shd w:val="clear" w:color="auto" w:fill="auto"/>
            <w:noWrap/>
            <w:vAlign w:val="center"/>
            <w:hideMark/>
          </w:tcPr>
          <w:p w14:paraId="0B2F6D94"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3 150,9</w:t>
            </w:r>
          </w:p>
        </w:tc>
        <w:tc>
          <w:tcPr>
            <w:tcW w:w="765" w:type="dxa"/>
            <w:tcBorders>
              <w:top w:val="nil"/>
              <w:left w:val="single" w:sz="4" w:space="0" w:color="auto"/>
              <w:bottom w:val="nil"/>
              <w:right w:val="single" w:sz="4" w:space="0" w:color="auto"/>
            </w:tcBorders>
            <w:shd w:val="clear" w:color="auto" w:fill="auto"/>
            <w:noWrap/>
            <w:vAlign w:val="center"/>
            <w:hideMark/>
          </w:tcPr>
          <w:p w14:paraId="358B8DF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3 209,8</w:t>
            </w:r>
          </w:p>
        </w:tc>
        <w:tc>
          <w:tcPr>
            <w:tcW w:w="765" w:type="dxa"/>
            <w:tcBorders>
              <w:top w:val="nil"/>
              <w:left w:val="single" w:sz="4" w:space="0" w:color="auto"/>
              <w:bottom w:val="nil"/>
              <w:right w:val="single" w:sz="4" w:space="0" w:color="auto"/>
            </w:tcBorders>
            <w:shd w:val="clear" w:color="auto" w:fill="auto"/>
            <w:noWrap/>
            <w:vAlign w:val="center"/>
            <w:hideMark/>
          </w:tcPr>
          <w:p w14:paraId="45D16C2F"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3 267,7</w:t>
            </w:r>
          </w:p>
        </w:tc>
        <w:tc>
          <w:tcPr>
            <w:tcW w:w="765" w:type="dxa"/>
            <w:tcBorders>
              <w:top w:val="nil"/>
              <w:left w:val="single" w:sz="4" w:space="0" w:color="auto"/>
              <w:bottom w:val="nil"/>
              <w:right w:val="single" w:sz="4" w:space="0" w:color="auto"/>
            </w:tcBorders>
            <w:shd w:val="clear" w:color="auto" w:fill="auto"/>
            <w:noWrap/>
            <w:vAlign w:val="center"/>
            <w:hideMark/>
          </w:tcPr>
          <w:p w14:paraId="0E3016C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3 275,1</w:t>
            </w:r>
          </w:p>
        </w:tc>
        <w:tc>
          <w:tcPr>
            <w:tcW w:w="765" w:type="dxa"/>
            <w:tcBorders>
              <w:top w:val="nil"/>
              <w:left w:val="single" w:sz="4" w:space="0" w:color="auto"/>
              <w:bottom w:val="nil"/>
              <w:right w:val="single" w:sz="4" w:space="0" w:color="auto"/>
            </w:tcBorders>
            <w:shd w:val="clear" w:color="auto" w:fill="auto"/>
            <w:noWrap/>
            <w:vAlign w:val="center"/>
            <w:hideMark/>
          </w:tcPr>
          <w:p w14:paraId="65E7742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3 697,2</w:t>
            </w:r>
          </w:p>
        </w:tc>
        <w:tc>
          <w:tcPr>
            <w:tcW w:w="765" w:type="dxa"/>
            <w:tcBorders>
              <w:top w:val="nil"/>
              <w:left w:val="single" w:sz="4" w:space="0" w:color="auto"/>
              <w:bottom w:val="nil"/>
              <w:right w:val="single" w:sz="4" w:space="0" w:color="auto"/>
            </w:tcBorders>
            <w:shd w:val="clear" w:color="auto" w:fill="D9D9D9"/>
            <w:vAlign w:val="center"/>
          </w:tcPr>
          <w:p w14:paraId="7B5F4F5C" w14:textId="77777777" w:rsidR="00B33613" w:rsidRDefault="00B33613" w:rsidP="00B33613">
            <w:pPr>
              <w:spacing w:after="0" w:line="240" w:lineRule="auto"/>
              <w:jc w:val="right"/>
              <w:rPr>
                <w:rFonts w:cs="Arial"/>
                <w:sz w:val="16"/>
                <w:szCs w:val="16"/>
              </w:rPr>
            </w:pPr>
            <w:r>
              <w:rPr>
                <w:rFonts w:cs="Arial"/>
                <w:sz w:val="16"/>
                <w:szCs w:val="16"/>
              </w:rPr>
              <w:t>2 384,1</w:t>
            </w:r>
          </w:p>
        </w:tc>
        <w:tc>
          <w:tcPr>
            <w:tcW w:w="765" w:type="dxa"/>
            <w:tcBorders>
              <w:top w:val="nil"/>
              <w:left w:val="single" w:sz="4" w:space="0" w:color="auto"/>
              <w:bottom w:val="nil"/>
              <w:right w:val="nil"/>
            </w:tcBorders>
            <w:vAlign w:val="center"/>
          </w:tcPr>
          <w:p w14:paraId="1FE2C5EE" w14:textId="7C903FAF" w:rsidR="00B33613" w:rsidRDefault="00B33613" w:rsidP="00B33613">
            <w:pPr>
              <w:spacing w:after="0" w:line="240" w:lineRule="auto"/>
              <w:jc w:val="right"/>
              <w:rPr>
                <w:rFonts w:cs="Arial"/>
                <w:sz w:val="16"/>
                <w:szCs w:val="16"/>
              </w:rPr>
            </w:pPr>
            <w:r>
              <w:rPr>
                <w:rFonts w:cs="Arial"/>
                <w:sz w:val="16"/>
                <w:szCs w:val="16"/>
              </w:rPr>
              <w:t>2 656,7</w:t>
            </w:r>
          </w:p>
        </w:tc>
      </w:tr>
      <w:tr w:rsidR="00B33613" w:rsidRPr="00166BEB" w14:paraId="6F1CBBA5" w14:textId="77777777" w:rsidTr="00B33613">
        <w:trPr>
          <w:trHeight w:val="300"/>
        </w:trPr>
        <w:tc>
          <w:tcPr>
            <w:tcW w:w="0" w:type="auto"/>
            <w:tcBorders>
              <w:top w:val="nil"/>
              <w:left w:val="nil"/>
              <w:bottom w:val="nil"/>
              <w:right w:val="nil"/>
            </w:tcBorders>
            <w:shd w:val="clear" w:color="auto" w:fill="auto"/>
            <w:noWrap/>
            <w:vAlign w:val="center"/>
            <w:hideMark/>
          </w:tcPr>
          <w:p w14:paraId="7337DD23" w14:textId="77777777" w:rsidR="00B33613" w:rsidRPr="00166BEB" w:rsidRDefault="00B33613" w:rsidP="00B33613">
            <w:pPr>
              <w:spacing w:after="0" w:line="240" w:lineRule="auto"/>
              <w:ind w:firstLineChars="100" w:firstLine="160"/>
              <w:rPr>
                <w:rFonts w:cs="Arial"/>
                <w:sz w:val="16"/>
                <w:szCs w:val="16"/>
                <w:highlight w:val="yellow"/>
              </w:rPr>
            </w:pPr>
            <w:r>
              <w:rPr>
                <w:rFonts w:cs="Arial"/>
                <w:sz w:val="16"/>
                <w:szCs w:val="16"/>
              </w:rPr>
              <w:t>Švédsko</w:t>
            </w:r>
          </w:p>
        </w:tc>
        <w:tc>
          <w:tcPr>
            <w:tcW w:w="765" w:type="dxa"/>
            <w:tcBorders>
              <w:top w:val="nil"/>
              <w:left w:val="single" w:sz="4" w:space="0" w:color="000000"/>
              <w:bottom w:val="nil"/>
              <w:right w:val="single" w:sz="4" w:space="0" w:color="auto"/>
            </w:tcBorders>
            <w:shd w:val="clear" w:color="auto" w:fill="auto"/>
            <w:noWrap/>
            <w:vAlign w:val="center"/>
            <w:hideMark/>
          </w:tcPr>
          <w:p w14:paraId="412B742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874,2</w:t>
            </w:r>
          </w:p>
        </w:tc>
        <w:tc>
          <w:tcPr>
            <w:tcW w:w="765" w:type="dxa"/>
            <w:tcBorders>
              <w:top w:val="nil"/>
              <w:left w:val="single" w:sz="4" w:space="0" w:color="auto"/>
              <w:bottom w:val="nil"/>
              <w:right w:val="single" w:sz="4" w:space="0" w:color="auto"/>
            </w:tcBorders>
            <w:shd w:val="clear" w:color="auto" w:fill="auto"/>
            <w:noWrap/>
            <w:vAlign w:val="center"/>
            <w:hideMark/>
          </w:tcPr>
          <w:p w14:paraId="3B133643"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901,4</w:t>
            </w:r>
          </w:p>
        </w:tc>
        <w:tc>
          <w:tcPr>
            <w:tcW w:w="765" w:type="dxa"/>
            <w:tcBorders>
              <w:top w:val="nil"/>
              <w:left w:val="single" w:sz="4" w:space="0" w:color="auto"/>
              <w:bottom w:val="nil"/>
              <w:right w:val="single" w:sz="4" w:space="0" w:color="auto"/>
            </w:tcBorders>
            <w:shd w:val="clear" w:color="auto" w:fill="auto"/>
            <w:noWrap/>
            <w:vAlign w:val="center"/>
            <w:hideMark/>
          </w:tcPr>
          <w:p w14:paraId="6B15701E"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875,0</w:t>
            </w:r>
          </w:p>
        </w:tc>
        <w:tc>
          <w:tcPr>
            <w:tcW w:w="765" w:type="dxa"/>
            <w:tcBorders>
              <w:top w:val="nil"/>
              <w:left w:val="single" w:sz="4" w:space="0" w:color="auto"/>
              <w:bottom w:val="nil"/>
              <w:right w:val="single" w:sz="4" w:space="0" w:color="auto"/>
            </w:tcBorders>
            <w:shd w:val="clear" w:color="auto" w:fill="auto"/>
            <w:noWrap/>
            <w:vAlign w:val="center"/>
            <w:hideMark/>
          </w:tcPr>
          <w:p w14:paraId="307B2F8D"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759,8</w:t>
            </w:r>
          </w:p>
        </w:tc>
        <w:tc>
          <w:tcPr>
            <w:tcW w:w="765" w:type="dxa"/>
            <w:tcBorders>
              <w:top w:val="nil"/>
              <w:left w:val="single" w:sz="4" w:space="0" w:color="auto"/>
              <w:bottom w:val="nil"/>
              <w:right w:val="single" w:sz="4" w:space="0" w:color="auto"/>
            </w:tcBorders>
            <w:shd w:val="clear" w:color="auto" w:fill="auto"/>
            <w:noWrap/>
            <w:vAlign w:val="center"/>
            <w:hideMark/>
          </w:tcPr>
          <w:p w14:paraId="00DC096C"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768,7</w:t>
            </w:r>
          </w:p>
        </w:tc>
        <w:tc>
          <w:tcPr>
            <w:tcW w:w="765" w:type="dxa"/>
            <w:tcBorders>
              <w:top w:val="nil"/>
              <w:left w:val="single" w:sz="4" w:space="0" w:color="auto"/>
              <w:bottom w:val="nil"/>
              <w:right w:val="single" w:sz="4" w:space="0" w:color="auto"/>
            </w:tcBorders>
            <w:shd w:val="clear" w:color="auto" w:fill="auto"/>
            <w:noWrap/>
            <w:vAlign w:val="center"/>
            <w:hideMark/>
          </w:tcPr>
          <w:p w14:paraId="14621581"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796,2</w:t>
            </w:r>
          </w:p>
        </w:tc>
        <w:tc>
          <w:tcPr>
            <w:tcW w:w="765" w:type="dxa"/>
            <w:tcBorders>
              <w:top w:val="nil"/>
              <w:left w:val="single" w:sz="4" w:space="0" w:color="auto"/>
              <w:bottom w:val="nil"/>
              <w:right w:val="single" w:sz="4" w:space="0" w:color="auto"/>
            </w:tcBorders>
            <w:shd w:val="clear" w:color="auto" w:fill="auto"/>
            <w:noWrap/>
            <w:vAlign w:val="center"/>
            <w:hideMark/>
          </w:tcPr>
          <w:p w14:paraId="11DFC23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774,3</w:t>
            </w:r>
          </w:p>
        </w:tc>
        <w:tc>
          <w:tcPr>
            <w:tcW w:w="765" w:type="dxa"/>
            <w:tcBorders>
              <w:top w:val="nil"/>
              <w:left w:val="single" w:sz="4" w:space="0" w:color="auto"/>
              <w:bottom w:val="nil"/>
              <w:right w:val="single" w:sz="4" w:space="0" w:color="auto"/>
            </w:tcBorders>
            <w:shd w:val="clear" w:color="auto" w:fill="auto"/>
            <w:noWrap/>
            <w:vAlign w:val="center"/>
            <w:hideMark/>
          </w:tcPr>
          <w:p w14:paraId="502AA0D8"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781,1</w:t>
            </w:r>
          </w:p>
        </w:tc>
        <w:tc>
          <w:tcPr>
            <w:tcW w:w="765" w:type="dxa"/>
            <w:tcBorders>
              <w:top w:val="nil"/>
              <w:left w:val="single" w:sz="4" w:space="0" w:color="auto"/>
              <w:bottom w:val="nil"/>
              <w:right w:val="single" w:sz="4" w:space="0" w:color="auto"/>
            </w:tcBorders>
            <w:shd w:val="clear" w:color="auto" w:fill="auto"/>
            <w:noWrap/>
            <w:vAlign w:val="center"/>
            <w:hideMark/>
          </w:tcPr>
          <w:p w14:paraId="0E694D09" w14:textId="77777777" w:rsidR="00B33613" w:rsidRPr="00166BEB" w:rsidRDefault="00B33613" w:rsidP="00B33613">
            <w:pPr>
              <w:spacing w:after="0" w:line="240" w:lineRule="auto"/>
              <w:jc w:val="right"/>
              <w:rPr>
                <w:rFonts w:cs="Arial"/>
                <w:sz w:val="16"/>
                <w:szCs w:val="16"/>
                <w:highlight w:val="yellow"/>
              </w:rPr>
            </w:pPr>
            <w:r>
              <w:rPr>
                <w:rFonts w:cs="Arial"/>
                <w:sz w:val="16"/>
                <w:szCs w:val="16"/>
              </w:rPr>
              <w:t>968,2</w:t>
            </w:r>
          </w:p>
        </w:tc>
        <w:tc>
          <w:tcPr>
            <w:tcW w:w="765" w:type="dxa"/>
            <w:tcBorders>
              <w:top w:val="nil"/>
              <w:left w:val="single" w:sz="4" w:space="0" w:color="auto"/>
              <w:bottom w:val="nil"/>
              <w:right w:val="single" w:sz="4" w:space="0" w:color="auto"/>
            </w:tcBorders>
            <w:shd w:val="clear" w:color="auto" w:fill="D9D9D9"/>
            <w:vAlign w:val="center"/>
          </w:tcPr>
          <w:p w14:paraId="78BD03DE" w14:textId="77777777" w:rsidR="00B33613" w:rsidRDefault="00B33613" w:rsidP="00B33613">
            <w:pPr>
              <w:spacing w:after="0" w:line="240" w:lineRule="auto"/>
              <w:jc w:val="right"/>
              <w:rPr>
                <w:rFonts w:cs="Arial"/>
                <w:sz w:val="16"/>
                <w:szCs w:val="16"/>
              </w:rPr>
            </w:pPr>
            <w:r>
              <w:rPr>
                <w:rFonts w:cs="Arial"/>
                <w:sz w:val="16"/>
                <w:szCs w:val="16"/>
              </w:rPr>
              <w:t>841,8</w:t>
            </w:r>
          </w:p>
        </w:tc>
        <w:tc>
          <w:tcPr>
            <w:tcW w:w="765" w:type="dxa"/>
            <w:tcBorders>
              <w:top w:val="nil"/>
              <w:left w:val="single" w:sz="4" w:space="0" w:color="auto"/>
              <w:bottom w:val="nil"/>
              <w:right w:val="nil"/>
            </w:tcBorders>
            <w:vAlign w:val="center"/>
          </w:tcPr>
          <w:p w14:paraId="1DC5888B" w14:textId="44E82937" w:rsidR="00B33613" w:rsidRDefault="00B33613" w:rsidP="00B33613">
            <w:pPr>
              <w:spacing w:after="0" w:line="240" w:lineRule="auto"/>
              <w:jc w:val="right"/>
              <w:rPr>
                <w:rFonts w:cs="Arial"/>
                <w:sz w:val="16"/>
                <w:szCs w:val="16"/>
              </w:rPr>
            </w:pPr>
            <w:r>
              <w:rPr>
                <w:rFonts w:cs="Arial"/>
                <w:sz w:val="16"/>
                <w:szCs w:val="16"/>
              </w:rPr>
              <w:t>952,5</w:t>
            </w:r>
          </w:p>
        </w:tc>
      </w:tr>
    </w:tbl>
    <w:p w14:paraId="3C579B22" w14:textId="77777777" w:rsidR="00B33613" w:rsidRPr="00166BEB" w:rsidRDefault="00B33613" w:rsidP="00B33613">
      <w:pPr>
        <w:spacing w:after="120"/>
        <w:jc w:val="both"/>
        <w:rPr>
          <w:highlight w:val="yellow"/>
        </w:rPr>
      </w:pPr>
    </w:p>
    <w:p w14:paraId="07E73A4D" w14:textId="77777777" w:rsidR="00B33613" w:rsidRPr="00095759" w:rsidRDefault="00B33613" w:rsidP="00B33613">
      <w:pPr>
        <w:spacing w:after="0" w:line="240" w:lineRule="auto"/>
        <w:rPr>
          <w:rFonts w:cs="Arial"/>
          <w:sz w:val="16"/>
          <w:szCs w:val="16"/>
        </w:rPr>
      </w:pPr>
      <w:r w:rsidRPr="00095759">
        <w:rPr>
          <w:rFonts w:cs="Arial"/>
          <w:sz w:val="16"/>
          <w:szCs w:val="16"/>
          <w:highlight w:val="lightGray"/>
        </w:rPr>
        <w:t>Přerušení v časové řadě</w:t>
      </w:r>
    </w:p>
    <w:p w14:paraId="4CB4525F" w14:textId="77777777" w:rsidR="00B33613" w:rsidRPr="00095759" w:rsidRDefault="00B33613" w:rsidP="00B33613">
      <w:pPr>
        <w:spacing w:after="120"/>
        <w:jc w:val="both"/>
        <w:rPr>
          <w:sz w:val="16"/>
        </w:rPr>
      </w:pPr>
      <w:r w:rsidRPr="00095759">
        <w:rPr>
          <w:sz w:val="16"/>
        </w:rPr>
        <w:t>Zdroj: Eurostat (ESAW)</w:t>
      </w:r>
    </w:p>
    <w:p w14:paraId="13939FB0" w14:textId="6B8B2E84" w:rsidR="00B31735" w:rsidRDefault="00B33613" w:rsidP="00C8357C">
      <w:pPr>
        <w:spacing w:after="120"/>
        <w:jc w:val="both"/>
      </w:pPr>
      <w:r w:rsidRPr="001C68C1">
        <w:t xml:space="preserve">Na rozdíl od pracovních úrazů s pracovní neschopností, na ty smrtelné neměla nemoc covid-19, lépe řečeno opatření proti jejímu šíření, tak jednoznačný vliv. Rizikovější odvětví, náchylnější na smrtelné pracovní úrazy, </w:t>
      </w:r>
      <w:r w:rsidRPr="00251BF8">
        <w:t xml:space="preserve">zaměstnávající manuálně pracující, neumožňovaly takové zapojení práce z domova jako třeba administrativní obory. K meziročnímu poklesu míry smrtelné pracovní úrazovosti </w:t>
      </w:r>
      <w:r w:rsidR="006E270F">
        <w:t xml:space="preserve">– mezi roky 2020 a 2021 – </w:t>
      </w:r>
      <w:r w:rsidRPr="00251BF8">
        <w:t>došlo jen u</w:t>
      </w:r>
      <w:r w:rsidR="00957C5B">
        <w:t> </w:t>
      </w:r>
      <w:r w:rsidRPr="00251BF8">
        <w:t>1</w:t>
      </w:r>
      <w:r w:rsidR="001C68C1" w:rsidRPr="00251BF8">
        <w:t>2</w:t>
      </w:r>
      <w:r w:rsidR="00957C5B">
        <w:t> </w:t>
      </w:r>
      <w:r w:rsidRPr="00251BF8">
        <w:t xml:space="preserve">států. Nejvíce </w:t>
      </w:r>
      <w:r w:rsidR="001C68C1" w:rsidRPr="00251BF8">
        <w:t>na Kypru (−3 úrazy</w:t>
      </w:r>
      <w:r w:rsidRPr="00251BF8">
        <w:t xml:space="preserve"> na 100 tis. zaměstnaných osob) a v</w:t>
      </w:r>
      <w:r w:rsidR="001C68C1" w:rsidRPr="00251BF8">
        <w:t xml:space="preserve"> Bulharsku</w:t>
      </w:r>
      <w:r w:rsidRPr="00251BF8">
        <w:t xml:space="preserve"> (−1,</w:t>
      </w:r>
      <w:r w:rsidR="001C68C1" w:rsidRPr="00251BF8">
        <w:t>1</w:t>
      </w:r>
      <w:r w:rsidRPr="00251BF8">
        <w:t xml:space="preserve">). Naopak největší nárůst byl zaznamenán </w:t>
      </w:r>
      <w:r w:rsidR="001C68C1" w:rsidRPr="00251BF8">
        <w:t>v Litvě (+1,6) a v Lotyšsku (+1,5).</w:t>
      </w:r>
    </w:p>
    <w:p w14:paraId="4F418DC2" w14:textId="77777777" w:rsidR="00B31735" w:rsidRDefault="00B31735">
      <w:pPr>
        <w:spacing w:after="0" w:line="240" w:lineRule="auto"/>
      </w:pPr>
      <w:r>
        <w:br w:type="page"/>
      </w:r>
    </w:p>
    <w:p w14:paraId="0B8199E7" w14:textId="4F2B1BEC" w:rsidR="00B33613" w:rsidRPr="00B33613" w:rsidRDefault="00B33613" w:rsidP="00B33613">
      <w:pPr>
        <w:spacing w:after="0" w:line="240" w:lineRule="auto"/>
        <w:rPr>
          <w:rFonts w:cs="Arial"/>
          <w:b/>
          <w:bCs/>
          <w:color w:val="000000"/>
          <w:szCs w:val="20"/>
        </w:rPr>
      </w:pPr>
      <w:r w:rsidRPr="00B33613">
        <w:rPr>
          <w:rFonts w:cs="Arial"/>
          <w:b/>
          <w:bCs/>
          <w:color w:val="000000"/>
          <w:szCs w:val="20"/>
        </w:rPr>
        <w:lastRenderedPageBreak/>
        <w:t xml:space="preserve">Graf 6.2: Smrtelné pracovní úrazy v zemích EU </w:t>
      </w:r>
      <w:r w:rsidR="00DD5A0D">
        <w:rPr>
          <w:rFonts w:cs="Arial"/>
          <w:b/>
          <w:bCs/>
          <w:color w:val="000000"/>
          <w:szCs w:val="20"/>
        </w:rPr>
        <w:br/>
      </w:r>
      <w:r w:rsidRPr="00B33613">
        <w:rPr>
          <w:rFonts w:cs="Arial"/>
          <w:b/>
          <w:bCs/>
          <w:color w:val="000000"/>
          <w:szCs w:val="20"/>
        </w:rPr>
        <w:t>(standardizovaná míra výskytu na 100 tis. zaměstnaných osob), 2021</w:t>
      </w:r>
    </w:p>
    <w:p w14:paraId="4C3D390B" w14:textId="77777777" w:rsidR="00B33613" w:rsidRDefault="00B33613" w:rsidP="008F6B9A">
      <w:pPr>
        <w:spacing w:after="0" w:line="240" w:lineRule="auto"/>
        <w:rPr>
          <w:rFonts w:cs="Arial"/>
          <w:b/>
          <w:highlight w:val="yellow"/>
        </w:rPr>
      </w:pPr>
      <w:r>
        <w:rPr>
          <w:noProof/>
        </w:rPr>
        <w:drawing>
          <wp:inline distT="0" distB="0" distL="0" distR="0" wp14:anchorId="2F365D58" wp14:editId="6D367EFC">
            <wp:extent cx="6076950" cy="5219700"/>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EAFD064" w14:textId="77777777" w:rsidR="00B33613" w:rsidRPr="00095759" w:rsidRDefault="00B33613" w:rsidP="00B33613">
      <w:pPr>
        <w:spacing w:after="120"/>
        <w:jc w:val="both"/>
        <w:rPr>
          <w:sz w:val="16"/>
        </w:rPr>
      </w:pPr>
      <w:r w:rsidRPr="00095759">
        <w:rPr>
          <w:sz w:val="16"/>
        </w:rPr>
        <w:t>Zdroj: Eurostat (ESAW)</w:t>
      </w:r>
    </w:p>
    <w:p w14:paraId="57C43E1A" w14:textId="77777777" w:rsidR="00434CAA" w:rsidRDefault="00434CAA">
      <w:pPr>
        <w:spacing w:after="0" w:line="240" w:lineRule="auto"/>
        <w:rPr>
          <w:rFonts w:cs="Arial"/>
          <w:b/>
          <w:bCs/>
          <w:color w:val="000000"/>
          <w:szCs w:val="20"/>
        </w:rPr>
      </w:pPr>
      <w:r>
        <w:rPr>
          <w:rFonts w:cs="Arial"/>
          <w:b/>
          <w:bCs/>
          <w:color w:val="000000"/>
          <w:szCs w:val="20"/>
        </w:rPr>
        <w:br w:type="page"/>
      </w:r>
    </w:p>
    <w:p w14:paraId="2075D05C" w14:textId="74297E8A" w:rsidR="00B33613" w:rsidRPr="00B33613" w:rsidRDefault="00B33613" w:rsidP="00B33613">
      <w:pPr>
        <w:spacing w:after="0" w:line="240" w:lineRule="auto"/>
        <w:rPr>
          <w:rFonts w:cs="Arial"/>
          <w:b/>
          <w:bCs/>
          <w:color w:val="000000"/>
          <w:szCs w:val="20"/>
        </w:rPr>
      </w:pPr>
      <w:r w:rsidRPr="00B33613">
        <w:rPr>
          <w:rFonts w:cs="Arial"/>
          <w:b/>
          <w:bCs/>
          <w:color w:val="000000"/>
          <w:szCs w:val="20"/>
        </w:rPr>
        <w:lastRenderedPageBreak/>
        <w:t xml:space="preserve">Tab. 6.2: Smrtelné pracovní úrazy v zemích EU </w:t>
      </w:r>
      <w:r w:rsidR="002B6CB3">
        <w:rPr>
          <w:rFonts w:cs="Arial"/>
          <w:b/>
          <w:bCs/>
          <w:color w:val="000000"/>
          <w:szCs w:val="20"/>
        </w:rPr>
        <w:br/>
      </w:r>
      <w:r w:rsidRPr="00B33613">
        <w:rPr>
          <w:rFonts w:cs="Arial"/>
          <w:b/>
          <w:bCs/>
          <w:color w:val="000000"/>
          <w:szCs w:val="20"/>
        </w:rPr>
        <w:t>(standardizovaná míra výskytu na 100 tis. zaměstnaných osob), 2011–2021</w:t>
      </w:r>
    </w:p>
    <w:tbl>
      <w:tblPr>
        <w:tblW w:w="9955" w:type="dxa"/>
        <w:tblLayout w:type="fixed"/>
        <w:tblCellMar>
          <w:left w:w="70" w:type="dxa"/>
          <w:right w:w="70" w:type="dxa"/>
        </w:tblCellMar>
        <w:tblLook w:val="04A0" w:firstRow="1" w:lastRow="0" w:firstColumn="1" w:lastColumn="0" w:noHBand="0" w:noVBand="1"/>
      </w:tblPr>
      <w:tblGrid>
        <w:gridCol w:w="1380"/>
        <w:gridCol w:w="765"/>
        <w:gridCol w:w="765"/>
        <w:gridCol w:w="765"/>
        <w:gridCol w:w="765"/>
        <w:gridCol w:w="765"/>
        <w:gridCol w:w="765"/>
        <w:gridCol w:w="765"/>
        <w:gridCol w:w="765"/>
        <w:gridCol w:w="765"/>
        <w:gridCol w:w="765"/>
        <w:gridCol w:w="765"/>
        <w:gridCol w:w="160"/>
      </w:tblGrid>
      <w:tr w:rsidR="00DD771A" w:rsidRPr="00166BEB" w14:paraId="061BD337" w14:textId="64E8EC16" w:rsidTr="00DD771A">
        <w:trPr>
          <w:gridAfter w:val="1"/>
          <w:wAfter w:w="160" w:type="dxa"/>
          <w:trHeight w:val="300"/>
        </w:trPr>
        <w:tc>
          <w:tcPr>
            <w:tcW w:w="1380" w:type="dxa"/>
            <w:tcBorders>
              <w:top w:val="single" w:sz="4" w:space="0" w:color="000000"/>
              <w:left w:val="nil"/>
              <w:bottom w:val="single" w:sz="4" w:space="0" w:color="000000"/>
              <w:right w:val="single" w:sz="4" w:space="0" w:color="auto"/>
            </w:tcBorders>
            <w:shd w:val="clear" w:color="000000" w:fill="F5DADD"/>
            <w:noWrap/>
            <w:vAlign w:val="center"/>
            <w:hideMark/>
          </w:tcPr>
          <w:p w14:paraId="35241E91" w14:textId="77777777" w:rsidR="00DD771A" w:rsidRPr="00166BEB" w:rsidRDefault="00DD771A" w:rsidP="00DD771A">
            <w:pPr>
              <w:spacing w:after="0" w:line="240" w:lineRule="auto"/>
              <w:rPr>
                <w:rFonts w:cs="Arial"/>
                <w:sz w:val="16"/>
                <w:szCs w:val="16"/>
                <w:highlight w:val="yellow"/>
              </w:rPr>
            </w:pPr>
            <w:r>
              <w:rPr>
                <w:rFonts w:cs="Arial"/>
                <w:sz w:val="16"/>
                <w:szCs w:val="16"/>
              </w:rPr>
              <w:t>Členské státy EU</w:t>
            </w:r>
          </w:p>
        </w:tc>
        <w:tc>
          <w:tcPr>
            <w:tcW w:w="765" w:type="dxa"/>
            <w:tcBorders>
              <w:top w:val="single" w:sz="4" w:space="0" w:color="000000"/>
              <w:left w:val="nil"/>
              <w:bottom w:val="single" w:sz="4" w:space="0" w:color="auto"/>
              <w:right w:val="single" w:sz="4" w:space="0" w:color="auto"/>
            </w:tcBorders>
            <w:shd w:val="clear" w:color="000000" w:fill="F5DADD"/>
            <w:noWrap/>
            <w:vAlign w:val="center"/>
            <w:hideMark/>
          </w:tcPr>
          <w:p w14:paraId="45B5613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2011</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5A5E575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2012</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7049637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2013</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4A79DBA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2014</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3FEC15E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2015</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5F10BA92"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2016</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1FD25EB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2017</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648846A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2018</w:t>
            </w:r>
          </w:p>
        </w:tc>
        <w:tc>
          <w:tcPr>
            <w:tcW w:w="765" w:type="dxa"/>
            <w:tcBorders>
              <w:top w:val="single" w:sz="4" w:space="0" w:color="000000"/>
              <w:left w:val="single" w:sz="4" w:space="0" w:color="auto"/>
              <w:bottom w:val="single" w:sz="4" w:space="0" w:color="auto"/>
              <w:right w:val="single" w:sz="4" w:space="0" w:color="auto"/>
            </w:tcBorders>
            <w:shd w:val="clear" w:color="000000" w:fill="F5DADD"/>
            <w:noWrap/>
            <w:vAlign w:val="center"/>
            <w:hideMark/>
          </w:tcPr>
          <w:p w14:paraId="5B0A788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2019</w:t>
            </w:r>
          </w:p>
        </w:tc>
        <w:tc>
          <w:tcPr>
            <w:tcW w:w="765" w:type="dxa"/>
            <w:tcBorders>
              <w:top w:val="single" w:sz="4" w:space="0" w:color="000000"/>
              <w:left w:val="single" w:sz="4" w:space="0" w:color="auto"/>
              <w:bottom w:val="single" w:sz="4" w:space="0" w:color="auto"/>
              <w:right w:val="single" w:sz="4" w:space="0" w:color="auto"/>
            </w:tcBorders>
            <w:shd w:val="clear" w:color="000000" w:fill="F5DADD"/>
            <w:vAlign w:val="center"/>
          </w:tcPr>
          <w:p w14:paraId="3BBE144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2020</w:t>
            </w:r>
          </w:p>
        </w:tc>
        <w:tc>
          <w:tcPr>
            <w:tcW w:w="765" w:type="dxa"/>
            <w:tcBorders>
              <w:top w:val="single" w:sz="4" w:space="0" w:color="000000"/>
              <w:left w:val="single" w:sz="4" w:space="0" w:color="auto"/>
              <w:bottom w:val="single" w:sz="4" w:space="0" w:color="auto"/>
              <w:right w:val="nil"/>
            </w:tcBorders>
            <w:shd w:val="clear" w:color="000000" w:fill="F5DADD"/>
            <w:vAlign w:val="center"/>
          </w:tcPr>
          <w:p w14:paraId="56B602CC" w14:textId="059C3931" w:rsidR="00DD771A" w:rsidRDefault="00DD771A" w:rsidP="00DD771A">
            <w:pPr>
              <w:spacing w:after="0" w:line="240" w:lineRule="auto"/>
              <w:jc w:val="center"/>
              <w:rPr>
                <w:rFonts w:cs="Arial"/>
                <w:sz w:val="16"/>
                <w:szCs w:val="16"/>
              </w:rPr>
            </w:pPr>
            <w:r>
              <w:rPr>
                <w:rFonts w:cs="Arial"/>
                <w:sz w:val="16"/>
                <w:szCs w:val="16"/>
              </w:rPr>
              <w:t>2021</w:t>
            </w:r>
          </w:p>
        </w:tc>
      </w:tr>
      <w:tr w:rsidR="00DD771A" w:rsidRPr="00166BEB" w14:paraId="610E58C1" w14:textId="77777777" w:rsidTr="00DD771A">
        <w:trPr>
          <w:trHeight w:val="300"/>
        </w:trPr>
        <w:tc>
          <w:tcPr>
            <w:tcW w:w="1380" w:type="dxa"/>
            <w:tcBorders>
              <w:top w:val="nil"/>
              <w:left w:val="nil"/>
              <w:bottom w:val="nil"/>
              <w:right w:val="nil"/>
            </w:tcBorders>
            <w:shd w:val="clear" w:color="auto" w:fill="auto"/>
            <w:noWrap/>
            <w:vAlign w:val="center"/>
            <w:hideMark/>
          </w:tcPr>
          <w:p w14:paraId="74829109" w14:textId="77777777" w:rsidR="00DD771A" w:rsidRPr="00166BEB" w:rsidRDefault="00DD771A" w:rsidP="00DD771A">
            <w:pPr>
              <w:spacing w:after="0" w:line="240" w:lineRule="auto"/>
              <w:rPr>
                <w:rFonts w:cs="Arial"/>
                <w:b/>
                <w:bCs/>
                <w:sz w:val="16"/>
                <w:szCs w:val="16"/>
                <w:highlight w:val="yellow"/>
              </w:rPr>
            </w:pPr>
            <w:r>
              <w:rPr>
                <w:rFonts w:cs="Arial"/>
                <w:b/>
                <w:bCs/>
                <w:sz w:val="16"/>
                <w:szCs w:val="16"/>
              </w:rPr>
              <w:t>EU27</w:t>
            </w:r>
          </w:p>
        </w:tc>
        <w:tc>
          <w:tcPr>
            <w:tcW w:w="765" w:type="dxa"/>
            <w:tcBorders>
              <w:top w:val="nil"/>
              <w:left w:val="single" w:sz="4" w:space="0" w:color="000000"/>
              <w:bottom w:val="nil"/>
              <w:right w:val="single" w:sz="4" w:space="0" w:color="auto"/>
            </w:tcBorders>
            <w:shd w:val="clear" w:color="auto" w:fill="auto"/>
            <w:noWrap/>
            <w:vAlign w:val="center"/>
            <w:hideMark/>
          </w:tcPr>
          <w:p w14:paraId="5002FEFA"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2,8</w:t>
            </w:r>
          </w:p>
        </w:tc>
        <w:tc>
          <w:tcPr>
            <w:tcW w:w="765" w:type="dxa"/>
            <w:tcBorders>
              <w:top w:val="nil"/>
              <w:left w:val="single" w:sz="4" w:space="0" w:color="auto"/>
              <w:bottom w:val="nil"/>
              <w:right w:val="single" w:sz="4" w:space="0" w:color="auto"/>
            </w:tcBorders>
            <w:shd w:val="clear" w:color="auto" w:fill="auto"/>
            <w:noWrap/>
            <w:vAlign w:val="center"/>
            <w:hideMark/>
          </w:tcPr>
          <w:p w14:paraId="1DFCAEA4"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01C479B0"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2,4</w:t>
            </w:r>
          </w:p>
        </w:tc>
        <w:tc>
          <w:tcPr>
            <w:tcW w:w="765" w:type="dxa"/>
            <w:tcBorders>
              <w:top w:val="nil"/>
              <w:left w:val="single" w:sz="4" w:space="0" w:color="auto"/>
              <w:bottom w:val="nil"/>
              <w:right w:val="single" w:sz="4" w:space="0" w:color="auto"/>
            </w:tcBorders>
            <w:shd w:val="clear" w:color="auto" w:fill="auto"/>
            <w:noWrap/>
            <w:vAlign w:val="center"/>
            <w:hideMark/>
          </w:tcPr>
          <w:p w14:paraId="697CF993"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2,5</w:t>
            </w:r>
          </w:p>
        </w:tc>
        <w:tc>
          <w:tcPr>
            <w:tcW w:w="765" w:type="dxa"/>
            <w:tcBorders>
              <w:top w:val="nil"/>
              <w:left w:val="single" w:sz="4" w:space="0" w:color="auto"/>
              <w:bottom w:val="nil"/>
              <w:right w:val="single" w:sz="4" w:space="0" w:color="auto"/>
            </w:tcBorders>
            <w:shd w:val="clear" w:color="auto" w:fill="auto"/>
            <w:noWrap/>
            <w:vAlign w:val="center"/>
            <w:hideMark/>
          </w:tcPr>
          <w:p w14:paraId="7A7F75C9"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2,6</w:t>
            </w:r>
          </w:p>
        </w:tc>
        <w:tc>
          <w:tcPr>
            <w:tcW w:w="765" w:type="dxa"/>
            <w:tcBorders>
              <w:top w:val="nil"/>
              <w:left w:val="single" w:sz="4" w:space="0" w:color="auto"/>
              <w:bottom w:val="nil"/>
              <w:right w:val="single" w:sz="4" w:space="0" w:color="auto"/>
            </w:tcBorders>
            <w:shd w:val="clear" w:color="auto" w:fill="auto"/>
            <w:noWrap/>
            <w:vAlign w:val="center"/>
            <w:hideMark/>
          </w:tcPr>
          <w:p w14:paraId="06D69AC2"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2,3</w:t>
            </w:r>
          </w:p>
        </w:tc>
        <w:tc>
          <w:tcPr>
            <w:tcW w:w="765" w:type="dxa"/>
            <w:tcBorders>
              <w:top w:val="nil"/>
              <w:left w:val="single" w:sz="4" w:space="0" w:color="auto"/>
              <w:bottom w:val="nil"/>
              <w:right w:val="single" w:sz="4" w:space="0" w:color="auto"/>
            </w:tcBorders>
            <w:shd w:val="clear" w:color="auto" w:fill="auto"/>
            <w:noWrap/>
            <w:vAlign w:val="center"/>
            <w:hideMark/>
          </w:tcPr>
          <w:p w14:paraId="71FBA5F7"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2,3</w:t>
            </w:r>
          </w:p>
        </w:tc>
        <w:tc>
          <w:tcPr>
            <w:tcW w:w="765" w:type="dxa"/>
            <w:tcBorders>
              <w:top w:val="nil"/>
              <w:left w:val="single" w:sz="4" w:space="0" w:color="auto"/>
              <w:bottom w:val="nil"/>
              <w:right w:val="single" w:sz="4" w:space="0" w:color="auto"/>
            </w:tcBorders>
            <w:shd w:val="clear" w:color="auto" w:fill="auto"/>
            <w:noWrap/>
            <w:vAlign w:val="center"/>
            <w:hideMark/>
          </w:tcPr>
          <w:p w14:paraId="5E1AFC59"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2,2</w:t>
            </w:r>
          </w:p>
        </w:tc>
        <w:tc>
          <w:tcPr>
            <w:tcW w:w="765" w:type="dxa"/>
            <w:tcBorders>
              <w:top w:val="nil"/>
              <w:left w:val="single" w:sz="4" w:space="0" w:color="auto"/>
              <w:bottom w:val="nil"/>
              <w:right w:val="single" w:sz="4" w:space="0" w:color="auto"/>
            </w:tcBorders>
            <w:shd w:val="clear" w:color="auto" w:fill="auto"/>
            <w:noWrap/>
            <w:vAlign w:val="center"/>
            <w:hideMark/>
          </w:tcPr>
          <w:p w14:paraId="4C4FD9D8"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2,2</w:t>
            </w:r>
          </w:p>
        </w:tc>
        <w:tc>
          <w:tcPr>
            <w:tcW w:w="765" w:type="dxa"/>
            <w:tcBorders>
              <w:top w:val="nil"/>
              <w:left w:val="single" w:sz="4" w:space="0" w:color="auto"/>
              <w:bottom w:val="nil"/>
              <w:right w:val="single" w:sz="4" w:space="0" w:color="auto"/>
            </w:tcBorders>
            <w:shd w:val="clear" w:color="auto" w:fill="D9D9D9"/>
            <w:vAlign w:val="center"/>
          </w:tcPr>
          <w:p w14:paraId="2E650272"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2,1</w:t>
            </w:r>
          </w:p>
        </w:tc>
        <w:tc>
          <w:tcPr>
            <w:tcW w:w="765" w:type="dxa"/>
            <w:tcBorders>
              <w:top w:val="nil"/>
              <w:left w:val="single" w:sz="4" w:space="0" w:color="auto"/>
              <w:bottom w:val="nil"/>
              <w:right w:val="nil"/>
            </w:tcBorders>
            <w:vAlign w:val="center"/>
          </w:tcPr>
          <w:p w14:paraId="624E1E01" w14:textId="554AB676"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2,2</w:t>
            </w:r>
          </w:p>
        </w:tc>
        <w:tc>
          <w:tcPr>
            <w:tcW w:w="160" w:type="dxa"/>
            <w:tcBorders>
              <w:top w:val="nil"/>
              <w:left w:val="nil"/>
              <w:bottom w:val="nil"/>
              <w:right w:val="nil"/>
            </w:tcBorders>
          </w:tcPr>
          <w:p w14:paraId="741B941F" w14:textId="1F964126" w:rsidR="00DD771A" w:rsidRPr="00166BEB" w:rsidRDefault="00DD771A" w:rsidP="00DD771A">
            <w:pPr>
              <w:spacing w:after="0" w:line="240" w:lineRule="auto"/>
              <w:jc w:val="center"/>
              <w:rPr>
                <w:rFonts w:cs="Arial"/>
                <w:b/>
                <w:bCs/>
                <w:sz w:val="16"/>
                <w:szCs w:val="16"/>
                <w:highlight w:val="yellow"/>
              </w:rPr>
            </w:pPr>
          </w:p>
        </w:tc>
      </w:tr>
      <w:tr w:rsidR="00DD771A" w:rsidRPr="00166BEB" w14:paraId="31020F47" w14:textId="77777777" w:rsidTr="00DD771A">
        <w:trPr>
          <w:trHeight w:val="300"/>
        </w:trPr>
        <w:tc>
          <w:tcPr>
            <w:tcW w:w="1380" w:type="dxa"/>
            <w:tcBorders>
              <w:top w:val="nil"/>
              <w:left w:val="nil"/>
              <w:bottom w:val="nil"/>
              <w:right w:val="nil"/>
            </w:tcBorders>
            <w:shd w:val="clear" w:color="auto" w:fill="auto"/>
            <w:noWrap/>
            <w:vAlign w:val="center"/>
            <w:hideMark/>
          </w:tcPr>
          <w:p w14:paraId="7E6FC8BD"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Belgie</w:t>
            </w:r>
          </w:p>
        </w:tc>
        <w:tc>
          <w:tcPr>
            <w:tcW w:w="765" w:type="dxa"/>
            <w:tcBorders>
              <w:top w:val="nil"/>
              <w:left w:val="single" w:sz="4" w:space="0" w:color="000000"/>
              <w:bottom w:val="nil"/>
              <w:right w:val="single" w:sz="4" w:space="0" w:color="auto"/>
            </w:tcBorders>
            <w:shd w:val="clear" w:color="auto" w:fill="auto"/>
            <w:noWrap/>
            <w:vAlign w:val="center"/>
            <w:hideMark/>
          </w:tcPr>
          <w:p w14:paraId="2174F8B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4,5</w:t>
            </w:r>
          </w:p>
        </w:tc>
        <w:tc>
          <w:tcPr>
            <w:tcW w:w="765" w:type="dxa"/>
            <w:tcBorders>
              <w:top w:val="nil"/>
              <w:left w:val="single" w:sz="4" w:space="0" w:color="auto"/>
              <w:bottom w:val="nil"/>
              <w:right w:val="single" w:sz="4" w:space="0" w:color="auto"/>
            </w:tcBorders>
            <w:shd w:val="clear" w:color="auto" w:fill="auto"/>
            <w:noWrap/>
            <w:vAlign w:val="center"/>
            <w:hideMark/>
          </w:tcPr>
          <w:p w14:paraId="1F7565D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2,1</w:t>
            </w:r>
          </w:p>
        </w:tc>
        <w:tc>
          <w:tcPr>
            <w:tcW w:w="765" w:type="dxa"/>
            <w:tcBorders>
              <w:top w:val="nil"/>
              <w:left w:val="single" w:sz="4" w:space="0" w:color="auto"/>
              <w:bottom w:val="nil"/>
              <w:right w:val="single" w:sz="4" w:space="0" w:color="auto"/>
            </w:tcBorders>
            <w:shd w:val="clear" w:color="auto" w:fill="auto"/>
            <w:noWrap/>
            <w:vAlign w:val="center"/>
            <w:hideMark/>
          </w:tcPr>
          <w:p w14:paraId="75D16E4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3,1</w:t>
            </w:r>
          </w:p>
        </w:tc>
        <w:tc>
          <w:tcPr>
            <w:tcW w:w="765" w:type="dxa"/>
            <w:tcBorders>
              <w:top w:val="nil"/>
              <w:left w:val="single" w:sz="4" w:space="0" w:color="auto"/>
              <w:bottom w:val="nil"/>
              <w:right w:val="single" w:sz="4" w:space="0" w:color="auto"/>
            </w:tcBorders>
            <w:shd w:val="clear" w:color="000000" w:fill="DBDBDB"/>
            <w:noWrap/>
            <w:vAlign w:val="center"/>
            <w:hideMark/>
          </w:tcPr>
          <w:p w14:paraId="7E8187D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1,7</w:t>
            </w:r>
          </w:p>
        </w:tc>
        <w:tc>
          <w:tcPr>
            <w:tcW w:w="765" w:type="dxa"/>
            <w:tcBorders>
              <w:top w:val="nil"/>
              <w:left w:val="single" w:sz="4" w:space="0" w:color="auto"/>
              <w:bottom w:val="nil"/>
              <w:right w:val="single" w:sz="4" w:space="0" w:color="auto"/>
            </w:tcBorders>
            <w:shd w:val="clear" w:color="auto" w:fill="auto"/>
            <w:noWrap/>
            <w:vAlign w:val="center"/>
            <w:hideMark/>
          </w:tcPr>
          <w:p w14:paraId="4A4442E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2,4</w:t>
            </w:r>
          </w:p>
        </w:tc>
        <w:tc>
          <w:tcPr>
            <w:tcW w:w="765" w:type="dxa"/>
            <w:tcBorders>
              <w:top w:val="nil"/>
              <w:left w:val="single" w:sz="4" w:space="0" w:color="auto"/>
              <w:bottom w:val="nil"/>
              <w:right w:val="single" w:sz="4" w:space="0" w:color="auto"/>
            </w:tcBorders>
            <w:shd w:val="clear" w:color="auto" w:fill="auto"/>
            <w:noWrap/>
            <w:vAlign w:val="center"/>
            <w:hideMark/>
          </w:tcPr>
          <w:p w14:paraId="37C77A0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2,3</w:t>
            </w:r>
          </w:p>
        </w:tc>
        <w:tc>
          <w:tcPr>
            <w:tcW w:w="765" w:type="dxa"/>
            <w:tcBorders>
              <w:top w:val="nil"/>
              <w:left w:val="single" w:sz="4" w:space="0" w:color="auto"/>
              <w:bottom w:val="nil"/>
              <w:right w:val="single" w:sz="4" w:space="0" w:color="auto"/>
            </w:tcBorders>
            <w:shd w:val="clear" w:color="auto" w:fill="auto"/>
            <w:noWrap/>
            <w:vAlign w:val="center"/>
            <w:hideMark/>
          </w:tcPr>
          <w:p w14:paraId="7AA022E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2,3</w:t>
            </w:r>
          </w:p>
        </w:tc>
        <w:tc>
          <w:tcPr>
            <w:tcW w:w="765" w:type="dxa"/>
            <w:tcBorders>
              <w:top w:val="nil"/>
              <w:left w:val="single" w:sz="4" w:space="0" w:color="auto"/>
              <w:bottom w:val="nil"/>
              <w:right w:val="single" w:sz="4" w:space="0" w:color="auto"/>
            </w:tcBorders>
            <w:shd w:val="clear" w:color="auto" w:fill="auto"/>
            <w:noWrap/>
            <w:vAlign w:val="center"/>
            <w:hideMark/>
          </w:tcPr>
          <w:p w14:paraId="6C68982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03A27AC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D9D9D9"/>
            <w:vAlign w:val="center"/>
          </w:tcPr>
          <w:p w14:paraId="0B4CA69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2,1</w:t>
            </w:r>
          </w:p>
        </w:tc>
        <w:tc>
          <w:tcPr>
            <w:tcW w:w="765" w:type="dxa"/>
            <w:tcBorders>
              <w:top w:val="nil"/>
              <w:left w:val="single" w:sz="4" w:space="0" w:color="auto"/>
              <w:bottom w:val="nil"/>
              <w:right w:val="nil"/>
            </w:tcBorders>
            <w:vAlign w:val="center"/>
          </w:tcPr>
          <w:p w14:paraId="1A408AF4" w14:textId="2E46A668" w:rsidR="00DD771A" w:rsidRPr="00166BEB" w:rsidRDefault="00DD771A" w:rsidP="00DD771A">
            <w:pPr>
              <w:spacing w:after="0" w:line="240" w:lineRule="auto"/>
              <w:jc w:val="center"/>
              <w:rPr>
                <w:rFonts w:cs="Arial"/>
                <w:sz w:val="16"/>
                <w:szCs w:val="16"/>
                <w:highlight w:val="yellow"/>
              </w:rPr>
            </w:pPr>
            <w:r>
              <w:rPr>
                <w:rFonts w:cs="Arial"/>
                <w:sz w:val="16"/>
                <w:szCs w:val="16"/>
              </w:rPr>
              <w:t>2,1</w:t>
            </w:r>
          </w:p>
        </w:tc>
        <w:tc>
          <w:tcPr>
            <w:tcW w:w="160" w:type="dxa"/>
            <w:tcBorders>
              <w:top w:val="nil"/>
              <w:left w:val="nil"/>
              <w:bottom w:val="nil"/>
              <w:right w:val="nil"/>
            </w:tcBorders>
          </w:tcPr>
          <w:p w14:paraId="16A0C714" w14:textId="69E1E5FA" w:rsidR="00DD771A" w:rsidRPr="00166BEB" w:rsidRDefault="00DD771A" w:rsidP="00DD771A">
            <w:pPr>
              <w:spacing w:after="0" w:line="240" w:lineRule="auto"/>
              <w:jc w:val="center"/>
              <w:rPr>
                <w:rFonts w:cs="Arial"/>
                <w:sz w:val="16"/>
                <w:szCs w:val="16"/>
                <w:highlight w:val="yellow"/>
              </w:rPr>
            </w:pPr>
          </w:p>
        </w:tc>
      </w:tr>
      <w:tr w:rsidR="00DD771A" w:rsidRPr="00166BEB" w14:paraId="01D72450" w14:textId="77777777" w:rsidTr="00DD771A">
        <w:trPr>
          <w:trHeight w:val="300"/>
        </w:trPr>
        <w:tc>
          <w:tcPr>
            <w:tcW w:w="1380" w:type="dxa"/>
            <w:tcBorders>
              <w:top w:val="nil"/>
              <w:left w:val="nil"/>
              <w:bottom w:val="nil"/>
              <w:right w:val="nil"/>
            </w:tcBorders>
            <w:shd w:val="clear" w:color="auto" w:fill="auto"/>
            <w:noWrap/>
            <w:vAlign w:val="center"/>
            <w:hideMark/>
          </w:tcPr>
          <w:p w14:paraId="3710D56F"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Bulharsko</w:t>
            </w:r>
          </w:p>
        </w:tc>
        <w:tc>
          <w:tcPr>
            <w:tcW w:w="765" w:type="dxa"/>
            <w:tcBorders>
              <w:top w:val="nil"/>
              <w:left w:val="single" w:sz="4" w:space="0" w:color="000000"/>
              <w:bottom w:val="nil"/>
              <w:right w:val="single" w:sz="4" w:space="0" w:color="auto"/>
            </w:tcBorders>
            <w:shd w:val="clear" w:color="auto" w:fill="auto"/>
            <w:noWrap/>
            <w:vAlign w:val="center"/>
            <w:hideMark/>
          </w:tcPr>
          <w:p w14:paraId="1BD8D779"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4,6</w:t>
            </w:r>
          </w:p>
        </w:tc>
        <w:tc>
          <w:tcPr>
            <w:tcW w:w="765" w:type="dxa"/>
            <w:tcBorders>
              <w:top w:val="nil"/>
              <w:left w:val="single" w:sz="4" w:space="0" w:color="auto"/>
              <w:bottom w:val="nil"/>
              <w:right w:val="single" w:sz="4" w:space="0" w:color="auto"/>
            </w:tcBorders>
            <w:shd w:val="clear" w:color="auto" w:fill="auto"/>
            <w:noWrap/>
            <w:vAlign w:val="center"/>
            <w:hideMark/>
          </w:tcPr>
          <w:p w14:paraId="68CEEFC2"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4,7</w:t>
            </w:r>
          </w:p>
        </w:tc>
        <w:tc>
          <w:tcPr>
            <w:tcW w:w="765" w:type="dxa"/>
            <w:tcBorders>
              <w:top w:val="nil"/>
              <w:left w:val="single" w:sz="4" w:space="0" w:color="auto"/>
              <w:bottom w:val="nil"/>
              <w:right w:val="single" w:sz="4" w:space="0" w:color="auto"/>
            </w:tcBorders>
            <w:shd w:val="clear" w:color="auto" w:fill="auto"/>
            <w:noWrap/>
            <w:vAlign w:val="center"/>
            <w:hideMark/>
          </w:tcPr>
          <w:p w14:paraId="65D0C52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3,7</w:t>
            </w:r>
          </w:p>
        </w:tc>
        <w:tc>
          <w:tcPr>
            <w:tcW w:w="765" w:type="dxa"/>
            <w:tcBorders>
              <w:top w:val="nil"/>
              <w:left w:val="single" w:sz="4" w:space="0" w:color="auto"/>
              <w:bottom w:val="nil"/>
              <w:right w:val="single" w:sz="4" w:space="0" w:color="auto"/>
            </w:tcBorders>
            <w:shd w:val="clear" w:color="auto" w:fill="auto"/>
            <w:noWrap/>
            <w:vAlign w:val="center"/>
            <w:hideMark/>
          </w:tcPr>
          <w:p w14:paraId="15288E0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5,4</w:t>
            </w:r>
          </w:p>
        </w:tc>
        <w:tc>
          <w:tcPr>
            <w:tcW w:w="765" w:type="dxa"/>
            <w:tcBorders>
              <w:top w:val="nil"/>
              <w:left w:val="single" w:sz="4" w:space="0" w:color="auto"/>
              <w:bottom w:val="nil"/>
              <w:right w:val="single" w:sz="4" w:space="0" w:color="auto"/>
            </w:tcBorders>
            <w:shd w:val="clear" w:color="auto" w:fill="auto"/>
            <w:noWrap/>
            <w:vAlign w:val="center"/>
            <w:hideMark/>
          </w:tcPr>
          <w:p w14:paraId="4FDCD3F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4,3</w:t>
            </w:r>
          </w:p>
        </w:tc>
        <w:tc>
          <w:tcPr>
            <w:tcW w:w="765" w:type="dxa"/>
            <w:tcBorders>
              <w:top w:val="nil"/>
              <w:left w:val="single" w:sz="4" w:space="0" w:color="auto"/>
              <w:bottom w:val="nil"/>
              <w:right w:val="single" w:sz="4" w:space="0" w:color="auto"/>
            </w:tcBorders>
            <w:shd w:val="clear" w:color="auto" w:fill="auto"/>
            <w:noWrap/>
            <w:vAlign w:val="center"/>
            <w:hideMark/>
          </w:tcPr>
          <w:p w14:paraId="65BBAFF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3,7</w:t>
            </w:r>
          </w:p>
        </w:tc>
        <w:tc>
          <w:tcPr>
            <w:tcW w:w="765" w:type="dxa"/>
            <w:tcBorders>
              <w:top w:val="nil"/>
              <w:left w:val="single" w:sz="4" w:space="0" w:color="auto"/>
              <w:bottom w:val="nil"/>
              <w:right w:val="single" w:sz="4" w:space="0" w:color="auto"/>
            </w:tcBorders>
            <w:shd w:val="clear" w:color="auto" w:fill="auto"/>
            <w:noWrap/>
            <w:vAlign w:val="center"/>
            <w:hideMark/>
          </w:tcPr>
          <w:p w14:paraId="6C5BB59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4,3</w:t>
            </w:r>
          </w:p>
        </w:tc>
        <w:tc>
          <w:tcPr>
            <w:tcW w:w="765" w:type="dxa"/>
            <w:tcBorders>
              <w:top w:val="nil"/>
              <w:left w:val="single" w:sz="4" w:space="0" w:color="auto"/>
              <w:bottom w:val="nil"/>
              <w:right w:val="single" w:sz="4" w:space="0" w:color="auto"/>
            </w:tcBorders>
            <w:shd w:val="clear" w:color="auto" w:fill="auto"/>
            <w:noWrap/>
            <w:vAlign w:val="center"/>
            <w:hideMark/>
          </w:tcPr>
          <w:p w14:paraId="1552F1B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3,8</w:t>
            </w:r>
          </w:p>
        </w:tc>
        <w:tc>
          <w:tcPr>
            <w:tcW w:w="765" w:type="dxa"/>
            <w:tcBorders>
              <w:top w:val="nil"/>
              <w:left w:val="single" w:sz="4" w:space="0" w:color="auto"/>
              <w:bottom w:val="nil"/>
              <w:right w:val="single" w:sz="4" w:space="0" w:color="auto"/>
            </w:tcBorders>
            <w:shd w:val="clear" w:color="auto" w:fill="auto"/>
            <w:noWrap/>
            <w:vAlign w:val="center"/>
            <w:hideMark/>
          </w:tcPr>
          <w:p w14:paraId="2A0F133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4,1</w:t>
            </w:r>
          </w:p>
        </w:tc>
        <w:tc>
          <w:tcPr>
            <w:tcW w:w="765" w:type="dxa"/>
            <w:tcBorders>
              <w:top w:val="nil"/>
              <w:left w:val="single" w:sz="4" w:space="0" w:color="auto"/>
              <w:bottom w:val="nil"/>
              <w:right w:val="single" w:sz="4" w:space="0" w:color="auto"/>
            </w:tcBorders>
            <w:shd w:val="clear" w:color="auto" w:fill="D9D9D9"/>
            <w:vAlign w:val="center"/>
          </w:tcPr>
          <w:p w14:paraId="1F608E0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4,5</w:t>
            </w:r>
          </w:p>
        </w:tc>
        <w:tc>
          <w:tcPr>
            <w:tcW w:w="765" w:type="dxa"/>
            <w:tcBorders>
              <w:top w:val="nil"/>
              <w:left w:val="single" w:sz="4" w:space="0" w:color="auto"/>
              <w:bottom w:val="nil"/>
              <w:right w:val="nil"/>
            </w:tcBorders>
            <w:vAlign w:val="center"/>
          </w:tcPr>
          <w:p w14:paraId="06666A03" w14:textId="676ABFF1" w:rsidR="00DD771A" w:rsidRPr="00166BEB" w:rsidRDefault="00DD771A" w:rsidP="00DD771A">
            <w:pPr>
              <w:spacing w:after="0" w:line="240" w:lineRule="auto"/>
              <w:jc w:val="center"/>
              <w:rPr>
                <w:rFonts w:cs="Arial"/>
                <w:sz w:val="16"/>
                <w:szCs w:val="16"/>
                <w:highlight w:val="yellow"/>
              </w:rPr>
            </w:pPr>
            <w:r>
              <w:rPr>
                <w:rFonts w:cs="Arial"/>
                <w:sz w:val="16"/>
                <w:szCs w:val="16"/>
              </w:rPr>
              <w:t>3,5</w:t>
            </w:r>
          </w:p>
        </w:tc>
        <w:tc>
          <w:tcPr>
            <w:tcW w:w="160" w:type="dxa"/>
            <w:tcBorders>
              <w:top w:val="nil"/>
              <w:left w:val="nil"/>
              <w:bottom w:val="nil"/>
              <w:right w:val="nil"/>
            </w:tcBorders>
          </w:tcPr>
          <w:p w14:paraId="56367298" w14:textId="391F7208" w:rsidR="00DD771A" w:rsidRPr="00166BEB" w:rsidRDefault="00DD771A" w:rsidP="00DD771A">
            <w:pPr>
              <w:spacing w:after="0" w:line="240" w:lineRule="auto"/>
              <w:jc w:val="center"/>
              <w:rPr>
                <w:rFonts w:cs="Arial"/>
                <w:sz w:val="16"/>
                <w:szCs w:val="16"/>
                <w:highlight w:val="yellow"/>
              </w:rPr>
            </w:pPr>
          </w:p>
        </w:tc>
      </w:tr>
      <w:tr w:rsidR="00DD771A" w:rsidRPr="00166BEB" w14:paraId="2D670F40" w14:textId="21FDA50C" w:rsidTr="00DD771A">
        <w:trPr>
          <w:gridAfter w:val="1"/>
          <w:wAfter w:w="160" w:type="dxa"/>
          <w:trHeight w:val="300"/>
        </w:trPr>
        <w:tc>
          <w:tcPr>
            <w:tcW w:w="1380" w:type="dxa"/>
            <w:tcBorders>
              <w:top w:val="nil"/>
              <w:left w:val="nil"/>
              <w:bottom w:val="nil"/>
              <w:right w:val="nil"/>
            </w:tcBorders>
            <w:shd w:val="clear" w:color="auto" w:fill="auto"/>
            <w:noWrap/>
            <w:vAlign w:val="center"/>
            <w:hideMark/>
          </w:tcPr>
          <w:p w14:paraId="3598C48A" w14:textId="77777777" w:rsidR="00DD771A" w:rsidRPr="00166BEB" w:rsidRDefault="00DD771A" w:rsidP="00DD771A">
            <w:pPr>
              <w:spacing w:after="0" w:line="240" w:lineRule="auto"/>
              <w:ind w:firstLineChars="100" w:firstLine="160"/>
              <w:rPr>
                <w:rFonts w:cs="Arial"/>
                <w:b/>
                <w:bCs/>
                <w:sz w:val="16"/>
                <w:szCs w:val="16"/>
                <w:highlight w:val="yellow"/>
              </w:rPr>
            </w:pPr>
            <w:r>
              <w:rPr>
                <w:rFonts w:cs="Arial"/>
                <w:b/>
                <w:bCs/>
                <w:sz w:val="16"/>
                <w:szCs w:val="16"/>
              </w:rPr>
              <w:t>Česko</w:t>
            </w:r>
          </w:p>
        </w:tc>
        <w:tc>
          <w:tcPr>
            <w:tcW w:w="765" w:type="dxa"/>
            <w:tcBorders>
              <w:top w:val="nil"/>
              <w:left w:val="single" w:sz="4" w:space="0" w:color="000000"/>
              <w:bottom w:val="nil"/>
              <w:right w:val="single" w:sz="4" w:space="0" w:color="auto"/>
            </w:tcBorders>
            <w:shd w:val="clear" w:color="auto" w:fill="auto"/>
            <w:noWrap/>
            <w:vAlign w:val="center"/>
            <w:hideMark/>
          </w:tcPr>
          <w:p w14:paraId="40B8B3CF"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4,0</w:t>
            </w:r>
          </w:p>
        </w:tc>
        <w:tc>
          <w:tcPr>
            <w:tcW w:w="765" w:type="dxa"/>
            <w:tcBorders>
              <w:top w:val="nil"/>
              <w:left w:val="single" w:sz="4" w:space="0" w:color="auto"/>
              <w:bottom w:val="nil"/>
              <w:right w:val="single" w:sz="4" w:space="0" w:color="auto"/>
            </w:tcBorders>
            <w:shd w:val="clear" w:color="auto" w:fill="auto"/>
            <w:noWrap/>
            <w:vAlign w:val="center"/>
            <w:hideMark/>
          </w:tcPr>
          <w:p w14:paraId="08D6D63B"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3,0</w:t>
            </w:r>
          </w:p>
        </w:tc>
        <w:tc>
          <w:tcPr>
            <w:tcW w:w="765" w:type="dxa"/>
            <w:tcBorders>
              <w:top w:val="nil"/>
              <w:left w:val="single" w:sz="4" w:space="0" w:color="auto"/>
              <w:bottom w:val="nil"/>
              <w:right w:val="single" w:sz="4" w:space="0" w:color="auto"/>
            </w:tcBorders>
            <w:shd w:val="clear" w:color="auto" w:fill="auto"/>
            <w:noWrap/>
            <w:vAlign w:val="center"/>
            <w:hideMark/>
          </w:tcPr>
          <w:p w14:paraId="34E55A98"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5DD145CB"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2,6</w:t>
            </w:r>
          </w:p>
        </w:tc>
        <w:tc>
          <w:tcPr>
            <w:tcW w:w="765" w:type="dxa"/>
            <w:tcBorders>
              <w:top w:val="nil"/>
              <w:left w:val="single" w:sz="4" w:space="0" w:color="auto"/>
              <w:bottom w:val="nil"/>
              <w:right w:val="single" w:sz="4" w:space="0" w:color="auto"/>
            </w:tcBorders>
            <w:shd w:val="clear" w:color="auto" w:fill="auto"/>
            <w:noWrap/>
            <w:vAlign w:val="center"/>
            <w:hideMark/>
          </w:tcPr>
          <w:p w14:paraId="406F6F03"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3,4</w:t>
            </w:r>
          </w:p>
        </w:tc>
        <w:tc>
          <w:tcPr>
            <w:tcW w:w="765" w:type="dxa"/>
            <w:tcBorders>
              <w:top w:val="nil"/>
              <w:left w:val="single" w:sz="4" w:space="0" w:color="auto"/>
              <w:bottom w:val="nil"/>
              <w:right w:val="single" w:sz="4" w:space="0" w:color="auto"/>
            </w:tcBorders>
            <w:shd w:val="clear" w:color="auto" w:fill="auto"/>
            <w:noWrap/>
            <w:vAlign w:val="center"/>
            <w:hideMark/>
          </w:tcPr>
          <w:p w14:paraId="0E02A002"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2,2</w:t>
            </w:r>
          </w:p>
        </w:tc>
        <w:tc>
          <w:tcPr>
            <w:tcW w:w="765" w:type="dxa"/>
            <w:tcBorders>
              <w:top w:val="nil"/>
              <w:left w:val="single" w:sz="4" w:space="0" w:color="auto"/>
              <w:bottom w:val="nil"/>
              <w:right w:val="single" w:sz="4" w:space="0" w:color="auto"/>
            </w:tcBorders>
            <w:shd w:val="clear" w:color="auto" w:fill="auto"/>
            <w:noWrap/>
            <w:vAlign w:val="center"/>
            <w:hideMark/>
          </w:tcPr>
          <w:p w14:paraId="15C11F02"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2,1</w:t>
            </w:r>
          </w:p>
        </w:tc>
        <w:tc>
          <w:tcPr>
            <w:tcW w:w="765" w:type="dxa"/>
            <w:tcBorders>
              <w:top w:val="nil"/>
              <w:left w:val="single" w:sz="4" w:space="0" w:color="auto"/>
              <w:bottom w:val="nil"/>
              <w:right w:val="single" w:sz="4" w:space="0" w:color="auto"/>
            </w:tcBorders>
            <w:shd w:val="clear" w:color="auto" w:fill="auto"/>
            <w:noWrap/>
            <w:vAlign w:val="center"/>
            <w:hideMark/>
          </w:tcPr>
          <w:p w14:paraId="2CCF3EA2"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2,9</w:t>
            </w:r>
          </w:p>
        </w:tc>
        <w:tc>
          <w:tcPr>
            <w:tcW w:w="765" w:type="dxa"/>
            <w:tcBorders>
              <w:top w:val="nil"/>
              <w:left w:val="single" w:sz="4" w:space="0" w:color="auto"/>
              <w:bottom w:val="nil"/>
              <w:right w:val="single" w:sz="4" w:space="0" w:color="auto"/>
            </w:tcBorders>
            <w:shd w:val="clear" w:color="auto" w:fill="auto"/>
            <w:noWrap/>
            <w:vAlign w:val="center"/>
            <w:hideMark/>
          </w:tcPr>
          <w:p w14:paraId="25A29B74"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2,4</w:t>
            </w:r>
          </w:p>
        </w:tc>
        <w:tc>
          <w:tcPr>
            <w:tcW w:w="765" w:type="dxa"/>
            <w:tcBorders>
              <w:top w:val="nil"/>
              <w:left w:val="single" w:sz="4" w:space="0" w:color="auto"/>
              <w:bottom w:val="nil"/>
              <w:right w:val="single" w:sz="4" w:space="0" w:color="auto"/>
            </w:tcBorders>
            <w:shd w:val="clear" w:color="auto" w:fill="D9D9D9"/>
            <w:vAlign w:val="center"/>
          </w:tcPr>
          <w:p w14:paraId="6A32795F" w14:textId="77777777" w:rsidR="00DD771A" w:rsidRPr="00166BEB" w:rsidRDefault="00DD771A" w:rsidP="00DD771A">
            <w:pPr>
              <w:spacing w:after="0" w:line="240" w:lineRule="auto"/>
              <w:jc w:val="center"/>
              <w:rPr>
                <w:rFonts w:cs="Arial"/>
                <w:b/>
                <w:bCs/>
                <w:sz w:val="16"/>
                <w:szCs w:val="16"/>
                <w:highlight w:val="yellow"/>
              </w:rPr>
            </w:pPr>
            <w:r>
              <w:rPr>
                <w:rFonts w:cs="Arial"/>
                <w:b/>
                <w:bCs/>
                <w:sz w:val="16"/>
                <w:szCs w:val="16"/>
              </w:rPr>
              <w:t>2,5</w:t>
            </w:r>
          </w:p>
        </w:tc>
        <w:tc>
          <w:tcPr>
            <w:tcW w:w="765" w:type="dxa"/>
            <w:tcBorders>
              <w:top w:val="nil"/>
              <w:left w:val="single" w:sz="4" w:space="0" w:color="auto"/>
              <w:bottom w:val="nil"/>
              <w:right w:val="nil"/>
            </w:tcBorders>
            <w:shd w:val="clear" w:color="auto" w:fill="D9D9D9"/>
            <w:vAlign w:val="center"/>
          </w:tcPr>
          <w:p w14:paraId="1AB17A6E" w14:textId="05526A6E" w:rsidR="00DD771A" w:rsidRDefault="00DD771A" w:rsidP="00DD771A">
            <w:pPr>
              <w:spacing w:after="0" w:line="240" w:lineRule="auto"/>
              <w:jc w:val="center"/>
              <w:rPr>
                <w:rFonts w:cs="Arial"/>
                <w:b/>
                <w:bCs/>
                <w:sz w:val="16"/>
                <w:szCs w:val="16"/>
              </w:rPr>
            </w:pPr>
            <w:r>
              <w:rPr>
                <w:rFonts w:cs="Arial"/>
                <w:b/>
                <w:bCs/>
                <w:sz w:val="16"/>
                <w:szCs w:val="16"/>
              </w:rPr>
              <w:t>2,0</w:t>
            </w:r>
          </w:p>
        </w:tc>
      </w:tr>
      <w:tr w:rsidR="00DD771A" w:rsidRPr="00166BEB" w14:paraId="610362E0" w14:textId="77777777" w:rsidTr="00DD771A">
        <w:trPr>
          <w:trHeight w:val="300"/>
        </w:trPr>
        <w:tc>
          <w:tcPr>
            <w:tcW w:w="1380" w:type="dxa"/>
            <w:tcBorders>
              <w:top w:val="nil"/>
              <w:left w:val="nil"/>
              <w:bottom w:val="nil"/>
              <w:right w:val="nil"/>
            </w:tcBorders>
            <w:shd w:val="clear" w:color="auto" w:fill="auto"/>
            <w:noWrap/>
            <w:vAlign w:val="center"/>
            <w:hideMark/>
          </w:tcPr>
          <w:p w14:paraId="65C0C6A4"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Dánsko</w:t>
            </w:r>
          </w:p>
        </w:tc>
        <w:tc>
          <w:tcPr>
            <w:tcW w:w="765" w:type="dxa"/>
            <w:tcBorders>
              <w:top w:val="nil"/>
              <w:left w:val="single" w:sz="4" w:space="0" w:color="000000"/>
              <w:bottom w:val="nil"/>
              <w:right w:val="single" w:sz="4" w:space="0" w:color="auto"/>
            </w:tcBorders>
            <w:shd w:val="clear" w:color="auto" w:fill="auto"/>
            <w:noWrap/>
            <w:vAlign w:val="center"/>
            <w:hideMark/>
          </w:tcPr>
          <w:p w14:paraId="2F916AD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3,2</w:t>
            </w:r>
          </w:p>
        </w:tc>
        <w:tc>
          <w:tcPr>
            <w:tcW w:w="765" w:type="dxa"/>
            <w:tcBorders>
              <w:top w:val="nil"/>
              <w:left w:val="single" w:sz="4" w:space="0" w:color="auto"/>
              <w:bottom w:val="nil"/>
              <w:right w:val="single" w:sz="4" w:space="0" w:color="auto"/>
            </w:tcBorders>
            <w:shd w:val="clear" w:color="auto" w:fill="auto"/>
            <w:noWrap/>
            <w:vAlign w:val="center"/>
            <w:hideMark/>
          </w:tcPr>
          <w:p w14:paraId="78BD0EE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3,0</w:t>
            </w:r>
          </w:p>
        </w:tc>
        <w:tc>
          <w:tcPr>
            <w:tcW w:w="765" w:type="dxa"/>
            <w:tcBorders>
              <w:top w:val="nil"/>
              <w:left w:val="single" w:sz="4" w:space="0" w:color="auto"/>
              <w:bottom w:val="nil"/>
              <w:right w:val="single" w:sz="4" w:space="0" w:color="auto"/>
            </w:tcBorders>
            <w:shd w:val="clear" w:color="auto" w:fill="auto"/>
            <w:noWrap/>
            <w:vAlign w:val="center"/>
            <w:hideMark/>
          </w:tcPr>
          <w:p w14:paraId="07F1885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2,3</w:t>
            </w:r>
          </w:p>
        </w:tc>
        <w:tc>
          <w:tcPr>
            <w:tcW w:w="765" w:type="dxa"/>
            <w:tcBorders>
              <w:top w:val="nil"/>
              <w:left w:val="single" w:sz="4" w:space="0" w:color="auto"/>
              <w:bottom w:val="nil"/>
              <w:right w:val="single" w:sz="4" w:space="0" w:color="auto"/>
            </w:tcBorders>
            <w:shd w:val="clear" w:color="auto" w:fill="auto"/>
            <w:noWrap/>
            <w:vAlign w:val="center"/>
            <w:hideMark/>
          </w:tcPr>
          <w:p w14:paraId="58092689"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auto"/>
            <w:noWrap/>
            <w:vAlign w:val="center"/>
            <w:hideMark/>
          </w:tcPr>
          <w:p w14:paraId="72182BE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1,4</w:t>
            </w:r>
          </w:p>
        </w:tc>
        <w:tc>
          <w:tcPr>
            <w:tcW w:w="765" w:type="dxa"/>
            <w:tcBorders>
              <w:top w:val="nil"/>
              <w:left w:val="single" w:sz="4" w:space="0" w:color="auto"/>
              <w:bottom w:val="nil"/>
              <w:right w:val="single" w:sz="4" w:space="0" w:color="auto"/>
            </w:tcBorders>
            <w:shd w:val="clear" w:color="auto" w:fill="auto"/>
            <w:noWrap/>
            <w:vAlign w:val="center"/>
            <w:hideMark/>
          </w:tcPr>
          <w:p w14:paraId="245A6BA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auto"/>
            <w:noWrap/>
            <w:vAlign w:val="center"/>
            <w:hideMark/>
          </w:tcPr>
          <w:p w14:paraId="3BE1D5C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1,3</w:t>
            </w:r>
          </w:p>
        </w:tc>
        <w:tc>
          <w:tcPr>
            <w:tcW w:w="765" w:type="dxa"/>
            <w:tcBorders>
              <w:top w:val="nil"/>
              <w:left w:val="single" w:sz="4" w:space="0" w:color="auto"/>
              <w:bottom w:val="nil"/>
              <w:right w:val="single" w:sz="4" w:space="0" w:color="auto"/>
            </w:tcBorders>
            <w:shd w:val="clear" w:color="auto" w:fill="auto"/>
            <w:noWrap/>
            <w:vAlign w:val="center"/>
            <w:hideMark/>
          </w:tcPr>
          <w:p w14:paraId="61D38F9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auto"/>
            <w:noWrap/>
            <w:vAlign w:val="center"/>
            <w:hideMark/>
          </w:tcPr>
          <w:p w14:paraId="0C3821D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2,9</w:t>
            </w:r>
          </w:p>
        </w:tc>
        <w:tc>
          <w:tcPr>
            <w:tcW w:w="765" w:type="dxa"/>
            <w:tcBorders>
              <w:top w:val="nil"/>
              <w:left w:val="single" w:sz="4" w:space="0" w:color="auto"/>
              <w:bottom w:val="nil"/>
              <w:right w:val="single" w:sz="4" w:space="0" w:color="auto"/>
            </w:tcBorders>
            <w:shd w:val="clear" w:color="auto" w:fill="D9D9D9"/>
            <w:vAlign w:val="center"/>
          </w:tcPr>
          <w:p w14:paraId="60781A3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w:t>
            </w:r>
          </w:p>
        </w:tc>
        <w:tc>
          <w:tcPr>
            <w:tcW w:w="765" w:type="dxa"/>
            <w:tcBorders>
              <w:top w:val="nil"/>
              <w:left w:val="single" w:sz="4" w:space="0" w:color="auto"/>
              <w:bottom w:val="nil"/>
              <w:right w:val="nil"/>
            </w:tcBorders>
            <w:vAlign w:val="center"/>
          </w:tcPr>
          <w:p w14:paraId="4C5314E7" w14:textId="45C9A453" w:rsidR="00DD771A" w:rsidRPr="00166BEB" w:rsidRDefault="00DD771A" w:rsidP="00DD771A">
            <w:pPr>
              <w:spacing w:after="0" w:line="240" w:lineRule="auto"/>
              <w:jc w:val="center"/>
              <w:rPr>
                <w:rFonts w:cs="Arial"/>
                <w:sz w:val="16"/>
                <w:szCs w:val="16"/>
                <w:highlight w:val="yellow"/>
              </w:rPr>
            </w:pPr>
            <w:r>
              <w:rPr>
                <w:rFonts w:cs="Arial"/>
                <w:sz w:val="16"/>
                <w:szCs w:val="16"/>
              </w:rPr>
              <w:t>2,0</w:t>
            </w:r>
          </w:p>
        </w:tc>
        <w:tc>
          <w:tcPr>
            <w:tcW w:w="160" w:type="dxa"/>
            <w:tcBorders>
              <w:top w:val="nil"/>
              <w:left w:val="nil"/>
              <w:bottom w:val="nil"/>
              <w:right w:val="nil"/>
            </w:tcBorders>
          </w:tcPr>
          <w:p w14:paraId="7A927E47" w14:textId="25B282DD" w:rsidR="00DD771A" w:rsidRPr="00166BEB" w:rsidRDefault="00DD771A" w:rsidP="00DD771A">
            <w:pPr>
              <w:spacing w:after="0" w:line="240" w:lineRule="auto"/>
              <w:jc w:val="center"/>
              <w:rPr>
                <w:rFonts w:cs="Arial"/>
                <w:sz w:val="16"/>
                <w:szCs w:val="16"/>
                <w:highlight w:val="yellow"/>
              </w:rPr>
            </w:pPr>
          </w:p>
        </w:tc>
      </w:tr>
      <w:tr w:rsidR="00DD771A" w:rsidRPr="00166BEB" w14:paraId="16147F5D" w14:textId="77777777" w:rsidTr="00DD771A">
        <w:trPr>
          <w:trHeight w:val="300"/>
        </w:trPr>
        <w:tc>
          <w:tcPr>
            <w:tcW w:w="1380" w:type="dxa"/>
            <w:tcBorders>
              <w:top w:val="nil"/>
              <w:left w:val="nil"/>
              <w:bottom w:val="nil"/>
              <w:right w:val="nil"/>
            </w:tcBorders>
            <w:shd w:val="clear" w:color="auto" w:fill="auto"/>
            <w:noWrap/>
            <w:vAlign w:val="center"/>
            <w:hideMark/>
          </w:tcPr>
          <w:p w14:paraId="59F51998"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Estonsko</w:t>
            </w:r>
          </w:p>
        </w:tc>
        <w:tc>
          <w:tcPr>
            <w:tcW w:w="765" w:type="dxa"/>
            <w:tcBorders>
              <w:top w:val="nil"/>
              <w:left w:val="single" w:sz="4" w:space="0" w:color="000000"/>
              <w:bottom w:val="nil"/>
              <w:right w:val="single" w:sz="4" w:space="0" w:color="auto"/>
            </w:tcBorders>
            <w:shd w:val="clear" w:color="auto" w:fill="auto"/>
            <w:noWrap/>
            <w:vAlign w:val="center"/>
            <w:hideMark/>
          </w:tcPr>
          <w:p w14:paraId="2AE3BD7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3,5</w:t>
            </w:r>
          </w:p>
        </w:tc>
        <w:tc>
          <w:tcPr>
            <w:tcW w:w="765" w:type="dxa"/>
            <w:tcBorders>
              <w:top w:val="nil"/>
              <w:left w:val="single" w:sz="4" w:space="0" w:color="auto"/>
              <w:bottom w:val="nil"/>
              <w:right w:val="single" w:sz="4" w:space="0" w:color="auto"/>
            </w:tcBorders>
            <w:shd w:val="clear" w:color="auto" w:fill="auto"/>
            <w:noWrap/>
            <w:vAlign w:val="center"/>
            <w:hideMark/>
          </w:tcPr>
          <w:p w14:paraId="7DE8C25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auto"/>
            <w:noWrap/>
            <w:vAlign w:val="center"/>
            <w:hideMark/>
          </w:tcPr>
          <w:p w14:paraId="657384D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3,5</w:t>
            </w:r>
          </w:p>
        </w:tc>
        <w:tc>
          <w:tcPr>
            <w:tcW w:w="765" w:type="dxa"/>
            <w:tcBorders>
              <w:top w:val="nil"/>
              <w:left w:val="single" w:sz="4" w:space="0" w:color="auto"/>
              <w:bottom w:val="nil"/>
              <w:right w:val="single" w:sz="4" w:space="0" w:color="auto"/>
            </w:tcBorders>
            <w:shd w:val="clear" w:color="auto" w:fill="auto"/>
            <w:noWrap/>
            <w:vAlign w:val="center"/>
            <w:hideMark/>
          </w:tcPr>
          <w:p w14:paraId="1BBB85F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2,2</w:t>
            </w:r>
          </w:p>
        </w:tc>
        <w:tc>
          <w:tcPr>
            <w:tcW w:w="765" w:type="dxa"/>
            <w:tcBorders>
              <w:top w:val="nil"/>
              <w:left w:val="single" w:sz="4" w:space="0" w:color="auto"/>
              <w:bottom w:val="nil"/>
              <w:right w:val="single" w:sz="4" w:space="0" w:color="auto"/>
            </w:tcBorders>
            <w:shd w:val="clear" w:color="auto" w:fill="auto"/>
            <w:noWrap/>
            <w:vAlign w:val="center"/>
            <w:hideMark/>
          </w:tcPr>
          <w:p w14:paraId="040F437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2,5</w:t>
            </w:r>
          </w:p>
        </w:tc>
        <w:tc>
          <w:tcPr>
            <w:tcW w:w="765" w:type="dxa"/>
            <w:tcBorders>
              <w:top w:val="nil"/>
              <w:left w:val="single" w:sz="4" w:space="0" w:color="auto"/>
              <w:bottom w:val="nil"/>
              <w:right w:val="single" w:sz="4" w:space="0" w:color="auto"/>
            </w:tcBorders>
            <w:shd w:val="clear" w:color="auto" w:fill="auto"/>
            <w:noWrap/>
            <w:vAlign w:val="center"/>
            <w:hideMark/>
          </w:tcPr>
          <w:p w14:paraId="589C64A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4,6</w:t>
            </w:r>
          </w:p>
        </w:tc>
        <w:tc>
          <w:tcPr>
            <w:tcW w:w="765" w:type="dxa"/>
            <w:tcBorders>
              <w:top w:val="nil"/>
              <w:left w:val="single" w:sz="4" w:space="0" w:color="auto"/>
              <w:bottom w:val="nil"/>
              <w:right w:val="single" w:sz="4" w:space="0" w:color="auto"/>
            </w:tcBorders>
            <w:shd w:val="clear" w:color="auto" w:fill="auto"/>
            <w:noWrap/>
            <w:vAlign w:val="center"/>
            <w:hideMark/>
          </w:tcPr>
          <w:p w14:paraId="02CD4F0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1,0</w:t>
            </w:r>
          </w:p>
        </w:tc>
        <w:tc>
          <w:tcPr>
            <w:tcW w:w="765" w:type="dxa"/>
            <w:tcBorders>
              <w:top w:val="nil"/>
              <w:left w:val="single" w:sz="4" w:space="0" w:color="auto"/>
              <w:bottom w:val="nil"/>
              <w:right w:val="single" w:sz="4" w:space="0" w:color="auto"/>
            </w:tcBorders>
            <w:shd w:val="clear" w:color="auto" w:fill="auto"/>
            <w:noWrap/>
            <w:vAlign w:val="center"/>
            <w:hideMark/>
          </w:tcPr>
          <w:p w14:paraId="195C9D0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auto"/>
            <w:noWrap/>
            <w:vAlign w:val="center"/>
            <w:hideMark/>
          </w:tcPr>
          <w:p w14:paraId="1100C9D9"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2,5</w:t>
            </w:r>
          </w:p>
        </w:tc>
        <w:tc>
          <w:tcPr>
            <w:tcW w:w="765" w:type="dxa"/>
            <w:tcBorders>
              <w:top w:val="nil"/>
              <w:left w:val="single" w:sz="4" w:space="0" w:color="auto"/>
              <w:bottom w:val="nil"/>
              <w:right w:val="single" w:sz="4" w:space="0" w:color="auto"/>
            </w:tcBorders>
            <w:shd w:val="clear" w:color="auto" w:fill="D9D9D9"/>
            <w:vAlign w:val="center"/>
          </w:tcPr>
          <w:p w14:paraId="664C4C1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2,1</w:t>
            </w:r>
          </w:p>
        </w:tc>
        <w:tc>
          <w:tcPr>
            <w:tcW w:w="765" w:type="dxa"/>
            <w:tcBorders>
              <w:top w:val="nil"/>
              <w:left w:val="single" w:sz="4" w:space="0" w:color="auto"/>
              <w:bottom w:val="nil"/>
              <w:right w:val="nil"/>
            </w:tcBorders>
            <w:vAlign w:val="center"/>
          </w:tcPr>
          <w:p w14:paraId="35C336A4" w14:textId="63B1DDFD" w:rsidR="00DD771A" w:rsidRPr="00166BEB" w:rsidRDefault="00DD771A" w:rsidP="00DD771A">
            <w:pPr>
              <w:spacing w:after="0" w:line="240" w:lineRule="auto"/>
              <w:jc w:val="center"/>
              <w:rPr>
                <w:rFonts w:cs="Arial"/>
                <w:sz w:val="16"/>
                <w:szCs w:val="16"/>
                <w:highlight w:val="yellow"/>
              </w:rPr>
            </w:pPr>
            <w:r>
              <w:rPr>
                <w:rFonts w:cs="Arial"/>
                <w:sz w:val="16"/>
                <w:szCs w:val="16"/>
              </w:rPr>
              <w:t>2,5</w:t>
            </w:r>
          </w:p>
        </w:tc>
        <w:tc>
          <w:tcPr>
            <w:tcW w:w="160" w:type="dxa"/>
            <w:tcBorders>
              <w:top w:val="nil"/>
              <w:left w:val="nil"/>
              <w:bottom w:val="nil"/>
              <w:right w:val="nil"/>
            </w:tcBorders>
          </w:tcPr>
          <w:p w14:paraId="180F17E6" w14:textId="2A55B9BC" w:rsidR="00DD771A" w:rsidRPr="00166BEB" w:rsidRDefault="00DD771A" w:rsidP="00DD771A">
            <w:pPr>
              <w:spacing w:after="0" w:line="240" w:lineRule="auto"/>
              <w:jc w:val="center"/>
              <w:rPr>
                <w:rFonts w:cs="Arial"/>
                <w:sz w:val="16"/>
                <w:szCs w:val="16"/>
                <w:highlight w:val="yellow"/>
              </w:rPr>
            </w:pPr>
          </w:p>
        </w:tc>
      </w:tr>
      <w:tr w:rsidR="00DD771A" w:rsidRPr="00166BEB" w14:paraId="40824BBA" w14:textId="77777777" w:rsidTr="00DD771A">
        <w:trPr>
          <w:trHeight w:val="300"/>
        </w:trPr>
        <w:tc>
          <w:tcPr>
            <w:tcW w:w="1380" w:type="dxa"/>
            <w:tcBorders>
              <w:top w:val="nil"/>
              <w:left w:val="nil"/>
              <w:bottom w:val="nil"/>
              <w:right w:val="nil"/>
            </w:tcBorders>
            <w:shd w:val="clear" w:color="auto" w:fill="auto"/>
            <w:noWrap/>
            <w:vAlign w:val="center"/>
            <w:hideMark/>
          </w:tcPr>
          <w:p w14:paraId="2B66DE17"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Finsko</w:t>
            </w:r>
          </w:p>
        </w:tc>
        <w:tc>
          <w:tcPr>
            <w:tcW w:w="765" w:type="dxa"/>
            <w:tcBorders>
              <w:top w:val="nil"/>
              <w:left w:val="single" w:sz="4" w:space="0" w:color="000000"/>
              <w:bottom w:val="nil"/>
              <w:right w:val="single" w:sz="4" w:space="0" w:color="auto"/>
            </w:tcBorders>
            <w:shd w:val="clear" w:color="auto" w:fill="auto"/>
            <w:noWrap/>
            <w:vAlign w:val="center"/>
            <w:hideMark/>
          </w:tcPr>
          <w:p w14:paraId="2462E0E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1,6</w:t>
            </w:r>
          </w:p>
        </w:tc>
        <w:tc>
          <w:tcPr>
            <w:tcW w:w="765" w:type="dxa"/>
            <w:tcBorders>
              <w:top w:val="nil"/>
              <w:left w:val="single" w:sz="4" w:space="0" w:color="auto"/>
              <w:bottom w:val="nil"/>
              <w:right w:val="single" w:sz="4" w:space="0" w:color="auto"/>
            </w:tcBorders>
            <w:shd w:val="clear" w:color="auto" w:fill="auto"/>
            <w:noWrap/>
            <w:vAlign w:val="center"/>
            <w:hideMark/>
          </w:tcPr>
          <w:p w14:paraId="005A37B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auto"/>
            <w:noWrap/>
            <w:vAlign w:val="center"/>
            <w:hideMark/>
          </w:tcPr>
          <w:p w14:paraId="2018136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1,2</w:t>
            </w:r>
          </w:p>
        </w:tc>
        <w:tc>
          <w:tcPr>
            <w:tcW w:w="765" w:type="dxa"/>
            <w:tcBorders>
              <w:top w:val="nil"/>
              <w:left w:val="single" w:sz="4" w:space="0" w:color="auto"/>
              <w:bottom w:val="nil"/>
              <w:right w:val="single" w:sz="4" w:space="0" w:color="auto"/>
            </w:tcBorders>
            <w:shd w:val="clear" w:color="auto" w:fill="auto"/>
            <w:noWrap/>
            <w:vAlign w:val="center"/>
            <w:hideMark/>
          </w:tcPr>
          <w:p w14:paraId="56ACA7B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1,7</w:t>
            </w:r>
          </w:p>
        </w:tc>
        <w:tc>
          <w:tcPr>
            <w:tcW w:w="765" w:type="dxa"/>
            <w:tcBorders>
              <w:top w:val="nil"/>
              <w:left w:val="single" w:sz="4" w:space="0" w:color="auto"/>
              <w:bottom w:val="nil"/>
              <w:right w:val="single" w:sz="4" w:space="0" w:color="auto"/>
            </w:tcBorders>
            <w:shd w:val="clear" w:color="auto" w:fill="auto"/>
            <w:noWrap/>
            <w:vAlign w:val="center"/>
            <w:hideMark/>
          </w:tcPr>
          <w:p w14:paraId="38ABDFA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1,8</w:t>
            </w:r>
          </w:p>
        </w:tc>
        <w:tc>
          <w:tcPr>
            <w:tcW w:w="765" w:type="dxa"/>
            <w:tcBorders>
              <w:top w:val="nil"/>
              <w:left w:val="single" w:sz="4" w:space="0" w:color="auto"/>
              <w:bottom w:val="nil"/>
              <w:right w:val="single" w:sz="4" w:space="0" w:color="auto"/>
            </w:tcBorders>
            <w:shd w:val="clear" w:color="auto" w:fill="auto"/>
            <w:noWrap/>
            <w:vAlign w:val="center"/>
            <w:hideMark/>
          </w:tcPr>
          <w:p w14:paraId="34B06D1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1,6</w:t>
            </w:r>
          </w:p>
        </w:tc>
        <w:tc>
          <w:tcPr>
            <w:tcW w:w="765" w:type="dxa"/>
            <w:tcBorders>
              <w:top w:val="nil"/>
              <w:left w:val="single" w:sz="4" w:space="0" w:color="auto"/>
              <w:bottom w:val="nil"/>
              <w:right w:val="single" w:sz="4" w:space="0" w:color="auto"/>
            </w:tcBorders>
            <w:shd w:val="clear" w:color="auto" w:fill="auto"/>
            <w:noWrap/>
            <w:vAlign w:val="center"/>
            <w:hideMark/>
          </w:tcPr>
          <w:p w14:paraId="6F55567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1,4</w:t>
            </w:r>
          </w:p>
        </w:tc>
        <w:tc>
          <w:tcPr>
            <w:tcW w:w="765" w:type="dxa"/>
            <w:tcBorders>
              <w:top w:val="nil"/>
              <w:left w:val="single" w:sz="4" w:space="0" w:color="auto"/>
              <w:bottom w:val="nil"/>
              <w:right w:val="single" w:sz="4" w:space="0" w:color="auto"/>
            </w:tcBorders>
            <w:shd w:val="clear" w:color="auto" w:fill="auto"/>
            <w:noWrap/>
            <w:vAlign w:val="center"/>
            <w:hideMark/>
          </w:tcPr>
          <w:p w14:paraId="37E2973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1,3</w:t>
            </w:r>
          </w:p>
        </w:tc>
        <w:tc>
          <w:tcPr>
            <w:tcW w:w="765" w:type="dxa"/>
            <w:tcBorders>
              <w:top w:val="nil"/>
              <w:left w:val="single" w:sz="4" w:space="0" w:color="auto"/>
              <w:bottom w:val="nil"/>
              <w:right w:val="single" w:sz="4" w:space="0" w:color="auto"/>
            </w:tcBorders>
            <w:shd w:val="clear" w:color="auto" w:fill="auto"/>
            <w:noWrap/>
            <w:vAlign w:val="center"/>
            <w:hideMark/>
          </w:tcPr>
          <w:p w14:paraId="0ACF717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1,3</w:t>
            </w:r>
          </w:p>
        </w:tc>
        <w:tc>
          <w:tcPr>
            <w:tcW w:w="765" w:type="dxa"/>
            <w:tcBorders>
              <w:top w:val="nil"/>
              <w:left w:val="single" w:sz="4" w:space="0" w:color="auto"/>
              <w:bottom w:val="nil"/>
              <w:right w:val="single" w:sz="4" w:space="0" w:color="auto"/>
            </w:tcBorders>
            <w:shd w:val="clear" w:color="auto" w:fill="D9D9D9"/>
            <w:vAlign w:val="center"/>
          </w:tcPr>
          <w:p w14:paraId="5341D32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1,3</w:t>
            </w:r>
          </w:p>
        </w:tc>
        <w:tc>
          <w:tcPr>
            <w:tcW w:w="765" w:type="dxa"/>
            <w:tcBorders>
              <w:top w:val="nil"/>
              <w:left w:val="single" w:sz="4" w:space="0" w:color="auto"/>
              <w:bottom w:val="nil"/>
              <w:right w:val="nil"/>
            </w:tcBorders>
            <w:vAlign w:val="center"/>
          </w:tcPr>
          <w:p w14:paraId="246300EB" w14:textId="399E2AF2" w:rsidR="00DD771A" w:rsidRPr="00166BEB" w:rsidRDefault="00DD771A" w:rsidP="00DD771A">
            <w:pPr>
              <w:spacing w:after="0" w:line="240" w:lineRule="auto"/>
              <w:jc w:val="center"/>
              <w:rPr>
                <w:rFonts w:cs="Arial"/>
                <w:sz w:val="16"/>
                <w:szCs w:val="16"/>
                <w:highlight w:val="yellow"/>
              </w:rPr>
            </w:pPr>
            <w:r>
              <w:rPr>
                <w:rFonts w:cs="Arial"/>
                <w:sz w:val="16"/>
                <w:szCs w:val="16"/>
              </w:rPr>
              <w:t>1,0</w:t>
            </w:r>
          </w:p>
        </w:tc>
        <w:tc>
          <w:tcPr>
            <w:tcW w:w="160" w:type="dxa"/>
            <w:tcBorders>
              <w:top w:val="nil"/>
              <w:left w:val="nil"/>
              <w:bottom w:val="nil"/>
              <w:right w:val="nil"/>
            </w:tcBorders>
          </w:tcPr>
          <w:p w14:paraId="1F4F4E79" w14:textId="1D140726" w:rsidR="00DD771A" w:rsidRPr="00166BEB" w:rsidRDefault="00DD771A" w:rsidP="00DD771A">
            <w:pPr>
              <w:spacing w:after="0" w:line="240" w:lineRule="auto"/>
              <w:jc w:val="center"/>
              <w:rPr>
                <w:rFonts w:cs="Arial"/>
                <w:sz w:val="16"/>
                <w:szCs w:val="16"/>
                <w:highlight w:val="yellow"/>
              </w:rPr>
            </w:pPr>
          </w:p>
        </w:tc>
      </w:tr>
      <w:tr w:rsidR="00DD771A" w:rsidRPr="00166BEB" w14:paraId="22D5CBC8" w14:textId="77777777" w:rsidTr="00DD771A">
        <w:trPr>
          <w:trHeight w:val="300"/>
        </w:trPr>
        <w:tc>
          <w:tcPr>
            <w:tcW w:w="1380" w:type="dxa"/>
            <w:tcBorders>
              <w:top w:val="nil"/>
              <w:left w:val="nil"/>
              <w:bottom w:val="nil"/>
              <w:right w:val="nil"/>
            </w:tcBorders>
            <w:shd w:val="clear" w:color="auto" w:fill="auto"/>
            <w:noWrap/>
            <w:vAlign w:val="center"/>
            <w:hideMark/>
          </w:tcPr>
          <w:p w14:paraId="619FFB41"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Francie</w:t>
            </w:r>
          </w:p>
        </w:tc>
        <w:tc>
          <w:tcPr>
            <w:tcW w:w="765" w:type="dxa"/>
            <w:tcBorders>
              <w:top w:val="nil"/>
              <w:left w:val="single" w:sz="4" w:space="0" w:color="000000"/>
              <w:bottom w:val="nil"/>
              <w:right w:val="single" w:sz="4" w:space="0" w:color="auto"/>
            </w:tcBorders>
            <w:shd w:val="clear" w:color="auto" w:fill="auto"/>
            <w:noWrap/>
            <w:vAlign w:val="center"/>
            <w:hideMark/>
          </w:tcPr>
          <w:p w14:paraId="5176E0E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8,1</w:t>
            </w:r>
          </w:p>
        </w:tc>
        <w:tc>
          <w:tcPr>
            <w:tcW w:w="765" w:type="dxa"/>
            <w:tcBorders>
              <w:top w:val="nil"/>
              <w:left w:val="single" w:sz="4" w:space="0" w:color="auto"/>
              <w:bottom w:val="nil"/>
              <w:right w:val="single" w:sz="4" w:space="0" w:color="auto"/>
            </w:tcBorders>
            <w:shd w:val="clear" w:color="auto" w:fill="auto"/>
            <w:noWrap/>
            <w:vAlign w:val="center"/>
            <w:hideMark/>
          </w:tcPr>
          <w:p w14:paraId="589ED429"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3,5</w:t>
            </w:r>
          </w:p>
        </w:tc>
        <w:tc>
          <w:tcPr>
            <w:tcW w:w="765" w:type="dxa"/>
            <w:tcBorders>
              <w:top w:val="nil"/>
              <w:left w:val="single" w:sz="4" w:space="0" w:color="auto"/>
              <w:bottom w:val="nil"/>
              <w:right w:val="single" w:sz="4" w:space="0" w:color="auto"/>
            </w:tcBorders>
            <w:shd w:val="clear" w:color="auto" w:fill="auto"/>
            <w:noWrap/>
            <w:vAlign w:val="center"/>
            <w:hideMark/>
          </w:tcPr>
          <w:p w14:paraId="603E055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3,7</w:t>
            </w:r>
          </w:p>
        </w:tc>
        <w:tc>
          <w:tcPr>
            <w:tcW w:w="765" w:type="dxa"/>
            <w:tcBorders>
              <w:top w:val="nil"/>
              <w:left w:val="single" w:sz="4" w:space="0" w:color="auto"/>
              <w:bottom w:val="nil"/>
              <w:right w:val="single" w:sz="4" w:space="0" w:color="auto"/>
            </w:tcBorders>
            <w:shd w:val="clear" w:color="000000" w:fill="DBDBDB"/>
            <w:noWrap/>
            <w:vAlign w:val="center"/>
            <w:hideMark/>
          </w:tcPr>
          <w:p w14:paraId="4660537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3,7</w:t>
            </w:r>
          </w:p>
        </w:tc>
        <w:tc>
          <w:tcPr>
            <w:tcW w:w="765" w:type="dxa"/>
            <w:tcBorders>
              <w:top w:val="nil"/>
              <w:left w:val="single" w:sz="4" w:space="0" w:color="auto"/>
              <w:bottom w:val="nil"/>
              <w:right w:val="single" w:sz="4" w:space="0" w:color="auto"/>
            </w:tcBorders>
            <w:shd w:val="clear" w:color="auto" w:fill="auto"/>
            <w:noWrap/>
            <w:vAlign w:val="center"/>
            <w:hideMark/>
          </w:tcPr>
          <w:p w14:paraId="786DF8A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4,0</w:t>
            </w:r>
          </w:p>
        </w:tc>
        <w:tc>
          <w:tcPr>
            <w:tcW w:w="765" w:type="dxa"/>
            <w:tcBorders>
              <w:top w:val="nil"/>
              <w:left w:val="single" w:sz="4" w:space="0" w:color="auto"/>
              <w:bottom w:val="nil"/>
              <w:right w:val="single" w:sz="4" w:space="0" w:color="auto"/>
            </w:tcBorders>
            <w:shd w:val="clear" w:color="auto" w:fill="auto"/>
            <w:noWrap/>
            <w:vAlign w:val="center"/>
            <w:hideMark/>
          </w:tcPr>
          <w:p w14:paraId="2DE9205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4,1</w:t>
            </w:r>
          </w:p>
        </w:tc>
        <w:tc>
          <w:tcPr>
            <w:tcW w:w="765" w:type="dxa"/>
            <w:tcBorders>
              <w:top w:val="nil"/>
              <w:left w:val="single" w:sz="4" w:space="0" w:color="auto"/>
              <w:bottom w:val="nil"/>
              <w:right w:val="single" w:sz="4" w:space="0" w:color="auto"/>
            </w:tcBorders>
            <w:shd w:val="clear" w:color="000000" w:fill="DBDBDB"/>
            <w:noWrap/>
            <w:vAlign w:val="center"/>
            <w:hideMark/>
          </w:tcPr>
          <w:p w14:paraId="638BA02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3,6</w:t>
            </w:r>
          </w:p>
        </w:tc>
        <w:tc>
          <w:tcPr>
            <w:tcW w:w="765" w:type="dxa"/>
            <w:tcBorders>
              <w:top w:val="nil"/>
              <w:left w:val="single" w:sz="4" w:space="0" w:color="auto"/>
              <w:bottom w:val="nil"/>
              <w:right w:val="single" w:sz="4" w:space="0" w:color="auto"/>
            </w:tcBorders>
            <w:shd w:val="clear" w:color="auto" w:fill="auto"/>
            <w:noWrap/>
            <w:vAlign w:val="center"/>
            <w:hideMark/>
          </w:tcPr>
          <w:p w14:paraId="7E8C92A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3,7</w:t>
            </w:r>
          </w:p>
        </w:tc>
        <w:tc>
          <w:tcPr>
            <w:tcW w:w="765" w:type="dxa"/>
            <w:tcBorders>
              <w:top w:val="nil"/>
              <w:left w:val="single" w:sz="4" w:space="0" w:color="auto"/>
              <w:bottom w:val="nil"/>
              <w:right w:val="single" w:sz="4" w:space="0" w:color="auto"/>
            </w:tcBorders>
            <w:shd w:val="clear" w:color="auto" w:fill="auto"/>
            <w:noWrap/>
            <w:vAlign w:val="center"/>
            <w:hideMark/>
          </w:tcPr>
          <w:p w14:paraId="71E2BBE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4,8</w:t>
            </w:r>
          </w:p>
        </w:tc>
        <w:tc>
          <w:tcPr>
            <w:tcW w:w="765" w:type="dxa"/>
            <w:tcBorders>
              <w:top w:val="nil"/>
              <w:left w:val="single" w:sz="4" w:space="0" w:color="auto"/>
              <w:bottom w:val="nil"/>
              <w:right w:val="single" w:sz="4" w:space="0" w:color="auto"/>
            </w:tcBorders>
            <w:shd w:val="clear" w:color="auto" w:fill="D9D9D9"/>
            <w:vAlign w:val="center"/>
          </w:tcPr>
          <w:p w14:paraId="224F5F6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3,2</w:t>
            </w:r>
          </w:p>
        </w:tc>
        <w:tc>
          <w:tcPr>
            <w:tcW w:w="765" w:type="dxa"/>
            <w:tcBorders>
              <w:top w:val="nil"/>
              <w:left w:val="single" w:sz="4" w:space="0" w:color="auto"/>
              <w:bottom w:val="nil"/>
              <w:right w:val="nil"/>
            </w:tcBorders>
            <w:vAlign w:val="center"/>
          </w:tcPr>
          <w:p w14:paraId="41B03122" w14:textId="03E25F4F" w:rsidR="00DD771A" w:rsidRPr="00166BEB" w:rsidRDefault="00DD771A" w:rsidP="00DD771A">
            <w:pPr>
              <w:spacing w:after="0" w:line="240" w:lineRule="auto"/>
              <w:jc w:val="center"/>
              <w:rPr>
                <w:rFonts w:cs="Arial"/>
                <w:sz w:val="16"/>
                <w:szCs w:val="16"/>
                <w:highlight w:val="yellow"/>
              </w:rPr>
            </w:pPr>
            <w:r>
              <w:rPr>
                <w:rFonts w:cs="Arial"/>
                <w:sz w:val="16"/>
                <w:szCs w:val="16"/>
              </w:rPr>
              <w:t>4,5</w:t>
            </w:r>
          </w:p>
        </w:tc>
        <w:tc>
          <w:tcPr>
            <w:tcW w:w="160" w:type="dxa"/>
            <w:tcBorders>
              <w:top w:val="nil"/>
              <w:left w:val="nil"/>
              <w:bottom w:val="nil"/>
              <w:right w:val="nil"/>
            </w:tcBorders>
          </w:tcPr>
          <w:p w14:paraId="5A0C3EE5" w14:textId="0526EF1F" w:rsidR="00DD771A" w:rsidRPr="00166BEB" w:rsidRDefault="00DD771A" w:rsidP="00DD771A">
            <w:pPr>
              <w:spacing w:after="0" w:line="240" w:lineRule="auto"/>
              <w:jc w:val="center"/>
              <w:rPr>
                <w:rFonts w:cs="Arial"/>
                <w:sz w:val="16"/>
                <w:szCs w:val="16"/>
                <w:highlight w:val="yellow"/>
              </w:rPr>
            </w:pPr>
          </w:p>
        </w:tc>
      </w:tr>
      <w:tr w:rsidR="00DD771A" w:rsidRPr="00166BEB" w14:paraId="48282C75" w14:textId="77777777" w:rsidTr="00DD771A">
        <w:trPr>
          <w:trHeight w:val="300"/>
        </w:trPr>
        <w:tc>
          <w:tcPr>
            <w:tcW w:w="1380" w:type="dxa"/>
            <w:tcBorders>
              <w:top w:val="nil"/>
              <w:left w:val="nil"/>
              <w:bottom w:val="nil"/>
              <w:right w:val="nil"/>
            </w:tcBorders>
            <w:shd w:val="clear" w:color="auto" w:fill="auto"/>
            <w:noWrap/>
            <w:vAlign w:val="center"/>
            <w:hideMark/>
          </w:tcPr>
          <w:p w14:paraId="7EF78368"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Chorvatsko</w:t>
            </w:r>
          </w:p>
        </w:tc>
        <w:tc>
          <w:tcPr>
            <w:tcW w:w="765" w:type="dxa"/>
            <w:tcBorders>
              <w:top w:val="nil"/>
              <w:left w:val="single" w:sz="4" w:space="0" w:color="000000"/>
              <w:bottom w:val="nil"/>
              <w:right w:val="single" w:sz="4" w:space="0" w:color="auto"/>
            </w:tcBorders>
            <w:shd w:val="clear" w:color="auto" w:fill="auto"/>
            <w:noWrap/>
            <w:vAlign w:val="center"/>
            <w:hideMark/>
          </w:tcPr>
          <w:p w14:paraId="78791F1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3,5</w:t>
            </w:r>
          </w:p>
        </w:tc>
        <w:tc>
          <w:tcPr>
            <w:tcW w:w="765" w:type="dxa"/>
            <w:tcBorders>
              <w:top w:val="nil"/>
              <w:left w:val="single" w:sz="4" w:space="0" w:color="auto"/>
              <w:bottom w:val="nil"/>
              <w:right w:val="single" w:sz="4" w:space="0" w:color="auto"/>
            </w:tcBorders>
            <w:shd w:val="clear" w:color="auto" w:fill="auto"/>
            <w:noWrap/>
            <w:vAlign w:val="center"/>
            <w:hideMark/>
          </w:tcPr>
          <w:p w14:paraId="59ABC94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4,6</w:t>
            </w:r>
          </w:p>
        </w:tc>
        <w:tc>
          <w:tcPr>
            <w:tcW w:w="765" w:type="dxa"/>
            <w:tcBorders>
              <w:top w:val="nil"/>
              <w:left w:val="single" w:sz="4" w:space="0" w:color="auto"/>
              <w:bottom w:val="nil"/>
              <w:right w:val="single" w:sz="4" w:space="0" w:color="auto"/>
            </w:tcBorders>
            <w:shd w:val="clear" w:color="auto" w:fill="auto"/>
            <w:noWrap/>
            <w:vAlign w:val="center"/>
            <w:hideMark/>
          </w:tcPr>
          <w:p w14:paraId="2E5624C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2,4</w:t>
            </w:r>
          </w:p>
        </w:tc>
        <w:tc>
          <w:tcPr>
            <w:tcW w:w="765" w:type="dxa"/>
            <w:tcBorders>
              <w:top w:val="nil"/>
              <w:left w:val="single" w:sz="4" w:space="0" w:color="auto"/>
              <w:bottom w:val="nil"/>
              <w:right w:val="single" w:sz="4" w:space="0" w:color="auto"/>
            </w:tcBorders>
            <w:shd w:val="clear" w:color="auto" w:fill="auto"/>
            <w:noWrap/>
            <w:vAlign w:val="center"/>
            <w:hideMark/>
          </w:tcPr>
          <w:p w14:paraId="39CDBAA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2,3</w:t>
            </w:r>
          </w:p>
        </w:tc>
        <w:tc>
          <w:tcPr>
            <w:tcW w:w="765" w:type="dxa"/>
            <w:tcBorders>
              <w:top w:val="nil"/>
              <w:left w:val="single" w:sz="4" w:space="0" w:color="auto"/>
              <w:bottom w:val="nil"/>
              <w:right w:val="single" w:sz="4" w:space="0" w:color="auto"/>
            </w:tcBorders>
            <w:shd w:val="clear" w:color="auto" w:fill="auto"/>
            <w:noWrap/>
            <w:vAlign w:val="center"/>
            <w:hideMark/>
          </w:tcPr>
          <w:p w14:paraId="247ED37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30834F8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3,1</w:t>
            </w:r>
          </w:p>
        </w:tc>
        <w:tc>
          <w:tcPr>
            <w:tcW w:w="765" w:type="dxa"/>
            <w:tcBorders>
              <w:top w:val="nil"/>
              <w:left w:val="single" w:sz="4" w:space="0" w:color="auto"/>
              <w:bottom w:val="nil"/>
              <w:right w:val="single" w:sz="4" w:space="0" w:color="auto"/>
            </w:tcBorders>
            <w:shd w:val="clear" w:color="auto" w:fill="auto"/>
            <w:noWrap/>
            <w:vAlign w:val="center"/>
            <w:hideMark/>
          </w:tcPr>
          <w:p w14:paraId="388FAD7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2,8</w:t>
            </w:r>
          </w:p>
        </w:tc>
        <w:tc>
          <w:tcPr>
            <w:tcW w:w="765" w:type="dxa"/>
            <w:tcBorders>
              <w:top w:val="nil"/>
              <w:left w:val="single" w:sz="4" w:space="0" w:color="auto"/>
              <w:bottom w:val="nil"/>
              <w:right w:val="single" w:sz="4" w:space="0" w:color="auto"/>
            </w:tcBorders>
            <w:shd w:val="clear" w:color="auto" w:fill="auto"/>
            <w:noWrap/>
            <w:vAlign w:val="center"/>
            <w:hideMark/>
          </w:tcPr>
          <w:p w14:paraId="7AFE6E8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3,3</w:t>
            </w:r>
          </w:p>
        </w:tc>
        <w:tc>
          <w:tcPr>
            <w:tcW w:w="765" w:type="dxa"/>
            <w:tcBorders>
              <w:top w:val="nil"/>
              <w:left w:val="single" w:sz="4" w:space="0" w:color="auto"/>
              <w:bottom w:val="nil"/>
              <w:right w:val="single" w:sz="4" w:space="0" w:color="auto"/>
            </w:tcBorders>
            <w:shd w:val="clear" w:color="auto" w:fill="auto"/>
            <w:noWrap/>
            <w:vAlign w:val="center"/>
            <w:hideMark/>
          </w:tcPr>
          <w:p w14:paraId="0DE2B85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3,0</w:t>
            </w:r>
          </w:p>
        </w:tc>
        <w:tc>
          <w:tcPr>
            <w:tcW w:w="765" w:type="dxa"/>
            <w:tcBorders>
              <w:top w:val="nil"/>
              <w:left w:val="single" w:sz="4" w:space="0" w:color="auto"/>
              <w:bottom w:val="nil"/>
              <w:right w:val="single" w:sz="4" w:space="0" w:color="auto"/>
            </w:tcBorders>
            <w:shd w:val="clear" w:color="auto" w:fill="D9D9D9"/>
            <w:vAlign w:val="center"/>
          </w:tcPr>
          <w:p w14:paraId="4DC5A05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3,1</w:t>
            </w:r>
          </w:p>
        </w:tc>
        <w:tc>
          <w:tcPr>
            <w:tcW w:w="765" w:type="dxa"/>
            <w:tcBorders>
              <w:top w:val="nil"/>
              <w:left w:val="single" w:sz="4" w:space="0" w:color="auto"/>
              <w:bottom w:val="nil"/>
              <w:right w:val="nil"/>
            </w:tcBorders>
            <w:vAlign w:val="center"/>
          </w:tcPr>
          <w:p w14:paraId="50423565" w14:textId="1E6F0190" w:rsidR="00DD771A" w:rsidRPr="00166BEB" w:rsidRDefault="00DD771A" w:rsidP="00DD771A">
            <w:pPr>
              <w:spacing w:after="0" w:line="240" w:lineRule="auto"/>
              <w:jc w:val="center"/>
              <w:rPr>
                <w:rFonts w:cs="Arial"/>
                <w:sz w:val="16"/>
                <w:szCs w:val="16"/>
                <w:highlight w:val="yellow"/>
              </w:rPr>
            </w:pPr>
            <w:r>
              <w:rPr>
                <w:rFonts w:cs="Arial"/>
                <w:sz w:val="16"/>
                <w:szCs w:val="16"/>
              </w:rPr>
              <w:t>2,4</w:t>
            </w:r>
          </w:p>
        </w:tc>
        <w:tc>
          <w:tcPr>
            <w:tcW w:w="160" w:type="dxa"/>
            <w:tcBorders>
              <w:top w:val="nil"/>
              <w:left w:val="nil"/>
              <w:bottom w:val="nil"/>
              <w:right w:val="nil"/>
            </w:tcBorders>
          </w:tcPr>
          <w:p w14:paraId="31A5FEAE" w14:textId="1F59BA06" w:rsidR="00DD771A" w:rsidRPr="00166BEB" w:rsidRDefault="00DD771A" w:rsidP="00DD771A">
            <w:pPr>
              <w:spacing w:after="0" w:line="240" w:lineRule="auto"/>
              <w:jc w:val="center"/>
              <w:rPr>
                <w:rFonts w:cs="Arial"/>
                <w:sz w:val="16"/>
                <w:szCs w:val="16"/>
                <w:highlight w:val="yellow"/>
              </w:rPr>
            </w:pPr>
          </w:p>
        </w:tc>
      </w:tr>
      <w:tr w:rsidR="00DD771A" w:rsidRPr="00166BEB" w14:paraId="31568EE5" w14:textId="77777777" w:rsidTr="00DD771A">
        <w:trPr>
          <w:trHeight w:val="300"/>
        </w:trPr>
        <w:tc>
          <w:tcPr>
            <w:tcW w:w="1380" w:type="dxa"/>
            <w:tcBorders>
              <w:top w:val="nil"/>
              <w:left w:val="nil"/>
              <w:bottom w:val="nil"/>
              <w:right w:val="nil"/>
            </w:tcBorders>
            <w:shd w:val="clear" w:color="auto" w:fill="auto"/>
            <w:noWrap/>
            <w:vAlign w:val="center"/>
            <w:hideMark/>
          </w:tcPr>
          <w:p w14:paraId="483E56C6"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Irsko</w:t>
            </w:r>
          </w:p>
        </w:tc>
        <w:tc>
          <w:tcPr>
            <w:tcW w:w="765" w:type="dxa"/>
            <w:tcBorders>
              <w:top w:val="nil"/>
              <w:left w:val="single" w:sz="4" w:space="0" w:color="000000"/>
              <w:bottom w:val="nil"/>
              <w:right w:val="single" w:sz="4" w:space="0" w:color="auto"/>
            </w:tcBorders>
            <w:shd w:val="clear" w:color="auto" w:fill="auto"/>
            <w:noWrap/>
            <w:vAlign w:val="center"/>
            <w:hideMark/>
          </w:tcPr>
          <w:p w14:paraId="1A93D4B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4,2</w:t>
            </w:r>
          </w:p>
        </w:tc>
        <w:tc>
          <w:tcPr>
            <w:tcW w:w="765" w:type="dxa"/>
            <w:tcBorders>
              <w:top w:val="nil"/>
              <w:left w:val="single" w:sz="4" w:space="0" w:color="auto"/>
              <w:bottom w:val="nil"/>
              <w:right w:val="single" w:sz="4" w:space="0" w:color="auto"/>
            </w:tcBorders>
            <w:shd w:val="clear" w:color="auto" w:fill="auto"/>
            <w:noWrap/>
            <w:vAlign w:val="center"/>
            <w:hideMark/>
          </w:tcPr>
          <w:p w14:paraId="3453D10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3,4</w:t>
            </w:r>
          </w:p>
        </w:tc>
        <w:tc>
          <w:tcPr>
            <w:tcW w:w="765" w:type="dxa"/>
            <w:tcBorders>
              <w:top w:val="nil"/>
              <w:left w:val="single" w:sz="4" w:space="0" w:color="auto"/>
              <w:bottom w:val="nil"/>
              <w:right w:val="single" w:sz="4" w:space="0" w:color="auto"/>
            </w:tcBorders>
            <w:shd w:val="clear" w:color="auto" w:fill="auto"/>
            <w:noWrap/>
            <w:vAlign w:val="center"/>
            <w:hideMark/>
          </w:tcPr>
          <w:p w14:paraId="0E862ED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4CBFC44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3,1</w:t>
            </w:r>
          </w:p>
        </w:tc>
        <w:tc>
          <w:tcPr>
            <w:tcW w:w="765" w:type="dxa"/>
            <w:tcBorders>
              <w:top w:val="nil"/>
              <w:left w:val="single" w:sz="4" w:space="0" w:color="auto"/>
              <w:bottom w:val="nil"/>
              <w:right w:val="single" w:sz="4" w:space="0" w:color="auto"/>
            </w:tcBorders>
            <w:shd w:val="clear" w:color="auto" w:fill="auto"/>
            <w:noWrap/>
            <w:vAlign w:val="center"/>
            <w:hideMark/>
          </w:tcPr>
          <w:p w14:paraId="73D986E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2,9</w:t>
            </w:r>
          </w:p>
        </w:tc>
        <w:tc>
          <w:tcPr>
            <w:tcW w:w="765" w:type="dxa"/>
            <w:tcBorders>
              <w:top w:val="nil"/>
              <w:left w:val="single" w:sz="4" w:space="0" w:color="auto"/>
              <w:bottom w:val="nil"/>
              <w:right w:val="single" w:sz="4" w:space="0" w:color="auto"/>
            </w:tcBorders>
            <w:shd w:val="clear" w:color="auto" w:fill="auto"/>
            <w:noWrap/>
            <w:vAlign w:val="center"/>
            <w:hideMark/>
          </w:tcPr>
          <w:p w14:paraId="7B19EF3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2CFBD96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2,5</w:t>
            </w:r>
          </w:p>
        </w:tc>
        <w:tc>
          <w:tcPr>
            <w:tcW w:w="765" w:type="dxa"/>
            <w:tcBorders>
              <w:top w:val="nil"/>
              <w:left w:val="single" w:sz="4" w:space="0" w:color="auto"/>
              <w:bottom w:val="nil"/>
              <w:right w:val="single" w:sz="4" w:space="0" w:color="auto"/>
            </w:tcBorders>
            <w:shd w:val="clear" w:color="auto" w:fill="auto"/>
            <w:noWrap/>
            <w:vAlign w:val="center"/>
            <w:hideMark/>
          </w:tcPr>
          <w:p w14:paraId="54CFB04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w:t>
            </w:r>
          </w:p>
        </w:tc>
        <w:tc>
          <w:tcPr>
            <w:tcW w:w="765" w:type="dxa"/>
            <w:tcBorders>
              <w:top w:val="nil"/>
              <w:left w:val="single" w:sz="4" w:space="0" w:color="auto"/>
              <w:bottom w:val="nil"/>
              <w:right w:val="single" w:sz="4" w:space="0" w:color="auto"/>
            </w:tcBorders>
            <w:shd w:val="clear" w:color="auto" w:fill="auto"/>
            <w:noWrap/>
            <w:vAlign w:val="center"/>
            <w:hideMark/>
          </w:tcPr>
          <w:p w14:paraId="3EA9D98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D9D9D9"/>
            <w:vAlign w:val="center"/>
          </w:tcPr>
          <w:p w14:paraId="1509D13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2,4</w:t>
            </w:r>
          </w:p>
        </w:tc>
        <w:tc>
          <w:tcPr>
            <w:tcW w:w="765" w:type="dxa"/>
            <w:tcBorders>
              <w:top w:val="nil"/>
              <w:left w:val="single" w:sz="4" w:space="0" w:color="auto"/>
              <w:bottom w:val="nil"/>
              <w:right w:val="nil"/>
            </w:tcBorders>
            <w:vAlign w:val="center"/>
          </w:tcPr>
          <w:p w14:paraId="0E1DA192" w14:textId="239BBD11" w:rsidR="00DD771A" w:rsidRPr="00166BEB" w:rsidRDefault="00DD771A" w:rsidP="00DD771A">
            <w:pPr>
              <w:spacing w:after="0" w:line="240" w:lineRule="auto"/>
              <w:jc w:val="center"/>
              <w:rPr>
                <w:rFonts w:cs="Arial"/>
                <w:sz w:val="16"/>
                <w:szCs w:val="16"/>
                <w:highlight w:val="yellow"/>
              </w:rPr>
            </w:pPr>
            <w:r>
              <w:rPr>
                <w:rFonts w:cs="Arial"/>
                <w:sz w:val="16"/>
                <w:szCs w:val="16"/>
              </w:rPr>
              <w:t>2,1</w:t>
            </w:r>
          </w:p>
        </w:tc>
        <w:tc>
          <w:tcPr>
            <w:tcW w:w="160" w:type="dxa"/>
            <w:tcBorders>
              <w:top w:val="nil"/>
              <w:left w:val="nil"/>
              <w:bottom w:val="nil"/>
              <w:right w:val="nil"/>
            </w:tcBorders>
          </w:tcPr>
          <w:p w14:paraId="34AB793B" w14:textId="17074CE5" w:rsidR="00DD771A" w:rsidRPr="00166BEB" w:rsidRDefault="00DD771A" w:rsidP="00DD771A">
            <w:pPr>
              <w:spacing w:after="0" w:line="240" w:lineRule="auto"/>
              <w:jc w:val="center"/>
              <w:rPr>
                <w:rFonts w:cs="Arial"/>
                <w:sz w:val="16"/>
                <w:szCs w:val="16"/>
                <w:highlight w:val="yellow"/>
              </w:rPr>
            </w:pPr>
          </w:p>
        </w:tc>
      </w:tr>
      <w:tr w:rsidR="00DD771A" w:rsidRPr="00166BEB" w14:paraId="765DEC00" w14:textId="77777777" w:rsidTr="00DD771A">
        <w:trPr>
          <w:trHeight w:val="300"/>
        </w:trPr>
        <w:tc>
          <w:tcPr>
            <w:tcW w:w="1380" w:type="dxa"/>
            <w:tcBorders>
              <w:top w:val="nil"/>
              <w:left w:val="nil"/>
              <w:bottom w:val="nil"/>
              <w:right w:val="nil"/>
            </w:tcBorders>
            <w:shd w:val="clear" w:color="auto" w:fill="auto"/>
            <w:noWrap/>
            <w:vAlign w:val="center"/>
            <w:hideMark/>
          </w:tcPr>
          <w:p w14:paraId="60B4C573"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Itálie</w:t>
            </w:r>
          </w:p>
        </w:tc>
        <w:tc>
          <w:tcPr>
            <w:tcW w:w="765" w:type="dxa"/>
            <w:tcBorders>
              <w:top w:val="nil"/>
              <w:left w:val="single" w:sz="4" w:space="0" w:color="000000"/>
              <w:bottom w:val="nil"/>
              <w:right w:val="single" w:sz="4" w:space="0" w:color="auto"/>
            </w:tcBorders>
            <w:shd w:val="clear" w:color="auto" w:fill="auto"/>
            <w:noWrap/>
            <w:vAlign w:val="center"/>
            <w:hideMark/>
          </w:tcPr>
          <w:p w14:paraId="1207B9F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3,3</w:t>
            </w:r>
          </w:p>
        </w:tc>
        <w:tc>
          <w:tcPr>
            <w:tcW w:w="765" w:type="dxa"/>
            <w:tcBorders>
              <w:top w:val="nil"/>
              <w:left w:val="single" w:sz="4" w:space="0" w:color="auto"/>
              <w:bottom w:val="nil"/>
              <w:right w:val="single" w:sz="4" w:space="0" w:color="auto"/>
            </w:tcBorders>
            <w:shd w:val="clear" w:color="auto" w:fill="auto"/>
            <w:noWrap/>
            <w:vAlign w:val="center"/>
            <w:hideMark/>
          </w:tcPr>
          <w:p w14:paraId="4D756BB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2,9</w:t>
            </w:r>
          </w:p>
        </w:tc>
        <w:tc>
          <w:tcPr>
            <w:tcW w:w="765" w:type="dxa"/>
            <w:tcBorders>
              <w:top w:val="nil"/>
              <w:left w:val="single" w:sz="4" w:space="0" w:color="auto"/>
              <w:bottom w:val="nil"/>
              <w:right w:val="single" w:sz="4" w:space="0" w:color="auto"/>
            </w:tcBorders>
            <w:shd w:val="clear" w:color="auto" w:fill="auto"/>
            <w:noWrap/>
            <w:vAlign w:val="center"/>
            <w:hideMark/>
          </w:tcPr>
          <w:p w14:paraId="2CB1BCB9"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3,0</w:t>
            </w:r>
          </w:p>
        </w:tc>
        <w:tc>
          <w:tcPr>
            <w:tcW w:w="765" w:type="dxa"/>
            <w:tcBorders>
              <w:top w:val="nil"/>
              <w:left w:val="single" w:sz="4" w:space="0" w:color="auto"/>
              <w:bottom w:val="nil"/>
              <w:right w:val="single" w:sz="4" w:space="0" w:color="auto"/>
            </w:tcBorders>
            <w:shd w:val="clear" w:color="auto" w:fill="auto"/>
            <w:noWrap/>
            <w:vAlign w:val="center"/>
            <w:hideMark/>
          </w:tcPr>
          <w:p w14:paraId="39A1C10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3,0</w:t>
            </w:r>
          </w:p>
        </w:tc>
        <w:tc>
          <w:tcPr>
            <w:tcW w:w="765" w:type="dxa"/>
            <w:tcBorders>
              <w:top w:val="nil"/>
              <w:left w:val="single" w:sz="4" w:space="0" w:color="auto"/>
              <w:bottom w:val="nil"/>
              <w:right w:val="single" w:sz="4" w:space="0" w:color="auto"/>
            </w:tcBorders>
            <w:shd w:val="clear" w:color="auto" w:fill="auto"/>
            <w:noWrap/>
            <w:vAlign w:val="center"/>
            <w:hideMark/>
          </w:tcPr>
          <w:p w14:paraId="0D75F4E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3,1</w:t>
            </w:r>
          </w:p>
        </w:tc>
        <w:tc>
          <w:tcPr>
            <w:tcW w:w="765" w:type="dxa"/>
            <w:tcBorders>
              <w:top w:val="nil"/>
              <w:left w:val="single" w:sz="4" w:space="0" w:color="auto"/>
              <w:bottom w:val="nil"/>
              <w:right w:val="single" w:sz="4" w:space="0" w:color="auto"/>
            </w:tcBorders>
            <w:shd w:val="clear" w:color="auto" w:fill="auto"/>
            <w:noWrap/>
            <w:vAlign w:val="center"/>
            <w:hideMark/>
          </w:tcPr>
          <w:p w14:paraId="0140AB2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2,6</w:t>
            </w:r>
          </w:p>
        </w:tc>
        <w:tc>
          <w:tcPr>
            <w:tcW w:w="765" w:type="dxa"/>
            <w:tcBorders>
              <w:top w:val="nil"/>
              <w:left w:val="single" w:sz="4" w:space="0" w:color="auto"/>
              <w:bottom w:val="nil"/>
              <w:right w:val="single" w:sz="4" w:space="0" w:color="auto"/>
            </w:tcBorders>
            <w:shd w:val="clear" w:color="auto" w:fill="auto"/>
            <w:noWrap/>
            <w:vAlign w:val="center"/>
            <w:hideMark/>
          </w:tcPr>
          <w:p w14:paraId="28F2558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2,5</w:t>
            </w:r>
          </w:p>
        </w:tc>
        <w:tc>
          <w:tcPr>
            <w:tcW w:w="765" w:type="dxa"/>
            <w:tcBorders>
              <w:top w:val="nil"/>
              <w:left w:val="single" w:sz="4" w:space="0" w:color="auto"/>
              <w:bottom w:val="nil"/>
              <w:right w:val="single" w:sz="4" w:space="0" w:color="auto"/>
            </w:tcBorders>
            <w:shd w:val="clear" w:color="auto" w:fill="auto"/>
            <w:noWrap/>
            <w:vAlign w:val="center"/>
            <w:hideMark/>
          </w:tcPr>
          <w:p w14:paraId="73C7E08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55FD8122"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2,6</w:t>
            </w:r>
          </w:p>
        </w:tc>
        <w:tc>
          <w:tcPr>
            <w:tcW w:w="765" w:type="dxa"/>
            <w:tcBorders>
              <w:top w:val="nil"/>
              <w:left w:val="single" w:sz="4" w:space="0" w:color="auto"/>
              <w:bottom w:val="nil"/>
              <w:right w:val="single" w:sz="4" w:space="0" w:color="auto"/>
            </w:tcBorders>
            <w:shd w:val="clear" w:color="auto" w:fill="D9D9D9"/>
            <w:vAlign w:val="center"/>
          </w:tcPr>
          <w:p w14:paraId="794FCEB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3,0</w:t>
            </w:r>
          </w:p>
        </w:tc>
        <w:tc>
          <w:tcPr>
            <w:tcW w:w="765" w:type="dxa"/>
            <w:tcBorders>
              <w:top w:val="nil"/>
              <w:left w:val="single" w:sz="4" w:space="0" w:color="auto"/>
              <w:bottom w:val="nil"/>
              <w:right w:val="nil"/>
            </w:tcBorders>
            <w:vAlign w:val="center"/>
          </w:tcPr>
          <w:p w14:paraId="2C97E8D3" w14:textId="28B10128" w:rsidR="00DD771A" w:rsidRPr="00166BEB" w:rsidRDefault="00DD771A" w:rsidP="00DD771A">
            <w:pPr>
              <w:spacing w:after="0" w:line="240" w:lineRule="auto"/>
              <w:jc w:val="center"/>
              <w:rPr>
                <w:rFonts w:cs="Arial"/>
                <w:sz w:val="16"/>
                <w:szCs w:val="16"/>
                <w:highlight w:val="yellow"/>
              </w:rPr>
            </w:pPr>
            <w:r>
              <w:rPr>
                <w:rFonts w:cs="Arial"/>
                <w:sz w:val="16"/>
                <w:szCs w:val="16"/>
              </w:rPr>
              <w:t>3,2</w:t>
            </w:r>
          </w:p>
        </w:tc>
        <w:tc>
          <w:tcPr>
            <w:tcW w:w="160" w:type="dxa"/>
            <w:tcBorders>
              <w:top w:val="nil"/>
              <w:left w:val="nil"/>
              <w:bottom w:val="nil"/>
              <w:right w:val="nil"/>
            </w:tcBorders>
          </w:tcPr>
          <w:p w14:paraId="05BB1D41" w14:textId="21CC103E" w:rsidR="00DD771A" w:rsidRPr="00166BEB" w:rsidRDefault="00DD771A" w:rsidP="00DD771A">
            <w:pPr>
              <w:spacing w:after="0" w:line="240" w:lineRule="auto"/>
              <w:jc w:val="center"/>
              <w:rPr>
                <w:rFonts w:cs="Arial"/>
                <w:sz w:val="16"/>
                <w:szCs w:val="16"/>
                <w:highlight w:val="yellow"/>
              </w:rPr>
            </w:pPr>
          </w:p>
        </w:tc>
      </w:tr>
      <w:tr w:rsidR="00DD771A" w:rsidRPr="00166BEB" w14:paraId="33A13588" w14:textId="77777777" w:rsidTr="00DD771A">
        <w:trPr>
          <w:trHeight w:val="300"/>
        </w:trPr>
        <w:tc>
          <w:tcPr>
            <w:tcW w:w="1380" w:type="dxa"/>
            <w:tcBorders>
              <w:top w:val="nil"/>
              <w:left w:val="nil"/>
              <w:bottom w:val="nil"/>
              <w:right w:val="nil"/>
            </w:tcBorders>
            <w:shd w:val="clear" w:color="auto" w:fill="auto"/>
            <w:noWrap/>
            <w:vAlign w:val="center"/>
            <w:hideMark/>
          </w:tcPr>
          <w:p w14:paraId="0C33AE58"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Kypr</w:t>
            </w:r>
          </w:p>
        </w:tc>
        <w:tc>
          <w:tcPr>
            <w:tcW w:w="765" w:type="dxa"/>
            <w:tcBorders>
              <w:top w:val="nil"/>
              <w:left w:val="single" w:sz="4" w:space="0" w:color="000000"/>
              <w:bottom w:val="nil"/>
              <w:right w:val="single" w:sz="4" w:space="0" w:color="auto"/>
            </w:tcBorders>
            <w:shd w:val="clear" w:color="auto" w:fill="auto"/>
            <w:noWrap/>
            <w:vAlign w:val="center"/>
            <w:hideMark/>
          </w:tcPr>
          <w:p w14:paraId="35B420A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4,0</w:t>
            </w:r>
          </w:p>
        </w:tc>
        <w:tc>
          <w:tcPr>
            <w:tcW w:w="765" w:type="dxa"/>
            <w:tcBorders>
              <w:top w:val="nil"/>
              <w:left w:val="single" w:sz="4" w:space="0" w:color="auto"/>
              <w:bottom w:val="nil"/>
              <w:right w:val="single" w:sz="4" w:space="0" w:color="auto"/>
            </w:tcBorders>
            <w:shd w:val="clear" w:color="auto" w:fill="auto"/>
            <w:noWrap/>
            <w:vAlign w:val="center"/>
            <w:hideMark/>
          </w:tcPr>
          <w:p w14:paraId="5A54EFA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3,9</w:t>
            </w:r>
          </w:p>
        </w:tc>
        <w:tc>
          <w:tcPr>
            <w:tcW w:w="765" w:type="dxa"/>
            <w:tcBorders>
              <w:top w:val="nil"/>
              <w:left w:val="single" w:sz="4" w:space="0" w:color="auto"/>
              <w:bottom w:val="nil"/>
              <w:right w:val="single" w:sz="4" w:space="0" w:color="auto"/>
            </w:tcBorders>
            <w:shd w:val="clear" w:color="auto" w:fill="auto"/>
            <w:noWrap/>
            <w:vAlign w:val="center"/>
            <w:hideMark/>
          </w:tcPr>
          <w:p w14:paraId="077B66E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3,7</w:t>
            </w:r>
          </w:p>
        </w:tc>
        <w:tc>
          <w:tcPr>
            <w:tcW w:w="765" w:type="dxa"/>
            <w:tcBorders>
              <w:top w:val="nil"/>
              <w:left w:val="single" w:sz="4" w:space="0" w:color="auto"/>
              <w:bottom w:val="nil"/>
              <w:right w:val="single" w:sz="4" w:space="0" w:color="auto"/>
            </w:tcBorders>
            <w:shd w:val="clear" w:color="auto" w:fill="auto"/>
            <w:noWrap/>
            <w:vAlign w:val="center"/>
            <w:hideMark/>
          </w:tcPr>
          <w:p w14:paraId="2426DE4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2,6</w:t>
            </w:r>
          </w:p>
        </w:tc>
        <w:tc>
          <w:tcPr>
            <w:tcW w:w="765" w:type="dxa"/>
            <w:tcBorders>
              <w:top w:val="nil"/>
              <w:left w:val="single" w:sz="4" w:space="0" w:color="auto"/>
              <w:bottom w:val="nil"/>
              <w:right w:val="single" w:sz="4" w:space="0" w:color="auto"/>
            </w:tcBorders>
            <w:shd w:val="clear" w:color="auto" w:fill="auto"/>
            <w:noWrap/>
            <w:vAlign w:val="center"/>
            <w:hideMark/>
          </w:tcPr>
          <w:p w14:paraId="022AB632"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1,5</w:t>
            </w:r>
          </w:p>
        </w:tc>
        <w:tc>
          <w:tcPr>
            <w:tcW w:w="765" w:type="dxa"/>
            <w:tcBorders>
              <w:top w:val="nil"/>
              <w:left w:val="single" w:sz="4" w:space="0" w:color="auto"/>
              <w:bottom w:val="nil"/>
              <w:right w:val="single" w:sz="4" w:space="0" w:color="auto"/>
            </w:tcBorders>
            <w:shd w:val="clear" w:color="auto" w:fill="auto"/>
            <w:noWrap/>
            <w:vAlign w:val="center"/>
            <w:hideMark/>
          </w:tcPr>
          <w:p w14:paraId="3B9C529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auto"/>
            <w:noWrap/>
            <w:vAlign w:val="center"/>
            <w:hideMark/>
          </w:tcPr>
          <w:p w14:paraId="7718333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0,9</w:t>
            </w:r>
          </w:p>
        </w:tc>
        <w:tc>
          <w:tcPr>
            <w:tcW w:w="765" w:type="dxa"/>
            <w:tcBorders>
              <w:top w:val="nil"/>
              <w:left w:val="single" w:sz="4" w:space="0" w:color="auto"/>
              <w:bottom w:val="nil"/>
              <w:right w:val="single" w:sz="4" w:space="0" w:color="auto"/>
            </w:tcBorders>
            <w:shd w:val="clear" w:color="auto" w:fill="auto"/>
            <w:noWrap/>
            <w:vAlign w:val="center"/>
            <w:hideMark/>
          </w:tcPr>
          <w:p w14:paraId="7671616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4,5</w:t>
            </w:r>
          </w:p>
        </w:tc>
        <w:tc>
          <w:tcPr>
            <w:tcW w:w="765" w:type="dxa"/>
            <w:tcBorders>
              <w:top w:val="nil"/>
              <w:left w:val="single" w:sz="4" w:space="0" w:color="auto"/>
              <w:bottom w:val="nil"/>
              <w:right w:val="single" w:sz="4" w:space="0" w:color="auto"/>
            </w:tcBorders>
            <w:shd w:val="clear" w:color="auto" w:fill="auto"/>
            <w:noWrap/>
            <w:vAlign w:val="center"/>
            <w:hideMark/>
          </w:tcPr>
          <w:p w14:paraId="76B19A1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3,9</w:t>
            </w:r>
          </w:p>
        </w:tc>
        <w:tc>
          <w:tcPr>
            <w:tcW w:w="765" w:type="dxa"/>
            <w:tcBorders>
              <w:top w:val="nil"/>
              <w:left w:val="single" w:sz="4" w:space="0" w:color="auto"/>
              <w:bottom w:val="nil"/>
              <w:right w:val="single" w:sz="4" w:space="0" w:color="auto"/>
            </w:tcBorders>
            <w:shd w:val="clear" w:color="auto" w:fill="D9D9D9"/>
            <w:vAlign w:val="center"/>
          </w:tcPr>
          <w:p w14:paraId="1670FB5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5,1</w:t>
            </w:r>
          </w:p>
        </w:tc>
        <w:tc>
          <w:tcPr>
            <w:tcW w:w="765" w:type="dxa"/>
            <w:tcBorders>
              <w:top w:val="nil"/>
              <w:left w:val="single" w:sz="4" w:space="0" w:color="auto"/>
              <w:bottom w:val="nil"/>
              <w:right w:val="nil"/>
            </w:tcBorders>
            <w:vAlign w:val="center"/>
          </w:tcPr>
          <w:p w14:paraId="54935FBB" w14:textId="2986160D" w:rsidR="00DD771A" w:rsidRPr="00166BEB" w:rsidRDefault="00DD771A" w:rsidP="00DD771A">
            <w:pPr>
              <w:spacing w:after="0" w:line="240" w:lineRule="auto"/>
              <w:jc w:val="center"/>
              <w:rPr>
                <w:rFonts w:cs="Arial"/>
                <w:sz w:val="16"/>
                <w:szCs w:val="16"/>
                <w:highlight w:val="yellow"/>
              </w:rPr>
            </w:pPr>
            <w:r>
              <w:rPr>
                <w:rFonts w:cs="Arial"/>
                <w:sz w:val="16"/>
                <w:szCs w:val="16"/>
              </w:rPr>
              <w:t>2,1</w:t>
            </w:r>
          </w:p>
        </w:tc>
        <w:tc>
          <w:tcPr>
            <w:tcW w:w="160" w:type="dxa"/>
            <w:tcBorders>
              <w:top w:val="nil"/>
              <w:left w:val="nil"/>
              <w:bottom w:val="nil"/>
              <w:right w:val="nil"/>
            </w:tcBorders>
          </w:tcPr>
          <w:p w14:paraId="0767C946" w14:textId="5ACBB95F" w:rsidR="00DD771A" w:rsidRPr="00166BEB" w:rsidRDefault="00DD771A" w:rsidP="00DD771A">
            <w:pPr>
              <w:spacing w:after="0" w:line="240" w:lineRule="auto"/>
              <w:jc w:val="center"/>
              <w:rPr>
                <w:rFonts w:cs="Arial"/>
                <w:sz w:val="16"/>
                <w:szCs w:val="16"/>
                <w:highlight w:val="yellow"/>
              </w:rPr>
            </w:pPr>
          </w:p>
        </w:tc>
      </w:tr>
      <w:tr w:rsidR="00DD771A" w:rsidRPr="00166BEB" w14:paraId="5E2420FF" w14:textId="77777777" w:rsidTr="00DD771A">
        <w:trPr>
          <w:trHeight w:val="300"/>
        </w:trPr>
        <w:tc>
          <w:tcPr>
            <w:tcW w:w="1380" w:type="dxa"/>
            <w:tcBorders>
              <w:top w:val="nil"/>
              <w:left w:val="nil"/>
              <w:bottom w:val="nil"/>
              <w:right w:val="nil"/>
            </w:tcBorders>
            <w:shd w:val="clear" w:color="auto" w:fill="auto"/>
            <w:noWrap/>
            <w:vAlign w:val="center"/>
            <w:hideMark/>
          </w:tcPr>
          <w:p w14:paraId="4A8F7799"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Litva</w:t>
            </w:r>
          </w:p>
        </w:tc>
        <w:tc>
          <w:tcPr>
            <w:tcW w:w="765" w:type="dxa"/>
            <w:tcBorders>
              <w:top w:val="nil"/>
              <w:left w:val="single" w:sz="4" w:space="0" w:color="000000"/>
              <w:bottom w:val="nil"/>
              <w:right w:val="single" w:sz="4" w:space="0" w:color="auto"/>
            </w:tcBorders>
            <w:shd w:val="clear" w:color="auto" w:fill="auto"/>
            <w:noWrap/>
            <w:vAlign w:val="center"/>
            <w:hideMark/>
          </w:tcPr>
          <w:p w14:paraId="7CEC169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4,8</w:t>
            </w:r>
          </w:p>
        </w:tc>
        <w:tc>
          <w:tcPr>
            <w:tcW w:w="765" w:type="dxa"/>
            <w:tcBorders>
              <w:top w:val="nil"/>
              <w:left w:val="single" w:sz="4" w:space="0" w:color="auto"/>
              <w:bottom w:val="nil"/>
              <w:right w:val="single" w:sz="4" w:space="0" w:color="auto"/>
            </w:tcBorders>
            <w:shd w:val="clear" w:color="auto" w:fill="auto"/>
            <w:noWrap/>
            <w:vAlign w:val="center"/>
            <w:hideMark/>
          </w:tcPr>
          <w:p w14:paraId="082AF81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6,3</w:t>
            </w:r>
          </w:p>
        </w:tc>
        <w:tc>
          <w:tcPr>
            <w:tcW w:w="765" w:type="dxa"/>
            <w:tcBorders>
              <w:top w:val="nil"/>
              <w:left w:val="single" w:sz="4" w:space="0" w:color="auto"/>
              <w:bottom w:val="nil"/>
              <w:right w:val="single" w:sz="4" w:space="0" w:color="auto"/>
            </w:tcBorders>
            <w:shd w:val="clear" w:color="auto" w:fill="auto"/>
            <w:noWrap/>
            <w:vAlign w:val="center"/>
            <w:hideMark/>
          </w:tcPr>
          <w:p w14:paraId="737D745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5,0</w:t>
            </w:r>
          </w:p>
        </w:tc>
        <w:tc>
          <w:tcPr>
            <w:tcW w:w="765" w:type="dxa"/>
            <w:tcBorders>
              <w:top w:val="nil"/>
              <w:left w:val="single" w:sz="4" w:space="0" w:color="auto"/>
              <w:bottom w:val="nil"/>
              <w:right w:val="single" w:sz="4" w:space="0" w:color="auto"/>
            </w:tcBorders>
            <w:shd w:val="clear" w:color="auto" w:fill="auto"/>
            <w:noWrap/>
            <w:vAlign w:val="center"/>
            <w:hideMark/>
          </w:tcPr>
          <w:p w14:paraId="2EE4CE2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5,6</w:t>
            </w:r>
          </w:p>
        </w:tc>
        <w:tc>
          <w:tcPr>
            <w:tcW w:w="765" w:type="dxa"/>
            <w:tcBorders>
              <w:top w:val="nil"/>
              <w:left w:val="single" w:sz="4" w:space="0" w:color="auto"/>
              <w:bottom w:val="nil"/>
              <w:right w:val="single" w:sz="4" w:space="0" w:color="auto"/>
            </w:tcBorders>
            <w:shd w:val="clear" w:color="auto" w:fill="auto"/>
            <w:noWrap/>
            <w:vAlign w:val="center"/>
            <w:hideMark/>
          </w:tcPr>
          <w:p w14:paraId="1AC4752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4,3</w:t>
            </w:r>
          </w:p>
        </w:tc>
        <w:tc>
          <w:tcPr>
            <w:tcW w:w="765" w:type="dxa"/>
            <w:tcBorders>
              <w:top w:val="nil"/>
              <w:left w:val="single" w:sz="4" w:space="0" w:color="auto"/>
              <w:bottom w:val="nil"/>
              <w:right w:val="single" w:sz="4" w:space="0" w:color="auto"/>
            </w:tcBorders>
            <w:shd w:val="clear" w:color="auto" w:fill="auto"/>
            <w:noWrap/>
            <w:vAlign w:val="center"/>
            <w:hideMark/>
          </w:tcPr>
          <w:p w14:paraId="7DCFE0C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4,4</w:t>
            </w:r>
          </w:p>
        </w:tc>
        <w:tc>
          <w:tcPr>
            <w:tcW w:w="765" w:type="dxa"/>
            <w:tcBorders>
              <w:top w:val="nil"/>
              <w:left w:val="single" w:sz="4" w:space="0" w:color="auto"/>
              <w:bottom w:val="nil"/>
              <w:right w:val="single" w:sz="4" w:space="0" w:color="auto"/>
            </w:tcBorders>
            <w:shd w:val="clear" w:color="auto" w:fill="auto"/>
            <w:noWrap/>
            <w:vAlign w:val="center"/>
            <w:hideMark/>
          </w:tcPr>
          <w:p w14:paraId="2AEE997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3,5</w:t>
            </w:r>
          </w:p>
        </w:tc>
        <w:tc>
          <w:tcPr>
            <w:tcW w:w="765" w:type="dxa"/>
            <w:tcBorders>
              <w:top w:val="nil"/>
              <w:left w:val="single" w:sz="4" w:space="0" w:color="auto"/>
              <w:bottom w:val="nil"/>
              <w:right w:val="single" w:sz="4" w:space="0" w:color="auto"/>
            </w:tcBorders>
            <w:shd w:val="clear" w:color="auto" w:fill="auto"/>
            <w:noWrap/>
            <w:vAlign w:val="center"/>
            <w:hideMark/>
          </w:tcPr>
          <w:p w14:paraId="1E834BF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3,9</w:t>
            </w:r>
          </w:p>
        </w:tc>
        <w:tc>
          <w:tcPr>
            <w:tcW w:w="765" w:type="dxa"/>
            <w:tcBorders>
              <w:top w:val="nil"/>
              <w:left w:val="single" w:sz="4" w:space="0" w:color="auto"/>
              <w:bottom w:val="nil"/>
              <w:right w:val="single" w:sz="4" w:space="0" w:color="auto"/>
            </w:tcBorders>
            <w:shd w:val="clear" w:color="auto" w:fill="auto"/>
            <w:noWrap/>
            <w:vAlign w:val="center"/>
            <w:hideMark/>
          </w:tcPr>
          <w:p w14:paraId="2E0630B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3,6</w:t>
            </w:r>
          </w:p>
        </w:tc>
        <w:tc>
          <w:tcPr>
            <w:tcW w:w="765" w:type="dxa"/>
            <w:tcBorders>
              <w:top w:val="nil"/>
              <w:left w:val="single" w:sz="4" w:space="0" w:color="auto"/>
              <w:bottom w:val="nil"/>
              <w:right w:val="single" w:sz="4" w:space="0" w:color="auto"/>
            </w:tcBorders>
            <w:shd w:val="clear" w:color="auto" w:fill="D9D9D9"/>
            <w:vAlign w:val="center"/>
          </w:tcPr>
          <w:p w14:paraId="3E881BE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3,8</w:t>
            </w:r>
          </w:p>
        </w:tc>
        <w:tc>
          <w:tcPr>
            <w:tcW w:w="765" w:type="dxa"/>
            <w:tcBorders>
              <w:top w:val="nil"/>
              <w:left w:val="single" w:sz="4" w:space="0" w:color="auto"/>
              <w:bottom w:val="nil"/>
              <w:right w:val="nil"/>
            </w:tcBorders>
            <w:vAlign w:val="center"/>
          </w:tcPr>
          <w:p w14:paraId="2112AACD" w14:textId="1808C53F" w:rsidR="00DD771A" w:rsidRPr="00166BEB" w:rsidRDefault="00DD771A" w:rsidP="00DD771A">
            <w:pPr>
              <w:spacing w:after="0" w:line="240" w:lineRule="auto"/>
              <w:jc w:val="center"/>
              <w:rPr>
                <w:rFonts w:cs="Arial"/>
                <w:sz w:val="16"/>
                <w:szCs w:val="16"/>
                <w:highlight w:val="yellow"/>
              </w:rPr>
            </w:pPr>
            <w:r>
              <w:rPr>
                <w:rFonts w:cs="Arial"/>
                <w:sz w:val="16"/>
                <w:szCs w:val="16"/>
              </w:rPr>
              <w:t>5,5</w:t>
            </w:r>
          </w:p>
        </w:tc>
        <w:tc>
          <w:tcPr>
            <w:tcW w:w="160" w:type="dxa"/>
            <w:tcBorders>
              <w:top w:val="nil"/>
              <w:left w:val="nil"/>
              <w:bottom w:val="nil"/>
              <w:right w:val="nil"/>
            </w:tcBorders>
          </w:tcPr>
          <w:p w14:paraId="06A40A19" w14:textId="34CC6A31" w:rsidR="00DD771A" w:rsidRPr="00166BEB" w:rsidRDefault="00DD771A" w:rsidP="00DD771A">
            <w:pPr>
              <w:spacing w:after="0" w:line="240" w:lineRule="auto"/>
              <w:jc w:val="center"/>
              <w:rPr>
                <w:rFonts w:cs="Arial"/>
                <w:sz w:val="16"/>
                <w:szCs w:val="16"/>
                <w:highlight w:val="yellow"/>
              </w:rPr>
            </w:pPr>
          </w:p>
        </w:tc>
      </w:tr>
      <w:tr w:rsidR="00DD771A" w:rsidRPr="00166BEB" w14:paraId="178734EA" w14:textId="77777777" w:rsidTr="00DD771A">
        <w:trPr>
          <w:trHeight w:val="300"/>
        </w:trPr>
        <w:tc>
          <w:tcPr>
            <w:tcW w:w="1380" w:type="dxa"/>
            <w:tcBorders>
              <w:top w:val="nil"/>
              <w:left w:val="nil"/>
              <w:bottom w:val="nil"/>
              <w:right w:val="nil"/>
            </w:tcBorders>
            <w:shd w:val="clear" w:color="auto" w:fill="auto"/>
            <w:noWrap/>
            <w:vAlign w:val="center"/>
            <w:hideMark/>
          </w:tcPr>
          <w:p w14:paraId="2B12AE28"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Lotyšsko</w:t>
            </w:r>
          </w:p>
        </w:tc>
        <w:tc>
          <w:tcPr>
            <w:tcW w:w="765" w:type="dxa"/>
            <w:tcBorders>
              <w:top w:val="nil"/>
              <w:left w:val="single" w:sz="4" w:space="0" w:color="000000"/>
              <w:bottom w:val="nil"/>
              <w:right w:val="single" w:sz="4" w:space="0" w:color="auto"/>
            </w:tcBorders>
            <w:shd w:val="clear" w:color="auto" w:fill="auto"/>
            <w:noWrap/>
            <w:vAlign w:val="center"/>
            <w:hideMark/>
          </w:tcPr>
          <w:p w14:paraId="06AFEE0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6,1</w:t>
            </w:r>
          </w:p>
        </w:tc>
        <w:tc>
          <w:tcPr>
            <w:tcW w:w="765" w:type="dxa"/>
            <w:tcBorders>
              <w:top w:val="nil"/>
              <w:left w:val="single" w:sz="4" w:space="0" w:color="auto"/>
              <w:bottom w:val="nil"/>
              <w:right w:val="single" w:sz="4" w:space="0" w:color="auto"/>
            </w:tcBorders>
            <w:shd w:val="clear" w:color="auto" w:fill="auto"/>
            <w:noWrap/>
            <w:vAlign w:val="center"/>
            <w:hideMark/>
          </w:tcPr>
          <w:p w14:paraId="264A5C0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5,3</w:t>
            </w:r>
          </w:p>
        </w:tc>
        <w:tc>
          <w:tcPr>
            <w:tcW w:w="765" w:type="dxa"/>
            <w:tcBorders>
              <w:top w:val="nil"/>
              <w:left w:val="single" w:sz="4" w:space="0" w:color="auto"/>
              <w:bottom w:val="nil"/>
              <w:right w:val="single" w:sz="4" w:space="0" w:color="auto"/>
            </w:tcBorders>
            <w:shd w:val="clear" w:color="auto" w:fill="auto"/>
            <w:noWrap/>
            <w:vAlign w:val="center"/>
            <w:hideMark/>
          </w:tcPr>
          <w:p w14:paraId="0DBA47B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4,5</w:t>
            </w:r>
          </w:p>
        </w:tc>
        <w:tc>
          <w:tcPr>
            <w:tcW w:w="765" w:type="dxa"/>
            <w:tcBorders>
              <w:top w:val="nil"/>
              <w:left w:val="single" w:sz="4" w:space="0" w:color="auto"/>
              <w:bottom w:val="nil"/>
              <w:right w:val="single" w:sz="4" w:space="0" w:color="auto"/>
            </w:tcBorders>
            <w:shd w:val="clear" w:color="auto" w:fill="auto"/>
            <w:noWrap/>
            <w:vAlign w:val="center"/>
            <w:hideMark/>
          </w:tcPr>
          <w:p w14:paraId="3E5D63D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6,0</w:t>
            </w:r>
          </w:p>
        </w:tc>
        <w:tc>
          <w:tcPr>
            <w:tcW w:w="765" w:type="dxa"/>
            <w:tcBorders>
              <w:top w:val="nil"/>
              <w:left w:val="single" w:sz="4" w:space="0" w:color="auto"/>
              <w:bottom w:val="nil"/>
              <w:right w:val="single" w:sz="4" w:space="0" w:color="auto"/>
            </w:tcBorders>
            <w:shd w:val="clear" w:color="auto" w:fill="auto"/>
            <w:noWrap/>
            <w:vAlign w:val="center"/>
            <w:hideMark/>
          </w:tcPr>
          <w:p w14:paraId="1FCCD3D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4,1</w:t>
            </w:r>
          </w:p>
        </w:tc>
        <w:tc>
          <w:tcPr>
            <w:tcW w:w="765" w:type="dxa"/>
            <w:tcBorders>
              <w:top w:val="nil"/>
              <w:left w:val="single" w:sz="4" w:space="0" w:color="auto"/>
              <w:bottom w:val="nil"/>
              <w:right w:val="single" w:sz="4" w:space="0" w:color="auto"/>
            </w:tcBorders>
            <w:shd w:val="clear" w:color="auto" w:fill="auto"/>
            <w:noWrap/>
            <w:vAlign w:val="center"/>
            <w:hideMark/>
          </w:tcPr>
          <w:p w14:paraId="0FE81F6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5,5</w:t>
            </w:r>
          </w:p>
        </w:tc>
        <w:tc>
          <w:tcPr>
            <w:tcW w:w="765" w:type="dxa"/>
            <w:tcBorders>
              <w:top w:val="nil"/>
              <w:left w:val="single" w:sz="4" w:space="0" w:color="auto"/>
              <w:bottom w:val="nil"/>
              <w:right w:val="single" w:sz="4" w:space="0" w:color="auto"/>
            </w:tcBorders>
            <w:shd w:val="clear" w:color="auto" w:fill="auto"/>
            <w:noWrap/>
            <w:vAlign w:val="center"/>
            <w:hideMark/>
          </w:tcPr>
          <w:p w14:paraId="57085CC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2,8</w:t>
            </w:r>
          </w:p>
        </w:tc>
        <w:tc>
          <w:tcPr>
            <w:tcW w:w="765" w:type="dxa"/>
            <w:tcBorders>
              <w:top w:val="nil"/>
              <w:left w:val="single" w:sz="4" w:space="0" w:color="auto"/>
              <w:bottom w:val="nil"/>
              <w:right w:val="single" w:sz="4" w:space="0" w:color="auto"/>
            </w:tcBorders>
            <w:shd w:val="clear" w:color="auto" w:fill="auto"/>
            <w:noWrap/>
            <w:vAlign w:val="center"/>
            <w:hideMark/>
          </w:tcPr>
          <w:p w14:paraId="76DCDD6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4,7</w:t>
            </w:r>
          </w:p>
        </w:tc>
        <w:tc>
          <w:tcPr>
            <w:tcW w:w="765" w:type="dxa"/>
            <w:tcBorders>
              <w:top w:val="nil"/>
              <w:left w:val="single" w:sz="4" w:space="0" w:color="auto"/>
              <w:bottom w:val="nil"/>
              <w:right w:val="single" w:sz="4" w:space="0" w:color="auto"/>
            </w:tcBorders>
            <w:shd w:val="clear" w:color="auto" w:fill="auto"/>
            <w:noWrap/>
            <w:vAlign w:val="center"/>
            <w:hideMark/>
          </w:tcPr>
          <w:p w14:paraId="12272D8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3,4</w:t>
            </w:r>
          </w:p>
        </w:tc>
        <w:tc>
          <w:tcPr>
            <w:tcW w:w="765" w:type="dxa"/>
            <w:tcBorders>
              <w:top w:val="nil"/>
              <w:left w:val="single" w:sz="4" w:space="0" w:color="auto"/>
              <w:bottom w:val="nil"/>
              <w:right w:val="single" w:sz="4" w:space="0" w:color="auto"/>
            </w:tcBorders>
            <w:shd w:val="clear" w:color="auto" w:fill="D9D9D9"/>
            <w:vAlign w:val="center"/>
          </w:tcPr>
          <w:p w14:paraId="0409B3C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3,2</w:t>
            </w:r>
          </w:p>
        </w:tc>
        <w:tc>
          <w:tcPr>
            <w:tcW w:w="765" w:type="dxa"/>
            <w:tcBorders>
              <w:top w:val="nil"/>
              <w:left w:val="single" w:sz="4" w:space="0" w:color="auto"/>
              <w:bottom w:val="nil"/>
              <w:right w:val="nil"/>
            </w:tcBorders>
            <w:vAlign w:val="center"/>
          </w:tcPr>
          <w:p w14:paraId="030ADD8C" w14:textId="2383B12B" w:rsidR="00DD771A" w:rsidRPr="00166BEB" w:rsidRDefault="00DD771A" w:rsidP="00DD771A">
            <w:pPr>
              <w:spacing w:after="0" w:line="240" w:lineRule="auto"/>
              <w:jc w:val="center"/>
              <w:rPr>
                <w:rFonts w:cs="Arial"/>
                <w:sz w:val="16"/>
                <w:szCs w:val="16"/>
                <w:highlight w:val="yellow"/>
              </w:rPr>
            </w:pPr>
            <w:r>
              <w:rPr>
                <w:rFonts w:cs="Arial"/>
                <w:sz w:val="16"/>
                <w:szCs w:val="16"/>
              </w:rPr>
              <w:t>4,7</w:t>
            </w:r>
          </w:p>
        </w:tc>
        <w:tc>
          <w:tcPr>
            <w:tcW w:w="160" w:type="dxa"/>
            <w:tcBorders>
              <w:top w:val="nil"/>
              <w:left w:val="nil"/>
              <w:bottom w:val="nil"/>
              <w:right w:val="nil"/>
            </w:tcBorders>
          </w:tcPr>
          <w:p w14:paraId="03420A06" w14:textId="642F3B82" w:rsidR="00DD771A" w:rsidRPr="00166BEB" w:rsidRDefault="00DD771A" w:rsidP="00DD771A">
            <w:pPr>
              <w:spacing w:after="0" w:line="240" w:lineRule="auto"/>
              <w:jc w:val="center"/>
              <w:rPr>
                <w:rFonts w:cs="Arial"/>
                <w:sz w:val="16"/>
                <w:szCs w:val="16"/>
                <w:highlight w:val="yellow"/>
              </w:rPr>
            </w:pPr>
          </w:p>
        </w:tc>
      </w:tr>
      <w:tr w:rsidR="00DD771A" w:rsidRPr="00166BEB" w14:paraId="69900108" w14:textId="77777777" w:rsidTr="00DD771A">
        <w:trPr>
          <w:trHeight w:val="300"/>
        </w:trPr>
        <w:tc>
          <w:tcPr>
            <w:tcW w:w="1380" w:type="dxa"/>
            <w:tcBorders>
              <w:top w:val="nil"/>
              <w:left w:val="nil"/>
              <w:bottom w:val="nil"/>
              <w:right w:val="nil"/>
            </w:tcBorders>
            <w:shd w:val="clear" w:color="auto" w:fill="auto"/>
            <w:noWrap/>
            <w:vAlign w:val="center"/>
            <w:hideMark/>
          </w:tcPr>
          <w:p w14:paraId="3905B958"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Lucembursko</w:t>
            </w:r>
          </w:p>
        </w:tc>
        <w:tc>
          <w:tcPr>
            <w:tcW w:w="765" w:type="dxa"/>
            <w:tcBorders>
              <w:top w:val="nil"/>
              <w:left w:val="single" w:sz="4" w:space="0" w:color="000000"/>
              <w:bottom w:val="nil"/>
              <w:right w:val="single" w:sz="4" w:space="0" w:color="auto"/>
            </w:tcBorders>
            <w:shd w:val="clear" w:color="auto" w:fill="auto"/>
            <w:noWrap/>
            <w:vAlign w:val="center"/>
            <w:hideMark/>
          </w:tcPr>
          <w:p w14:paraId="2BA448A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3,6</w:t>
            </w:r>
          </w:p>
        </w:tc>
        <w:tc>
          <w:tcPr>
            <w:tcW w:w="765" w:type="dxa"/>
            <w:tcBorders>
              <w:top w:val="nil"/>
              <w:left w:val="single" w:sz="4" w:space="0" w:color="auto"/>
              <w:bottom w:val="nil"/>
              <w:right w:val="single" w:sz="4" w:space="0" w:color="auto"/>
            </w:tcBorders>
            <w:shd w:val="clear" w:color="auto" w:fill="auto"/>
            <w:noWrap/>
            <w:vAlign w:val="center"/>
            <w:hideMark/>
          </w:tcPr>
          <w:p w14:paraId="5882EBE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5,2</w:t>
            </w:r>
          </w:p>
        </w:tc>
        <w:tc>
          <w:tcPr>
            <w:tcW w:w="765" w:type="dxa"/>
            <w:tcBorders>
              <w:top w:val="nil"/>
              <w:left w:val="single" w:sz="4" w:space="0" w:color="auto"/>
              <w:bottom w:val="nil"/>
              <w:right w:val="single" w:sz="4" w:space="0" w:color="auto"/>
            </w:tcBorders>
            <w:shd w:val="clear" w:color="auto" w:fill="auto"/>
            <w:noWrap/>
            <w:vAlign w:val="center"/>
            <w:hideMark/>
          </w:tcPr>
          <w:p w14:paraId="31A1E01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1,6</w:t>
            </w:r>
          </w:p>
        </w:tc>
        <w:tc>
          <w:tcPr>
            <w:tcW w:w="765" w:type="dxa"/>
            <w:tcBorders>
              <w:top w:val="nil"/>
              <w:left w:val="single" w:sz="4" w:space="0" w:color="auto"/>
              <w:bottom w:val="nil"/>
              <w:right w:val="single" w:sz="4" w:space="0" w:color="auto"/>
            </w:tcBorders>
            <w:shd w:val="clear" w:color="auto" w:fill="auto"/>
            <w:noWrap/>
            <w:vAlign w:val="center"/>
            <w:hideMark/>
          </w:tcPr>
          <w:p w14:paraId="2A1E383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3,7</w:t>
            </w:r>
          </w:p>
        </w:tc>
        <w:tc>
          <w:tcPr>
            <w:tcW w:w="765" w:type="dxa"/>
            <w:tcBorders>
              <w:top w:val="nil"/>
              <w:left w:val="single" w:sz="4" w:space="0" w:color="auto"/>
              <w:bottom w:val="nil"/>
              <w:right w:val="single" w:sz="4" w:space="0" w:color="auto"/>
            </w:tcBorders>
            <w:shd w:val="clear" w:color="auto" w:fill="auto"/>
            <w:noWrap/>
            <w:vAlign w:val="center"/>
            <w:hideMark/>
          </w:tcPr>
          <w:p w14:paraId="645F140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4,4</w:t>
            </w:r>
          </w:p>
        </w:tc>
        <w:tc>
          <w:tcPr>
            <w:tcW w:w="765" w:type="dxa"/>
            <w:tcBorders>
              <w:top w:val="nil"/>
              <w:left w:val="single" w:sz="4" w:space="0" w:color="auto"/>
              <w:bottom w:val="nil"/>
              <w:right w:val="single" w:sz="4" w:space="0" w:color="auto"/>
            </w:tcBorders>
            <w:shd w:val="clear" w:color="auto" w:fill="auto"/>
            <w:noWrap/>
            <w:vAlign w:val="center"/>
            <w:hideMark/>
          </w:tcPr>
          <w:p w14:paraId="2E905B6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10,8</w:t>
            </w:r>
          </w:p>
        </w:tc>
        <w:tc>
          <w:tcPr>
            <w:tcW w:w="765" w:type="dxa"/>
            <w:tcBorders>
              <w:top w:val="nil"/>
              <w:left w:val="single" w:sz="4" w:space="0" w:color="auto"/>
              <w:bottom w:val="nil"/>
              <w:right w:val="single" w:sz="4" w:space="0" w:color="auto"/>
            </w:tcBorders>
            <w:shd w:val="clear" w:color="auto" w:fill="auto"/>
            <w:noWrap/>
            <w:vAlign w:val="center"/>
            <w:hideMark/>
          </w:tcPr>
          <w:p w14:paraId="730EAEB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2,6</w:t>
            </w:r>
          </w:p>
        </w:tc>
        <w:tc>
          <w:tcPr>
            <w:tcW w:w="765" w:type="dxa"/>
            <w:tcBorders>
              <w:top w:val="nil"/>
              <w:left w:val="single" w:sz="4" w:space="0" w:color="auto"/>
              <w:bottom w:val="nil"/>
              <w:right w:val="single" w:sz="4" w:space="0" w:color="auto"/>
            </w:tcBorders>
            <w:shd w:val="clear" w:color="auto" w:fill="auto"/>
            <w:noWrap/>
            <w:vAlign w:val="center"/>
            <w:hideMark/>
          </w:tcPr>
          <w:p w14:paraId="1550B25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6,4</w:t>
            </w:r>
          </w:p>
        </w:tc>
        <w:tc>
          <w:tcPr>
            <w:tcW w:w="765" w:type="dxa"/>
            <w:tcBorders>
              <w:top w:val="nil"/>
              <w:left w:val="single" w:sz="4" w:space="0" w:color="auto"/>
              <w:bottom w:val="nil"/>
              <w:right w:val="single" w:sz="4" w:space="0" w:color="auto"/>
            </w:tcBorders>
            <w:shd w:val="clear" w:color="auto" w:fill="auto"/>
            <w:noWrap/>
            <w:vAlign w:val="center"/>
            <w:hideMark/>
          </w:tcPr>
          <w:p w14:paraId="53D5843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5,2</w:t>
            </w:r>
          </w:p>
        </w:tc>
        <w:tc>
          <w:tcPr>
            <w:tcW w:w="765" w:type="dxa"/>
            <w:tcBorders>
              <w:top w:val="nil"/>
              <w:left w:val="single" w:sz="4" w:space="0" w:color="auto"/>
              <w:bottom w:val="nil"/>
              <w:right w:val="single" w:sz="4" w:space="0" w:color="auto"/>
            </w:tcBorders>
            <w:shd w:val="clear" w:color="auto" w:fill="D9D9D9"/>
            <w:vAlign w:val="center"/>
          </w:tcPr>
          <w:p w14:paraId="413D69E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2,3</w:t>
            </w:r>
          </w:p>
        </w:tc>
        <w:tc>
          <w:tcPr>
            <w:tcW w:w="765" w:type="dxa"/>
            <w:tcBorders>
              <w:top w:val="nil"/>
              <w:left w:val="single" w:sz="4" w:space="0" w:color="auto"/>
              <w:bottom w:val="nil"/>
              <w:right w:val="nil"/>
            </w:tcBorders>
            <w:vAlign w:val="center"/>
          </w:tcPr>
          <w:p w14:paraId="3F3CAE0D" w14:textId="0E3089B4" w:rsidR="00DD771A" w:rsidRPr="00166BEB" w:rsidRDefault="00DD771A" w:rsidP="00DD771A">
            <w:pPr>
              <w:spacing w:after="0" w:line="240" w:lineRule="auto"/>
              <w:jc w:val="center"/>
              <w:rPr>
                <w:rFonts w:cs="Arial"/>
                <w:sz w:val="16"/>
                <w:szCs w:val="16"/>
                <w:highlight w:val="yellow"/>
              </w:rPr>
            </w:pPr>
            <w:r>
              <w:rPr>
                <w:rFonts w:cs="Arial"/>
                <w:sz w:val="16"/>
                <w:szCs w:val="16"/>
              </w:rPr>
              <w:t>3,1</w:t>
            </w:r>
          </w:p>
        </w:tc>
        <w:tc>
          <w:tcPr>
            <w:tcW w:w="160" w:type="dxa"/>
            <w:tcBorders>
              <w:top w:val="nil"/>
              <w:left w:val="nil"/>
              <w:bottom w:val="nil"/>
              <w:right w:val="nil"/>
            </w:tcBorders>
          </w:tcPr>
          <w:p w14:paraId="6C14806F" w14:textId="52E1E5E0" w:rsidR="00DD771A" w:rsidRPr="00166BEB" w:rsidRDefault="00DD771A" w:rsidP="00DD771A">
            <w:pPr>
              <w:spacing w:after="0" w:line="240" w:lineRule="auto"/>
              <w:jc w:val="center"/>
              <w:rPr>
                <w:rFonts w:cs="Arial"/>
                <w:sz w:val="16"/>
                <w:szCs w:val="16"/>
                <w:highlight w:val="yellow"/>
              </w:rPr>
            </w:pPr>
          </w:p>
        </w:tc>
      </w:tr>
      <w:tr w:rsidR="00DD771A" w:rsidRPr="00166BEB" w14:paraId="0673F302" w14:textId="77777777" w:rsidTr="00DD771A">
        <w:trPr>
          <w:trHeight w:val="300"/>
        </w:trPr>
        <w:tc>
          <w:tcPr>
            <w:tcW w:w="1380" w:type="dxa"/>
            <w:tcBorders>
              <w:top w:val="nil"/>
              <w:left w:val="nil"/>
              <w:bottom w:val="nil"/>
              <w:right w:val="nil"/>
            </w:tcBorders>
            <w:shd w:val="clear" w:color="auto" w:fill="auto"/>
            <w:noWrap/>
            <w:vAlign w:val="center"/>
            <w:hideMark/>
          </w:tcPr>
          <w:p w14:paraId="54848086"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Maďarsko</w:t>
            </w:r>
          </w:p>
        </w:tc>
        <w:tc>
          <w:tcPr>
            <w:tcW w:w="765" w:type="dxa"/>
            <w:tcBorders>
              <w:top w:val="nil"/>
              <w:left w:val="single" w:sz="4" w:space="0" w:color="000000"/>
              <w:bottom w:val="nil"/>
              <w:right w:val="single" w:sz="4" w:space="0" w:color="auto"/>
            </w:tcBorders>
            <w:shd w:val="clear" w:color="auto" w:fill="auto"/>
            <w:noWrap/>
            <w:vAlign w:val="center"/>
            <w:hideMark/>
          </w:tcPr>
          <w:p w14:paraId="7A436EB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3,6</w:t>
            </w:r>
          </w:p>
        </w:tc>
        <w:tc>
          <w:tcPr>
            <w:tcW w:w="765" w:type="dxa"/>
            <w:tcBorders>
              <w:top w:val="nil"/>
              <w:left w:val="single" w:sz="4" w:space="0" w:color="auto"/>
              <w:bottom w:val="nil"/>
              <w:right w:val="single" w:sz="4" w:space="0" w:color="auto"/>
            </w:tcBorders>
            <w:shd w:val="clear" w:color="auto" w:fill="auto"/>
            <w:noWrap/>
            <w:vAlign w:val="center"/>
            <w:hideMark/>
          </w:tcPr>
          <w:p w14:paraId="07FC559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w:t>
            </w:r>
          </w:p>
        </w:tc>
        <w:tc>
          <w:tcPr>
            <w:tcW w:w="765" w:type="dxa"/>
            <w:tcBorders>
              <w:top w:val="nil"/>
              <w:left w:val="single" w:sz="4" w:space="0" w:color="auto"/>
              <w:bottom w:val="nil"/>
              <w:right w:val="single" w:sz="4" w:space="0" w:color="auto"/>
            </w:tcBorders>
            <w:shd w:val="clear" w:color="auto" w:fill="auto"/>
            <w:noWrap/>
            <w:vAlign w:val="center"/>
            <w:hideMark/>
          </w:tcPr>
          <w:p w14:paraId="766CC20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1,8</w:t>
            </w:r>
          </w:p>
        </w:tc>
        <w:tc>
          <w:tcPr>
            <w:tcW w:w="765" w:type="dxa"/>
            <w:tcBorders>
              <w:top w:val="nil"/>
              <w:left w:val="single" w:sz="4" w:space="0" w:color="auto"/>
              <w:bottom w:val="nil"/>
              <w:right w:val="single" w:sz="4" w:space="0" w:color="auto"/>
            </w:tcBorders>
            <w:shd w:val="clear" w:color="auto" w:fill="auto"/>
            <w:noWrap/>
            <w:vAlign w:val="center"/>
            <w:hideMark/>
          </w:tcPr>
          <w:p w14:paraId="455D1CA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2,9</w:t>
            </w:r>
          </w:p>
        </w:tc>
        <w:tc>
          <w:tcPr>
            <w:tcW w:w="765" w:type="dxa"/>
            <w:tcBorders>
              <w:top w:val="nil"/>
              <w:left w:val="single" w:sz="4" w:space="0" w:color="auto"/>
              <w:bottom w:val="nil"/>
              <w:right w:val="single" w:sz="4" w:space="0" w:color="auto"/>
            </w:tcBorders>
            <w:shd w:val="clear" w:color="auto" w:fill="auto"/>
            <w:noWrap/>
            <w:vAlign w:val="center"/>
            <w:hideMark/>
          </w:tcPr>
          <w:p w14:paraId="2021FC4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2,9</w:t>
            </w:r>
          </w:p>
        </w:tc>
        <w:tc>
          <w:tcPr>
            <w:tcW w:w="765" w:type="dxa"/>
            <w:tcBorders>
              <w:top w:val="nil"/>
              <w:left w:val="single" w:sz="4" w:space="0" w:color="auto"/>
              <w:bottom w:val="nil"/>
              <w:right w:val="single" w:sz="4" w:space="0" w:color="auto"/>
            </w:tcBorders>
            <w:shd w:val="clear" w:color="auto" w:fill="auto"/>
            <w:noWrap/>
            <w:vAlign w:val="center"/>
            <w:hideMark/>
          </w:tcPr>
          <w:p w14:paraId="52D80B0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2,8</w:t>
            </w:r>
          </w:p>
        </w:tc>
        <w:tc>
          <w:tcPr>
            <w:tcW w:w="765" w:type="dxa"/>
            <w:tcBorders>
              <w:top w:val="nil"/>
              <w:left w:val="single" w:sz="4" w:space="0" w:color="auto"/>
              <w:bottom w:val="nil"/>
              <w:right w:val="single" w:sz="4" w:space="0" w:color="auto"/>
            </w:tcBorders>
            <w:shd w:val="clear" w:color="auto" w:fill="auto"/>
            <w:noWrap/>
            <w:vAlign w:val="center"/>
            <w:hideMark/>
          </w:tcPr>
          <w:p w14:paraId="452CFB1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2,6</w:t>
            </w:r>
          </w:p>
        </w:tc>
        <w:tc>
          <w:tcPr>
            <w:tcW w:w="765" w:type="dxa"/>
            <w:tcBorders>
              <w:top w:val="nil"/>
              <w:left w:val="single" w:sz="4" w:space="0" w:color="auto"/>
              <w:bottom w:val="nil"/>
              <w:right w:val="single" w:sz="4" w:space="0" w:color="auto"/>
            </w:tcBorders>
            <w:shd w:val="clear" w:color="auto" w:fill="auto"/>
            <w:noWrap/>
            <w:vAlign w:val="center"/>
            <w:hideMark/>
          </w:tcPr>
          <w:p w14:paraId="69A892F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2,4</w:t>
            </w:r>
          </w:p>
        </w:tc>
        <w:tc>
          <w:tcPr>
            <w:tcW w:w="765" w:type="dxa"/>
            <w:tcBorders>
              <w:top w:val="nil"/>
              <w:left w:val="single" w:sz="4" w:space="0" w:color="auto"/>
              <w:bottom w:val="nil"/>
              <w:right w:val="single" w:sz="4" w:space="0" w:color="auto"/>
            </w:tcBorders>
            <w:shd w:val="clear" w:color="auto" w:fill="auto"/>
            <w:noWrap/>
            <w:vAlign w:val="center"/>
            <w:hideMark/>
          </w:tcPr>
          <w:p w14:paraId="031BEF9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2,6</w:t>
            </w:r>
          </w:p>
        </w:tc>
        <w:tc>
          <w:tcPr>
            <w:tcW w:w="765" w:type="dxa"/>
            <w:tcBorders>
              <w:top w:val="nil"/>
              <w:left w:val="single" w:sz="4" w:space="0" w:color="auto"/>
              <w:bottom w:val="nil"/>
              <w:right w:val="single" w:sz="4" w:space="0" w:color="auto"/>
            </w:tcBorders>
            <w:shd w:val="clear" w:color="auto" w:fill="D9D9D9"/>
            <w:vAlign w:val="center"/>
          </w:tcPr>
          <w:p w14:paraId="61C455F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2,2</w:t>
            </w:r>
          </w:p>
        </w:tc>
        <w:tc>
          <w:tcPr>
            <w:tcW w:w="765" w:type="dxa"/>
            <w:tcBorders>
              <w:top w:val="nil"/>
              <w:left w:val="single" w:sz="4" w:space="0" w:color="auto"/>
              <w:bottom w:val="nil"/>
              <w:right w:val="nil"/>
            </w:tcBorders>
            <w:vAlign w:val="center"/>
          </w:tcPr>
          <w:p w14:paraId="64B1B955" w14:textId="771F7203" w:rsidR="00DD771A" w:rsidRPr="00166BEB" w:rsidRDefault="00DD771A" w:rsidP="00DD771A">
            <w:pPr>
              <w:spacing w:after="0" w:line="240" w:lineRule="auto"/>
              <w:jc w:val="center"/>
              <w:rPr>
                <w:rFonts w:cs="Arial"/>
                <w:sz w:val="16"/>
                <w:szCs w:val="16"/>
                <w:highlight w:val="yellow"/>
              </w:rPr>
            </w:pPr>
            <w:r>
              <w:rPr>
                <w:rFonts w:cs="Arial"/>
                <w:sz w:val="16"/>
                <w:szCs w:val="16"/>
              </w:rPr>
              <w:t>2,5</w:t>
            </w:r>
          </w:p>
        </w:tc>
        <w:tc>
          <w:tcPr>
            <w:tcW w:w="160" w:type="dxa"/>
            <w:tcBorders>
              <w:top w:val="nil"/>
              <w:left w:val="nil"/>
              <w:bottom w:val="nil"/>
              <w:right w:val="nil"/>
            </w:tcBorders>
          </w:tcPr>
          <w:p w14:paraId="4422CF35" w14:textId="15EDF3E1" w:rsidR="00DD771A" w:rsidRPr="00166BEB" w:rsidRDefault="00DD771A" w:rsidP="00DD771A">
            <w:pPr>
              <w:spacing w:after="0" w:line="240" w:lineRule="auto"/>
              <w:jc w:val="center"/>
              <w:rPr>
                <w:rFonts w:cs="Arial"/>
                <w:sz w:val="16"/>
                <w:szCs w:val="16"/>
                <w:highlight w:val="yellow"/>
              </w:rPr>
            </w:pPr>
          </w:p>
        </w:tc>
      </w:tr>
      <w:tr w:rsidR="00DD771A" w:rsidRPr="00166BEB" w14:paraId="0C8E6715" w14:textId="77777777" w:rsidTr="00DD771A">
        <w:trPr>
          <w:trHeight w:val="300"/>
        </w:trPr>
        <w:tc>
          <w:tcPr>
            <w:tcW w:w="1380" w:type="dxa"/>
            <w:tcBorders>
              <w:top w:val="nil"/>
              <w:left w:val="nil"/>
              <w:bottom w:val="nil"/>
              <w:right w:val="nil"/>
            </w:tcBorders>
            <w:shd w:val="clear" w:color="auto" w:fill="auto"/>
            <w:noWrap/>
            <w:vAlign w:val="center"/>
            <w:hideMark/>
          </w:tcPr>
          <w:p w14:paraId="293E4388"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Malta</w:t>
            </w:r>
          </w:p>
        </w:tc>
        <w:tc>
          <w:tcPr>
            <w:tcW w:w="765" w:type="dxa"/>
            <w:tcBorders>
              <w:top w:val="nil"/>
              <w:left w:val="single" w:sz="4" w:space="0" w:color="000000"/>
              <w:bottom w:val="nil"/>
              <w:right w:val="single" w:sz="4" w:space="0" w:color="auto"/>
            </w:tcBorders>
            <w:shd w:val="clear" w:color="auto" w:fill="auto"/>
            <w:noWrap/>
            <w:vAlign w:val="center"/>
            <w:hideMark/>
          </w:tcPr>
          <w:p w14:paraId="54B18DE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0,8</w:t>
            </w:r>
          </w:p>
        </w:tc>
        <w:tc>
          <w:tcPr>
            <w:tcW w:w="765" w:type="dxa"/>
            <w:tcBorders>
              <w:top w:val="nil"/>
              <w:left w:val="single" w:sz="4" w:space="0" w:color="auto"/>
              <w:bottom w:val="nil"/>
              <w:right w:val="single" w:sz="4" w:space="0" w:color="auto"/>
            </w:tcBorders>
            <w:shd w:val="clear" w:color="auto" w:fill="auto"/>
            <w:noWrap/>
            <w:vAlign w:val="center"/>
            <w:hideMark/>
          </w:tcPr>
          <w:p w14:paraId="3A9D940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7,6</w:t>
            </w:r>
          </w:p>
        </w:tc>
        <w:tc>
          <w:tcPr>
            <w:tcW w:w="765" w:type="dxa"/>
            <w:tcBorders>
              <w:top w:val="nil"/>
              <w:left w:val="single" w:sz="4" w:space="0" w:color="auto"/>
              <w:bottom w:val="nil"/>
              <w:right w:val="single" w:sz="4" w:space="0" w:color="auto"/>
            </w:tcBorders>
            <w:shd w:val="clear" w:color="auto" w:fill="auto"/>
            <w:noWrap/>
            <w:vAlign w:val="center"/>
            <w:hideMark/>
          </w:tcPr>
          <w:p w14:paraId="4A45E5A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4,7</w:t>
            </w:r>
          </w:p>
        </w:tc>
        <w:tc>
          <w:tcPr>
            <w:tcW w:w="765" w:type="dxa"/>
            <w:tcBorders>
              <w:top w:val="nil"/>
              <w:left w:val="single" w:sz="4" w:space="0" w:color="auto"/>
              <w:bottom w:val="nil"/>
              <w:right w:val="single" w:sz="4" w:space="0" w:color="auto"/>
            </w:tcBorders>
            <w:shd w:val="clear" w:color="auto" w:fill="auto"/>
            <w:noWrap/>
            <w:vAlign w:val="center"/>
            <w:hideMark/>
          </w:tcPr>
          <w:p w14:paraId="7689231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4,6</w:t>
            </w:r>
          </w:p>
        </w:tc>
        <w:tc>
          <w:tcPr>
            <w:tcW w:w="765" w:type="dxa"/>
            <w:tcBorders>
              <w:top w:val="nil"/>
              <w:left w:val="single" w:sz="4" w:space="0" w:color="auto"/>
              <w:bottom w:val="nil"/>
              <w:right w:val="single" w:sz="4" w:space="0" w:color="auto"/>
            </w:tcBorders>
            <w:shd w:val="clear" w:color="auto" w:fill="auto"/>
            <w:noWrap/>
            <w:vAlign w:val="center"/>
            <w:hideMark/>
          </w:tcPr>
          <w:p w14:paraId="061341B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3,5</w:t>
            </w:r>
          </w:p>
        </w:tc>
        <w:tc>
          <w:tcPr>
            <w:tcW w:w="765" w:type="dxa"/>
            <w:tcBorders>
              <w:top w:val="nil"/>
              <w:left w:val="single" w:sz="4" w:space="0" w:color="auto"/>
              <w:bottom w:val="nil"/>
              <w:right w:val="single" w:sz="4" w:space="0" w:color="auto"/>
            </w:tcBorders>
            <w:shd w:val="clear" w:color="auto" w:fill="auto"/>
            <w:noWrap/>
            <w:vAlign w:val="center"/>
            <w:hideMark/>
          </w:tcPr>
          <w:p w14:paraId="2BCD74D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4,0</w:t>
            </w:r>
          </w:p>
        </w:tc>
        <w:tc>
          <w:tcPr>
            <w:tcW w:w="765" w:type="dxa"/>
            <w:tcBorders>
              <w:top w:val="nil"/>
              <w:left w:val="single" w:sz="4" w:space="0" w:color="auto"/>
              <w:bottom w:val="nil"/>
              <w:right w:val="single" w:sz="4" w:space="0" w:color="auto"/>
            </w:tcBorders>
            <w:shd w:val="clear" w:color="auto" w:fill="auto"/>
            <w:noWrap/>
            <w:vAlign w:val="center"/>
            <w:hideMark/>
          </w:tcPr>
          <w:p w14:paraId="0407D75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0,6</w:t>
            </w:r>
          </w:p>
        </w:tc>
        <w:tc>
          <w:tcPr>
            <w:tcW w:w="765" w:type="dxa"/>
            <w:tcBorders>
              <w:top w:val="nil"/>
              <w:left w:val="single" w:sz="4" w:space="0" w:color="auto"/>
              <w:bottom w:val="nil"/>
              <w:right w:val="single" w:sz="4" w:space="0" w:color="auto"/>
            </w:tcBorders>
            <w:shd w:val="clear" w:color="auto" w:fill="auto"/>
            <w:noWrap/>
            <w:vAlign w:val="center"/>
            <w:hideMark/>
          </w:tcPr>
          <w:p w14:paraId="3BDBD9E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2,3</w:t>
            </w:r>
          </w:p>
        </w:tc>
        <w:tc>
          <w:tcPr>
            <w:tcW w:w="765" w:type="dxa"/>
            <w:tcBorders>
              <w:top w:val="nil"/>
              <w:left w:val="single" w:sz="4" w:space="0" w:color="auto"/>
              <w:bottom w:val="nil"/>
              <w:right w:val="single" w:sz="4" w:space="0" w:color="auto"/>
            </w:tcBorders>
            <w:shd w:val="clear" w:color="auto" w:fill="auto"/>
            <w:noWrap/>
            <w:vAlign w:val="center"/>
            <w:hideMark/>
          </w:tcPr>
          <w:p w14:paraId="7C4425F9"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1,5</w:t>
            </w:r>
          </w:p>
        </w:tc>
        <w:tc>
          <w:tcPr>
            <w:tcW w:w="765" w:type="dxa"/>
            <w:tcBorders>
              <w:top w:val="nil"/>
              <w:left w:val="single" w:sz="4" w:space="0" w:color="auto"/>
              <w:bottom w:val="nil"/>
              <w:right w:val="single" w:sz="4" w:space="0" w:color="auto"/>
            </w:tcBorders>
            <w:shd w:val="clear" w:color="auto" w:fill="D9D9D9"/>
            <w:vAlign w:val="center"/>
          </w:tcPr>
          <w:p w14:paraId="5D71A93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4,7</w:t>
            </w:r>
          </w:p>
        </w:tc>
        <w:tc>
          <w:tcPr>
            <w:tcW w:w="765" w:type="dxa"/>
            <w:tcBorders>
              <w:top w:val="nil"/>
              <w:left w:val="single" w:sz="4" w:space="0" w:color="auto"/>
              <w:bottom w:val="nil"/>
              <w:right w:val="nil"/>
            </w:tcBorders>
            <w:vAlign w:val="center"/>
          </w:tcPr>
          <w:p w14:paraId="0C1660AD" w14:textId="0C65E311" w:rsidR="00DD771A" w:rsidRPr="00166BEB" w:rsidRDefault="00DD771A" w:rsidP="00DD771A">
            <w:pPr>
              <w:spacing w:after="0" w:line="240" w:lineRule="auto"/>
              <w:jc w:val="center"/>
              <w:rPr>
                <w:rFonts w:cs="Arial"/>
                <w:sz w:val="16"/>
                <w:szCs w:val="16"/>
                <w:highlight w:val="yellow"/>
              </w:rPr>
            </w:pPr>
            <w:r>
              <w:rPr>
                <w:rFonts w:cs="Arial"/>
                <w:sz w:val="16"/>
                <w:szCs w:val="16"/>
              </w:rPr>
              <w:t>5,0</w:t>
            </w:r>
          </w:p>
        </w:tc>
        <w:tc>
          <w:tcPr>
            <w:tcW w:w="160" w:type="dxa"/>
            <w:tcBorders>
              <w:top w:val="nil"/>
              <w:left w:val="nil"/>
              <w:bottom w:val="nil"/>
              <w:right w:val="nil"/>
            </w:tcBorders>
          </w:tcPr>
          <w:p w14:paraId="6C762C4D" w14:textId="111FCD5F" w:rsidR="00DD771A" w:rsidRPr="00166BEB" w:rsidRDefault="00DD771A" w:rsidP="00DD771A">
            <w:pPr>
              <w:spacing w:after="0" w:line="240" w:lineRule="auto"/>
              <w:jc w:val="center"/>
              <w:rPr>
                <w:rFonts w:cs="Arial"/>
                <w:sz w:val="16"/>
                <w:szCs w:val="16"/>
                <w:highlight w:val="yellow"/>
              </w:rPr>
            </w:pPr>
          </w:p>
        </w:tc>
      </w:tr>
      <w:tr w:rsidR="00DD771A" w:rsidRPr="00166BEB" w14:paraId="63FD5470" w14:textId="77777777" w:rsidTr="00DD771A">
        <w:trPr>
          <w:trHeight w:val="300"/>
        </w:trPr>
        <w:tc>
          <w:tcPr>
            <w:tcW w:w="1380" w:type="dxa"/>
            <w:tcBorders>
              <w:top w:val="nil"/>
              <w:left w:val="nil"/>
              <w:bottom w:val="nil"/>
              <w:right w:val="nil"/>
            </w:tcBorders>
            <w:shd w:val="clear" w:color="auto" w:fill="auto"/>
            <w:noWrap/>
            <w:vAlign w:val="center"/>
            <w:hideMark/>
          </w:tcPr>
          <w:p w14:paraId="4E1553B0"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Německo</w:t>
            </w:r>
          </w:p>
        </w:tc>
        <w:tc>
          <w:tcPr>
            <w:tcW w:w="765" w:type="dxa"/>
            <w:tcBorders>
              <w:top w:val="nil"/>
              <w:left w:val="single" w:sz="4" w:space="0" w:color="000000"/>
              <w:bottom w:val="nil"/>
              <w:right w:val="single" w:sz="4" w:space="0" w:color="auto"/>
            </w:tcBorders>
            <w:shd w:val="clear" w:color="auto" w:fill="auto"/>
            <w:noWrap/>
            <w:vAlign w:val="center"/>
            <w:hideMark/>
          </w:tcPr>
          <w:p w14:paraId="2338769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1,5</w:t>
            </w:r>
          </w:p>
        </w:tc>
        <w:tc>
          <w:tcPr>
            <w:tcW w:w="765" w:type="dxa"/>
            <w:tcBorders>
              <w:top w:val="nil"/>
              <w:left w:val="single" w:sz="4" w:space="0" w:color="auto"/>
              <w:bottom w:val="nil"/>
              <w:right w:val="single" w:sz="4" w:space="0" w:color="auto"/>
            </w:tcBorders>
            <w:shd w:val="clear" w:color="auto" w:fill="auto"/>
            <w:noWrap/>
            <w:vAlign w:val="center"/>
            <w:hideMark/>
          </w:tcPr>
          <w:p w14:paraId="4829FE5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1,5</w:t>
            </w:r>
          </w:p>
        </w:tc>
        <w:tc>
          <w:tcPr>
            <w:tcW w:w="765" w:type="dxa"/>
            <w:tcBorders>
              <w:top w:val="nil"/>
              <w:left w:val="single" w:sz="4" w:space="0" w:color="auto"/>
              <w:bottom w:val="nil"/>
              <w:right w:val="single" w:sz="4" w:space="0" w:color="auto"/>
            </w:tcBorders>
            <w:shd w:val="clear" w:color="auto" w:fill="auto"/>
            <w:noWrap/>
            <w:vAlign w:val="center"/>
            <w:hideMark/>
          </w:tcPr>
          <w:p w14:paraId="0E0ED24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1,3</w:t>
            </w:r>
          </w:p>
        </w:tc>
        <w:tc>
          <w:tcPr>
            <w:tcW w:w="765" w:type="dxa"/>
            <w:tcBorders>
              <w:top w:val="nil"/>
              <w:left w:val="single" w:sz="4" w:space="0" w:color="auto"/>
              <w:bottom w:val="nil"/>
              <w:right w:val="single" w:sz="4" w:space="0" w:color="auto"/>
            </w:tcBorders>
            <w:shd w:val="clear" w:color="auto" w:fill="auto"/>
            <w:noWrap/>
            <w:vAlign w:val="center"/>
            <w:hideMark/>
          </w:tcPr>
          <w:p w14:paraId="69A6C27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1,4</w:t>
            </w:r>
          </w:p>
        </w:tc>
        <w:tc>
          <w:tcPr>
            <w:tcW w:w="765" w:type="dxa"/>
            <w:tcBorders>
              <w:top w:val="nil"/>
              <w:left w:val="single" w:sz="4" w:space="0" w:color="auto"/>
              <w:bottom w:val="nil"/>
              <w:right w:val="single" w:sz="4" w:space="0" w:color="auto"/>
            </w:tcBorders>
            <w:shd w:val="clear" w:color="auto" w:fill="auto"/>
            <w:noWrap/>
            <w:vAlign w:val="center"/>
            <w:hideMark/>
          </w:tcPr>
          <w:p w14:paraId="3D80328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1,3</w:t>
            </w:r>
          </w:p>
        </w:tc>
        <w:tc>
          <w:tcPr>
            <w:tcW w:w="765" w:type="dxa"/>
            <w:tcBorders>
              <w:top w:val="nil"/>
              <w:left w:val="single" w:sz="4" w:space="0" w:color="auto"/>
              <w:bottom w:val="nil"/>
              <w:right w:val="single" w:sz="4" w:space="0" w:color="auto"/>
            </w:tcBorders>
            <w:shd w:val="clear" w:color="auto" w:fill="auto"/>
            <w:noWrap/>
            <w:vAlign w:val="center"/>
            <w:hideMark/>
          </w:tcPr>
          <w:p w14:paraId="7A1FBF02"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1,1</w:t>
            </w:r>
          </w:p>
        </w:tc>
        <w:tc>
          <w:tcPr>
            <w:tcW w:w="765" w:type="dxa"/>
            <w:tcBorders>
              <w:top w:val="nil"/>
              <w:left w:val="single" w:sz="4" w:space="0" w:color="auto"/>
              <w:bottom w:val="nil"/>
              <w:right w:val="single" w:sz="4" w:space="0" w:color="auto"/>
            </w:tcBorders>
            <w:shd w:val="clear" w:color="auto" w:fill="auto"/>
            <w:noWrap/>
            <w:vAlign w:val="center"/>
            <w:hideMark/>
          </w:tcPr>
          <w:p w14:paraId="2EEF98A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1,2</w:t>
            </w:r>
          </w:p>
        </w:tc>
        <w:tc>
          <w:tcPr>
            <w:tcW w:w="765" w:type="dxa"/>
            <w:tcBorders>
              <w:top w:val="nil"/>
              <w:left w:val="single" w:sz="4" w:space="0" w:color="auto"/>
              <w:bottom w:val="nil"/>
              <w:right w:val="single" w:sz="4" w:space="0" w:color="auto"/>
            </w:tcBorders>
            <w:shd w:val="clear" w:color="auto" w:fill="auto"/>
            <w:noWrap/>
            <w:vAlign w:val="center"/>
            <w:hideMark/>
          </w:tcPr>
          <w:p w14:paraId="38BF175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1,0</w:t>
            </w:r>
          </w:p>
        </w:tc>
        <w:tc>
          <w:tcPr>
            <w:tcW w:w="765" w:type="dxa"/>
            <w:tcBorders>
              <w:top w:val="nil"/>
              <w:left w:val="single" w:sz="4" w:space="0" w:color="auto"/>
              <w:bottom w:val="nil"/>
              <w:right w:val="single" w:sz="4" w:space="0" w:color="auto"/>
            </w:tcBorders>
            <w:shd w:val="clear" w:color="auto" w:fill="auto"/>
            <w:noWrap/>
            <w:vAlign w:val="center"/>
            <w:hideMark/>
          </w:tcPr>
          <w:p w14:paraId="15EFC0B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1,1</w:t>
            </w:r>
          </w:p>
        </w:tc>
        <w:tc>
          <w:tcPr>
            <w:tcW w:w="765" w:type="dxa"/>
            <w:tcBorders>
              <w:top w:val="nil"/>
              <w:left w:val="single" w:sz="4" w:space="0" w:color="auto"/>
              <w:bottom w:val="nil"/>
              <w:right w:val="single" w:sz="4" w:space="0" w:color="auto"/>
            </w:tcBorders>
            <w:shd w:val="clear" w:color="auto" w:fill="D9D9D9"/>
            <w:vAlign w:val="center"/>
          </w:tcPr>
          <w:p w14:paraId="29C22C3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1,0</w:t>
            </w:r>
          </w:p>
        </w:tc>
        <w:tc>
          <w:tcPr>
            <w:tcW w:w="765" w:type="dxa"/>
            <w:tcBorders>
              <w:top w:val="nil"/>
              <w:left w:val="single" w:sz="4" w:space="0" w:color="auto"/>
              <w:bottom w:val="nil"/>
              <w:right w:val="nil"/>
            </w:tcBorders>
            <w:vAlign w:val="center"/>
          </w:tcPr>
          <w:p w14:paraId="542ADAA7" w14:textId="3BC4ADF6" w:rsidR="00DD771A" w:rsidRPr="00166BEB" w:rsidRDefault="00DD771A" w:rsidP="00DD771A">
            <w:pPr>
              <w:spacing w:after="0" w:line="240" w:lineRule="auto"/>
              <w:jc w:val="center"/>
              <w:rPr>
                <w:rFonts w:cs="Arial"/>
                <w:sz w:val="16"/>
                <w:szCs w:val="16"/>
                <w:highlight w:val="yellow"/>
              </w:rPr>
            </w:pPr>
            <w:r>
              <w:rPr>
                <w:rFonts w:cs="Arial"/>
                <w:sz w:val="16"/>
                <w:szCs w:val="16"/>
              </w:rPr>
              <w:t>1,1</w:t>
            </w:r>
          </w:p>
        </w:tc>
        <w:tc>
          <w:tcPr>
            <w:tcW w:w="160" w:type="dxa"/>
            <w:tcBorders>
              <w:top w:val="nil"/>
              <w:left w:val="nil"/>
              <w:bottom w:val="nil"/>
              <w:right w:val="nil"/>
            </w:tcBorders>
          </w:tcPr>
          <w:p w14:paraId="19260E3F" w14:textId="518771F0" w:rsidR="00DD771A" w:rsidRPr="00166BEB" w:rsidRDefault="00DD771A" w:rsidP="00DD771A">
            <w:pPr>
              <w:spacing w:after="0" w:line="240" w:lineRule="auto"/>
              <w:jc w:val="center"/>
              <w:rPr>
                <w:rFonts w:cs="Arial"/>
                <w:sz w:val="16"/>
                <w:szCs w:val="16"/>
                <w:highlight w:val="yellow"/>
              </w:rPr>
            </w:pPr>
          </w:p>
        </w:tc>
      </w:tr>
      <w:tr w:rsidR="00DD771A" w:rsidRPr="00166BEB" w14:paraId="00A88B8B" w14:textId="77777777" w:rsidTr="00DD771A">
        <w:trPr>
          <w:trHeight w:val="300"/>
        </w:trPr>
        <w:tc>
          <w:tcPr>
            <w:tcW w:w="1380" w:type="dxa"/>
            <w:tcBorders>
              <w:top w:val="nil"/>
              <w:left w:val="nil"/>
              <w:bottom w:val="nil"/>
              <w:right w:val="nil"/>
            </w:tcBorders>
            <w:shd w:val="clear" w:color="auto" w:fill="auto"/>
            <w:noWrap/>
            <w:vAlign w:val="center"/>
            <w:hideMark/>
          </w:tcPr>
          <w:p w14:paraId="089D2675"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Nizozemsko</w:t>
            </w:r>
          </w:p>
        </w:tc>
        <w:tc>
          <w:tcPr>
            <w:tcW w:w="765" w:type="dxa"/>
            <w:tcBorders>
              <w:top w:val="nil"/>
              <w:left w:val="single" w:sz="4" w:space="0" w:color="000000"/>
              <w:bottom w:val="nil"/>
              <w:right w:val="single" w:sz="4" w:space="0" w:color="auto"/>
            </w:tcBorders>
            <w:shd w:val="clear" w:color="auto" w:fill="auto"/>
            <w:noWrap/>
            <w:vAlign w:val="center"/>
            <w:hideMark/>
          </w:tcPr>
          <w:p w14:paraId="0FD8FAD9"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0,7</w:t>
            </w:r>
          </w:p>
        </w:tc>
        <w:tc>
          <w:tcPr>
            <w:tcW w:w="765" w:type="dxa"/>
            <w:tcBorders>
              <w:top w:val="nil"/>
              <w:left w:val="single" w:sz="4" w:space="0" w:color="auto"/>
              <w:bottom w:val="nil"/>
              <w:right w:val="single" w:sz="4" w:space="0" w:color="auto"/>
            </w:tcBorders>
            <w:shd w:val="clear" w:color="auto" w:fill="auto"/>
            <w:noWrap/>
            <w:vAlign w:val="center"/>
            <w:hideMark/>
          </w:tcPr>
          <w:p w14:paraId="121C0DF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0,7</w:t>
            </w:r>
          </w:p>
        </w:tc>
        <w:tc>
          <w:tcPr>
            <w:tcW w:w="765" w:type="dxa"/>
            <w:tcBorders>
              <w:top w:val="nil"/>
              <w:left w:val="single" w:sz="4" w:space="0" w:color="auto"/>
              <w:bottom w:val="nil"/>
              <w:right w:val="single" w:sz="4" w:space="0" w:color="auto"/>
            </w:tcBorders>
            <w:shd w:val="clear" w:color="auto" w:fill="auto"/>
            <w:noWrap/>
            <w:vAlign w:val="center"/>
            <w:hideMark/>
          </w:tcPr>
          <w:p w14:paraId="5951240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0,8</w:t>
            </w:r>
          </w:p>
        </w:tc>
        <w:tc>
          <w:tcPr>
            <w:tcW w:w="765" w:type="dxa"/>
            <w:tcBorders>
              <w:top w:val="nil"/>
              <w:left w:val="single" w:sz="4" w:space="0" w:color="auto"/>
              <w:bottom w:val="nil"/>
              <w:right w:val="single" w:sz="4" w:space="0" w:color="auto"/>
            </w:tcBorders>
            <w:shd w:val="clear" w:color="000000" w:fill="DBDBDB"/>
            <w:noWrap/>
            <w:vAlign w:val="center"/>
            <w:hideMark/>
          </w:tcPr>
          <w:p w14:paraId="18E03C8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1,0</w:t>
            </w:r>
          </w:p>
        </w:tc>
        <w:tc>
          <w:tcPr>
            <w:tcW w:w="765" w:type="dxa"/>
            <w:tcBorders>
              <w:top w:val="nil"/>
              <w:left w:val="single" w:sz="4" w:space="0" w:color="auto"/>
              <w:bottom w:val="nil"/>
              <w:right w:val="single" w:sz="4" w:space="0" w:color="auto"/>
            </w:tcBorders>
            <w:shd w:val="clear" w:color="auto" w:fill="auto"/>
            <w:noWrap/>
            <w:vAlign w:val="center"/>
            <w:hideMark/>
          </w:tcPr>
          <w:p w14:paraId="6D7F811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0,8</w:t>
            </w:r>
          </w:p>
        </w:tc>
        <w:tc>
          <w:tcPr>
            <w:tcW w:w="765" w:type="dxa"/>
            <w:tcBorders>
              <w:top w:val="nil"/>
              <w:left w:val="single" w:sz="4" w:space="0" w:color="auto"/>
              <w:bottom w:val="nil"/>
              <w:right w:val="single" w:sz="4" w:space="0" w:color="auto"/>
            </w:tcBorders>
            <w:shd w:val="clear" w:color="auto" w:fill="auto"/>
            <w:noWrap/>
            <w:vAlign w:val="center"/>
            <w:hideMark/>
          </w:tcPr>
          <w:p w14:paraId="4F87BB4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0,7</w:t>
            </w:r>
          </w:p>
        </w:tc>
        <w:tc>
          <w:tcPr>
            <w:tcW w:w="765" w:type="dxa"/>
            <w:tcBorders>
              <w:top w:val="nil"/>
              <w:left w:val="single" w:sz="4" w:space="0" w:color="auto"/>
              <w:bottom w:val="nil"/>
              <w:right w:val="single" w:sz="4" w:space="0" w:color="auto"/>
            </w:tcBorders>
            <w:shd w:val="clear" w:color="auto" w:fill="auto"/>
            <w:noWrap/>
            <w:vAlign w:val="center"/>
            <w:hideMark/>
          </w:tcPr>
          <w:p w14:paraId="2528528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0,8</w:t>
            </w:r>
          </w:p>
        </w:tc>
        <w:tc>
          <w:tcPr>
            <w:tcW w:w="765" w:type="dxa"/>
            <w:tcBorders>
              <w:top w:val="nil"/>
              <w:left w:val="single" w:sz="4" w:space="0" w:color="auto"/>
              <w:bottom w:val="nil"/>
              <w:right w:val="single" w:sz="4" w:space="0" w:color="auto"/>
            </w:tcBorders>
            <w:shd w:val="clear" w:color="auto" w:fill="auto"/>
            <w:noWrap/>
            <w:vAlign w:val="center"/>
            <w:hideMark/>
          </w:tcPr>
          <w:p w14:paraId="16F4018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0,9</w:t>
            </w:r>
          </w:p>
        </w:tc>
        <w:tc>
          <w:tcPr>
            <w:tcW w:w="765" w:type="dxa"/>
            <w:tcBorders>
              <w:top w:val="nil"/>
              <w:left w:val="single" w:sz="4" w:space="0" w:color="auto"/>
              <w:bottom w:val="nil"/>
              <w:right w:val="single" w:sz="4" w:space="0" w:color="auto"/>
            </w:tcBorders>
            <w:shd w:val="clear" w:color="auto" w:fill="auto"/>
            <w:noWrap/>
            <w:vAlign w:val="center"/>
            <w:hideMark/>
          </w:tcPr>
          <w:p w14:paraId="29EB801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0,7</w:t>
            </w:r>
          </w:p>
        </w:tc>
        <w:tc>
          <w:tcPr>
            <w:tcW w:w="765" w:type="dxa"/>
            <w:tcBorders>
              <w:top w:val="nil"/>
              <w:left w:val="single" w:sz="4" w:space="0" w:color="auto"/>
              <w:bottom w:val="nil"/>
              <w:right w:val="single" w:sz="4" w:space="0" w:color="auto"/>
            </w:tcBorders>
            <w:shd w:val="clear" w:color="auto" w:fill="D9D9D9"/>
            <w:vAlign w:val="center"/>
          </w:tcPr>
          <w:p w14:paraId="4A9EE43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0,5</w:t>
            </w:r>
          </w:p>
        </w:tc>
        <w:tc>
          <w:tcPr>
            <w:tcW w:w="765" w:type="dxa"/>
            <w:tcBorders>
              <w:top w:val="nil"/>
              <w:left w:val="single" w:sz="4" w:space="0" w:color="auto"/>
              <w:bottom w:val="nil"/>
              <w:right w:val="nil"/>
            </w:tcBorders>
            <w:vAlign w:val="center"/>
          </w:tcPr>
          <w:p w14:paraId="79406E49" w14:textId="03528558" w:rsidR="00DD771A" w:rsidRPr="00166BEB" w:rsidRDefault="00DD771A" w:rsidP="00DD771A">
            <w:pPr>
              <w:spacing w:after="0" w:line="240" w:lineRule="auto"/>
              <w:jc w:val="center"/>
              <w:rPr>
                <w:rFonts w:cs="Arial"/>
                <w:sz w:val="16"/>
                <w:szCs w:val="16"/>
                <w:highlight w:val="yellow"/>
              </w:rPr>
            </w:pPr>
            <w:r>
              <w:rPr>
                <w:rFonts w:cs="Arial"/>
                <w:sz w:val="16"/>
                <w:szCs w:val="16"/>
              </w:rPr>
              <w:t>0,4</w:t>
            </w:r>
          </w:p>
        </w:tc>
        <w:tc>
          <w:tcPr>
            <w:tcW w:w="160" w:type="dxa"/>
            <w:tcBorders>
              <w:top w:val="nil"/>
              <w:left w:val="nil"/>
              <w:bottom w:val="nil"/>
              <w:right w:val="nil"/>
            </w:tcBorders>
          </w:tcPr>
          <w:p w14:paraId="4CA5688B" w14:textId="0B132A0A" w:rsidR="00DD771A" w:rsidRPr="00166BEB" w:rsidRDefault="00DD771A" w:rsidP="00DD771A">
            <w:pPr>
              <w:spacing w:after="0" w:line="240" w:lineRule="auto"/>
              <w:jc w:val="center"/>
              <w:rPr>
                <w:rFonts w:cs="Arial"/>
                <w:sz w:val="16"/>
                <w:szCs w:val="16"/>
                <w:highlight w:val="yellow"/>
              </w:rPr>
            </w:pPr>
          </w:p>
        </w:tc>
      </w:tr>
      <w:tr w:rsidR="00DD771A" w:rsidRPr="00166BEB" w14:paraId="7668D42C" w14:textId="77777777" w:rsidTr="00DD771A">
        <w:trPr>
          <w:trHeight w:val="300"/>
        </w:trPr>
        <w:tc>
          <w:tcPr>
            <w:tcW w:w="1380" w:type="dxa"/>
            <w:tcBorders>
              <w:top w:val="nil"/>
              <w:left w:val="nil"/>
              <w:bottom w:val="nil"/>
              <w:right w:val="nil"/>
            </w:tcBorders>
            <w:shd w:val="clear" w:color="auto" w:fill="auto"/>
            <w:noWrap/>
            <w:vAlign w:val="center"/>
            <w:hideMark/>
          </w:tcPr>
          <w:p w14:paraId="5CFE0E50"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Polsko</w:t>
            </w:r>
          </w:p>
        </w:tc>
        <w:tc>
          <w:tcPr>
            <w:tcW w:w="765" w:type="dxa"/>
            <w:tcBorders>
              <w:top w:val="nil"/>
              <w:left w:val="single" w:sz="4" w:space="0" w:color="000000"/>
              <w:bottom w:val="nil"/>
              <w:right w:val="single" w:sz="4" w:space="0" w:color="auto"/>
            </w:tcBorders>
            <w:shd w:val="clear" w:color="auto" w:fill="auto"/>
            <w:noWrap/>
            <w:vAlign w:val="center"/>
            <w:hideMark/>
          </w:tcPr>
          <w:p w14:paraId="1978037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2C29702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2,6</w:t>
            </w:r>
          </w:p>
        </w:tc>
        <w:tc>
          <w:tcPr>
            <w:tcW w:w="765" w:type="dxa"/>
            <w:tcBorders>
              <w:top w:val="nil"/>
              <w:left w:val="single" w:sz="4" w:space="0" w:color="auto"/>
              <w:bottom w:val="nil"/>
              <w:right w:val="single" w:sz="4" w:space="0" w:color="auto"/>
            </w:tcBorders>
            <w:shd w:val="clear" w:color="auto" w:fill="auto"/>
            <w:noWrap/>
            <w:vAlign w:val="center"/>
            <w:hideMark/>
          </w:tcPr>
          <w:p w14:paraId="4CBF668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auto"/>
            <w:noWrap/>
            <w:vAlign w:val="center"/>
            <w:hideMark/>
          </w:tcPr>
          <w:p w14:paraId="65CDEA6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auto"/>
            <w:noWrap/>
            <w:vAlign w:val="center"/>
            <w:hideMark/>
          </w:tcPr>
          <w:p w14:paraId="27A6D16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w:t>
            </w:r>
          </w:p>
        </w:tc>
        <w:tc>
          <w:tcPr>
            <w:tcW w:w="765" w:type="dxa"/>
            <w:tcBorders>
              <w:top w:val="nil"/>
              <w:left w:val="single" w:sz="4" w:space="0" w:color="auto"/>
              <w:bottom w:val="nil"/>
              <w:right w:val="single" w:sz="4" w:space="0" w:color="auto"/>
            </w:tcBorders>
            <w:shd w:val="clear" w:color="auto" w:fill="auto"/>
            <w:noWrap/>
            <w:vAlign w:val="center"/>
            <w:hideMark/>
          </w:tcPr>
          <w:p w14:paraId="45BB4D2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1,6</w:t>
            </w:r>
          </w:p>
        </w:tc>
        <w:tc>
          <w:tcPr>
            <w:tcW w:w="765" w:type="dxa"/>
            <w:tcBorders>
              <w:top w:val="nil"/>
              <w:left w:val="single" w:sz="4" w:space="0" w:color="auto"/>
              <w:bottom w:val="nil"/>
              <w:right w:val="single" w:sz="4" w:space="0" w:color="auto"/>
            </w:tcBorders>
            <w:shd w:val="clear" w:color="auto" w:fill="auto"/>
            <w:noWrap/>
            <w:vAlign w:val="center"/>
            <w:hideMark/>
          </w:tcPr>
          <w:p w14:paraId="3D8BC5F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1,8</w:t>
            </w:r>
          </w:p>
        </w:tc>
        <w:tc>
          <w:tcPr>
            <w:tcW w:w="765" w:type="dxa"/>
            <w:tcBorders>
              <w:top w:val="nil"/>
              <w:left w:val="single" w:sz="4" w:space="0" w:color="auto"/>
              <w:bottom w:val="nil"/>
              <w:right w:val="single" w:sz="4" w:space="0" w:color="auto"/>
            </w:tcBorders>
            <w:shd w:val="clear" w:color="auto" w:fill="auto"/>
            <w:noWrap/>
            <w:vAlign w:val="center"/>
            <w:hideMark/>
          </w:tcPr>
          <w:p w14:paraId="36370ED8"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1,8</w:t>
            </w:r>
          </w:p>
        </w:tc>
        <w:tc>
          <w:tcPr>
            <w:tcW w:w="765" w:type="dxa"/>
            <w:tcBorders>
              <w:top w:val="nil"/>
              <w:left w:val="single" w:sz="4" w:space="0" w:color="auto"/>
              <w:bottom w:val="nil"/>
              <w:right w:val="single" w:sz="4" w:space="0" w:color="auto"/>
            </w:tcBorders>
            <w:shd w:val="clear" w:color="auto" w:fill="auto"/>
            <w:noWrap/>
            <w:vAlign w:val="center"/>
            <w:hideMark/>
          </w:tcPr>
          <w:p w14:paraId="7941341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1,1</w:t>
            </w:r>
          </w:p>
        </w:tc>
        <w:tc>
          <w:tcPr>
            <w:tcW w:w="765" w:type="dxa"/>
            <w:tcBorders>
              <w:top w:val="nil"/>
              <w:left w:val="single" w:sz="4" w:space="0" w:color="auto"/>
              <w:bottom w:val="nil"/>
              <w:right w:val="single" w:sz="4" w:space="0" w:color="auto"/>
            </w:tcBorders>
            <w:shd w:val="clear" w:color="auto" w:fill="D9D9D9"/>
            <w:vAlign w:val="center"/>
          </w:tcPr>
          <w:p w14:paraId="5577EBA2"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1,5</w:t>
            </w:r>
          </w:p>
        </w:tc>
        <w:tc>
          <w:tcPr>
            <w:tcW w:w="765" w:type="dxa"/>
            <w:tcBorders>
              <w:top w:val="nil"/>
              <w:left w:val="single" w:sz="4" w:space="0" w:color="auto"/>
              <w:bottom w:val="nil"/>
              <w:right w:val="nil"/>
            </w:tcBorders>
            <w:vAlign w:val="center"/>
          </w:tcPr>
          <w:p w14:paraId="58C287E2" w14:textId="0FD245AE" w:rsidR="00DD771A" w:rsidRPr="00166BEB" w:rsidRDefault="00DD771A" w:rsidP="00DD771A">
            <w:pPr>
              <w:spacing w:after="0" w:line="240" w:lineRule="auto"/>
              <w:jc w:val="center"/>
              <w:rPr>
                <w:rFonts w:cs="Arial"/>
                <w:sz w:val="16"/>
                <w:szCs w:val="16"/>
                <w:highlight w:val="yellow"/>
              </w:rPr>
            </w:pPr>
            <w:r>
              <w:rPr>
                <w:rFonts w:cs="Arial"/>
                <w:sz w:val="16"/>
                <w:szCs w:val="16"/>
              </w:rPr>
              <w:t>1,8</w:t>
            </w:r>
          </w:p>
        </w:tc>
        <w:tc>
          <w:tcPr>
            <w:tcW w:w="160" w:type="dxa"/>
            <w:tcBorders>
              <w:top w:val="nil"/>
              <w:left w:val="nil"/>
              <w:bottom w:val="nil"/>
              <w:right w:val="nil"/>
            </w:tcBorders>
          </w:tcPr>
          <w:p w14:paraId="7497962B" w14:textId="37D3F09D" w:rsidR="00DD771A" w:rsidRPr="00166BEB" w:rsidRDefault="00DD771A" w:rsidP="00DD771A">
            <w:pPr>
              <w:spacing w:after="0" w:line="240" w:lineRule="auto"/>
              <w:jc w:val="center"/>
              <w:rPr>
                <w:rFonts w:cs="Arial"/>
                <w:sz w:val="16"/>
                <w:szCs w:val="16"/>
                <w:highlight w:val="yellow"/>
              </w:rPr>
            </w:pPr>
          </w:p>
        </w:tc>
      </w:tr>
      <w:tr w:rsidR="00DD771A" w:rsidRPr="00166BEB" w14:paraId="01962C3B" w14:textId="77777777" w:rsidTr="00DD771A">
        <w:trPr>
          <w:trHeight w:val="300"/>
        </w:trPr>
        <w:tc>
          <w:tcPr>
            <w:tcW w:w="1380" w:type="dxa"/>
            <w:tcBorders>
              <w:top w:val="nil"/>
              <w:left w:val="nil"/>
              <w:bottom w:val="nil"/>
              <w:right w:val="nil"/>
            </w:tcBorders>
            <w:shd w:val="clear" w:color="auto" w:fill="auto"/>
            <w:noWrap/>
            <w:vAlign w:val="center"/>
            <w:hideMark/>
          </w:tcPr>
          <w:p w14:paraId="2EA09332"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Portugalsko</w:t>
            </w:r>
          </w:p>
        </w:tc>
        <w:tc>
          <w:tcPr>
            <w:tcW w:w="765" w:type="dxa"/>
            <w:tcBorders>
              <w:top w:val="nil"/>
              <w:left w:val="single" w:sz="4" w:space="0" w:color="000000"/>
              <w:bottom w:val="nil"/>
              <w:right w:val="single" w:sz="4" w:space="0" w:color="auto"/>
            </w:tcBorders>
            <w:shd w:val="clear" w:color="auto" w:fill="auto"/>
            <w:noWrap/>
            <w:vAlign w:val="center"/>
            <w:hideMark/>
          </w:tcPr>
          <w:p w14:paraId="613BBEB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4,9</w:t>
            </w:r>
          </w:p>
        </w:tc>
        <w:tc>
          <w:tcPr>
            <w:tcW w:w="765" w:type="dxa"/>
            <w:tcBorders>
              <w:top w:val="nil"/>
              <w:left w:val="single" w:sz="4" w:space="0" w:color="auto"/>
              <w:bottom w:val="nil"/>
              <w:right w:val="single" w:sz="4" w:space="0" w:color="auto"/>
            </w:tcBorders>
            <w:shd w:val="clear" w:color="auto" w:fill="auto"/>
            <w:noWrap/>
            <w:vAlign w:val="center"/>
            <w:hideMark/>
          </w:tcPr>
          <w:p w14:paraId="4C0FDB8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4,8</w:t>
            </w:r>
          </w:p>
        </w:tc>
        <w:tc>
          <w:tcPr>
            <w:tcW w:w="765" w:type="dxa"/>
            <w:tcBorders>
              <w:top w:val="nil"/>
              <w:left w:val="single" w:sz="4" w:space="0" w:color="auto"/>
              <w:bottom w:val="nil"/>
              <w:right w:val="single" w:sz="4" w:space="0" w:color="auto"/>
            </w:tcBorders>
            <w:shd w:val="clear" w:color="auto" w:fill="auto"/>
            <w:noWrap/>
            <w:vAlign w:val="center"/>
            <w:hideMark/>
          </w:tcPr>
          <w:p w14:paraId="17669A19"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4,5</w:t>
            </w:r>
          </w:p>
        </w:tc>
        <w:tc>
          <w:tcPr>
            <w:tcW w:w="765" w:type="dxa"/>
            <w:tcBorders>
              <w:top w:val="nil"/>
              <w:left w:val="single" w:sz="4" w:space="0" w:color="auto"/>
              <w:bottom w:val="nil"/>
              <w:right w:val="single" w:sz="4" w:space="0" w:color="auto"/>
            </w:tcBorders>
            <w:shd w:val="clear" w:color="auto" w:fill="auto"/>
            <w:noWrap/>
            <w:vAlign w:val="center"/>
            <w:hideMark/>
          </w:tcPr>
          <w:p w14:paraId="56327DC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4,7</w:t>
            </w:r>
          </w:p>
        </w:tc>
        <w:tc>
          <w:tcPr>
            <w:tcW w:w="765" w:type="dxa"/>
            <w:tcBorders>
              <w:top w:val="nil"/>
              <w:left w:val="single" w:sz="4" w:space="0" w:color="auto"/>
              <w:bottom w:val="nil"/>
              <w:right w:val="single" w:sz="4" w:space="0" w:color="auto"/>
            </w:tcBorders>
            <w:shd w:val="clear" w:color="auto" w:fill="auto"/>
            <w:noWrap/>
            <w:vAlign w:val="center"/>
            <w:hideMark/>
          </w:tcPr>
          <w:p w14:paraId="6A114809"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4,6</w:t>
            </w:r>
          </w:p>
        </w:tc>
        <w:tc>
          <w:tcPr>
            <w:tcW w:w="765" w:type="dxa"/>
            <w:tcBorders>
              <w:top w:val="nil"/>
              <w:left w:val="single" w:sz="4" w:space="0" w:color="auto"/>
              <w:bottom w:val="nil"/>
              <w:right w:val="single" w:sz="4" w:space="0" w:color="auto"/>
            </w:tcBorders>
            <w:shd w:val="clear" w:color="auto" w:fill="auto"/>
            <w:noWrap/>
            <w:vAlign w:val="center"/>
            <w:hideMark/>
          </w:tcPr>
          <w:p w14:paraId="3405794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4,0</w:t>
            </w:r>
          </w:p>
        </w:tc>
        <w:tc>
          <w:tcPr>
            <w:tcW w:w="765" w:type="dxa"/>
            <w:tcBorders>
              <w:top w:val="nil"/>
              <w:left w:val="single" w:sz="4" w:space="0" w:color="auto"/>
              <w:bottom w:val="nil"/>
              <w:right w:val="single" w:sz="4" w:space="0" w:color="auto"/>
            </w:tcBorders>
            <w:shd w:val="clear" w:color="auto" w:fill="auto"/>
            <w:noWrap/>
            <w:vAlign w:val="center"/>
            <w:hideMark/>
          </w:tcPr>
          <w:p w14:paraId="510B7EB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3,9</w:t>
            </w:r>
          </w:p>
        </w:tc>
        <w:tc>
          <w:tcPr>
            <w:tcW w:w="765" w:type="dxa"/>
            <w:tcBorders>
              <w:top w:val="nil"/>
              <w:left w:val="single" w:sz="4" w:space="0" w:color="auto"/>
              <w:bottom w:val="nil"/>
              <w:right w:val="single" w:sz="4" w:space="0" w:color="auto"/>
            </w:tcBorders>
            <w:shd w:val="clear" w:color="auto" w:fill="auto"/>
            <w:noWrap/>
            <w:vAlign w:val="center"/>
            <w:hideMark/>
          </w:tcPr>
          <w:p w14:paraId="410973C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22AC24D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D9D9D9"/>
            <w:vAlign w:val="center"/>
          </w:tcPr>
          <w:p w14:paraId="410EFE4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3,6</w:t>
            </w:r>
          </w:p>
        </w:tc>
        <w:tc>
          <w:tcPr>
            <w:tcW w:w="765" w:type="dxa"/>
            <w:tcBorders>
              <w:top w:val="nil"/>
              <w:left w:val="single" w:sz="4" w:space="0" w:color="auto"/>
              <w:bottom w:val="nil"/>
              <w:right w:val="nil"/>
            </w:tcBorders>
            <w:vAlign w:val="center"/>
          </w:tcPr>
          <w:p w14:paraId="71AC09DE" w14:textId="10C7ED59" w:rsidR="00DD771A" w:rsidRPr="00166BEB" w:rsidRDefault="00DD771A" w:rsidP="00DD771A">
            <w:pPr>
              <w:spacing w:after="0" w:line="240" w:lineRule="auto"/>
              <w:jc w:val="center"/>
              <w:rPr>
                <w:rFonts w:cs="Arial"/>
                <w:sz w:val="16"/>
                <w:szCs w:val="16"/>
                <w:highlight w:val="yellow"/>
              </w:rPr>
            </w:pPr>
            <w:r>
              <w:rPr>
                <w:rFonts w:cs="Arial"/>
                <w:sz w:val="16"/>
                <w:szCs w:val="16"/>
              </w:rPr>
              <w:t>2,8</w:t>
            </w:r>
          </w:p>
        </w:tc>
        <w:tc>
          <w:tcPr>
            <w:tcW w:w="160" w:type="dxa"/>
            <w:tcBorders>
              <w:top w:val="nil"/>
              <w:left w:val="nil"/>
              <w:bottom w:val="nil"/>
              <w:right w:val="nil"/>
            </w:tcBorders>
          </w:tcPr>
          <w:p w14:paraId="773D3138" w14:textId="39E3C291" w:rsidR="00DD771A" w:rsidRPr="00166BEB" w:rsidRDefault="00DD771A" w:rsidP="00DD771A">
            <w:pPr>
              <w:spacing w:after="0" w:line="240" w:lineRule="auto"/>
              <w:jc w:val="center"/>
              <w:rPr>
                <w:rFonts w:cs="Arial"/>
                <w:sz w:val="16"/>
                <w:szCs w:val="16"/>
                <w:highlight w:val="yellow"/>
              </w:rPr>
            </w:pPr>
          </w:p>
        </w:tc>
      </w:tr>
      <w:tr w:rsidR="00DD771A" w:rsidRPr="00166BEB" w14:paraId="4FE152ED" w14:textId="77777777" w:rsidTr="00DD771A">
        <w:trPr>
          <w:trHeight w:val="300"/>
        </w:trPr>
        <w:tc>
          <w:tcPr>
            <w:tcW w:w="1380" w:type="dxa"/>
            <w:tcBorders>
              <w:top w:val="nil"/>
              <w:left w:val="nil"/>
              <w:bottom w:val="nil"/>
              <w:right w:val="nil"/>
            </w:tcBorders>
            <w:shd w:val="clear" w:color="auto" w:fill="auto"/>
            <w:noWrap/>
            <w:vAlign w:val="center"/>
            <w:hideMark/>
          </w:tcPr>
          <w:p w14:paraId="792B82B6"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Rakousko</w:t>
            </w:r>
          </w:p>
        </w:tc>
        <w:tc>
          <w:tcPr>
            <w:tcW w:w="765" w:type="dxa"/>
            <w:tcBorders>
              <w:top w:val="nil"/>
              <w:left w:val="single" w:sz="4" w:space="0" w:color="000000"/>
              <w:bottom w:val="nil"/>
              <w:right w:val="single" w:sz="4" w:space="0" w:color="auto"/>
            </w:tcBorders>
            <w:shd w:val="clear" w:color="auto" w:fill="auto"/>
            <w:noWrap/>
            <w:vAlign w:val="center"/>
            <w:hideMark/>
          </w:tcPr>
          <w:p w14:paraId="1542719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3,6</w:t>
            </w:r>
          </w:p>
        </w:tc>
        <w:tc>
          <w:tcPr>
            <w:tcW w:w="765" w:type="dxa"/>
            <w:tcBorders>
              <w:top w:val="nil"/>
              <w:left w:val="single" w:sz="4" w:space="0" w:color="auto"/>
              <w:bottom w:val="nil"/>
              <w:right w:val="single" w:sz="4" w:space="0" w:color="auto"/>
            </w:tcBorders>
            <w:shd w:val="clear" w:color="auto" w:fill="auto"/>
            <w:noWrap/>
            <w:vAlign w:val="center"/>
            <w:hideMark/>
          </w:tcPr>
          <w:p w14:paraId="310B607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4,4</w:t>
            </w:r>
          </w:p>
        </w:tc>
        <w:tc>
          <w:tcPr>
            <w:tcW w:w="765" w:type="dxa"/>
            <w:tcBorders>
              <w:top w:val="nil"/>
              <w:left w:val="single" w:sz="4" w:space="0" w:color="auto"/>
              <w:bottom w:val="nil"/>
              <w:right w:val="single" w:sz="4" w:space="0" w:color="auto"/>
            </w:tcBorders>
            <w:shd w:val="clear" w:color="auto" w:fill="auto"/>
            <w:noWrap/>
            <w:vAlign w:val="center"/>
            <w:hideMark/>
          </w:tcPr>
          <w:p w14:paraId="1C8106E2"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4,2</w:t>
            </w:r>
          </w:p>
        </w:tc>
        <w:tc>
          <w:tcPr>
            <w:tcW w:w="765" w:type="dxa"/>
            <w:tcBorders>
              <w:top w:val="nil"/>
              <w:left w:val="single" w:sz="4" w:space="0" w:color="auto"/>
              <w:bottom w:val="nil"/>
              <w:right w:val="single" w:sz="4" w:space="0" w:color="auto"/>
            </w:tcBorders>
            <w:shd w:val="clear" w:color="auto" w:fill="auto"/>
            <w:noWrap/>
            <w:vAlign w:val="center"/>
            <w:hideMark/>
          </w:tcPr>
          <w:p w14:paraId="1CF1C86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4,0</w:t>
            </w:r>
          </w:p>
        </w:tc>
        <w:tc>
          <w:tcPr>
            <w:tcW w:w="765" w:type="dxa"/>
            <w:tcBorders>
              <w:top w:val="nil"/>
              <w:left w:val="single" w:sz="4" w:space="0" w:color="auto"/>
              <w:bottom w:val="nil"/>
              <w:right w:val="single" w:sz="4" w:space="0" w:color="auto"/>
            </w:tcBorders>
            <w:shd w:val="clear" w:color="auto" w:fill="auto"/>
            <w:noWrap/>
            <w:vAlign w:val="center"/>
            <w:hideMark/>
          </w:tcPr>
          <w:p w14:paraId="02A2932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4,2</w:t>
            </w:r>
          </w:p>
        </w:tc>
        <w:tc>
          <w:tcPr>
            <w:tcW w:w="765" w:type="dxa"/>
            <w:tcBorders>
              <w:top w:val="nil"/>
              <w:left w:val="single" w:sz="4" w:space="0" w:color="auto"/>
              <w:bottom w:val="nil"/>
              <w:right w:val="single" w:sz="4" w:space="0" w:color="auto"/>
            </w:tcBorders>
            <w:shd w:val="clear" w:color="auto" w:fill="auto"/>
            <w:noWrap/>
            <w:vAlign w:val="center"/>
            <w:hideMark/>
          </w:tcPr>
          <w:p w14:paraId="31F50B2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5,4</w:t>
            </w:r>
          </w:p>
        </w:tc>
        <w:tc>
          <w:tcPr>
            <w:tcW w:w="765" w:type="dxa"/>
            <w:tcBorders>
              <w:top w:val="nil"/>
              <w:left w:val="single" w:sz="4" w:space="0" w:color="auto"/>
              <w:bottom w:val="nil"/>
              <w:right w:val="single" w:sz="4" w:space="0" w:color="auto"/>
            </w:tcBorders>
            <w:shd w:val="clear" w:color="auto" w:fill="auto"/>
            <w:noWrap/>
            <w:vAlign w:val="center"/>
            <w:hideMark/>
          </w:tcPr>
          <w:p w14:paraId="20BA916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4,1</w:t>
            </w:r>
          </w:p>
        </w:tc>
        <w:tc>
          <w:tcPr>
            <w:tcW w:w="765" w:type="dxa"/>
            <w:tcBorders>
              <w:top w:val="nil"/>
              <w:left w:val="single" w:sz="4" w:space="0" w:color="auto"/>
              <w:bottom w:val="nil"/>
              <w:right w:val="single" w:sz="4" w:space="0" w:color="auto"/>
            </w:tcBorders>
            <w:shd w:val="clear" w:color="auto" w:fill="auto"/>
            <w:noWrap/>
            <w:vAlign w:val="center"/>
            <w:hideMark/>
          </w:tcPr>
          <w:p w14:paraId="30699F12"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4,3</w:t>
            </w:r>
          </w:p>
        </w:tc>
        <w:tc>
          <w:tcPr>
            <w:tcW w:w="765" w:type="dxa"/>
            <w:tcBorders>
              <w:top w:val="nil"/>
              <w:left w:val="single" w:sz="4" w:space="0" w:color="auto"/>
              <w:bottom w:val="nil"/>
              <w:right w:val="single" w:sz="4" w:space="0" w:color="auto"/>
            </w:tcBorders>
            <w:shd w:val="clear" w:color="auto" w:fill="auto"/>
            <w:noWrap/>
            <w:vAlign w:val="center"/>
            <w:hideMark/>
          </w:tcPr>
          <w:p w14:paraId="5F08504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3,5</w:t>
            </w:r>
          </w:p>
        </w:tc>
        <w:tc>
          <w:tcPr>
            <w:tcW w:w="765" w:type="dxa"/>
            <w:tcBorders>
              <w:top w:val="nil"/>
              <w:left w:val="single" w:sz="4" w:space="0" w:color="auto"/>
              <w:bottom w:val="nil"/>
              <w:right w:val="single" w:sz="4" w:space="0" w:color="auto"/>
            </w:tcBorders>
            <w:shd w:val="clear" w:color="auto" w:fill="D9D9D9"/>
            <w:vAlign w:val="center"/>
          </w:tcPr>
          <w:p w14:paraId="5CFC8C5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2,9</w:t>
            </w:r>
          </w:p>
        </w:tc>
        <w:tc>
          <w:tcPr>
            <w:tcW w:w="765" w:type="dxa"/>
            <w:tcBorders>
              <w:top w:val="nil"/>
              <w:left w:val="single" w:sz="4" w:space="0" w:color="auto"/>
              <w:bottom w:val="nil"/>
              <w:right w:val="nil"/>
            </w:tcBorders>
            <w:vAlign w:val="center"/>
          </w:tcPr>
          <w:p w14:paraId="5011C14B" w14:textId="60E91E3C" w:rsidR="00DD771A" w:rsidRPr="00166BEB" w:rsidRDefault="00DD771A" w:rsidP="00DD771A">
            <w:pPr>
              <w:spacing w:after="0" w:line="240" w:lineRule="auto"/>
              <w:jc w:val="center"/>
              <w:rPr>
                <w:rFonts w:cs="Arial"/>
                <w:sz w:val="16"/>
                <w:szCs w:val="16"/>
                <w:highlight w:val="yellow"/>
              </w:rPr>
            </w:pPr>
            <w:r>
              <w:rPr>
                <w:rFonts w:cs="Arial"/>
                <w:sz w:val="16"/>
                <w:szCs w:val="16"/>
              </w:rPr>
              <w:t>3,4</w:t>
            </w:r>
          </w:p>
        </w:tc>
        <w:tc>
          <w:tcPr>
            <w:tcW w:w="160" w:type="dxa"/>
            <w:tcBorders>
              <w:top w:val="nil"/>
              <w:left w:val="nil"/>
              <w:bottom w:val="nil"/>
              <w:right w:val="nil"/>
            </w:tcBorders>
          </w:tcPr>
          <w:p w14:paraId="5FA173B8" w14:textId="700377A4" w:rsidR="00DD771A" w:rsidRPr="00166BEB" w:rsidRDefault="00DD771A" w:rsidP="00DD771A">
            <w:pPr>
              <w:spacing w:after="0" w:line="240" w:lineRule="auto"/>
              <w:jc w:val="center"/>
              <w:rPr>
                <w:rFonts w:cs="Arial"/>
                <w:sz w:val="16"/>
                <w:szCs w:val="16"/>
                <w:highlight w:val="yellow"/>
              </w:rPr>
            </w:pPr>
          </w:p>
        </w:tc>
      </w:tr>
      <w:tr w:rsidR="00DD771A" w:rsidRPr="00166BEB" w14:paraId="3C8D198D" w14:textId="77777777" w:rsidTr="00DD771A">
        <w:trPr>
          <w:trHeight w:val="300"/>
        </w:trPr>
        <w:tc>
          <w:tcPr>
            <w:tcW w:w="1380" w:type="dxa"/>
            <w:tcBorders>
              <w:top w:val="nil"/>
              <w:left w:val="nil"/>
              <w:bottom w:val="nil"/>
              <w:right w:val="nil"/>
            </w:tcBorders>
            <w:shd w:val="clear" w:color="auto" w:fill="auto"/>
            <w:noWrap/>
            <w:vAlign w:val="center"/>
            <w:hideMark/>
          </w:tcPr>
          <w:p w14:paraId="12373C52"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Rumunsko</w:t>
            </w:r>
          </w:p>
        </w:tc>
        <w:tc>
          <w:tcPr>
            <w:tcW w:w="765" w:type="dxa"/>
            <w:tcBorders>
              <w:top w:val="nil"/>
              <w:left w:val="single" w:sz="4" w:space="0" w:color="000000"/>
              <w:bottom w:val="nil"/>
              <w:right w:val="single" w:sz="4" w:space="0" w:color="auto"/>
            </w:tcBorders>
            <w:shd w:val="clear" w:color="auto" w:fill="auto"/>
            <w:noWrap/>
            <w:vAlign w:val="center"/>
            <w:hideMark/>
          </w:tcPr>
          <w:p w14:paraId="6C11D0A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8,7</w:t>
            </w:r>
          </w:p>
        </w:tc>
        <w:tc>
          <w:tcPr>
            <w:tcW w:w="765" w:type="dxa"/>
            <w:tcBorders>
              <w:top w:val="nil"/>
              <w:left w:val="single" w:sz="4" w:space="0" w:color="auto"/>
              <w:bottom w:val="nil"/>
              <w:right w:val="single" w:sz="4" w:space="0" w:color="auto"/>
            </w:tcBorders>
            <w:shd w:val="clear" w:color="auto" w:fill="auto"/>
            <w:noWrap/>
            <w:vAlign w:val="center"/>
            <w:hideMark/>
          </w:tcPr>
          <w:p w14:paraId="027F9A9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7,6</w:t>
            </w:r>
          </w:p>
        </w:tc>
        <w:tc>
          <w:tcPr>
            <w:tcW w:w="765" w:type="dxa"/>
            <w:tcBorders>
              <w:top w:val="nil"/>
              <w:left w:val="single" w:sz="4" w:space="0" w:color="auto"/>
              <w:bottom w:val="nil"/>
              <w:right w:val="single" w:sz="4" w:space="0" w:color="auto"/>
            </w:tcBorders>
            <w:shd w:val="clear" w:color="auto" w:fill="auto"/>
            <w:noWrap/>
            <w:vAlign w:val="center"/>
            <w:hideMark/>
          </w:tcPr>
          <w:p w14:paraId="7459BA8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6,9</w:t>
            </w:r>
          </w:p>
        </w:tc>
        <w:tc>
          <w:tcPr>
            <w:tcW w:w="765" w:type="dxa"/>
            <w:tcBorders>
              <w:top w:val="nil"/>
              <w:left w:val="single" w:sz="4" w:space="0" w:color="auto"/>
              <w:bottom w:val="nil"/>
              <w:right w:val="single" w:sz="4" w:space="0" w:color="auto"/>
            </w:tcBorders>
            <w:shd w:val="clear" w:color="auto" w:fill="auto"/>
            <w:noWrap/>
            <w:vAlign w:val="center"/>
            <w:hideMark/>
          </w:tcPr>
          <w:p w14:paraId="31552DE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7,1</w:t>
            </w:r>
          </w:p>
        </w:tc>
        <w:tc>
          <w:tcPr>
            <w:tcW w:w="765" w:type="dxa"/>
            <w:tcBorders>
              <w:top w:val="nil"/>
              <w:left w:val="single" w:sz="4" w:space="0" w:color="auto"/>
              <w:bottom w:val="nil"/>
              <w:right w:val="single" w:sz="4" w:space="0" w:color="auto"/>
            </w:tcBorders>
            <w:shd w:val="clear" w:color="auto" w:fill="auto"/>
            <w:noWrap/>
            <w:vAlign w:val="center"/>
            <w:hideMark/>
          </w:tcPr>
          <w:p w14:paraId="2BCDC5B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7,5</w:t>
            </w:r>
          </w:p>
        </w:tc>
        <w:tc>
          <w:tcPr>
            <w:tcW w:w="765" w:type="dxa"/>
            <w:tcBorders>
              <w:top w:val="nil"/>
              <w:left w:val="single" w:sz="4" w:space="0" w:color="auto"/>
              <w:bottom w:val="nil"/>
              <w:right w:val="single" w:sz="4" w:space="0" w:color="auto"/>
            </w:tcBorders>
            <w:shd w:val="clear" w:color="auto" w:fill="auto"/>
            <w:noWrap/>
            <w:vAlign w:val="center"/>
            <w:hideMark/>
          </w:tcPr>
          <w:p w14:paraId="1026C112"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6,1</w:t>
            </w:r>
          </w:p>
        </w:tc>
        <w:tc>
          <w:tcPr>
            <w:tcW w:w="765" w:type="dxa"/>
            <w:tcBorders>
              <w:top w:val="nil"/>
              <w:left w:val="single" w:sz="4" w:space="0" w:color="auto"/>
              <w:bottom w:val="nil"/>
              <w:right w:val="single" w:sz="4" w:space="0" w:color="auto"/>
            </w:tcBorders>
            <w:shd w:val="clear" w:color="auto" w:fill="auto"/>
            <w:noWrap/>
            <w:vAlign w:val="center"/>
            <w:hideMark/>
          </w:tcPr>
          <w:p w14:paraId="39C97CD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5,7</w:t>
            </w:r>
          </w:p>
        </w:tc>
        <w:tc>
          <w:tcPr>
            <w:tcW w:w="765" w:type="dxa"/>
            <w:tcBorders>
              <w:top w:val="nil"/>
              <w:left w:val="single" w:sz="4" w:space="0" w:color="auto"/>
              <w:bottom w:val="nil"/>
              <w:right w:val="single" w:sz="4" w:space="0" w:color="auto"/>
            </w:tcBorders>
            <w:shd w:val="clear" w:color="auto" w:fill="auto"/>
            <w:noWrap/>
            <w:vAlign w:val="center"/>
            <w:hideMark/>
          </w:tcPr>
          <w:p w14:paraId="01C84CB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5,3</w:t>
            </w:r>
          </w:p>
        </w:tc>
        <w:tc>
          <w:tcPr>
            <w:tcW w:w="765" w:type="dxa"/>
            <w:tcBorders>
              <w:top w:val="nil"/>
              <w:left w:val="single" w:sz="4" w:space="0" w:color="auto"/>
              <w:bottom w:val="nil"/>
              <w:right w:val="single" w:sz="4" w:space="0" w:color="auto"/>
            </w:tcBorders>
            <w:shd w:val="clear" w:color="auto" w:fill="auto"/>
            <w:noWrap/>
            <w:vAlign w:val="center"/>
            <w:hideMark/>
          </w:tcPr>
          <w:p w14:paraId="7C3473F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3,4</w:t>
            </w:r>
          </w:p>
        </w:tc>
        <w:tc>
          <w:tcPr>
            <w:tcW w:w="765" w:type="dxa"/>
            <w:tcBorders>
              <w:top w:val="nil"/>
              <w:left w:val="single" w:sz="4" w:space="0" w:color="auto"/>
              <w:bottom w:val="nil"/>
              <w:right w:val="single" w:sz="4" w:space="0" w:color="auto"/>
            </w:tcBorders>
            <w:shd w:val="clear" w:color="auto" w:fill="D9D9D9"/>
            <w:vAlign w:val="center"/>
          </w:tcPr>
          <w:p w14:paraId="03523A0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4,0</w:t>
            </w:r>
          </w:p>
        </w:tc>
        <w:tc>
          <w:tcPr>
            <w:tcW w:w="765" w:type="dxa"/>
            <w:tcBorders>
              <w:top w:val="nil"/>
              <w:left w:val="single" w:sz="4" w:space="0" w:color="auto"/>
              <w:bottom w:val="nil"/>
              <w:right w:val="nil"/>
            </w:tcBorders>
            <w:vAlign w:val="center"/>
          </w:tcPr>
          <w:p w14:paraId="7F31FB74" w14:textId="6A39D8C2" w:rsidR="00DD771A" w:rsidRPr="00166BEB" w:rsidRDefault="00DD771A" w:rsidP="00DD771A">
            <w:pPr>
              <w:spacing w:after="0" w:line="240" w:lineRule="auto"/>
              <w:jc w:val="center"/>
              <w:rPr>
                <w:rFonts w:cs="Arial"/>
                <w:sz w:val="16"/>
                <w:szCs w:val="16"/>
                <w:highlight w:val="yellow"/>
              </w:rPr>
            </w:pPr>
            <w:r>
              <w:rPr>
                <w:rFonts w:cs="Arial"/>
                <w:sz w:val="16"/>
                <w:szCs w:val="16"/>
              </w:rPr>
              <w:t>3,8</w:t>
            </w:r>
          </w:p>
        </w:tc>
        <w:tc>
          <w:tcPr>
            <w:tcW w:w="160" w:type="dxa"/>
            <w:tcBorders>
              <w:top w:val="nil"/>
              <w:left w:val="nil"/>
              <w:bottom w:val="nil"/>
              <w:right w:val="nil"/>
            </w:tcBorders>
          </w:tcPr>
          <w:p w14:paraId="0489FBCA" w14:textId="543137AE" w:rsidR="00DD771A" w:rsidRPr="00166BEB" w:rsidRDefault="00DD771A" w:rsidP="00DD771A">
            <w:pPr>
              <w:spacing w:after="0" w:line="240" w:lineRule="auto"/>
              <w:jc w:val="center"/>
              <w:rPr>
                <w:rFonts w:cs="Arial"/>
                <w:sz w:val="16"/>
                <w:szCs w:val="16"/>
                <w:highlight w:val="yellow"/>
              </w:rPr>
            </w:pPr>
          </w:p>
        </w:tc>
      </w:tr>
      <w:tr w:rsidR="00DD771A" w:rsidRPr="00166BEB" w14:paraId="5434F5CF" w14:textId="77777777" w:rsidTr="00DD771A">
        <w:trPr>
          <w:trHeight w:val="300"/>
        </w:trPr>
        <w:tc>
          <w:tcPr>
            <w:tcW w:w="1380" w:type="dxa"/>
            <w:tcBorders>
              <w:top w:val="nil"/>
              <w:left w:val="nil"/>
              <w:bottom w:val="nil"/>
              <w:right w:val="nil"/>
            </w:tcBorders>
            <w:shd w:val="clear" w:color="auto" w:fill="auto"/>
            <w:noWrap/>
            <w:vAlign w:val="center"/>
            <w:hideMark/>
          </w:tcPr>
          <w:p w14:paraId="0C1A044B"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Řecko</w:t>
            </w:r>
          </w:p>
        </w:tc>
        <w:tc>
          <w:tcPr>
            <w:tcW w:w="765" w:type="dxa"/>
            <w:tcBorders>
              <w:top w:val="nil"/>
              <w:left w:val="single" w:sz="4" w:space="0" w:color="000000"/>
              <w:bottom w:val="nil"/>
              <w:right w:val="single" w:sz="4" w:space="0" w:color="auto"/>
            </w:tcBorders>
            <w:shd w:val="clear" w:color="auto" w:fill="auto"/>
            <w:noWrap/>
            <w:vAlign w:val="center"/>
            <w:hideMark/>
          </w:tcPr>
          <w:p w14:paraId="5D235FC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1,4</w:t>
            </w:r>
          </w:p>
        </w:tc>
        <w:tc>
          <w:tcPr>
            <w:tcW w:w="765" w:type="dxa"/>
            <w:tcBorders>
              <w:top w:val="nil"/>
              <w:left w:val="single" w:sz="4" w:space="0" w:color="auto"/>
              <w:bottom w:val="nil"/>
              <w:right w:val="single" w:sz="4" w:space="0" w:color="auto"/>
            </w:tcBorders>
            <w:shd w:val="clear" w:color="auto" w:fill="auto"/>
            <w:noWrap/>
            <w:vAlign w:val="center"/>
            <w:hideMark/>
          </w:tcPr>
          <w:p w14:paraId="311E276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1,3</w:t>
            </w:r>
          </w:p>
        </w:tc>
        <w:tc>
          <w:tcPr>
            <w:tcW w:w="765" w:type="dxa"/>
            <w:tcBorders>
              <w:top w:val="nil"/>
              <w:left w:val="single" w:sz="4" w:space="0" w:color="auto"/>
              <w:bottom w:val="nil"/>
              <w:right w:val="single" w:sz="4" w:space="0" w:color="auto"/>
            </w:tcBorders>
            <w:shd w:val="clear" w:color="auto" w:fill="auto"/>
            <w:noWrap/>
            <w:vAlign w:val="center"/>
            <w:hideMark/>
          </w:tcPr>
          <w:p w14:paraId="6CDAEA5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1,2</w:t>
            </w:r>
          </w:p>
        </w:tc>
        <w:tc>
          <w:tcPr>
            <w:tcW w:w="765" w:type="dxa"/>
            <w:tcBorders>
              <w:top w:val="nil"/>
              <w:left w:val="single" w:sz="4" w:space="0" w:color="auto"/>
              <w:bottom w:val="nil"/>
              <w:right w:val="single" w:sz="4" w:space="0" w:color="auto"/>
            </w:tcBorders>
            <w:shd w:val="clear" w:color="000000" w:fill="DBDBDB"/>
            <w:noWrap/>
            <w:vAlign w:val="center"/>
            <w:hideMark/>
          </w:tcPr>
          <w:p w14:paraId="255D0DD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1,2</w:t>
            </w:r>
          </w:p>
        </w:tc>
        <w:tc>
          <w:tcPr>
            <w:tcW w:w="765" w:type="dxa"/>
            <w:tcBorders>
              <w:top w:val="nil"/>
              <w:left w:val="single" w:sz="4" w:space="0" w:color="auto"/>
              <w:bottom w:val="nil"/>
              <w:right w:val="single" w:sz="4" w:space="0" w:color="auto"/>
            </w:tcBorders>
            <w:shd w:val="clear" w:color="auto" w:fill="auto"/>
            <w:noWrap/>
            <w:vAlign w:val="center"/>
            <w:hideMark/>
          </w:tcPr>
          <w:p w14:paraId="7DE87287"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2,4</w:t>
            </w:r>
          </w:p>
        </w:tc>
        <w:tc>
          <w:tcPr>
            <w:tcW w:w="765" w:type="dxa"/>
            <w:tcBorders>
              <w:top w:val="nil"/>
              <w:left w:val="single" w:sz="4" w:space="0" w:color="auto"/>
              <w:bottom w:val="nil"/>
              <w:right w:val="single" w:sz="4" w:space="0" w:color="auto"/>
            </w:tcBorders>
            <w:shd w:val="clear" w:color="auto" w:fill="auto"/>
            <w:noWrap/>
            <w:vAlign w:val="center"/>
            <w:hideMark/>
          </w:tcPr>
          <w:p w14:paraId="597E903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auto"/>
            <w:noWrap/>
            <w:vAlign w:val="center"/>
            <w:hideMark/>
          </w:tcPr>
          <w:p w14:paraId="676E780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2,0</w:t>
            </w:r>
          </w:p>
        </w:tc>
        <w:tc>
          <w:tcPr>
            <w:tcW w:w="765" w:type="dxa"/>
            <w:tcBorders>
              <w:top w:val="nil"/>
              <w:left w:val="single" w:sz="4" w:space="0" w:color="auto"/>
              <w:bottom w:val="nil"/>
              <w:right w:val="single" w:sz="4" w:space="0" w:color="auto"/>
            </w:tcBorders>
            <w:shd w:val="clear" w:color="auto" w:fill="auto"/>
            <w:noWrap/>
            <w:vAlign w:val="center"/>
            <w:hideMark/>
          </w:tcPr>
          <w:p w14:paraId="140052C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1,7</w:t>
            </w:r>
          </w:p>
        </w:tc>
        <w:tc>
          <w:tcPr>
            <w:tcW w:w="765" w:type="dxa"/>
            <w:tcBorders>
              <w:top w:val="nil"/>
              <w:left w:val="single" w:sz="4" w:space="0" w:color="auto"/>
              <w:bottom w:val="nil"/>
              <w:right w:val="single" w:sz="4" w:space="0" w:color="auto"/>
            </w:tcBorders>
            <w:shd w:val="clear" w:color="auto" w:fill="auto"/>
            <w:noWrap/>
            <w:vAlign w:val="center"/>
            <w:hideMark/>
          </w:tcPr>
          <w:p w14:paraId="6B7578A2"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1,6</w:t>
            </w:r>
          </w:p>
        </w:tc>
        <w:tc>
          <w:tcPr>
            <w:tcW w:w="765" w:type="dxa"/>
            <w:tcBorders>
              <w:top w:val="nil"/>
              <w:left w:val="single" w:sz="4" w:space="0" w:color="auto"/>
              <w:bottom w:val="nil"/>
              <w:right w:val="single" w:sz="4" w:space="0" w:color="auto"/>
            </w:tcBorders>
            <w:shd w:val="clear" w:color="auto" w:fill="D9D9D9"/>
            <w:vAlign w:val="center"/>
          </w:tcPr>
          <w:p w14:paraId="14A1C9D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1,4</w:t>
            </w:r>
          </w:p>
        </w:tc>
        <w:tc>
          <w:tcPr>
            <w:tcW w:w="765" w:type="dxa"/>
            <w:tcBorders>
              <w:top w:val="nil"/>
              <w:left w:val="single" w:sz="4" w:space="0" w:color="auto"/>
              <w:bottom w:val="nil"/>
              <w:right w:val="nil"/>
            </w:tcBorders>
            <w:vAlign w:val="center"/>
          </w:tcPr>
          <w:p w14:paraId="004579D7" w14:textId="483D7912" w:rsidR="00DD771A" w:rsidRPr="00166BEB" w:rsidRDefault="00DD771A" w:rsidP="00DD771A">
            <w:pPr>
              <w:spacing w:after="0" w:line="240" w:lineRule="auto"/>
              <w:jc w:val="center"/>
              <w:rPr>
                <w:rFonts w:cs="Arial"/>
                <w:sz w:val="16"/>
                <w:szCs w:val="16"/>
                <w:highlight w:val="yellow"/>
              </w:rPr>
            </w:pPr>
            <w:r>
              <w:rPr>
                <w:rFonts w:cs="Arial"/>
                <w:sz w:val="16"/>
                <w:szCs w:val="16"/>
              </w:rPr>
              <w:t>1,1</w:t>
            </w:r>
          </w:p>
        </w:tc>
        <w:tc>
          <w:tcPr>
            <w:tcW w:w="160" w:type="dxa"/>
            <w:tcBorders>
              <w:top w:val="nil"/>
              <w:left w:val="nil"/>
              <w:bottom w:val="nil"/>
              <w:right w:val="nil"/>
            </w:tcBorders>
          </w:tcPr>
          <w:p w14:paraId="1DC9725C" w14:textId="3B888AE6" w:rsidR="00DD771A" w:rsidRPr="00166BEB" w:rsidRDefault="00DD771A" w:rsidP="00DD771A">
            <w:pPr>
              <w:spacing w:after="0" w:line="240" w:lineRule="auto"/>
              <w:jc w:val="center"/>
              <w:rPr>
                <w:rFonts w:cs="Arial"/>
                <w:sz w:val="16"/>
                <w:szCs w:val="16"/>
                <w:highlight w:val="yellow"/>
              </w:rPr>
            </w:pPr>
          </w:p>
        </w:tc>
      </w:tr>
      <w:tr w:rsidR="00DD771A" w:rsidRPr="00166BEB" w14:paraId="0F0C112F" w14:textId="77777777" w:rsidTr="00DD771A">
        <w:trPr>
          <w:trHeight w:val="300"/>
        </w:trPr>
        <w:tc>
          <w:tcPr>
            <w:tcW w:w="1380" w:type="dxa"/>
            <w:tcBorders>
              <w:top w:val="nil"/>
              <w:left w:val="nil"/>
              <w:bottom w:val="nil"/>
              <w:right w:val="nil"/>
            </w:tcBorders>
            <w:shd w:val="clear" w:color="auto" w:fill="auto"/>
            <w:noWrap/>
            <w:vAlign w:val="center"/>
            <w:hideMark/>
          </w:tcPr>
          <w:p w14:paraId="0EC6DD7E"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Slovensko</w:t>
            </w:r>
          </w:p>
        </w:tc>
        <w:tc>
          <w:tcPr>
            <w:tcW w:w="765" w:type="dxa"/>
            <w:tcBorders>
              <w:top w:val="nil"/>
              <w:left w:val="single" w:sz="4" w:space="0" w:color="000000"/>
              <w:bottom w:val="nil"/>
              <w:right w:val="single" w:sz="4" w:space="0" w:color="auto"/>
            </w:tcBorders>
            <w:shd w:val="clear" w:color="auto" w:fill="auto"/>
            <w:noWrap/>
            <w:vAlign w:val="center"/>
            <w:hideMark/>
          </w:tcPr>
          <w:p w14:paraId="7E2BF5B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2,3</w:t>
            </w:r>
          </w:p>
        </w:tc>
        <w:tc>
          <w:tcPr>
            <w:tcW w:w="765" w:type="dxa"/>
            <w:tcBorders>
              <w:top w:val="nil"/>
              <w:left w:val="single" w:sz="4" w:space="0" w:color="auto"/>
              <w:bottom w:val="nil"/>
              <w:right w:val="single" w:sz="4" w:space="0" w:color="auto"/>
            </w:tcBorders>
            <w:shd w:val="clear" w:color="auto" w:fill="auto"/>
            <w:noWrap/>
            <w:vAlign w:val="center"/>
            <w:hideMark/>
          </w:tcPr>
          <w:p w14:paraId="777DC67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3,1</w:t>
            </w:r>
          </w:p>
        </w:tc>
        <w:tc>
          <w:tcPr>
            <w:tcW w:w="765" w:type="dxa"/>
            <w:tcBorders>
              <w:top w:val="nil"/>
              <w:left w:val="single" w:sz="4" w:space="0" w:color="auto"/>
              <w:bottom w:val="nil"/>
              <w:right w:val="single" w:sz="4" w:space="0" w:color="auto"/>
            </w:tcBorders>
            <w:shd w:val="clear" w:color="auto" w:fill="auto"/>
            <w:noWrap/>
            <w:vAlign w:val="center"/>
            <w:hideMark/>
          </w:tcPr>
          <w:p w14:paraId="2F32C4F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3,3</w:t>
            </w:r>
          </w:p>
        </w:tc>
        <w:tc>
          <w:tcPr>
            <w:tcW w:w="765" w:type="dxa"/>
            <w:tcBorders>
              <w:top w:val="nil"/>
              <w:left w:val="single" w:sz="4" w:space="0" w:color="auto"/>
              <w:bottom w:val="nil"/>
              <w:right w:val="single" w:sz="4" w:space="0" w:color="auto"/>
            </w:tcBorders>
            <w:shd w:val="clear" w:color="auto" w:fill="auto"/>
            <w:noWrap/>
            <w:vAlign w:val="center"/>
            <w:hideMark/>
          </w:tcPr>
          <w:p w14:paraId="49BB8243"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2,3</w:t>
            </w:r>
          </w:p>
        </w:tc>
        <w:tc>
          <w:tcPr>
            <w:tcW w:w="765" w:type="dxa"/>
            <w:tcBorders>
              <w:top w:val="nil"/>
              <w:left w:val="single" w:sz="4" w:space="0" w:color="auto"/>
              <w:bottom w:val="nil"/>
              <w:right w:val="single" w:sz="4" w:space="0" w:color="auto"/>
            </w:tcBorders>
            <w:shd w:val="clear" w:color="auto" w:fill="auto"/>
            <w:noWrap/>
            <w:vAlign w:val="center"/>
            <w:hideMark/>
          </w:tcPr>
          <w:p w14:paraId="39811D3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3,6</w:t>
            </w:r>
          </w:p>
        </w:tc>
        <w:tc>
          <w:tcPr>
            <w:tcW w:w="765" w:type="dxa"/>
            <w:tcBorders>
              <w:top w:val="nil"/>
              <w:left w:val="single" w:sz="4" w:space="0" w:color="auto"/>
              <w:bottom w:val="nil"/>
              <w:right w:val="single" w:sz="4" w:space="0" w:color="auto"/>
            </w:tcBorders>
            <w:shd w:val="clear" w:color="auto" w:fill="auto"/>
            <w:noWrap/>
            <w:vAlign w:val="center"/>
            <w:hideMark/>
          </w:tcPr>
          <w:p w14:paraId="294A3E1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203BD46A"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2,8</w:t>
            </w:r>
          </w:p>
        </w:tc>
        <w:tc>
          <w:tcPr>
            <w:tcW w:w="765" w:type="dxa"/>
            <w:tcBorders>
              <w:top w:val="nil"/>
              <w:left w:val="single" w:sz="4" w:space="0" w:color="auto"/>
              <w:bottom w:val="nil"/>
              <w:right w:val="single" w:sz="4" w:space="0" w:color="auto"/>
            </w:tcBorders>
            <w:shd w:val="clear" w:color="auto" w:fill="auto"/>
            <w:noWrap/>
            <w:vAlign w:val="center"/>
            <w:hideMark/>
          </w:tcPr>
          <w:p w14:paraId="3250AFD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2,6</w:t>
            </w:r>
          </w:p>
        </w:tc>
        <w:tc>
          <w:tcPr>
            <w:tcW w:w="765" w:type="dxa"/>
            <w:tcBorders>
              <w:top w:val="nil"/>
              <w:left w:val="single" w:sz="4" w:space="0" w:color="auto"/>
              <w:bottom w:val="nil"/>
              <w:right w:val="single" w:sz="4" w:space="0" w:color="auto"/>
            </w:tcBorders>
            <w:shd w:val="clear" w:color="auto" w:fill="auto"/>
            <w:noWrap/>
            <w:vAlign w:val="center"/>
            <w:hideMark/>
          </w:tcPr>
          <w:p w14:paraId="5C77847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2,2</w:t>
            </w:r>
          </w:p>
        </w:tc>
        <w:tc>
          <w:tcPr>
            <w:tcW w:w="765" w:type="dxa"/>
            <w:tcBorders>
              <w:top w:val="nil"/>
              <w:left w:val="single" w:sz="4" w:space="0" w:color="auto"/>
              <w:bottom w:val="nil"/>
              <w:right w:val="single" w:sz="4" w:space="0" w:color="auto"/>
            </w:tcBorders>
            <w:shd w:val="clear" w:color="auto" w:fill="D9D9D9"/>
            <w:vAlign w:val="center"/>
          </w:tcPr>
          <w:p w14:paraId="702147C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2,2</w:t>
            </w:r>
          </w:p>
        </w:tc>
        <w:tc>
          <w:tcPr>
            <w:tcW w:w="765" w:type="dxa"/>
            <w:tcBorders>
              <w:top w:val="nil"/>
              <w:left w:val="single" w:sz="4" w:space="0" w:color="auto"/>
              <w:bottom w:val="nil"/>
              <w:right w:val="nil"/>
            </w:tcBorders>
            <w:vAlign w:val="center"/>
          </w:tcPr>
          <w:p w14:paraId="6F904AC5" w14:textId="795A8545" w:rsidR="00DD771A" w:rsidRPr="00166BEB" w:rsidRDefault="00DD771A" w:rsidP="00DD771A">
            <w:pPr>
              <w:spacing w:after="0" w:line="240" w:lineRule="auto"/>
              <w:jc w:val="center"/>
              <w:rPr>
                <w:rFonts w:cs="Arial"/>
                <w:sz w:val="16"/>
                <w:szCs w:val="16"/>
                <w:highlight w:val="yellow"/>
              </w:rPr>
            </w:pPr>
            <w:r>
              <w:rPr>
                <w:rFonts w:cs="Arial"/>
                <w:sz w:val="16"/>
                <w:szCs w:val="16"/>
              </w:rPr>
              <w:t>2,1</w:t>
            </w:r>
          </w:p>
        </w:tc>
        <w:tc>
          <w:tcPr>
            <w:tcW w:w="160" w:type="dxa"/>
            <w:tcBorders>
              <w:top w:val="nil"/>
              <w:left w:val="nil"/>
              <w:bottom w:val="nil"/>
              <w:right w:val="nil"/>
            </w:tcBorders>
          </w:tcPr>
          <w:p w14:paraId="47CC98BB" w14:textId="045FF03F" w:rsidR="00DD771A" w:rsidRPr="00166BEB" w:rsidRDefault="00DD771A" w:rsidP="00DD771A">
            <w:pPr>
              <w:spacing w:after="0" w:line="240" w:lineRule="auto"/>
              <w:jc w:val="center"/>
              <w:rPr>
                <w:rFonts w:cs="Arial"/>
                <w:sz w:val="16"/>
                <w:szCs w:val="16"/>
                <w:highlight w:val="yellow"/>
              </w:rPr>
            </w:pPr>
          </w:p>
        </w:tc>
      </w:tr>
      <w:tr w:rsidR="00DD771A" w:rsidRPr="00166BEB" w14:paraId="53E5EFC4" w14:textId="77777777" w:rsidTr="00DD771A">
        <w:trPr>
          <w:trHeight w:val="300"/>
        </w:trPr>
        <w:tc>
          <w:tcPr>
            <w:tcW w:w="1380" w:type="dxa"/>
            <w:tcBorders>
              <w:top w:val="nil"/>
              <w:left w:val="nil"/>
              <w:bottom w:val="nil"/>
              <w:right w:val="nil"/>
            </w:tcBorders>
            <w:shd w:val="clear" w:color="auto" w:fill="auto"/>
            <w:noWrap/>
            <w:vAlign w:val="center"/>
            <w:hideMark/>
          </w:tcPr>
          <w:p w14:paraId="5CFBE3FB"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Slovinsko</w:t>
            </w:r>
          </w:p>
        </w:tc>
        <w:tc>
          <w:tcPr>
            <w:tcW w:w="765" w:type="dxa"/>
            <w:tcBorders>
              <w:top w:val="nil"/>
              <w:left w:val="single" w:sz="4" w:space="0" w:color="000000"/>
              <w:bottom w:val="nil"/>
              <w:right w:val="single" w:sz="4" w:space="0" w:color="auto"/>
            </w:tcBorders>
            <w:shd w:val="clear" w:color="auto" w:fill="auto"/>
            <w:noWrap/>
            <w:vAlign w:val="center"/>
            <w:hideMark/>
          </w:tcPr>
          <w:p w14:paraId="4665FEF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4,2</w:t>
            </w:r>
          </w:p>
        </w:tc>
        <w:tc>
          <w:tcPr>
            <w:tcW w:w="765" w:type="dxa"/>
            <w:tcBorders>
              <w:top w:val="nil"/>
              <w:left w:val="single" w:sz="4" w:space="0" w:color="auto"/>
              <w:bottom w:val="nil"/>
              <w:right w:val="single" w:sz="4" w:space="0" w:color="auto"/>
            </w:tcBorders>
            <w:shd w:val="clear" w:color="auto" w:fill="auto"/>
            <w:noWrap/>
            <w:vAlign w:val="center"/>
            <w:hideMark/>
          </w:tcPr>
          <w:p w14:paraId="51F2D0A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3,2</w:t>
            </w:r>
          </w:p>
        </w:tc>
        <w:tc>
          <w:tcPr>
            <w:tcW w:w="765" w:type="dxa"/>
            <w:tcBorders>
              <w:top w:val="nil"/>
              <w:left w:val="single" w:sz="4" w:space="0" w:color="auto"/>
              <w:bottom w:val="nil"/>
              <w:right w:val="single" w:sz="4" w:space="0" w:color="auto"/>
            </w:tcBorders>
            <w:shd w:val="clear" w:color="auto" w:fill="auto"/>
            <w:noWrap/>
            <w:vAlign w:val="center"/>
            <w:hideMark/>
          </w:tcPr>
          <w:p w14:paraId="6B3A58D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3,0</w:t>
            </w:r>
          </w:p>
        </w:tc>
        <w:tc>
          <w:tcPr>
            <w:tcW w:w="765" w:type="dxa"/>
            <w:tcBorders>
              <w:top w:val="nil"/>
              <w:left w:val="single" w:sz="4" w:space="0" w:color="auto"/>
              <w:bottom w:val="nil"/>
              <w:right w:val="single" w:sz="4" w:space="0" w:color="auto"/>
            </w:tcBorders>
            <w:shd w:val="clear" w:color="auto" w:fill="auto"/>
            <w:noWrap/>
            <w:vAlign w:val="center"/>
            <w:hideMark/>
          </w:tcPr>
          <w:p w14:paraId="38705F8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4,0</w:t>
            </w:r>
          </w:p>
        </w:tc>
        <w:tc>
          <w:tcPr>
            <w:tcW w:w="765" w:type="dxa"/>
            <w:tcBorders>
              <w:top w:val="nil"/>
              <w:left w:val="single" w:sz="4" w:space="0" w:color="auto"/>
              <w:bottom w:val="nil"/>
              <w:right w:val="single" w:sz="4" w:space="0" w:color="auto"/>
            </w:tcBorders>
            <w:shd w:val="clear" w:color="auto" w:fill="auto"/>
            <w:noWrap/>
            <w:vAlign w:val="center"/>
            <w:hideMark/>
          </w:tcPr>
          <w:p w14:paraId="4A0E2D2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3,6</w:t>
            </w:r>
          </w:p>
        </w:tc>
        <w:tc>
          <w:tcPr>
            <w:tcW w:w="765" w:type="dxa"/>
            <w:tcBorders>
              <w:top w:val="nil"/>
              <w:left w:val="single" w:sz="4" w:space="0" w:color="auto"/>
              <w:bottom w:val="nil"/>
              <w:right w:val="single" w:sz="4" w:space="0" w:color="auto"/>
            </w:tcBorders>
            <w:shd w:val="clear" w:color="auto" w:fill="auto"/>
            <w:noWrap/>
            <w:vAlign w:val="center"/>
            <w:hideMark/>
          </w:tcPr>
          <w:p w14:paraId="1CE68929"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2,2</w:t>
            </w:r>
          </w:p>
        </w:tc>
        <w:tc>
          <w:tcPr>
            <w:tcW w:w="765" w:type="dxa"/>
            <w:tcBorders>
              <w:top w:val="nil"/>
              <w:left w:val="single" w:sz="4" w:space="0" w:color="auto"/>
              <w:bottom w:val="nil"/>
              <w:right w:val="single" w:sz="4" w:space="0" w:color="auto"/>
            </w:tcBorders>
            <w:shd w:val="clear" w:color="auto" w:fill="auto"/>
            <w:noWrap/>
            <w:vAlign w:val="center"/>
            <w:hideMark/>
          </w:tcPr>
          <w:p w14:paraId="53289D8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2,8</w:t>
            </w:r>
          </w:p>
        </w:tc>
        <w:tc>
          <w:tcPr>
            <w:tcW w:w="765" w:type="dxa"/>
            <w:tcBorders>
              <w:top w:val="nil"/>
              <w:left w:val="single" w:sz="4" w:space="0" w:color="auto"/>
              <w:bottom w:val="nil"/>
              <w:right w:val="single" w:sz="4" w:space="0" w:color="auto"/>
            </w:tcBorders>
            <w:shd w:val="clear" w:color="auto" w:fill="auto"/>
            <w:noWrap/>
            <w:vAlign w:val="center"/>
            <w:hideMark/>
          </w:tcPr>
          <w:p w14:paraId="582FD6E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2,1</w:t>
            </w:r>
          </w:p>
        </w:tc>
        <w:tc>
          <w:tcPr>
            <w:tcW w:w="765" w:type="dxa"/>
            <w:tcBorders>
              <w:top w:val="nil"/>
              <w:left w:val="single" w:sz="4" w:space="0" w:color="auto"/>
              <w:bottom w:val="nil"/>
              <w:right w:val="single" w:sz="4" w:space="0" w:color="auto"/>
            </w:tcBorders>
            <w:shd w:val="clear" w:color="auto" w:fill="auto"/>
            <w:noWrap/>
            <w:vAlign w:val="center"/>
            <w:hideMark/>
          </w:tcPr>
          <w:p w14:paraId="3E55133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765" w:type="dxa"/>
            <w:tcBorders>
              <w:top w:val="nil"/>
              <w:left w:val="single" w:sz="4" w:space="0" w:color="auto"/>
              <w:bottom w:val="nil"/>
              <w:right w:val="single" w:sz="4" w:space="0" w:color="auto"/>
            </w:tcBorders>
            <w:shd w:val="clear" w:color="auto" w:fill="D9D9D9"/>
            <w:vAlign w:val="center"/>
          </w:tcPr>
          <w:p w14:paraId="60D026D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2,3</w:t>
            </w:r>
          </w:p>
        </w:tc>
        <w:tc>
          <w:tcPr>
            <w:tcW w:w="765" w:type="dxa"/>
            <w:tcBorders>
              <w:top w:val="nil"/>
              <w:left w:val="single" w:sz="4" w:space="0" w:color="auto"/>
              <w:bottom w:val="nil"/>
              <w:right w:val="nil"/>
            </w:tcBorders>
            <w:vAlign w:val="center"/>
          </w:tcPr>
          <w:p w14:paraId="1DC4DE31" w14:textId="20B7B130" w:rsidR="00DD771A" w:rsidRPr="00166BEB" w:rsidRDefault="00DD771A" w:rsidP="00DD771A">
            <w:pPr>
              <w:spacing w:after="0" w:line="240" w:lineRule="auto"/>
              <w:jc w:val="center"/>
              <w:rPr>
                <w:rFonts w:cs="Arial"/>
                <w:sz w:val="16"/>
                <w:szCs w:val="16"/>
                <w:highlight w:val="yellow"/>
              </w:rPr>
            </w:pPr>
            <w:r>
              <w:rPr>
                <w:rFonts w:cs="Arial"/>
                <w:sz w:val="16"/>
                <w:szCs w:val="16"/>
              </w:rPr>
              <w:t>1,9</w:t>
            </w:r>
          </w:p>
        </w:tc>
        <w:tc>
          <w:tcPr>
            <w:tcW w:w="160" w:type="dxa"/>
            <w:tcBorders>
              <w:top w:val="nil"/>
              <w:left w:val="nil"/>
              <w:bottom w:val="nil"/>
              <w:right w:val="nil"/>
            </w:tcBorders>
          </w:tcPr>
          <w:p w14:paraId="2C6FB0FF" w14:textId="0D916463" w:rsidR="00DD771A" w:rsidRPr="00166BEB" w:rsidRDefault="00DD771A" w:rsidP="00DD771A">
            <w:pPr>
              <w:spacing w:after="0" w:line="240" w:lineRule="auto"/>
              <w:jc w:val="center"/>
              <w:rPr>
                <w:rFonts w:cs="Arial"/>
                <w:sz w:val="16"/>
                <w:szCs w:val="16"/>
                <w:highlight w:val="yellow"/>
              </w:rPr>
            </w:pPr>
          </w:p>
        </w:tc>
      </w:tr>
      <w:tr w:rsidR="00DD771A" w:rsidRPr="00166BEB" w14:paraId="53E17F26" w14:textId="77777777" w:rsidTr="00DD771A">
        <w:trPr>
          <w:trHeight w:val="300"/>
        </w:trPr>
        <w:tc>
          <w:tcPr>
            <w:tcW w:w="1380" w:type="dxa"/>
            <w:tcBorders>
              <w:top w:val="nil"/>
              <w:left w:val="nil"/>
              <w:bottom w:val="nil"/>
              <w:right w:val="nil"/>
            </w:tcBorders>
            <w:shd w:val="clear" w:color="auto" w:fill="auto"/>
            <w:noWrap/>
            <w:vAlign w:val="center"/>
            <w:hideMark/>
          </w:tcPr>
          <w:p w14:paraId="372C16D5"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Španělsko</w:t>
            </w:r>
          </w:p>
        </w:tc>
        <w:tc>
          <w:tcPr>
            <w:tcW w:w="765" w:type="dxa"/>
            <w:tcBorders>
              <w:top w:val="nil"/>
              <w:left w:val="single" w:sz="4" w:space="0" w:color="000000"/>
              <w:bottom w:val="nil"/>
              <w:right w:val="single" w:sz="4" w:space="0" w:color="auto"/>
            </w:tcBorders>
            <w:shd w:val="clear" w:color="000000" w:fill="DBDBDB"/>
            <w:noWrap/>
            <w:vAlign w:val="center"/>
            <w:hideMark/>
          </w:tcPr>
          <w:p w14:paraId="3174C10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3,3</w:t>
            </w:r>
          </w:p>
        </w:tc>
        <w:tc>
          <w:tcPr>
            <w:tcW w:w="765" w:type="dxa"/>
            <w:tcBorders>
              <w:top w:val="nil"/>
              <w:left w:val="single" w:sz="4" w:space="0" w:color="auto"/>
              <w:bottom w:val="nil"/>
              <w:right w:val="single" w:sz="4" w:space="0" w:color="auto"/>
            </w:tcBorders>
            <w:shd w:val="clear" w:color="auto" w:fill="auto"/>
            <w:noWrap/>
            <w:vAlign w:val="center"/>
            <w:hideMark/>
          </w:tcPr>
          <w:p w14:paraId="671EB0C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3,0</w:t>
            </w:r>
          </w:p>
        </w:tc>
        <w:tc>
          <w:tcPr>
            <w:tcW w:w="765" w:type="dxa"/>
            <w:tcBorders>
              <w:top w:val="nil"/>
              <w:left w:val="single" w:sz="4" w:space="0" w:color="auto"/>
              <w:bottom w:val="nil"/>
              <w:right w:val="single" w:sz="4" w:space="0" w:color="auto"/>
            </w:tcBorders>
            <w:shd w:val="clear" w:color="auto" w:fill="auto"/>
            <w:noWrap/>
            <w:vAlign w:val="center"/>
            <w:hideMark/>
          </w:tcPr>
          <w:p w14:paraId="1F702D04"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2,7</w:t>
            </w:r>
          </w:p>
        </w:tc>
        <w:tc>
          <w:tcPr>
            <w:tcW w:w="765" w:type="dxa"/>
            <w:tcBorders>
              <w:top w:val="nil"/>
              <w:left w:val="single" w:sz="4" w:space="0" w:color="auto"/>
              <w:bottom w:val="nil"/>
              <w:right w:val="single" w:sz="4" w:space="0" w:color="auto"/>
            </w:tcBorders>
            <w:shd w:val="clear" w:color="auto" w:fill="auto"/>
            <w:noWrap/>
            <w:vAlign w:val="center"/>
            <w:hideMark/>
          </w:tcPr>
          <w:p w14:paraId="2D7BB5D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3,1</w:t>
            </w:r>
          </w:p>
        </w:tc>
        <w:tc>
          <w:tcPr>
            <w:tcW w:w="765" w:type="dxa"/>
            <w:tcBorders>
              <w:top w:val="nil"/>
              <w:left w:val="single" w:sz="4" w:space="0" w:color="auto"/>
              <w:bottom w:val="nil"/>
              <w:right w:val="single" w:sz="4" w:space="0" w:color="auto"/>
            </w:tcBorders>
            <w:shd w:val="clear" w:color="auto" w:fill="auto"/>
            <w:noWrap/>
            <w:vAlign w:val="center"/>
            <w:hideMark/>
          </w:tcPr>
          <w:p w14:paraId="7DFAD1B6"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3,5</w:t>
            </w:r>
          </w:p>
        </w:tc>
        <w:tc>
          <w:tcPr>
            <w:tcW w:w="765" w:type="dxa"/>
            <w:tcBorders>
              <w:top w:val="nil"/>
              <w:left w:val="single" w:sz="4" w:space="0" w:color="auto"/>
              <w:bottom w:val="nil"/>
              <w:right w:val="single" w:sz="4" w:space="0" w:color="auto"/>
            </w:tcBorders>
            <w:shd w:val="clear" w:color="auto" w:fill="auto"/>
            <w:noWrap/>
            <w:vAlign w:val="center"/>
            <w:hideMark/>
          </w:tcPr>
          <w:p w14:paraId="1A4C3B9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2,9</w:t>
            </w:r>
          </w:p>
        </w:tc>
        <w:tc>
          <w:tcPr>
            <w:tcW w:w="765" w:type="dxa"/>
            <w:tcBorders>
              <w:top w:val="nil"/>
              <w:left w:val="single" w:sz="4" w:space="0" w:color="auto"/>
              <w:bottom w:val="nil"/>
              <w:right w:val="single" w:sz="4" w:space="0" w:color="auto"/>
            </w:tcBorders>
            <w:shd w:val="clear" w:color="auto" w:fill="auto"/>
            <w:noWrap/>
            <w:vAlign w:val="center"/>
            <w:hideMark/>
          </w:tcPr>
          <w:p w14:paraId="7995D44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2,9</w:t>
            </w:r>
          </w:p>
        </w:tc>
        <w:tc>
          <w:tcPr>
            <w:tcW w:w="765" w:type="dxa"/>
            <w:tcBorders>
              <w:top w:val="nil"/>
              <w:left w:val="single" w:sz="4" w:space="0" w:color="auto"/>
              <w:bottom w:val="nil"/>
              <w:right w:val="single" w:sz="4" w:space="0" w:color="auto"/>
            </w:tcBorders>
            <w:shd w:val="clear" w:color="auto" w:fill="auto"/>
            <w:noWrap/>
            <w:vAlign w:val="center"/>
            <w:hideMark/>
          </w:tcPr>
          <w:p w14:paraId="03FEC21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2,8</w:t>
            </w:r>
          </w:p>
        </w:tc>
        <w:tc>
          <w:tcPr>
            <w:tcW w:w="765" w:type="dxa"/>
            <w:tcBorders>
              <w:top w:val="nil"/>
              <w:left w:val="single" w:sz="4" w:space="0" w:color="auto"/>
              <w:bottom w:val="nil"/>
              <w:right w:val="single" w:sz="4" w:space="0" w:color="auto"/>
            </w:tcBorders>
            <w:shd w:val="clear" w:color="auto" w:fill="auto"/>
            <w:noWrap/>
            <w:vAlign w:val="center"/>
            <w:hideMark/>
          </w:tcPr>
          <w:p w14:paraId="5F692C6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3,3</w:t>
            </w:r>
          </w:p>
        </w:tc>
        <w:tc>
          <w:tcPr>
            <w:tcW w:w="765" w:type="dxa"/>
            <w:tcBorders>
              <w:top w:val="nil"/>
              <w:left w:val="single" w:sz="4" w:space="0" w:color="auto"/>
              <w:bottom w:val="nil"/>
              <w:right w:val="single" w:sz="4" w:space="0" w:color="auto"/>
            </w:tcBorders>
            <w:shd w:val="clear" w:color="auto" w:fill="D9D9D9"/>
            <w:vAlign w:val="center"/>
          </w:tcPr>
          <w:p w14:paraId="60D90D6F"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2,8</w:t>
            </w:r>
          </w:p>
        </w:tc>
        <w:tc>
          <w:tcPr>
            <w:tcW w:w="765" w:type="dxa"/>
            <w:tcBorders>
              <w:top w:val="nil"/>
              <w:left w:val="single" w:sz="4" w:space="0" w:color="auto"/>
              <w:bottom w:val="nil"/>
              <w:right w:val="nil"/>
            </w:tcBorders>
            <w:vAlign w:val="center"/>
          </w:tcPr>
          <w:p w14:paraId="47F1FA81" w14:textId="42154180" w:rsidR="00DD771A" w:rsidRPr="00166BEB" w:rsidRDefault="00DD771A" w:rsidP="00DD771A">
            <w:pPr>
              <w:spacing w:after="0" w:line="240" w:lineRule="auto"/>
              <w:jc w:val="center"/>
              <w:rPr>
                <w:rFonts w:cs="Arial"/>
                <w:sz w:val="16"/>
                <w:szCs w:val="16"/>
                <w:highlight w:val="yellow"/>
              </w:rPr>
            </w:pPr>
            <w:r>
              <w:rPr>
                <w:rFonts w:cs="Arial"/>
                <w:sz w:val="16"/>
                <w:szCs w:val="16"/>
              </w:rPr>
              <w:t>2,5</w:t>
            </w:r>
          </w:p>
        </w:tc>
        <w:tc>
          <w:tcPr>
            <w:tcW w:w="160" w:type="dxa"/>
            <w:tcBorders>
              <w:top w:val="nil"/>
              <w:left w:val="nil"/>
              <w:bottom w:val="nil"/>
              <w:right w:val="nil"/>
            </w:tcBorders>
          </w:tcPr>
          <w:p w14:paraId="01E54700" w14:textId="248CC86E" w:rsidR="00DD771A" w:rsidRPr="00166BEB" w:rsidRDefault="00DD771A" w:rsidP="00DD771A">
            <w:pPr>
              <w:spacing w:after="0" w:line="240" w:lineRule="auto"/>
              <w:jc w:val="center"/>
              <w:rPr>
                <w:rFonts w:cs="Arial"/>
                <w:sz w:val="16"/>
                <w:szCs w:val="16"/>
                <w:highlight w:val="yellow"/>
              </w:rPr>
            </w:pPr>
          </w:p>
        </w:tc>
      </w:tr>
      <w:tr w:rsidR="00DD771A" w:rsidRPr="00166BEB" w14:paraId="71C1BAE4" w14:textId="77777777" w:rsidTr="00DD771A">
        <w:trPr>
          <w:trHeight w:val="300"/>
        </w:trPr>
        <w:tc>
          <w:tcPr>
            <w:tcW w:w="1380" w:type="dxa"/>
            <w:tcBorders>
              <w:top w:val="nil"/>
              <w:left w:val="nil"/>
              <w:bottom w:val="nil"/>
              <w:right w:val="nil"/>
            </w:tcBorders>
            <w:shd w:val="clear" w:color="auto" w:fill="auto"/>
            <w:noWrap/>
            <w:vAlign w:val="center"/>
            <w:hideMark/>
          </w:tcPr>
          <w:p w14:paraId="0CD7BED6" w14:textId="77777777" w:rsidR="00DD771A" w:rsidRPr="00166BEB" w:rsidRDefault="00DD771A" w:rsidP="00DD771A">
            <w:pPr>
              <w:spacing w:after="0" w:line="240" w:lineRule="auto"/>
              <w:ind w:firstLineChars="100" w:firstLine="160"/>
              <w:rPr>
                <w:rFonts w:cs="Arial"/>
                <w:sz w:val="16"/>
                <w:szCs w:val="16"/>
                <w:highlight w:val="yellow"/>
              </w:rPr>
            </w:pPr>
            <w:r>
              <w:rPr>
                <w:rFonts w:cs="Arial"/>
                <w:sz w:val="16"/>
                <w:szCs w:val="16"/>
              </w:rPr>
              <w:t>Švédsko</w:t>
            </w:r>
          </w:p>
        </w:tc>
        <w:tc>
          <w:tcPr>
            <w:tcW w:w="765" w:type="dxa"/>
            <w:tcBorders>
              <w:top w:val="nil"/>
              <w:left w:val="single" w:sz="4" w:space="0" w:color="000000"/>
              <w:bottom w:val="nil"/>
              <w:right w:val="single" w:sz="4" w:space="0" w:color="auto"/>
            </w:tcBorders>
            <w:shd w:val="clear" w:color="auto" w:fill="auto"/>
            <w:noWrap/>
            <w:vAlign w:val="center"/>
            <w:hideMark/>
          </w:tcPr>
          <w:p w14:paraId="4BC0BCA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2,3</w:t>
            </w:r>
          </w:p>
        </w:tc>
        <w:tc>
          <w:tcPr>
            <w:tcW w:w="765" w:type="dxa"/>
            <w:tcBorders>
              <w:top w:val="nil"/>
              <w:left w:val="single" w:sz="4" w:space="0" w:color="auto"/>
              <w:bottom w:val="nil"/>
              <w:right w:val="single" w:sz="4" w:space="0" w:color="auto"/>
            </w:tcBorders>
            <w:shd w:val="clear" w:color="auto" w:fill="auto"/>
            <w:noWrap/>
            <w:vAlign w:val="center"/>
            <w:hideMark/>
          </w:tcPr>
          <w:p w14:paraId="3C134E1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1,4</w:t>
            </w:r>
          </w:p>
        </w:tc>
        <w:tc>
          <w:tcPr>
            <w:tcW w:w="765" w:type="dxa"/>
            <w:tcBorders>
              <w:top w:val="nil"/>
              <w:left w:val="single" w:sz="4" w:space="0" w:color="auto"/>
              <w:bottom w:val="nil"/>
              <w:right w:val="single" w:sz="4" w:space="0" w:color="auto"/>
            </w:tcBorders>
            <w:shd w:val="clear" w:color="auto" w:fill="auto"/>
            <w:noWrap/>
            <w:vAlign w:val="center"/>
            <w:hideMark/>
          </w:tcPr>
          <w:p w14:paraId="4BA8350E"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1,2</w:t>
            </w:r>
          </w:p>
        </w:tc>
        <w:tc>
          <w:tcPr>
            <w:tcW w:w="765" w:type="dxa"/>
            <w:tcBorders>
              <w:top w:val="nil"/>
              <w:left w:val="single" w:sz="4" w:space="0" w:color="auto"/>
              <w:bottom w:val="nil"/>
              <w:right w:val="single" w:sz="4" w:space="0" w:color="auto"/>
            </w:tcBorders>
            <w:shd w:val="clear" w:color="auto" w:fill="auto"/>
            <w:noWrap/>
            <w:vAlign w:val="center"/>
            <w:hideMark/>
          </w:tcPr>
          <w:p w14:paraId="0F082C5C"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1,5</w:t>
            </w:r>
          </w:p>
        </w:tc>
        <w:tc>
          <w:tcPr>
            <w:tcW w:w="765" w:type="dxa"/>
            <w:tcBorders>
              <w:top w:val="nil"/>
              <w:left w:val="single" w:sz="4" w:space="0" w:color="auto"/>
              <w:bottom w:val="nil"/>
              <w:right w:val="single" w:sz="4" w:space="0" w:color="auto"/>
            </w:tcBorders>
            <w:shd w:val="clear" w:color="auto" w:fill="auto"/>
            <w:noWrap/>
            <w:vAlign w:val="center"/>
            <w:hideMark/>
          </w:tcPr>
          <w:p w14:paraId="479A89D5"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1,2</w:t>
            </w:r>
          </w:p>
        </w:tc>
        <w:tc>
          <w:tcPr>
            <w:tcW w:w="765" w:type="dxa"/>
            <w:tcBorders>
              <w:top w:val="nil"/>
              <w:left w:val="single" w:sz="4" w:space="0" w:color="auto"/>
              <w:bottom w:val="nil"/>
              <w:right w:val="single" w:sz="4" w:space="0" w:color="auto"/>
            </w:tcBorders>
            <w:shd w:val="clear" w:color="auto" w:fill="auto"/>
            <w:noWrap/>
            <w:vAlign w:val="center"/>
            <w:hideMark/>
          </w:tcPr>
          <w:p w14:paraId="0EA68401"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1,2</w:t>
            </w:r>
          </w:p>
        </w:tc>
        <w:tc>
          <w:tcPr>
            <w:tcW w:w="765" w:type="dxa"/>
            <w:tcBorders>
              <w:top w:val="nil"/>
              <w:left w:val="single" w:sz="4" w:space="0" w:color="auto"/>
              <w:bottom w:val="nil"/>
              <w:right w:val="single" w:sz="4" w:space="0" w:color="auto"/>
            </w:tcBorders>
            <w:shd w:val="clear" w:color="auto" w:fill="auto"/>
            <w:noWrap/>
            <w:vAlign w:val="center"/>
            <w:hideMark/>
          </w:tcPr>
          <w:p w14:paraId="2522C2C0"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1,7</w:t>
            </w:r>
          </w:p>
        </w:tc>
        <w:tc>
          <w:tcPr>
            <w:tcW w:w="765" w:type="dxa"/>
            <w:tcBorders>
              <w:top w:val="nil"/>
              <w:left w:val="single" w:sz="4" w:space="0" w:color="auto"/>
              <w:bottom w:val="nil"/>
              <w:right w:val="single" w:sz="4" w:space="0" w:color="auto"/>
            </w:tcBorders>
            <w:shd w:val="clear" w:color="auto" w:fill="auto"/>
            <w:noWrap/>
            <w:vAlign w:val="center"/>
            <w:hideMark/>
          </w:tcPr>
          <w:p w14:paraId="419615E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1,7</w:t>
            </w:r>
          </w:p>
        </w:tc>
        <w:tc>
          <w:tcPr>
            <w:tcW w:w="765" w:type="dxa"/>
            <w:tcBorders>
              <w:top w:val="nil"/>
              <w:left w:val="single" w:sz="4" w:space="0" w:color="auto"/>
              <w:bottom w:val="nil"/>
              <w:right w:val="single" w:sz="4" w:space="0" w:color="auto"/>
            </w:tcBorders>
            <w:shd w:val="clear" w:color="auto" w:fill="auto"/>
            <w:noWrap/>
            <w:vAlign w:val="center"/>
            <w:hideMark/>
          </w:tcPr>
          <w:p w14:paraId="35D3ADDD"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1,1</w:t>
            </w:r>
          </w:p>
        </w:tc>
        <w:tc>
          <w:tcPr>
            <w:tcW w:w="765" w:type="dxa"/>
            <w:tcBorders>
              <w:top w:val="nil"/>
              <w:left w:val="single" w:sz="4" w:space="0" w:color="auto"/>
              <w:bottom w:val="nil"/>
              <w:right w:val="single" w:sz="4" w:space="0" w:color="auto"/>
            </w:tcBorders>
            <w:shd w:val="clear" w:color="auto" w:fill="D9D9D9"/>
            <w:vAlign w:val="center"/>
          </w:tcPr>
          <w:p w14:paraId="14C1DACB" w14:textId="77777777" w:rsidR="00DD771A" w:rsidRPr="00166BEB" w:rsidRDefault="00DD771A" w:rsidP="00DD771A">
            <w:pPr>
              <w:spacing w:after="0" w:line="240" w:lineRule="auto"/>
              <w:jc w:val="center"/>
              <w:rPr>
                <w:rFonts w:cs="Arial"/>
                <w:sz w:val="16"/>
                <w:szCs w:val="16"/>
                <w:highlight w:val="yellow"/>
              </w:rPr>
            </w:pPr>
            <w:r>
              <w:rPr>
                <w:rFonts w:cs="Arial"/>
                <w:sz w:val="16"/>
                <w:szCs w:val="16"/>
              </w:rPr>
              <w:t>0,8</w:t>
            </w:r>
          </w:p>
        </w:tc>
        <w:tc>
          <w:tcPr>
            <w:tcW w:w="765" w:type="dxa"/>
            <w:tcBorders>
              <w:top w:val="nil"/>
              <w:left w:val="single" w:sz="4" w:space="0" w:color="auto"/>
              <w:bottom w:val="nil"/>
              <w:right w:val="nil"/>
            </w:tcBorders>
            <w:vAlign w:val="center"/>
          </w:tcPr>
          <w:p w14:paraId="640DF8A4" w14:textId="447E94C8" w:rsidR="00DD771A" w:rsidRPr="00166BEB" w:rsidRDefault="00DD771A" w:rsidP="00DD771A">
            <w:pPr>
              <w:spacing w:after="0" w:line="240" w:lineRule="auto"/>
              <w:jc w:val="center"/>
              <w:rPr>
                <w:rFonts w:cs="Arial"/>
                <w:sz w:val="16"/>
                <w:szCs w:val="16"/>
                <w:highlight w:val="yellow"/>
              </w:rPr>
            </w:pPr>
            <w:r>
              <w:rPr>
                <w:rFonts w:cs="Arial"/>
                <w:sz w:val="16"/>
                <w:szCs w:val="16"/>
              </w:rPr>
              <w:t>1,1</w:t>
            </w:r>
          </w:p>
        </w:tc>
        <w:tc>
          <w:tcPr>
            <w:tcW w:w="160" w:type="dxa"/>
            <w:tcBorders>
              <w:top w:val="nil"/>
              <w:left w:val="nil"/>
              <w:bottom w:val="nil"/>
              <w:right w:val="nil"/>
            </w:tcBorders>
          </w:tcPr>
          <w:p w14:paraId="6BF3599D" w14:textId="2923F8D6" w:rsidR="00DD771A" w:rsidRPr="00166BEB" w:rsidRDefault="00DD771A" w:rsidP="00DD771A">
            <w:pPr>
              <w:spacing w:after="0" w:line="240" w:lineRule="auto"/>
              <w:jc w:val="center"/>
              <w:rPr>
                <w:rFonts w:cs="Arial"/>
                <w:sz w:val="16"/>
                <w:szCs w:val="16"/>
                <w:highlight w:val="yellow"/>
              </w:rPr>
            </w:pPr>
          </w:p>
        </w:tc>
      </w:tr>
    </w:tbl>
    <w:p w14:paraId="302BBB88" w14:textId="77777777" w:rsidR="00B33613" w:rsidRPr="00166BEB" w:rsidRDefault="00B33613" w:rsidP="00B33613">
      <w:pPr>
        <w:rPr>
          <w:highlight w:val="yellow"/>
        </w:rPr>
      </w:pPr>
    </w:p>
    <w:p w14:paraId="18C6303E" w14:textId="77777777" w:rsidR="00B33613" w:rsidRPr="00355A4B" w:rsidRDefault="00B33613" w:rsidP="00B33613">
      <w:pPr>
        <w:spacing w:after="0" w:line="240" w:lineRule="auto"/>
        <w:rPr>
          <w:rFonts w:cs="Arial"/>
          <w:sz w:val="16"/>
          <w:szCs w:val="16"/>
        </w:rPr>
      </w:pPr>
      <w:r w:rsidRPr="00355A4B">
        <w:rPr>
          <w:rFonts w:cs="Arial"/>
          <w:sz w:val="16"/>
          <w:szCs w:val="16"/>
          <w:highlight w:val="lightGray"/>
        </w:rPr>
        <w:t>Přerušení v časové řadě</w:t>
      </w:r>
    </w:p>
    <w:p w14:paraId="7DDA8330" w14:textId="0A4A1110" w:rsidR="00434CAA" w:rsidRDefault="00B33613" w:rsidP="00434CAA">
      <w:pPr>
        <w:spacing w:after="120"/>
        <w:jc w:val="both"/>
        <w:rPr>
          <w:sz w:val="16"/>
        </w:rPr>
      </w:pPr>
      <w:r w:rsidRPr="00355A4B">
        <w:rPr>
          <w:sz w:val="16"/>
        </w:rPr>
        <w:t>Zdroj: Eurostat (ESAW)</w:t>
      </w:r>
    </w:p>
    <w:p w14:paraId="567D4803" w14:textId="77777777" w:rsidR="00434CAA" w:rsidRDefault="00434CAA">
      <w:pPr>
        <w:spacing w:after="0" w:line="240" w:lineRule="auto"/>
        <w:rPr>
          <w:sz w:val="16"/>
        </w:rPr>
      </w:pPr>
      <w:r>
        <w:rPr>
          <w:sz w:val="16"/>
        </w:rPr>
        <w:br w:type="page"/>
      </w:r>
    </w:p>
    <w:p w14:paraId="7467A407" w14:textId="4FA47E37" w:rsidR="00B11FB3" w:rsidRDefault="00434CAA" w:rsidP="00434CAA">
      <w:pPr>
        <w:pStyle w:val="Nadpis3"/>
        <w:numPr>
          <w:ilvl w:val="1"/>
          <w:numId w:val="32"/>
        </w:numPr>
        <w:spacing w:after="100"/>
        <w:ind w:left="284" w:hanging="284"/>
      </w:pPr>
      <w:bookmarkStart w:id="26" w:name="_Toc54262807"/>
      <w:bookmarkStart w:id="27" w:name="_Toc149295408"/>
      <w:bookmarkStart w:id="28" w:name="_Toc167965232"/>
      <w:r w:rsidRPr="00953F3B">
        <w:lastRenderedPageBreak/>
        <w:t>Závěrečné shrnutí</w:t>
      </w:r>
      <w:bookmarkEnd w:id="26"/>
      <w:bookmarkEnd w:id="27"/>
      <w:bookmarkEnd w:id="28"/>
    </w:p>
    <w:p w14:paraId="05C6BBFF" w14:textId="7399F9F8" w:rsidR="0021008E" w:rsidRPr="00251BF8" w:rsidRDefault="0021008E" w:rsidP="0021008E">
      <w:pPr>
        <w:pStyle w:val="Odstavecseseznamem"/>
        <w:numPr>
          <w:ilvl w:val="0"/>
          <w:numId w:val="32"/>
        </w:numPr>
        <w:spacing w:after="120"/>
        <w:contextualSpacing w:val="0"/>
        <w:jc w:val="both"/>
      </w:pPr>
      <w:r w:rsidRPr="00251BF8">
        <w:t>V roce 2023 bylo v Česku</w:t>
      </w:r>
      <w:r w:rsidRPr="00251BF8">
        <w:rPr>
          <w:b/>
        </w:rPr>
        <w:t xml:space="preserve"> nemocensky pojištěno </w:t>
      </w:r>
      <w:r w:rsidRPr="00251BF8">
        <w:t>celkem</w:t>
      </w:r>
      <w:r w:rsidRPr="00251BF8">
        <w:rPr>
          <w:b/>
        </w:rPr>
        <w:t xml:space="preserve"> 4 767 tis.</w:t>
      </w:r>
      <w:r w:rsidRPr="00251BF8">
        <w:t xml:space="preserve"> </w:t>
      </w:r>
      <w:r w:rsidRPr="00251BF8">
        <w:rPr>
          <w:b/>
        </w:rPr>
        <w:t>osob</w:t>
      </w:r>
      <w:r w:rsidRPr="00251BF8">
        <w:t xml:space="preserve">, tedy o 19 tis. </w:t>
      </w:r>
      <w:r w:rsidR="00492878" w:rsidRPr="00251BF8">
        <w:t xml:space="preserve">(0,4 %) </w:t>
      </w:r>
      <w:r w:rsidRPr="00251BF8">
        <w:t>více</w:t>
      </w:r>
      <w:r w:rsidRPr="00251BF8">
        <w:rPr>
          <w:szCs w:val="20"/>
        </w:rPr>
        <w:t xml:space="preserve"> než před rokem. Meziročně nejvýrazněji vzrostl počet pojištěných zaměstnanců v oblasti Zdravotní a</w:t>
      </w:r>
      <w:r w:rsidR="00492878" w:rsidRPr="00251BF8">
        <w:rPr>
          <w:szCs w:val="20"/>
        </w:rPr>
        <w:t> </w:t>
      </w:r>
      <w:r w:rsidRPr="00251BF8">
        <w:rPr>
          <w:szCs w:val="20"/>
        </w:rPr>
        <w:t>sociální péče (o 2</w:t>
      </w:r>
      <w:r w:rsidR="00492878" w:rsidRPr="00251BF8">
        <w:rPr>
          <w:szCs w:val="20"/>
        </w:rPr>
        <w:t>4</w:t>
      </w:r>
      <w:r w:rsidRPr="00251BF8">
        <w:rPr>
          <w:szCs w:val="20"/>
        </w:rPr>
        <w:t xml:space="preserve"> tis.; tj. 6 %), Administrativní a podpůrné činnosti (o 13 tis.; tj. 5 %) a Vzdělávání, kde se zvýšil počet pojištěnců o 1</w:t>
      </w:r>
      <w:r w:rsidR="00492878" w:rsidRPr="00251BF8">
        <w:rPr>
          <w:szCs w:val="20"/>
        </w:rPr>
        <w:t>1</w:t>
      </w:r>
      <w:r w:rsidRPr="00251BF8">
        <w:rPr>
          <w:szCs w:val="20"/>
        </w:rPr>
        <w:t xml:space="preserve"> tis.; resp. o 3 %.</w:t>
      </w:r>
    </w:p>
    <w:p w14:paraId="19A6661E" w14:textId="6CEB4807" w:rsidR="00492878" w:rsidRPr="00251BF8" w:rsidRDefault="00492878" w:rsidP="00492878">
      <w:pPr>
        <w:pStyle w:val="Odstavecseseznamem"/>
        <w:numPr>
          <w:ilvl w:val="0"/>
          <w:numId w:val="32"/>
        </w:numPr>
        <w:spacing w:after="120"/>
        <w:contextualSpacing w:val="0"/>
        <w:jc w:val="both"/>
      </w:pPr>
      <w:r w:rsidRPr="00251BF8">
        <w:t xml:space="preserve">Stejně jako loni (tehdy se tak stalo vůbec poprvé v desetileté historii) bylo mezi pojištěnci více žen (50,6 %) než mužů (49,4 %). V </w:t>
      </w:r>
      <w:r w:rsidR="001F5D31" w:rsidRPr="00251BF8">
        <w:t>roce</w:t>
      </w:r>
      <w:r w:rsidRPr="00251BF8">
        <w:t xml:space="preserve"> 2023 bylo nemocensky pojištěných 2 4</w:t>
      </w:r>
      <w:r w:rsidR="001F5D31" w:rsidRPr="00251BF8">
        <w:t>13</w:t>
      </w:r>
      <w:r w:rsidRPr="00251BF8">
        <w:t xml:space="preserve"> tis. žen a 2 3</w:t>
      </w:r>
      <w:r w:rsidR="001F5D31" w:rsidRPr="00251BF8">
        <w:t>54</w:t>
      </w:r>
      <w:r w:rsidRPr="00251BF8">
        <w:t xml:space="preserve"> tis. mužů. Meziročně vzrostl počet pojištěných žen o </w:t>
      </w:r>
      <w:r w:rsidR="001F5D31" w:rsidRPr="00251BF8">
        <w:t>24</w:t>
      </w:r>
      <w:r w:rsidRPr="00251BF8">
        <w:t xml:space="preserve"> t</w:t>
      </w:r>
      <w:r w:rsidR="001F5D31" w:rsidRPr="00251BF8">
        <w:t>is. (v relativním vyjádření o 1</w:t>
      </w:r>
      <w:r w:rsidRPr="00251BF8">
        <w:t xml:space="preserve"> %), zatímco počet mužů se o necel</w:t>
      </w:r>
      <w:r w:rsidR="001F5D31" w:rsidRPr="00251BF8">
        <w:t>ých</w:t>
      </w:r>
      <w:r w:rsidRPr="00251BF8">
        <w:t xml:space="preserve"> </w:t>
      </w:r>
      <w:r w:rsidR="001F5D31" w:rsidRPr="00251BF8">
        <w:t>5</w:t>
      </w:r>
      <w:r w:rsidRPr="00251BF8">
        <w:t> tis. (0,</w:t>
      </w:r>
      <w:r w:rsidR="001F5D31" w:rsidRPr="00251BF8">
        <w:t>2</w:t>
      </w:r>
      <w:r w:rsidRPr="00251BF8">
        <w:t xml:space="preserve"> %) snížil.</w:t>
      </w:r>
    </w:p>
    <w:p w14:paraId="2C755BDE" w14:textId="51574771" w:rsidR="001F5D31" w:rsidRPr="00251BF8" w:rsidRDefault="001F5D31" w:rsidP="001F5D31">
      <w:pPr>
        <w:pStyle w:val="Odstavecseseznamem"/>
        <w:numPr>
          <w:ilvl w:val="0"/>
          <w:numId w:val="32"/>
        </w:numPr>
        <w:spacing w:after="120"/>
        <w:contextualSpacing w:val="0"/>
        <w:jc w:val="both"/>
        <w:rPr>
          <w:i/>
        </w:rPr>
      </w:pPr>
      <w:r w:rsidRPr="00251BF8">
        <w:t xml:space="preserve">V roce 2023 bylo nahlášeno celkem </w:t>
      </w:r>
      <w:r w:rsidRPr="00251BF8">
        <w:rPr>
          <w:b/>
        </w:rPr>
        <w:t>2 535 tis.</w:t>
      </w:r>
      <w:r w:rsidRPr="00251BF8">
        <w:t xml:space="preserve"> </w:t>
      </w:r>
      <w:r w:rsidRPr="00251BF8">
        <w:rPr>
          <w:b/>
        </w:rPr>
        <w:t>případů dočasné pracovní neschopnosti</w:t>
      </w:r>
      <w:r w:rsidRPr="00251BF8">
        <w:t xml:space="preserve">. Ve srovnání s rokem 2019 (tedy obdobím před pandemií) přibylo 620 tis. případů. </w:t>
      </w:r>
      <w:r w:rsidRPr="00251BF8">
        <w:rPr>
          <w:b/>
        </w:rPr>
        <w:t xml:space="preserve">Ženy </w:t>
      </w:r>
      <w:r w:rsidRPr="00251BF8">
        <w:t xml:space="preserve">nahlásily </w:t>
      </w:r>
      <w:r w:rsidR="00B414B3" w:rsidRPr="00251BF8">
        <w:t xml:space="preserve">1 401 </w:t>
      </w:r>
      <w:r w:rsidRPr="00251BF8">
        <w:t xml:space="preserve">tis. neschopenek, zatímco </w:t>
      </w:r>
      <w:r w:rsidRPr="00251BF8">
        <w:rPr>
          <w:b/>
        </w:rPr>
        <w:t>muži</w:t>
      </w:r>
      <w:r w:rsidRPr="00251BF8">
        <w:t xml:space="preserve"> o </w:t>
      </w:r>
      <w:r w:rsidR="00B414B3" w:rsidRPr="00251BF8">
        <w:t xml:space="preserve">necelou </w:t>
      </w:r>
      <w:r w:rsidRPr="00251BF8">
        <w:t xml:space="preserve">čtvrtinu </w:t>
      </w:r>
      <w:r w:rsidRPr="00251BF8">
        <w:rPr>
          <w:b/>
        </w:rPr>
        <w:t>méně</w:t>
      </w:r>
      <w:r w:rsidRPr="00251BF8">
        <w:t xml:space="preserve">, a sice </w:t>
      </w:r>
      <w:r w:rsidR="00B414B3" w:rsidRPr="00251BF8">
        <w:t>1 134</w:t>
      </w:r>
      <w:r w:rsidRPr="00251BF8">
        <w:t xml:space="preserve"> tis.</w:t>
      </w:r>
    </w:p>
    <w:p w14:paraId="5D07E853" w14:textId="64658220" w:rsidR="00B414B3" w:rsidRPr="00251BF8" w:rsidRDefault="00B414B3" w:rsidP="00B414B3">
      <w:pPr>
        <w:pStyle w:val="Odstavecseseznamem"/>
        <w:numPr>
          <w:ilvl w:val="0"/>
          <w:numId w:val="32"/>
        </w:numPr>
        <w:spacing w:after="120"/>
        <w:contextualSpacing w:val="0"/>
        <w:jc w:val="both"/>
      </w:pPr>
      <w:r w:rsidRPr="00251BF8">
        <w:t xml:space="preserve">Srovnáme-li současný stav s obdobím před pandemií, počet </w:t>
      </w:r>
      <w:r w:rsidRPr="00251BF8">
        <w:rPr>
          <w:b/>
        </w:rPr>
        <w:t>neschopenek</w:t>
      </w:r>
      <w:r w:rsidRPr="00251BF8">
        <w:t xml:space="preserve"> </w:t>
      </w:r>
      <w:r w:rsidRPr="00251BF8">
        <w:rPr>
          <w:b/>
        </w:rPr>
        <w:t>pro nemoc</w:t>
      </w:r>
      <w:r w:rsidRPr="00251BF8">
        <w:t xml:space="preserve"> se zvýšil o 36 %. </w:t>
      </w:r>
      <w:r w:rsidRPr="00251BF8">
        <w:rPr>
          <w:b/>
        </w:rPr>
        <w:t>U mužů</w:t>
      </w:r>
      <w:r w:rsidRPr="00251BF8">
        <w:t xml:space="preserve"> vzrostl o 30 % (+232 tis.), </w:t>
      </w:r>
      <w:r w:rsidRPr="00251BF8">
        <w:rPr>
          <w:b/>
        </w:rPr>
        <w:t>u žen</w:t>
      </w:r>
      <w:r w:rsidRPr="00251BF8">
        <w:t xml:space="preserve"> o 41 % (+380 tis.). Celkem bylo v roce 2023 nahlášeno 2 323 tis. případů pracovní neschopnosti pro nemoc.</w:t>
      </w:r>
    </w:p>
    <w:p w14:paraId="302DB05D" w14:textId="5D35B884" w:rsidR="009F673D" w:rsidRPr="00251BF8" w:rsidRDefault="009F673D" w:rsidP="009F673D">
      <w:pPr>
        <w:pStyle w:val="Odstavecseseznamem"/>
        <w:numPr>
          <w:ilvl w:val="0"/>
          <w:numId w:val="32"/>
        </w:numPr>
        <w:spacing w:after="120"/>
        <w:contextualSpacing w:val="0"/>
        <w:jc w:val="both"/>
      </w:pPr>
      <w:r w:rsidRPr="00251BF8">
        <w:t xml:space="preserve">Pro </w:t>
      </w:r>
      <w:r w:rsidRPr="00251BF8">
        <w:rPr>
          <w:b/>
        </w:rPr>
        <w:t xml:space="preserve">pracovní úraz </w:t>
      </w:r>
      <w:r w:rsidRPr="00251BF8">
        <w:t>bylo nahlášeno 44 tis. neschopenek, tj. meziročně o 1,1 tis. méně. Došlo k </w:t>
      </w:r>
      <w:r w:rsidR="00C8357C" w:rsidRPr="00251BF8">
        <w:t>77</w:t>
      </w:r>
      <w:r w:rsidRPr="00251BF8">
        <w:t> </w:t>
      </w:r>
      <w:r w:rsidRPr="00251BF8">
        <w:rPr>
          <w:b/>
        </w:rPr>
        <w:t>smrtelným pracovním úrazům</w:t>
      </w:r>
      <w:r w:rsidRPr="00251BF8">
        <w:t xml:space="preserve">, </w:t>
      </w:r>
      <w:r w:rsidR="00DD5A0D" w:rsidRPr="00251BF8">
        <w:t xml:space="preserve">což je </w:t>
      </w:r>
      <w:r w:rsidRPr="00251BF8">
        <w:t xml:space="preserve">o </w:t>
      </w:r>
      <w:r w:rsidR="00C8357C" w:rsidRPr="00251BF8">
        <w:t>11</w:t>
      </w:r>
      <w:r w:rsidRPr="00251BF8">
        <w:t xml:space="preserve"> </w:t>
      </w:r>
      <w:r w:rsidR="00C8357C" w:rsidRPr="00251BF8">
        <w:t>méně</w:t>
      </w:r>
      <w:r w:rsidRPr="00251BF8">
        <w:t xml:space="preserve"> než v roce 2022.</w:t>
      </w:r>
    </w:p>
    <w:p w14:paraId="59EAEDF7" w14:textId="3A6E55BD" w:rsidR="009F673D" w:rsidRPr="00251BF8" w:rsidRDefault="009F673D" w:rsidP="009F673D">
      <w:pPr>
        <w:pStyle w:val="Odstavecseseznamem"/>
        <w:numPr>
          <w:ilvl w:val="0"/>
          <w:numId w:val="32"/>
        </w:numPr>
        <w:spacing w:after="120"/>
        <w:contextualSpacing w:val="0"/>
        <w:jc w:val="both"/>
      </w:pPr>
      <w:r w:rsidRPr="00251BF8">
        <w:t>V roce 2023</w:t>
      </w:r>
      <w:r w:rsidRPr="00251BF8">
        <w:rPr>
          <w:b/>
        </w:rPr>
        <w:t xml:space="preserve"> na 100 pojištěnců</w:t>
      </w:r>
      <w:r w:rsidRPr="00251BF8">
        <w:t xml:space="preserve"> připadalo 53 nově hlášených </w:t>
      </w:r>
      <w:r w:rsidRPr="00251BF8">
        <w:rPr>
          <w:b/>
        </w:rPr>
        <w:t>případů</w:t>
      </w:r>
      <w:r w:rsidRPr="00251BF8">
        <w:t xml:space="preserve"> dočasné </w:t>
      </w:r>
      <w:r w:rsidRPr="00251BF8">
        <w:rPr>
          <w:b/>
        </w:rPr>
        <w:t>pracovní neschopnosti</w:t>
      </w:r>
      <w:r w:rsidRPr="00251BF8">
        <w:t xml:space="preserve">. To je o 13 více než v roce 2019. Tento ukazatel oproti době před pandemií </w:t>
      </w:r>
      <w:r w:rsidR="00C12C70">
        <w:t xml:space="preserve">(2019) </w:t>
      </w:r>
      <w:r w:rsidRPr="00251BF8">
        <w:t xml:space="preserve">vzrostl ve všech odvětvových sekcích. Nejvíce </w:t>
      </w:r>
      <w:r w:rsidRPr="00251BF8">
        <w:rPr>
          <w:rFonts w:cs="Arial"/>
        </w:rPr>
        <w:t xml:space="preserve">v oblasti </w:t>
      </w:r>
      <w:r w:rsidRPr="00251BF8">
        <w:rPr>
          <w:rFonts w:cs="Arial"/>
          <w:b/>
        </w:rPr>
        <w:t>Vzdělávání</w:t>
      </w:r>
      <w:r w:rsidRPr="00251BF8">
        <w:rPr>
          <w:rFonts w:cs="Arial"/>
        </w:rPr>
        <w:t>, a to o 27 případů na 100 pojištěnců, tedy o 76 %.</w:t>
      </w:r>
    </w:p>
    <w:p w14:paraId="377CF52F" w14:textId="1CF5109C" w:rsidR="009F673D" w:rsidRPr="00251BF8" w:rsidRDefault="009F673D" w:rsidP="009F673D">
      <w:pPr>
        <w:pStyle w:val="Odstavecseseznamem"/>
        <w:numPr>
          <w:ilvl w:val="0"/>
          <w:numId w:val="32"/>
        </w:numPr>
        <w:spacing w:after="120"/>
        <w:contextualSpacing w:val="0"/>
        <w:jc w:val="both"/>
      </w:pPr>
      <w:r w:rsidRPr="00251BF8">
        <w:t xml:space="preserve">Celkově strávili pojištěnci ve sledovaném roce </w:t>
      </w:r>
      <w:r w:rsidRPr="00251BF8">
        <w:rPr>
          <w:b/>
        </w:rPr>
        <w:t>v pracovní neschopnosti 79 564 tis. dnů</w:t>
      </w:r>
      <w:r w:rsidRPr="00251BF8">
        <w:t>, což je o 2 % méně než v roce 2019.</w:t>
      </w:r>
    </w:p>
    <w:p w14:paraId="5AE1DD3A" w14:textId="55F7932F" w:rsidR="009F673D" w:rsidRPr="00251BF8" w:rsidRDefault="009F673D" w:rsidP="006E270F">
      <w:pPr>
        <w:pStyle w:val="Odstavecseseznamem"/>
        <w:numPr>
          <w:ilvl w:val="0"/>
          <w:numId w:val="32"/>
        </w:numPr>
        <w:spacing w:after="120"/>
        <w:contextualSpacing w:val="0"/>
        <w:jc w:val="both"/>
      </w:pPr>
      <w:r w:rsidRPr="00251BF8">
        <w:t>Zatímco během covidu se průměrná délka trvání případu pracovní neschopnosti snižovala (z důvodu velkého množství krátkodobých pracovních neschopností pro nemoc, tedy vč. karantén), v roce 2023 došlo v průměru k prodloužení neschopenky.</w:t>
      </w:r>
      <w:r w:rsidR="006E270F">
        <w:t xml:space="preserve"> </w:t>
      </w:r>
      <w:r w:rsidRPr="006E270F">
        <w:rPr>
          <w:b/>
        </w:rPr>
        <w:t>Průměrná délka</w:t>
      </w:r>
      <w:r w:rsidRPr="00251BF8">
        <w:t xml:space="preserve"> </w:t>
      </w:r>
      <w:r w:rsidRPr="006E270F">
        <w:rPr>
          <w:b/>
        </w:rPr>
        <w:t>trvání pracovní neschopnosti</w:t>
      </w:r>
      <w:r w:rsidRPr="00251BF8">
        <w:t xml:space="preserve"> meziročně vzrostla ze 26,3 dne v roce 2022 na 31,4 dne o rok později. Oproti roku 2019 klesla o</w:t>
      </w:r>
      <w:r w:rsidR="00957C5B">
        <w:t> </w:t>
      </w:r>
      <w:r w:rsidRPr="00251BF8">
        <w:t>11</w:t>
      </w:r>
      <w:r w:rsidR="00957C5B">
        <w:t> </w:t>
      </w:r>
      <w:r w:rsidRPr="00251BF8">
        <w:t>dnů.</w:t>
      </w:r>
    </w:p>
    <w:p w14:paraId="405243DD" w14:textId="4A10A272" w:rsidR="009F673D" w:rsidRPr="00251BF8" w:rsidRDefault="009F673D" w:rsidP="009F673D">
      <w:pPr>
        <w:pStyle w:val="Odstavecseseznamem"/>
        <w:numPr>
          <w:ilvl w:val="0"/>
          <w:numId w:val="32"/>
        </w:numPr>
        <w:spacing w:after="120"/>
        <w:contextualSpacing w:val="0"/>
        <w:jc w:val="both"/>
      </w:pPr>
      <w:r w:rsidRPr="00251BF8">
        <w:rPr>
          <w:b/>
        </w:rPr>
        <w:t>Ženy</w:t>
      </w:r>
      <w:r w:rsidRPr="00251BF8">
        <w:t xml:space="preserve"> strávily v pracovní neschopnosti v průměru na 1 případ 31 dnů, muži 31,9 dne. Ženám se meziročně prodloužila průměrná délka pobytu v pracovní neschopnosti o </w:t>
      </w:r>
      <w:r w:rsidR="009E75A6" w:rsidRPr="00251BF8">
        <w:t xml:space="preserve">4,4 </w:t>
      </w:r>
      <w:r w:rsidRPr="00251BF8">
        <w:t>dn</w:t>
      </w:r>
      <w:r w:rsidR="009E75A6" w:rsidRPr="00251BF8">
        <w:t>e</w:t>
      </w:r>
      <w:r w:rsidRPr="00251BF8">
        <w:t xml:space="preserve">, mužům o </w:t>
      </w:r>
      <w:r w:rsidR="009E75A6" w:rsidRPr="00251BF8">
        <w:t>5,</w:t>
      </w:r>
      <w:r w:rsidRPr="00251BF8">
        <w:t>8.</w:t>
      </w:r>
    </w:p>
    <w:p w14:paraId="4E1ADCDB" w14:textId="22EE82BB" w:rsidR="001907BB" w:rsidRPr="00251BF8" w:rsidRDefault="001907BB" w:rsidP="001907BB">
      <w:pPr>
        <w:pStyle w:val="Odstavecseseznamem"/>
        <w:numPr>
          <w:ilvl w:val="0"/>
          <w:numId w:val="32"/>
        </w:numPr>
        <w:spacing w:after="120"/>
        <w:contextualSpacing w:val="0"/>
        <w:jc w:val="both"/>
      </w:pPr>
      <w:r w:rsidRPr="00251BF8">
        <w:t>Nejdelší doba pracovní neschopnosti (45 dnů) byla v sekci Zemědělství, lesnictví, rybářství, Ubytování, stravování a pohostinství (43 dnů) a Stavebnictví (42 dnů). Nejkratší byla naopak v  Informačních a komunikačních činnostech (18) a ve Vzdělávání (20).</w:t>
      </w:r>
    </w:p>
    <w:p w14:paraId="3513FD0C" w14:textId="2F2DCC6F" w:rsidR="001907BB" w:rsidRPr="00251BF8" w:rsidRDefault="001907BB" w:rsidP="001907BB">
      <w:pPr>
        <w:pStyle w:val="Odstavecseseznamem"/>
        <w:numPr>
          <w:ilvl w:val="0"/>
          <w:numId w:val="32"/>
        </w:numPr>
        <w:spacing w:after="120"/>
        <w:contextualSpacing w:val="0"/>
        <w:jc w:val="both"/>
      </w:pPr>
      <w:r w:rsidRPr="00251BF8">
        <w:rPr>
          <w:b/>
        </w:rPr>
        <w:t xml:space="preserve">Průměrné procento dočasné pracovní neschopnosti </w:t>
      </w:r>
      <w:r w:rsidRPr="00251BF8">
        <w:t>v roce 2023 dosáhlo hodnoty 4,6. V případě mužů činila hodnota 4,2 %, u žen 4,9 %. Průměrné procento se oproti roku 2019 snížilo o 0,1 p. b.</w:t>
      </w:r>
    </w:p>
    <w:p w14:paraId="62A57896" w14:textId="777DB0A0" w:rsidR="001907BB" w:rsidRPr="00251BF8" w:rsidRDefault="001907BB" w:rsidP="001907BB">
      <w:pPr>
        <w:pStyle w:val="Odstavecseseznamem"/>
        <w:numPr>
          <w:ilvl w:val="0"/>
          <w:numId w:val="32"/>
        </w:numPr>
        <w:spacing w:after="120"/>
        <w:contextualSpacing w:val="0"/>
        <w:jc w:val="both"/>
      </w:pPr>
      <w:r w:rsidRPr="00251BF8">
        <w:t xml:space="preserve">Během roku 2023 v České republice kvůli dočasné pracovní neschopnosti </w:t>
      </w:r>
      <w:r w:rsidRPr="00251BF8">
        <w:rPr>
          <w:b/>
        </w:rPr>
        <w:t>denně na pracovištích chybělo 217 985 nemocensky pojištěných osob</w:t>
      </w:r>
      <w:r w:rsidRPr="00251BF8">
        <w:t>, což bylo ve srovnání s rokem 2019 přibližně o 4,5 tis. (2 %) zaměstnaných osob méně.</w:t>
      </w:r>
    </w:p>
    <w:p w14:paraId="2C094034" w14:textId="2F836EFE" w:rsidR="001907BB" w:rsidRPr="00251BF8" w:rsidRDefault="001907BB" w:rsidP="001907BB">
      <w:pPr>
        <w:pStyle w:val="Odstavecseseznamem"/>
        <w:numPr>
          <w:ilvl w:val="0"/>
          <w:numId w:val="32"/>
        </w:numPr>
        <w:spacing w:after="120"/>
        <w:contextualSpacing w:val="0"/>
        <w:jc w:val="both"/>
      </w:pPr>
      <w:r w:rsidRPr="00251BF8">
        <w:t xml:space="preserve">Více než dvě pětiny (42 %) případů pracovní neschopnosti byly spojeny s diagnózou </w:t>
      </w:r>
      <w:r w:rsidRPr="00251BF8">
        <w:rPr>
          <w:b/>
        </w:rPr>
        <w:t>nemoci dýchací soustavy</w:t>
      </w:r>
      <w:r w:rsidRPr="00251BF8">
        <w:t xml:space="preserve">. V průměru trvaly 12 dnů na případ. </w:t>
      </w:r>
      <w:r w:rsidRPr="00251BF8">
        <w:rPr>
          <w:b/>
        </w:rPr>
        <w:t xml:space="preserve">Nemoci pohybové soustavy </w:t>
      </w:r>
      <w:r w:rsidRPr="00251BF8">
        <w:t>způsobily 15 % pracovních neschopností s průměrnou délkou cca 2 měsíce.</w:t>
      </w:r>
    </w:p>
    <w:p w14:paraId="20196BD2" w14:textId="4E23BF76" w:rsidR="008F6B9A" w:rsidRPr="00746CC1" w:rsidRDefault="001907BB" w:rsidP="00746CC1">
      <w:pPr>
        <w:pStyle w:val="Odstavecseseznamem"/>
        <w:numPr>
          <w:ilvl w:val="0"/>
          <w:numId w:val="32"/>
        </w:numPr>
        <w:spacing w:after="120"/>
        <w:contextualSpacing w:val="0"/>
        <w:jc w:val="both"/>
      </w:pPr>
      <w:r w:rsidRPr="00251BF8">
        <w:t xml:space="preserve">Za rok 2023 bylo pojištěncům vyplaceno nemocenské ve výši 32 mld. Kč. Meziročně výdaje klesly o 1 mld. Kč, tj. o </w:t>
      </w:r>
      <w:r w:rsidR="00335AC8" w:rsidRPr="00251BF8">
        <w:t>3,3</w:t>
      </w:r>
      <w:r w:rsidRPr="00251BF8">
        <w:t xml:space="preserve"> %. Výdaje na nemocenské v přepočtu na jednoho pojištěnce činily 6 646 Kč.</w:t>
      </w:r>
    </w:p>
    <w:p w14:paraId="1C2F7AEE" w14:textId="6E96B9E6" w:rsidR="00B366D0" w:rsidRPr="003018A3" w:rsidRDefault="00B366D0" w:rsidP="00C20328">
      <w:pPr>
        <w:spacing w:before="120"/>
        <w:rPr>
          <w:sz w:val="16"/>
        </w:rPr>
      </w:pPr>
    </w:p>
    <w:sectPr w:rsidR="00B366D0" w:rsidRPr="003018A3" w:rsidSect="00746CC1">
      <w:headerReference w:type="even" r:id="rId33"/>
      <w:headerReference w:type="default" r:id="rId34"/>
      <w:footerReference w:type="even" r:id="rId35"/>
      <w:footerReference w:type="default" r:id="rId36"/>
      <w:pgSz w:w="11906" w:h="16838" w:code="9"/>
      <w:pgMar w:top="1134" w:right="1134" w:bottom="1418" w:left="1134" w:header="680" w:footer="680"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A1AE" w14:textId="77777777" w:rsidR="00811F48" w:rsidRDefault="00811F48" w:rsidP="00E71A58">
      <w:r>
        <w:separator/>
      </w:r>
    </w:p>
  </w:endnote>
  <w:endnote w:type="continuationSeparator" w:id="0">
    <w:p w14:paraId="7EB18486" w14:textId="77777777" w:rsidR="00811F48" w:rsidRDefault="00811F4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AC1F" w14:textId="4C8DB8F4" w:rsidR="00EA74DB" w:rsidRPr="00932443" w:rsidRDefault="00EA74DB" w:rsidP="00A418BC">
    <w:pPr>
      <w:pStyle w:val="Zpat"/>
      <w:rPr>
        <w:szCs w:val="16"/>
      </w:rPr>
    </w:pPr>
    <w:r>
      <w:rPr>
        <w:szCs w:val="16"/>
        <w:lang w:eastAsia="cs-CZ"/>
      </w:rPr>
      <w:drawing>
        <wp:anchor distT="0" distB="0" distL="114300" distR="114300" simplePos="0" relativeHeight="251660288" behindDoc="0" locked="0" layoutInCell="1" allowOverlap="1" wp14:anchorId="6E1BF1CA" wp14:editId="4117C10E">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746CC1">
      <w:rPr>
        <w:szCs w:val="16"/>
      </w:rPr>
      <w:t>14</w:t>
    </w:r>
    <w:r w:rsidRPr="00932443">
      <w:rPr>
        <w:szCs w:val="16"/>
      </w:rPr>
      <w:fldChar w:fldCharType="end"/>
    </w:r>
    <w:r w:rsidRPr="00932443">
      <w:rPr>
        <w:szCs w:val="16"/>
      </w:rPr>
      <w:tab/>
    </w:r>
    <w:r>
      <w:rPr>
        <w:rStyle w:val="ZpatChar"/>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808F" w14:textId="57F1A313" w:rsidR="00EA74DB" w:rsidRPr="00932443" w:rsidRDefault="00EA74DB" w:rsidP="00A418BC">
    <w:pPr>
      <w:pStyle w:val="Zpat"/>
      <w:rPr>
        <w:szCs w:val="16"/>
      </w:rPr>
    </w:pPr>
    <w:r>
      <w:rPr>
        <w:szCs w:val="16"/>
        <w:lang w:eastAsia="cs-CZ"/>
      </w:rPr>
      <w:drawing>
        <wp:anchor distT="0" distB="0" distL="114300" distR="114300" simplePos="0" relativeHeight="251656192" behindDoc="0" locked="0" layoutInCell="1" allowOverlap="1" wp14:anchorId="47560B6E" wp14:editId="4B015087">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46CC1">
      <w:rPr>
        <w:rStyle w:val="ZpatChar"/>
        <w:szCs w:val="16"/>
      </w:rPr>
      <w:t>15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BBA9" w14:textId="77777777" w:rsidR="00811F48" w:rsidRDefault="00811F48" w:rsidP="00E71A58">
      <w:r>
        <w:separator/>
      </w:r>
    </w:p>
  </w:footnote>
  <w:footnote w:type="continuationSeparator" w:id="0">
    <w:p w14:paraId="7669C179" w14:textId="77777777" w:rsidR="00811F48" w:rsidRDefault="00811F48" w:rsidP="00E71A58">
      <w:r>
        <w:continuationSeparator/>
      </w:r>
    </w:p>
  </w:footnote>
  <w:footnote w:id="1">
    <w:p w14:paraId="7C8DB234" w14:textId="77777777" w:rsidR="00EA74DB" w:rsidRDefault="00EA74DB" w:rsidP="00A2262D">
      <w:pPr>
        <w:pStyle w:val="Textpoznpodarou"/>
      </w:pPr>
      <w:r w:rsidRPr="00A40A6B">
        <w:rPr>
          <w:rStyle w:val="Znakapoznpodarou"/>
          <w:sz w:val="16"/>
        </w:rPr>
        <w:footnoteRef/>
      </w:r>
      <w:r w:rsidRPr="00A40A6B">
        <w:rPr>
          <w:sz w:val="16"/>
        </w:rPr>
        <w:t xml:space="preserve"> Celý název sekce O: Veřejná správa a obrana; povinné sociální zabezpečení</w:t>
      </w:r>
      <w:r>
        <w:rPr>
          <w:sz w:val="16"/>
        </w:rPr>
        <w:t>.</w:t>
      </w:r>
    </w:p>
  </w:footnote>
  <w:footnote w:id="2">
    <w:p w14:paraId="62FA7731" w14:textId="77777777" w:rsidR="00EA74DB" w:rsidRDefault="00EA74DB" w:rsidP="00A2262D">
      <w:pPr>
        <w:pStyle w:val="Textpoznpodarou"/>
        <w:jc w:val="both"/>
      </w:pPr>
      <w:r w:rsidRPr="000547B7">
        <w:rPr>
          <w:rStyle w:val="Znakapoznpodarou"/>
          <w:sz w:val="16"/>
        </w:rPr>
        <w:footnoteRef/>
      </w:r>
      <w:r w:rsidRPr="000547B7">
        <w:rPr>
          <w:sz w:val="16"/>
        </w:rPr>
        <w:t xml:space="preserve"> Uvedený podíl nezahrnuje vojáky z povolání, příslušníky Policie ČR, Hasičského záchranného sboru ČR, Celní správy ČR, Vězeňské služby ČR, Generální inspekce bezpečnostních sborů, Bezpečnostní informační služby a Úřadu pro zahraniční styky a informace.</w:t>
      </w:r>
      <w:r>
        <w:rPr>
          <w:sz w:val="16"/>
        </w:rPr>
        <w:t xml:space="preserve"> </w:t>
      </w:r>
      <w:r>
        <w:rPr>
          <w:rFonts w:cs="Arial"/>
          <w:sz w:val="16"/>
        </w:rPr>
        <w:t>Správcem registrů těchto příslušníků je služební orgán v oborech své působnosti.</w:t>
      </w:r>
    </w:p>
  </w:footnote>
  <w:footnote w:id="3">
    <w:p w14:paraId="78D37C4C" w14:textId="2A83696F" w:rsidR="008073B7" w:rsidRDefault="008073B7">
      <w:pPr>
        <w:pStyle w:val="Textpoznpodarou"/>
      </w:pPr>
      <w:r>
        <w:rPr>
          <w:rStyle w:val="Znakapoznpodarou"/>
        </w:rPr>
        <w:footnoteRef/>
      </w:r>
      <w:r>
        <w:t xml:space="preserve"> </w:t>
      </w:r>
      <w:r w:rsidRPr="00A40A6B">
        <w:rPr>
          <w:sz w:val="16"/>
        </w:rPr>
        <w:t>Celý název sekce O: Veřejná správa a obrana; povinné sociální zabezpečení</w:t>
      </w:r>
      <w:r>
        <w:rPr>
          <w:sz w:val="16"/>
        </w:rPr>
        <w:t>.</w:t>
      </w:r>
    </w:p>
  </w:footnote>
  <w:footnote w:id="4">
    <w:p w14:paraId="5A2C479E" w14:textId="77777777" w:rsidR="00EA74DB" w:rsidRDefault="00EA74DB" w:rsidP="00B27E3C">
      <w:pPr>
        <w:pStyle w:val="Textpoznpodarou"/>
        <w:spacing w:after="60"/>
      </w:pPr>
      <w:r w:rsidRPr="006054AC">
        <w:rPr>
          <w:rStyle w:val="Znakapoznpodarou"/>
          <w:sz w:val="16"/>
        </w:rPr>
        <w:footnoteRef/>
      </w:r>
      <w:r w:rsidRPr="006054AC">
        <w:rPr>
          <w:sz w:val="16"/>
        </w:rPr>
        <w:t xml:space="preserve"> Platilo do </w:t>
      </w:r>
      <w:r>
        <w:rPr>
          <w:sz w:val="16"/>
        </w:rPr>
        <w:t>28</w:t>
      </w:r>
      <w:r w:rsidRPr="006054AC">
        <w:rPr>
          <w:sz w:val="16"/>
        </w:rPr>
        <w:t xml:space="preserve">. </w:t>
      </w:r>
      <w:r>
        <w:rPr>
          <w:sz w:val="16"/>
        </w:rPr>
        <w:t>2</w:t>
      </w:r>
      <w:r w:rsidRPr="006054AC">
        <w:rPr>
          <w:sz w:val="16"/>
        </w:rPr>
        <w:t>. 202</w:t>
      </w:r>
      <w:r>
        <w:rPr>
          <w:sz w:val="16"/>
        </w:rPr>
        <w:t>2.</w:t>
      </w:r>
    </w:p>
  </w:footnote>
  <w:footnote w:id="5">
    <w:p w14:paraId="6FC45FCC" w14:textId="77777777" w:rsidR="00EA74DB" w:rsidRDefault="00EA74DB" w:rsidP="00B27E3C">
      <w:pPr>
        <w:pStyle w:val="Textpoznpodarou"/>
      </w:pPr>
      <w:r w:rsidRPr="00B67A38">
        <w:rPr>
          <w:rStyle w:val="Znakapoznpodarou"/>
          <w:sz w:val="16"/>
        </w:rPr>
        <w:footnoteRef/>
      </w:r>
      <w:r>
        <w:t xml:space="preserve"> </w:t>
      </w:r>
      <w:r w:rsidRPr="00B67A38">
        <w:rPr>
          <w:sz w:val="16"/>
        </w:rPr>
        <w:t>Na jaře 2021 se</w:t>
      </w:r>
      <w:r>
        <w:rPr>
          <w:sz w:val="16"/>
        </w:rPr>
        <w:t xml:space="preserve"> podíl</w:t>
      </w:r>
      <w:r w:rsidRPr="00B67A38">
        <w:rPr>
          <w:sz w:val="16"/>
        </w:rPr>
        <w:t xml:space="preserve"> zvýšil na 80 %.</w:t>
      </w:r>
    </w:p>
  </w:footnote>
  <w:footnote w:id="6">
    <w:p w14:paraId="3A9DD124" w14:textId="2B7D3F18" w:rsidR="00EA74DB" w:rsidRPr="008A15C0" w:rsidRDefault="00EA74DB" w:rsidP="003E1B21">
      <w:pPr>
        <w:pStyle w:val="Textpoznpodarou"/>
        <w:jc w:val="both"/>
        <w:rPr>
          <w:sz w:val="18"/>
          <w:szCs w:val="18"/>
        </w:rPr>
      </w:pPr>
      <w:r w:rsidRPr="008A15C0">
        <w:rPr>
          <w:rStyle w:val="Znakapoznpodarou"/>
          <w:sz w:val="18"/>
          <w:szCs w:val="18"/>
        </w:rPr>
        <w:footnoteRef/>
      </w:r>
      <w:r w:rsidRPr="008A15C0">
        <w:rPr>
          <w:sz w:val="18"/>
          <w:szCs w:val="18"/>
        </w:rPr>
        <w:t xml:space="preserve"> </w:t>
      </w:r>
      <w:r w:rsidRPr="00EA2DCF">
        <w:rPr>
          <w:sz w:val="16"/>
          <w:szCs w:val="16"/>
        </w:rPr>
        <w:t>Poslední dostupná data s mezinárodním srovnáním za členské státy EU2</w:t>
      </w:r>
      <w:r>
        <w:rPr>
          <w:sz w:val="16"/>
          <w:szCs w:val="16"/>
        </w:rPr>
        <w:t>7</w:t>
      </w:r>
      <w:r w:rsidRPr="00EA2DCF">
        <w:rPr>
          <w:sz w:val="16"/>
          <w:szCs w:val="16"/>
        </w:rPr>
        <w:t xml:space="preserve"> byla v době zpracování této publikace </w:t>
      </w:r>
      <w:r w:rsidRPr="00EA2DCF">
        <w:rPr>
          <w:spacing w:val="-3"/>
          <w:sz w:val="16"/>
          <w:szCs w:val="16"/>
        </w:rPr>
        <w:t>za rok 20</w:t>
      </w:r>
      <w:r>
        <w:rPr>
          <w:spacing w:val="-3"/>
          <w:sz w:val="16"/>
          <w:szCs w:val="16"/>
        </w:rPr>
        <w:t>21</w:t>
      </w:r>
      <w:r w:rsidRPr="00EA2DCF">
        <w:rPr>
          <w:spacing w:val="-3"/>
          <w:sz w:val="16"/>
          <w:szCs w:val="16"/>
        </w:rPr>
        <w:t xml:space="preserve">. Jejich zdrojem je databáze Eurostatu: </w:t>
      </w:r>
      <w:hyperlink r:id="rId1" w:history="1">
        <w:r w:rsidRPr="00C50880">
          <w:rPr>
            <w:rStyle w:val="Hypertextovodkaz"/>
            <w:sz w:val="16"/>
          </w:rPr>
          <w:t>https://ec.europa.eu/eurostat/web/health/database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E77E" w14:textId="59647134" w:rsidR="00EA74DB" w:rsidRPr="00774CE9" w:rsidRDefault="00EA74DB" w:rsidP="00774CE9">
    <w:pPr>
      <w:pStyle w:val="Zhlav"/>
    </w:pPr>
    <w:r>
      <w:t>Pracovní neschopnost pro nemoc a úraz v České republice za rok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81AC" w14:textId="795A3A05" w:rsidR="00EA74DB" w:rsidRPr="006F5416" w:rsidRDefault="00EA74DB" w:rsidP="00774CE9">
    <w:pPr>
      <w:pStyle w:val="Zhlav"/>
    </w:pPr>
    <w:r>
      <w:t>Pracovní neschopnost pro nemoc a úraz v České republice za rok 2023</w:t>
    </w:r>
  </w:p>
  <w:p w14:paraId="6E5B5276" w14:textId="77777777" w:rsidR="00EA74DB" w:rsidRPr="00774CE9" w:rsidRDefault="00EA74DB" w:rsidP="00774C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1470"/>
    <w:multiLevelType w:val="hybridMultilevel"/>
    <w:tmpl w:val="5C965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84E4415"/>
    <w:multiLevelType w:val="hybridMultilevel"/>
    <w:tmpl w:val="189A1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EB30C9"/>
    <w:multiLevelType w:val="multilevel"/>
    <w:tmpl w:val="8AE26AFA"/>
    <w:lvl w:ilvl="0">
      <w:start w:val="1"/>
      <w:numFmt w:val="bullet"/>
      <w:lvlText w:val=""/>
      <w:lvlJc w:val="left"/>
      <w:pPr>
        <w:ind w:left="720" w:hanging="360"/>
      </w:pPr>
      <w:rPr>
        <w:rFonts w:ascii="Symbol" w:hAnsi="Symbol" w:hint="default"/>
      </w:rPr>
    </w:lvl>
    <w:lvl w:ilvl="1">
      <w:start w:val="7"/>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2556A7"/>
    <w:multiLevelType w:val="hybridMultilevel"/>
    <w:tmpl w:val="D2E89A06"/>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3">
      <w:start w:val="1"/>
      <w:numFmt w:val="bullet"/>
      <w:lvlText w:val="o"/>
      <w:lvlJc w:val="left"/>
      <w:pPr>
        <w:ind w:left="2220" w:hanging="360"/>
      </w:pPr>
      <w:rPr>
        <w:rFonts w:ascii="Courier New" w:hAnsi="Courier New" w:cs="Courier New"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23C9092A"/>
    <w:multiLevelType w:val="hybridMultilevel"/>
    <w:tmpl w:val="6106A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6901FC"/>
    <w:multiLevelType w:val="multilevel"/>
    <w:tmpl w:val="5142D136"/>
    <w:lvl w:ilvl="0">
      <w:start w:val="1"/>
      <w:numFmt w:val="decimal"/>
      <w:lvlText w:val="%1."/>
      <w:lvlJc w:val="left"/>
      <w:pPr>
        <w:ind w:left="720" w:hanging="360"/>
      </w:pPr>
      <w:rPr>
        <w:rFonts w:hint="default"/>
      </w:rPr>
    </w:lvl>
    <w:lvl w:ilvl="1">
      <w:start w:val="5"/>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AA48F6"/>
    <w:multiLevelType w:val="hybridMultilevel"/>
    <w:tmpl w:val="89FE5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8016D3"/>
    <w:multiLevelType w:val="hybridMultilevel"/>
    <w:tmpl w:val="C9B2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CC156E"/>
    <w:multiLevelType w:val="hybridMultilevel"/>
    <w:tmpl w:val="7EECA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AF4090"/>
    <w:multiLevelType w:val="hybridMultilevel"/>
    <w:tmpl w:val="2B8C1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D50F1A"/>
    <w:multiLevelType w:val="hybridMultilevel"/>
    <w:tmpl w:val="1410E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AA503E"/>
    <w:multiLevelType w:val="multilevel"/>
    <w:tmpl w:val="80A6E96A"/>
    <w:lvl w:ilvl="0">
      <w:start w:val="1"/>
      <w:numFmt w:val="decimal"/>
      <w:lvlText w:val="%1."/>
      <w:lvlJc w:val="left"/>
      <w:pPr>
        <w:ind w:left="720" w:hanging="360"/>
      </w:pPr>
      <w:rPr>
        <w:rFonts w:hint="default"/>
      </w:rPr>
    </w:lvl>
    <w:lvl w:ilvl="1">
      <w:start w:val="4"/>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71B0D"/>
    <w:multiLevelType w:val="multilevel"/>
    <w:tmpl w:val="5EE4B558"/>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none"/>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25555E"/>
    <w:multiLevelType w:val="hybridMultilevel"/>
    <w:tmpl w:val="50D6B4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EF4B85"/>
    <w:multiLevelType w:val="hybridMultilevel"/>
    <w:tmpl w:val="E4FC5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23"/>
  </w:num>
  <w:num w:numId="14">
    <w:abstractNumId w:val="15"/>
  </w:num>
  <w:num w:numId="15">
    <w:abstractNumId w:val="18"/>
  </w:num>
  <w:num w:numId="16">
    <w:abstractNumId w:val="26"/>
  </w:num>
  <w:num w:numId="17">
    <w:abstractNumId w:val="32"/>
  </w:num>
  <w:num w:numId="18">
    <w:abstractNumId w:val="30"/>
  </w:num>
  <w:num w:numId="19">
    <w:abstractNumId w:val="11"/>
  </w:num>
  <w:num w:numId="20">
    <w:abstractNumId w:val="19"/>
  </w:num>
  <w:num w:numId="21">
    <w:abstractNumId w:val="25"/>
  </w:num>
  <w:num w:numId="22">
    <w:abstractNumId w:val="13"/>
  </w:num>
  <w:num w:numId="23">
    <w:abstractNumId w:val="28"/>
  </w:num>
  <w:num w:numId="24">
    <w:abstractNumId w:val="20"/>
  </w:num>
  <w:num w:numId="25">
    <w:abstractNumId w:val="14"/>
  </w:num>
  <w:num w:numId="26">
    <w:abstractNumId w:val="31"/>
  </w:num>
  <w:num w:numId="27">
    <w:abstractNumId w:val="24"/>
  </w:num>
  <w:num w:numId="28">
    <w:abstractNumId w:val="29"/>
  </w:num>
  <w:num w:numId="29">
    <w:abstractNumId w:val="27"/>
  </w:num>
  <w:num w:numId="30">
    <w:abstractNumId w:val="10"/>
  </w:num>
  <w:num w:numId="31">
    <w:abstractNumId w:val="17"/>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E9"/>
    <w:rsid w:val="0000209D"/>
    <w:rsid w:val="00004D5A"/>
    <w:rsid w:val="000056D5"/>
    <w:rsid w:val="0000767A"/>
    <w:rsid w:val="00010702"/>
    <w:rsid w:val="00016992"/>
    <w:rsid w:val="000234D6"/>
    <w:rsid w:val="00023D29"/>
    <w:rsid w:val="00026389"/>
    <w:rsid w:val="00027001"/>
    <w:rsid w:val="00031AE0"/>
    <w:rsid w:val="000322EF"/>
    <w:rsid w:val="00033FCD"/>
    <w:rsid w:val="00041CEC"/>
    <w:rsid w:val="0004277C"/>
    <w:rsid w:val="0004694F"/>
    <w:rsid w:val="00047B6D"/>
    <w:rsid w:val="000522E4"/>
    <w:rsid w:val="00056319"/>
    <w:rsid w:val="000610E1"/>
    <w:rsid w:val="00062EC5"/>
    <w:rsid w:val="00062F22"/>
    <w:rsid w:val="000712B3"/>
    <w:rsid w:val="0008263E"/>
    <w:rsid w:val="00082C19"/>
    <w:rsid w:val="00085395"/>
    <w:rsid w:val="00087634"/>
    <w:rsid w:val="00087E71"/>
    <w:rsid w:val="00087F2B"/>
    <w:rsid w:val="00093988"/>
    <w:rsid w:val="000974D1"/>
    <w:rsid w:val="0009799E"/>
    <w:rsid w:val="000A1183"/>
    <w:rsid w:val="000A256D"/>
    <w:rsid w:val="000A3A2C"/>
    <w:rsid w:val="000B30FA"/>
    <w:rsid w:val="000C3408"/>
    <w:rsid w:val="000C6AFD"/>
    <w:rsid w:val="000D52D6"/>
    <w:rsid w:val="000D5637"/>
    <w:rsid w:val="000D7548"/>
    <w:rsid w:val="000E6FBD"/>
    <w:rsid w:val="000F67C2"/>
    <w:rsid w:val="00100F5C"/>
    <w:rsid w:val="001010F1"/>
    <w:rsid w:val="0010437D"/>
    <w:rsid w:val="00104C4C"/>
    <w:rsid w:val="0012192F"/>
    <w:rsid w:val="00125D69"/>
    <w:rsid w:val="001405FA"/>
    <w:rsid w:val="001425C3"/>
    <w:rsid w:val="00151B99"/>
    <w:rsid w:val="001526AD"/>
    <w:rsid w:val="0016256B"/>
    <w:rsid w:val="00163793"/>
    <w:rsid w:val="001664E8"/>
    <w:rsid w:val="001706D6"/>
    <w:rsid w:val="001714F2"/>
    <w:rsid w:val="00175043"/>
    <w:rsid w:val="00184B08"/>
    <w:rsid w:val="00185010"/>
    <w:rsid w:val="001907BB"/>
    <w:rsid w:val="001A552F"/>
    <w:rsid w:val="001B2CA9"/>
    <w:rsid w:val="001B3110"/>
    <w:rsid w:val="001B4729"/>
    <w:rsid w:val="001B6C09"/>
    <w:rsid w:val="001C05CD"/>
    <w:rsid w:val="001C1699"/>
    <w:rsid w:val="001C68C1"/>
    <w:rsid w:val="001D68B2"/>
    <w:rsid w:val="001E59FF"/>
    <w:rsid w:val="001F4597"/>
    <w:rsid w:val="001F5D31"/>
    <w:rsid w:val="001F5ECC"/>
    <w:rsid w:val="00200903"/>
    <w:rsid w:val="0021008E"/>
    <w:rsid w:val="002118B9"/>
    <w:rsid w:val="00217C5B"/>
    <w:rsid w:val="0022139E"/>
    <w:rsid w:val="002252E0"/>
    <w:rsid w:val="002255F6"/>
    <w:rsid w:val="00227850"/>
    <w:rsid w:val="00227A53"/>
    <w:rsid w:val="00230C6E"/>
    <w:rsid w:val="00234DD8"/>
    <w:rsid w:val="00236443"/>
    <w:rsid w:val="002436BA"/>
    <w:rsid w:val="00244A15"/>
    <w:rsid w:val="00245F95"/>
    <w:rsid w:val="00247319"/>
    <w:rsid w:val="0024799E"/>
    <w:rsid w:val="00251BF8"/>
    <w:rsid w:val="00253C0F"/>
    <w:rsid w:val="002643D6"/>
    <w:rsid w:val="00271465"/>
    <w:rsid w:val="00275CB4"/>
    <w:rsid w:val="00285412"/>
    <w:rsid w:val="002A00BE"/>
    <w:rsid w:val="002A16D4"/>
    <w:rsid w:val="002A230C"/>
    <w:rsid w:val="002B1226"/>
    <w:rsid w:val="002B6CB3"/>
    <w:rsid w:val="002C4214"/>
    <w:rsid w:val="002C43BD"/>
    <w:rsid w:val="002C474B"/>
    <w:rsid w:val="002C63A3"/>
    <w:rsid w:val="002C730B"/>
    <w:rsid w:val="002D0E59"/>
    <w:rsid w:val="002D6845"/>
    <w:rsid w:val="002E02A1"/>
    <w:rsid w:val="002E40F8"/>
    <w:rsid w:val="002E4E4C"/>
    <w:rsid w:val="00304771"/>
    <w:rsid w:val="003052D4"/>
    <w:rsid w:val="00305AD1"/>
    <w:rsid w:val="00306C5B"/>
    <w:rsid w:val="00307467"/>
    <w:rsid w:val="003209D6"/>
    <w:rsid w:val="00321924"/>
    <w:rsid w:val="0032656E"/>
    <w:rsid w:val="00332190"/>
    <w:rsid w:val="00335AC8"/>
    <w:rsid w:val="00336A9E"/>
    <w:rsid w:val="00344573"/>
    <w:rsid w:val="00344668"/>
    <w:rsid w:val="0034529B"/>
    <w:rsid w:val="003462D9"/>
    <w:rsid w:val="003546CF"/>
    <w:rsid w:val="00360C86"/>
    <w:rsid w:val="003657F3"/>
    <w:rsid w:val="003818DC"/>
    <w:rsid w:val="00383865"/>
    <w:rsid w:val="00384327"/>
    <w:rsid w:val="00385A76"/>
    <w:rsid w:val="00385D98"/>
    <w:rsid w:val="00386D4F"/>
    <w:rsid w:val="00390BF5"/>
    <w:rsid w:val="003A2B4D"/>
    <w:rsid w:val="003A478C"/>
    <w:rsid w:val="003A5525"/>
    <w:rsid w:val="003A6B38"/>
    <w:rsid w:val="003B5A32"/>
    <w:rsid w:val="003C3490"/>
    <w:rsid w:val="003C7F33"/>
    <w:rsid w:val="003D6920"/>
    <w:rsid w:val="003D6CCD"/>
    <w:rsid w:val="003D7FCF"/>
    <w:rsid w:val="003E1B21"/>
    <w:rsid w:val="003E2FAF"/>
    <w:rsid w:val="003E4C91"/>
    <w:rsid w:val="003F313C"/>
    <w:rsid w:val="003F4B2C"/>
    <w:rsid w:val="003F551C"/>
    <w:rsid w:val="003F5663"/>
    <w:rsid w:val="003F7D23"/>
    <w:rsid w:val="0040434F"/>
    <w:rsid w:val="00407C13"/>
    <w:rsid w:val="00407F89"/>
    <w:rsid w:val="00410638"/>
    <w:rsid w:val="00425613"/>
    <w:rsid w:val="00425FEB"/>
    <w:rsid w:val="00432A58"/>
    <w:rsid w:val="00434617"/>
    <w:rsid w:val="00434CAA"/>
    <w:rsid w:val="00435456"/>
    <w:rsid w:val="00440900"/>
    <w:rsid w:val="004441A0"/>
    <w:rsid w:val="00452914"/>
    <w:rsid w:val="00460FB3"/>
    <w:rsid w:val="00476240"/>
    <w:rsid w:val="00476439"/>
    <w:rsid w:val="0047735C"/>
    <w:rsid w:val="004776BC"/>
    <w:rsid w:val="00480920"/>
    <w:rsid w:val="0048139F"/>
    <w:rsid w:val="00481559"/>
    <w:rsid w:val="00481E40"/>
    <w:rsid w:val="004832B5"/>
    <w:rsid w:val="0048489D"/>
    <w:rsid w:val="00484ECE"/>
    <w:rsid w:val="004900FF"/>
    <w:rsid w:val="004915CB"/>
    <w:rsid w:val="004924DC"/>
    <w:rsid w:val="00492878"/>
    <w:rsid w:val="004A14E4"/>
    <w:rsid w:val="004A3212"/>
    <w:rsid w:val="004A61C5"/>
    <w:rsid w:val="004A77DF"/>
    <w:rsid w:val="004B1417"/>
    <w:rsid w:val="004B55B7"/>
    <w:rsid w:val="004B6468"/>
    <w:rsid w:val="004C0C7C"/>
    <w:rsid w:val="004C384C"/>
    <w:rsid w:val="004C3867"/>
    <w:rsid w:val="004C4CD0"/>
    <w:rsid w:val="004C70DC"/>
    <w:rsid w:val="004D0211"/>
    <w:rsid w:val="004D0794"/>
    <w:rsid w:val="004E2061"/>
    <w:rsid w:val="004E495A"/>
    <w:rsid w:val="004E55AA"/>
    <w:rsid w:val="004E6857"/>
    <w:rsid w:val="004F06F5"/>
    <w:rsid w:val="004F33A0"/>
    <w:rsid w:val="00500A8A"/>
    <w:rsid w:val="0050671A"/>
    <w:rsid w:val="005108C0"/>
    <w:rsid w:val="00511873"/>
    <w:rsid w:val="00512A2F"/>
    <w:rsid w:val="00513B7E"/>
    <w:rsid w:val="00515C74"/>
    <w:rsid w:val="0052007E"/>
    <w:rsid w:val="0052337A"/>
    <w:rsid w:val="00525137"/>
    <w:rsid w:val="005251DD"/>
    <w:rsid w:val="00530F00"/>
    <w:rsid w:val="00532CE7"/>
    <w:rsid w:val="0053324C"/>
    <w:rsid w:val="00534A28"/>
    <w:rsid w:val="00541508"/>
    <w:rsid w:val="00545FDA"/>
    <w:rsid w:val="0055599F"/>
    <w:rsid w:val="00556D68"/>
    <w:rsid w:val="005647BF"/>
    <w:rsid w:val="0056643C"/>
    <w:rsid w:val="0057364B"/>
    <w:rsid w:val="00574773"/>
    <w:rsid w:val="00583FFD"/>
    <w:rsid w:val="00587FF1"/>
    <w:rsid w:val="005911BE"/>
    <w:rsid w:val="00593152"/>
    <w:rsid w:val="005A10F2"/>
    <w:rsid w:val="005A1477"/>
    <w:rsid w:val="005A21E0"/>
    <w:rsid w:val="005A28FF"/>
    <w:rsid w:val="005A3DF8"/>
    <w:rsid w:val="005A5549"/>
    <w:rsid w:val="005B121D"/>
    <w:rsid w:val="005C06ED"/>
    <w:rsid w:val="005D05AB"/>
    <w:rsid w:val="005D13F8"/>
    <w:rsid w:val="005D1791"/>
    <w:rsid w:val="005D2D26"/>
    <w:rsid w:val="005D381C"/>
    <w:rsid w:val="005D5802"/>
    <w:rsid w:val="005D7890"/>
    <w:rsid w:val="005E066A"/>
    <w:rsid w:val="005E7C78"/>
    <w:rsid w:val="005F17A0"/>
    <w:rsid w:val="005F3EB1"/>
    <w:rsid w:val="005F4628"/>
    <w:rsid w:val="005F5469"/>
    <w:rsid w:val="00604307"/>
    <w:rsid w:val="0060487F"/>
    <w:rsid w:val="00604EAD"/>
    <w:rsid w:val="006104FB"/>
    <w:rsid w:val="00612A2F"/>
    <w:rsid w:val="00616E05"/>
    <w:rsid w:val="00624093"/>
    <w:rsid w:val="006404A7"/>
    <w:rsid w:val="006451E4"/>
    <w:rsid w:val="00645B33"/>
    <w:rsid w:val="006516CB"/>
    <w:rsid w:val="00651D79"/>
    <w:rsid w:val="00657E87"/>
    <w:rsid w:val="00664803"/>
    <w:rsid w:val="00665BA4"/>
    <w:rsid w:val="00666329"/>
    <w:rsid w:val="00667AF2"/>
    <w:rsid w:val="006710C9"/>
    <w:rsid w:val="00674D89"/>
    <w:rsid w:val="00675E37"/>
    <w:rsid w:val="0068174E"/>
    <w:rsid w:val="00681DCE"/>
    <w:rsid w:val="0068260E"/>
    <w:rsid w:val="00695BEF"/>
    <w:rsid w:val="006977F6"/>
    <w:rsid w:val="00697A13"/>
    <w:rsid w:val="006A109C"/>
    <w:rsid w:val="006A5661"/>
    <w:rsid w:val="006A65FC"/>
    <w:rsid w:val="006B344A"/>
    <w:rsid w:val="006B78D8"/>
    <w:rsid w:val="006C113F"/>
    <w:rsid w:val="006C123E"/>
    <w:rsid w:val="006C56D4"/>
    <w:rsid w:val="006C6924"/>
    <w:rsid w:val="006C7CA6"/>
    <w:rsid w:val="006D3E8A"/>
    <w:rsid w:val="006D61F6"/>
    <w:rsid w:val="006D760E"/>
    <w:rsid w:val="006E236F"/>
    <w:rsid w:val="006E270F"/>
    <w:rsid w:val="006E279A"/>
    <w:rsid w:val="006E313B"/>
    <w:rsid w:val="006E7C74"/>
    <w:rsid w:val="006F2286"/>
    <w:rsid w:val="006F5250"/>
    <w:rsid w:val="006F5416"/>
    <w:rsid w:val="006F7137"/>
    <w:rsid w:val="007066A0"/>
    <w:rsid w:val="00706AD4"/>
    <w:rsid w:val="00710A8B"/>
    <w:rsid w:val="007140BE"/>
    <w:rsid w:val="007211F5"/>
    <w:rsid w:val="00725BB5"/>
    <w:rsid w:val="00730AE8"/>
    <w:rsid w:val="00735747"/>
    <w:rsid w:val="00741493"/>
    <w:rsid w:val="00746CC1"/>
    <w:rsid w:val="00752180"/>
    <w:rsid w:val="00755202"/>
    <w:rsid w:val="00755D3A"/>
    <w:rsid w:val="007578D3"/>
    <w:rsid w:val="007609C6"/>
    <w:rsid w:val="0076175D"/>
    <w:rsid w:val="0076521E"/>
    <w:rsid w:val="007661E9"/>
    <w:rsid w:val="007703C0"/>
    <w:rsid w:val="00774CE9"/>
    <w:rsid w:val="00776169"/>
    <w:rsid w:val="00776527"/>
    <w:rsid w:val="00780EF1"/>
    <w:rsid w:val="00790764"/>
    <w:rsid w:val="0079453C"/>
    <w:rsid w:val="00794677"/>
    <w:rsid w:val="00797463"/>
    <w:rsid w:val="007A3D14"/>
    <w:rsid w:val="007A5557"/>
    <w:rsid w:val="007B6689"/>
    <w:rsid w:val="007C20D3"/>
    <w:rsid w:val="007D2096"/>
    <w:rsid w:val="007D40DF"/>
    <w:rsid w:val="007E7E61"/>
    <w:rsid w:val="007F0845"/>
    <w:rsid w:val="007F25C1"/>
    <w:rsid w:val="00803953"/>
    <w:rsid w:val="008057CA"/>
    <w:rsid w:val="008073B7"/>
    <w:rsid w:val="00807C82"/>
    <w:rsid w:val="00811F48"/>
    <w:rsid w:val="00816905"/>
    <w:rsid w:val="00821FF6"/>
    <w:rsid w:val="00825C4D"/>
    <w:rsid w:val="0083143E"/>
    <w:rsid w:val="00831CDE"/>
    <w:rsid w:val="00834304"/>
    <w:rsid w:val="00834FAA"/>
    <w:rsid w:val="00836086"/>
    <w:rsid w:val="008360E3"/>
    <w:rsid w:val="0084708F"/>
    <w:rsid w:val="008477C8"/>
    <w:rsid w:val="0085114D"/>
    <w:rsid w:val="00852217"/>
    <w:rsid w:val="00853C74"/>
    <w:rsid w:val="00855408"/>
    <w:rsid w:val="00856D65"/>
    <w:rsid w:val="00861B41"/>
    <w:rsid w:val="00863434"/>
    <w:rsid w:val="00865E4C"/>
    <w:rsid w:val="008701E4"/>
    <w:rsid w:val="008715C2"/>
    <w:rsid w:val="00875A32"/>
    <w:rsid w:val="00876086"/>
    <w:rsid w:val="008873D4"/>
    <w:rsid w:val="00893E85"/>
    <w:rsid w:val="00894031"/>
    <w:rsid w:val="008949D2"/>
    <w:rsid w:val="008B155B"/>
    <w:rsid w:val="008B7C02"/>
    <w:rsid w:val="008B7D2B"/>
    <w:rsid w:val="008C0049"/>
    <w:rsid w:val="008C0E88"/>
    <w:rsid w:val="008D1E6A"/>
    <w:rsid w:val="008D2A16"/>
    <w:rsid w:val="008E2C57"/>
    <w:rsid w:val="008E31FF"/>
    <w:rsid w:val="008E6F06"/>
    <w:rsid w:val="008F029B"/>
    <w:rsid w:val="008F09C3"/>
    <w:rsid w:val="008F3FC9"/>
    <w:rsid w:val="008F585B"/>
    <w:rsid w:val="008F6B9A"/>
    <w:rsid w:val="009003A8"/>
    <w:rsid w:val="00900F7C"/>
    <w:rsid w:val="00902500"/>
    <w:rsid w:val="00902EFF"/>
    <w:rsid w:val="0090477E"/>
    <w:rsid w:val="00906401"/>
    <w:rsid w:val="0091155E"/>
    <w:rsid w:val="00912A92"/>
    <w:rsid w:val="009148AF"/>
    <w:rsid w:val="0091728D"/>
    <w:rsid w:val="0092180B"/>
    <w:rsid w:val="00921F14"/>
    <w:rsid w:val="00924AC8"/>
    <w:rsid w:val="00925703"/>
    <w:rsid w:val="0092597A"/>
    <w:rsid w:val="00932443"/>
    <w:rsid w:val="009327B5"/>
    <w:rsid w:val="00935896"/>
    <w:rsid w:val="009369EC"/>
    <w:rsid w:val="00937AE2"/>
    <w:rsid w:val="0094427A"/>
    <w:rsid w:val="0094493F"/>
    <w:rsid w:val="00946B1F"/>
    <w:rsid w:val="00956F7B"/>
    <w:rsid w:val="00957C5B"/>
    <w:rsid w:val="0097209B"/>
    <w:rsid w:val="0097475C"/>
    <w:rsid w:val="00974923"/>
    <w:rsid w:val="00980D3D"/>
    <w:rsid w:val="00987A30"/>
    <w:rsid w:val="00992CF3"/>
    <w:rsid w:val="009968D6"/>
    <w:rsid w:val="009A1CAB"/>
    <w:rsid w:val="009A60D1"/>
    <w:rsid w:val="009B3199"/>
    <w:rsid w:val="009B6FD3"/>
    <w:rsid w:val="009C0EB6"/>
    <w:rsid w:val="009C1750"/>
    <w:rsid w:val="009C2E29"/>
    <w:rsid w:val="009C554B"/>
    <w:rsid w:val="009C719E"/>
    <w:rsid w:val="009D123E"/>
    <w:rsid w:val="009D3ACD"/>
    <w:rsid w:val="009D7404"/>
    <w:rsid w:val="009E4E0A"/>
    <w:rsid w:val="009E5273"/>
    <w:rsid w:val="009E5DDB"/>
    <w:rsid w:val="009E75A6"/>
    <w:rsid w:val="009F16E7"/>
    <w:rsid w:val="009F4CA7"/>
    <w:rsid w:val="009F673D"/>
    <w:rsid w:val="00A10D66"/>
    <w:rsid w:val="00A14114"/>
    <w:rsid w:val="00A16413"/>
    <w:rsid w:val="00A2262D"/>
    <w:rsid w:val="00A23E43"/>
    <w:rsid w:val="00A30F65"/>
    <w:rsid w:val="00A418BC"/>
    <w:rsid w:val="00A46DE0"/>
    <w:rsid w:val="00A50D73"/>
    <w:rsid w:val="00A52938"/>
    <w:rsid w:val="00A52CAD"/>
    <w:rsid w:val="00A53FC7"/>
    <w:rsid w:val="00A62CE1"/>
    <w:rsid w:val="00A6741E"/>
    <w:rsid w:val="00A7027D"/>
    <w:rsid w:val="00A71465"/>
    <w:rsid w:val="00A75E40"/>
    <w:rsid w:val="00A77D1D"/>
    <w:rsid w:val="00A854BA"/>
    <w:rsid w:val="00A857C0"/>
    <w:rsid w:val="00AA2996"/>
    <w:rsid w:val="00AA52BF"/>
    <w:rsid w:val="00AA559A"/>
    <w:rsid w:val="00AB292A"/>
    <w:rsid w:val="00AB2AF1"/>
    <w:rsid w:val="00AD306C"/>
    <w:rsid w:val="00AE09B3"/>
    <w:rsid w:val="00AE1A83"/>
    <w:rsid w:val="00AF51E3"/>
    <w:rsid w:val="00B00913"/>
    <w:rsid w:val="00B01593"/>
    <w:rsid w:val="00B01B3E"/>
    <w:rsid w:val="00B02AC4"/>
    <w:rsid w:val="00B10A4D"/>
    <w:rsid w:val="00B11FB3"/>
    <w:rsid w:val="00B17E71"/>
    <w:rsid w:val="00B17FDE"/>
    <w:rsid w:val="00B2379C"/>
    <w:rsid w:val="00B2687D"/>
    <w:rsid w:val="00B27E3C"/>
    <w:rsid w:val="00B31735"/>
    <w:rsid w:val="00B327FD"/>
    <w:rsid w:val="00B32DDB"/>
    <w:rsid w:val="00B33613"/>
    <w:rsid w:val="00B34528"/>
    <w:rsid w:val="00B366D0"/>
    <w:rsid w:val="00B402FC"/>
    <w:rsid w:val="00B414B3"/>
    <w:rsid w:val="00B46604"/>
    <w:rsid w:val="00B530CD"/>
    <w:rsid w:val="00B55F5E"/>
    <w:rsid w:val="00B5752E"/>
    <w:rsid w:val="00B61BF6"/>
    <w:rsid w:val="00B63A11"/>
    <w:rsid w:val="00B64C24"/>
    <w:rsid w:val="00B6608F"/>
    <w:rsid w:val="00B679FB"/>
    <w:rsid w:val="00B72505"/>
    <w:rsid w:val="00B76D1E"/>
    <w:rsid w:val="00B80EC6"/>
    <w:rsid w:val="00B920BC"/>
    <w:rsid w:val="00B923EE"/>
    <w:rsid w:val="00B92D1D"/>
    <w:rsid w:val="00B938C5"/>
    <w:rsid w:val="00B95940"/>
    <w:rsid w:val="00BB15C2"/>
    <w:rsid w:val="00BB46F3"/>
    <w:rsid w:val="00BB4CB1"/>
    <w:rsid w:val="00BB4F98"/>
    <w:rsid w:val="00BC7154"/>
    <w:rsid w:val="00BD366B"/>
    <w:rsid w:val="00BD6548"/>
    <w:rsid w:val="00BD6D50"/>
    <w:rsid w:val="00BE18B9"/>
    <w:rsid w:val="00BE2495"/>
    <w:rsid w:val="00BE60AD"/>
    <w:rsid w:val="00BF1578"/>
    <w:rsid w:val="00BF7D81"/>
    <w:rsid w:val="00C06D29"/>
    <w:rsid w:val="00C0751E"/>
    <w:rsid w:val="00C12C70"/>
    <w:rsid w:val="00C20328"/>
    <w:rsid w:val="00C21F94"/>
    <w:rsid w:val="00C23D20"/>
    <w:rsid w:val="00C27913"/>
    <w:rsid w:val="00C27ECC"/>
    <w:rsid w:val="00C33B68"/>
    <w:rsid w:val="00C369BF"/>
    <w:rsid w:val="00C36A79"/>
    <w:rsid w:val="00C405D4"/>
    <w:rsid w:val="00C4513B"/>
    <w:rsid w:val="00C470D1"/>
    <w:rsid w:val="00C50880"/>
    <w:rsid w:val="00C54697"/>
    <w:rsid w:val="00C57B87"/>
    <w:rsid w:val="00C609FE"/>
    <w:rsid w:val="00C73885"/>
    <w:rsid w:val="00C747B1"/>
    <w:rsid w:val="00C82191"/>
    <w:rsid w:val="00C8357C"/>
    <w:rsid w:val="00C90CF4"/>
    <w:rsid w:val="00C92EB6"/>
    <w:rsid w:val="00C93389"/>
    <w:rsid w:val="00CB4930"/>
    <w:rsid w:val="00CC2E7D"/>
    <w:rsid w:val="00CD10A5"/>
    <w:rsid w:val="00CD10AE"/>
    <w:rsid w:val="00CD2076"/>
    <w:rsid w:val="00CD6854"/>
    <w:rsid w:val="00CD736F"/>
    <w:rsid w:val="00CD7870"/>
    <w:rsid w:val="00CE086E"/>
    <w:rsid w:val="00CE670B"/>
    <w:rsid w:val="00CF442A"/>
    <w:rsid w:val="00CF44C1"/>
    <w:rsid w:val="00CF51EC"/>
    <w:rsid w:val="00CF73AE"/>
    <w:rsid w:val="00D040DD"/>
    <w:rsid w:val="00D05A05"/>
    <w:rsid w:val="00D13986"/>
    <w:rsid w:val="00D21199"/>
    <w:rsid w:val="00D22C80"/>
    <w:rsid w:val="00D235B7"/>
    <w:rsid w:val="00D25F28"/>
    <w:rsid w:val="00D264DA"/>
    <w:rsid w:val="00D27973"/>
    <w:rsid w:val="00D32310"/>
    <w:rsid w:val="00D454D4"/>
    <w:rsid w:val="00D50F46"/>
    <w:rsid w:val="00D56151"/>
    <w:rsid w:val="00D66223"/>
    <w:rsid w:val="00D676CB"/>
    <w:rsid w:val="00D744C7"/>
    <w:rsid w:val="00D8084C"/>
    <w:rsid w:val="00DA7C0C"/>
    <w:rsid w:val="00DB2EC8"/>
    <w:rsid w:val="00DC5B3B"/>
    <w:rsid w:val="00DD129F"/>
    <w:rsid w:val="00DD5A0D"/>
    <w:rsid w:val="00DD771A"/>
    <w:rsid w:val="00DE38A7"/>
    <w:rsid w:val="00DE4751"/>
    <w:rsid w:val="00DF42FF"/>
    <w:rsid w:val="00E01C0E"/>
    <w:rsid w:val="00E022D3"/>
    <w:rsid w:val="00E03F9A"/>
    <w:rsid w:val="00E04694"/>
    <w:rsid w:val="00E079AB"/>
    <w:rsid w:val="00E12B1E"/>
    <w:rsid w:val="00E17262"/>
    <w:rsid w:val="00E253A2"/>
    <w:rsid w:val="00E2590E"/>
    <w:rsid w:val="00E3309D"/>
    <w:rsid w:val="00E4304F"/>
    <w:rsid w:val="00E50156"/>
    <w:rsid w:val="00E53470"/>
    <w:rsid w:val="00E539F6"/>
    <w:rsid w:val="00E640F8"/>
    <w:rsid w:val="00E6417F"/>
    <w:rsid w:val="00E6519D"/>
    <w:rsid w:val="00E66A08"/>
    <w:rsid w:val="00E67696"/>
    <w:rsid w:val="00E70E65"/>
    <w:rsid w:val="00E71A58"/>
    <w:rsid w:val="00E72A7A"/>
    <w:rsid w:val="00E75117"/>
    <w:rsid w:val="00E75C94"/>
    <w:rsid w:val="00E91A97"/>
    <w:rsid w:val="00E93820"/>
    <w:rsid w:val="00EA0C68"/>
    <w:rsid w:val="00EA32BC"/>
    <w:rsid w:val="00EA74DB"/>
    <w:rsid w:val="00EB1029"/>
    <w:rsid w:val="00EB4511"/>
    <w:rsid w:val="00EB4725"/>
    <w:rsid w:val="00EC03D7"/>
    <w:rsid w:val="00ED3982"/>
    <w:rsid w:val="00ED62C6"/>
    <w:rsid w:val="00ED64C1"/>
    <w:rsid w:val="00EE3446"/>
    <w:rsid w:val="00EE3E78"/>
    <w:rsid w:val="00EE4B1B"/>
    <w:rsid w:val="00EE7CF4"/>
    <w:rsid w:val="00EF150D"/>
    <w:rsid w:val="00EF1F5A"/>
    <w:rsid w:val="00EF47BF"/>
    <w:rsid w:val="00F01C1B"/>
    <w:rsid w:val="00F04811"/>
    <w:rsid w:val="00F0488C"/>
    <w:rsid w:val="00F05F5E"/>
    <w:rsid w:val="00F10F11"/>
    <w:rsid w:val="00F1150C"/>
    <w:rsid w:val="00F149A5"/>
    <w:rsid w:val="00F15AAA"/>
    <w:rsid w:val="00F15BEF"/>
    <w:rsid w:val="00F17F34"/>
    <w:rsid w:val="00F20D12"/>
    <w:rsid w:val="00F24407"/>
    <w:rsid w:val="00F24FAA"/>
    <w:rsid w:val="00F27218"/>
    <w:rsid w:val="00F3364D"/>
    <w:rsid w:val="00F437CC"/>
    <w:rsid w:val="00F47067"/>
    <w:rsid w:val="00F47E61"/>
    <w:rsid w:val="00F525EB"/>
    <w:rsid w:val="00F52F02"/>
    <w:rsid w:val="00F63DDE"/>
    <w:rsid w:val="00F63FB7"/>
    <w:rsid w:val="00F649D2"/>
    <w:rsid w:val="00F6602B"/>
    <w:rsid w:val="00F7260E"/>
    <w:rsid w:val="00F73A0C"/>
    <w:rsid w:val="00F756DB"/>
    <w:rsid w:val="00F77AD9"/>
    <w:rsid w:val="00F85066"/>
    <w:rsid w:val="00F97C4B"/>
    <w:rsid w:val="00FA3ADB"/>
    <w:rsid w:val="00FA5D4D"/>
    <w:rsid w:val="00FB0EE2"/>
    <w:rsid w:val="00FB542E"/>
    <w:rsid w:val="00FC0E5F"/>
    <w:rsid w:val="00FC18CE"/>
    <w:rsid w:val="00FC1A95"/>
    <w:rsid w:val="00FC2CD8"/>
    <w:rsid w:val="00FC56DE"/>
    <w:rsid w:val="00FC684B"/>
    <w:rsid w:val="00FC6CD2"/>
    <w:rsid w:val="00FD3265"/>
    <w:rsid w:val="00FD437F"/>
    <w:rsid w:val="00FE2F78"/>
    <w:rsid w:val="00FF661E"/>
    <w:rsid w:val="00FF7B96"/>
    <w:rsid w:val="00FF7F6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C6746A9"/>
  <w15:docId w15:val="{60597AD2-177B-40C5-840B-D5A114C8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8B155B"/>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content">
    <w:name w:val="content"/>
    <w:basedOn w:val="Standardnpsmoodstavce"/>
    <w:rsid w:val="00774CE9"/>
  </w:style>
  <w:style w:type="character" w:styleId="Znakapoznpodarou">
    <w:name w:val="footnote reference"/>
    <w:rsid w:val="00774CE9"/>
    <w:rPr>
      <w:vertAlign w:val="superscript"/>
    </w:rPr>
  </w:style>
  <w:style w:type="paragraph" w:styleId="Textpoznpodarou">
    <w:name w:val="footnote text"/>
    <w:basedOn w:val="Normln"/>
    <w:link w:val="TextpoznpodarouChar"/>
    <w:uiPriority w:val="99"/>
    <w:semiHidden/>
    <w:rsid w:val="00774CE9"/>
    <w:pPr>
      <w:spacing w:after="0"/>
    </w:pPr>
    <w:rPr>
      <w:szCs w:val="20"/>
    </w:rPr>
  </w:style>
  <w:style w:type="character" w:customStyle="1" w:styleId="TextpoznpodarouChar">
    <w:name w:val="Text pozn. pod čarou Char"/>
    <w:basedOn w:val="Standardnpsmoodstavce"/>
    <w:link w:val="Textpoznpodarou"/>
    <w:uiPriority w:val="99"/>
    <w:semiHidden/>
    <w:rsid w:val="00774CE9"/>
    <w:rPr>
      <w:rFonts w:ascii="Arial" w:eastAsia="Times New Roman" w:hAnsi="Arial"/>
      <w:lang w:eastAsia="cs-CZ"/>
    </w:rPr>
  </w:style>
  <w:style w:type="paragraph" w:styleId="Odstavecseseznamem">
    <w:name w:val="List Paragraph"/>
    <w:basedOn w:val="Normln"/>
    <w:uiPriority w:val="99"/>
    <w:qFormat/>
    <w:rsid w:val="00774CE9"/>
    <w:pPr>
      <w:ind w:left="720"/>
      <w:contextualSpacing/>
    </w:pPr>
  </w:style>
  <w:style w:type="character" w:styleId="Sledovanodkaz">
    <w:name w:val="FollowedHyperlink"/>
    <w:basedOn w:val="Standardnpsmoodstavce"/>
    <w:uiPriority w:val="99"/>
    <w:semiHidden/>
    <w:unhideWhenUsed/>
    <w:rsid w:val="004832B5"/>
    <w:rPr>
      <w:color w:val="800080" w:themeColor="followedHyperlink"/>
      <w:u w:val="single"/>
    </w:rPr>
  </w:style>
  <w:style w:type="paragraph" w:styleId="Normlnweb">
    <w:name w:val="Normal (Web)"/>
    <w:basedOn w:val="Normln"/>
    <w:uiPriority w:val="99"/>
    <w:unhideWhenUsed/>
    <w:rsid w:val="00200903"/>
    <w:pPr>
      <w:spacing w:before="100" w:beforeAutospacing="1" w:after="100" w:afterAutospacing="1" w:line="240" w:lineRule="auto"/>
    </w:pPr>
    <w:rPr>
      <w:rFonts w:ascii="Times New Roman" w:hAnsi="Times New Roman"/>
      <w:sz w:val="24"/>
    </w:rPr>
  </w:style>
  <w:style w:type="character" w:styleId="Odkaznakoment">
    <w:name w:val="annotation reference"/>
    <w:basedOn w:val="Standardnpsmoodstavce"/>
    <w:uiPriority w:val="99"/>
    <w:semiHidden/>
    <w:unhideWhenUsed/>
    <w:rsid w:val="00AB292A"/>
    <w:rPr>
      <w:sz w:val="16"/>
      <w:szCs w:val="16"/>
    </w:rPr>
  </w:style>
  <w:style w:type="paragraph" w:styleId="Textkomente">
    <w:name w:val="annotation text"/>
    <w:basedOn w:val="Normln"/>
    <w:link w:val="TextkomenteChar"/>
    <w:uiPriority w:val="99"/>
    <w:unhideWhenUsed/>
    <w:rsid w:val="00AB292A"/>
    <w:pPr>
      <w:spacing w:line="240" w:lineRule="auto"/>
    </w:pPr>
    <w:rPr>
      <w:szCs w:val="20"/>
    </w:rPr>
  </w:style>
  <w:style w:type="character" w:customStyle="1" w:styleId="TextkomenteChar">
    <w:name w:val="Text komentáře Char"/>
    <w:basedOn w:val="Standardnpsmoodstavce"/>
    <w:link w:val="Textkomente"/>
    <w:uiPriority w:val="99"/>
    <w:rsid w:val="00AB292A"/>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AB292A"/>
    <w:rPr>
      <w:b/>
      <w:bCs/>
    </w:rPr>
  </w:style>
  <w:style w:type="character" w:customStyle="1" w:styleId="PedmtkomenteChar">
    <w:name w:val="Předmět komentáře Char"/>
    <w:basedOn w:val="TextkomenteChar"/>
    <w:link w:val="Pedmtkomente"/>
    <w:uiPriority w:val="99"/>
    <w:semiHidden/>
    <w:rsid w:val="00AB292A"/>
    <w:rPr>
      <w:rFonts w:ascii="Arial" w:eastAsia="Times New Roman" w:hAnsi="Arial"/>
      <w:b/>
      <w:bCs/>
      <w:lang w:eastAsia="cs-CZ"/>
    </w:rPr>
  </w:style>
  <w:style w:type="paragraph" w:customStyle="1" w:styleId="Default">
    <w:name w:val="Default"/>
    <w:rsid w:val="00B27E3C"/>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B11FB3"/>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B11FB3"/>
    <w:rPr>
      <w:rFonts w:ascii="Arial" w:eastAsia="Times New Roman" w:hAnsi="Arial"/>
      <w:lang w:eastAsia="cs-CZ"/>
    </w:rPr>
  </w:style>
  <w:style w:type="paragraph" w:styleId="Revize">
    <w:name w:val="Revision"/>
    <w:hidden/>
    <w:uiPriority w:val="99"/>
    <w:semiHidden/>
    <w:rsid w:val="00386D4F"/>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5855295">
      <w:bodyDiv w:val="1"/>
      <w:marLeft w:val="0"/>
      <w:marRight w:val="0"/>
      <w:marTop w:val="0"/>
      <w:marBottom w:val="0"/>
      <w:divBdr>
        <w:top w:val="none" w:sz="0" w:space="0" w:color="auto"/>
        <w:left w:val="none" w:sz="0" w:space="0" w:color="auto"/>
        <w:bottom w:val="none" w:sz="0" w:space="0" w:color="auto"/>
        <w:right w:val="none" w:sz="0" w:space="0" w:color="auto"/>
      </w:divBdr>
    </w:div>
    <w:div w:id="43068998">
      <w:bodyDiv w:val="1"/>
      <w:marLeft w:val="0"/>
      <w:marRight w:val="0"/>
      <w:marTop w:val="0"/>
      <w:marBottom w:val="0"/>
      <w:divBdr>
        <w:top w:val="none" w:sz="0" w:space="0" w:color="auto"/>
        <w:left w:val="none" w:sz="0" w:space="0" w:color="auto"/>
        <w:bottom w:val="none" w:sz="0" w:space="0" w:color="auto"/>
        <w:right w:val="none" w:sz="0" w:space="0" w:color="auto"/>
      </w:divBdr>
    </w:div>
    <w:div w:id="81730402">
      <w:bodyDiv w:val="1"/>
      <w:marLeft w:val="0"/>
      <w:marRight w:val="0"/>
      <w:marTop w:val="0"/>
      <w:marBottom w:val="0"/>
      <w:divBdr>
        <w:top w:val="none" w:sz="0" w:space="0" w:color="auto"/>
        <w:left w:val="none" w:sz="0" w:space="0" w:color="auto"/>
        <w:bottom w:val="none" w:sz="0" w:space="0" w:color="auto"/>
        <w:right w:val="none" w:sz="0" w:space="0" w:color="auto"/>
      </w:divBdr>
    </w:div>
    <w:div w:id="102188231">
      <w:bodyDiv w:val="1"/>
      <w:marLeft w:val="0"/>
      <w:marRight w:val="0"/>
      <w:marTop w:val="0"/>
      <w:marBottom w:val="0"/>
      <w:divBdr>
        <w:top w:val="none" w:sz="0" w:space="0" w:color="auto"/>
        <w:left w:val="none" w:sz="0" w:space="0" w:color="auto"/>
        <w:bottom w:val="none" w:sz="0" w:space="0" w:color="auto"/>
        <w:right w:val="none" w:sz="0" w:space="0" w:color="auto"/>
      </w:divBdr>
    </w:div>
    <w:div w:id="2590677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6910537">
      <w:bodyDiv w:val="1"/>
      <w:marLeft w:val="0"/>
      <w:marRight w:val="0"/>
      <w:marTop w:val="0"/>
      <w:marBottom w:val="0"/>
      <w:divBdr>
        <w:top w:val="none" w:sz="0" w:space="0" w:color="auto"/>
        <w:left w:val="none" w:sz="0" w:space="0" w:color="auto"/>
        <w:bottom w:val="none" w:sz="0" w:space="0" w:color="auto"/>
        <w:right w:val="none" w:sz="0" w:space="0" w:color="auto"/>
      </w:divBdr>
    </w:div>
    <w:div w:id="339702408">
      <w:bodyDiv w:val="1"/>
      <w:marLeft w:val="0"/>
      <w:marRight w:val="0"/>
      <w:marTop w:val="0"/>
      <w:marBottom w:val="0"/>
      <w:divBdr>
        <w:top w:val="none" w:sz="0" w:space="0" w:color="auto"/>
        <w:left w:val="none" w:sz="0" w:space="0" w:color="auto"/>
        <w:bottom w:val="none" w:sz="0" w:space="0" w:color="auto"/>
        <w:right w:val="none" w:sz="0" w:space="0" w:color="auto"/>
      </w:divBdr>
    </w:div>
    <w:div w:id="362439264">
      <w:bodyDiv w:val="1"/>
      <w:marLeft w:val="0"/>
      <w:marRight w:val="0"/>
      <w:marTop w:val="0"/>
      <w:marBottom w:val="0"/>
      <w:divBdr>
        <w:top w:val="none" w:sz="0" w:space="0" w:color="auto"/>
        <w:left w:val="none" w:sz="0" w:space="0" w:color="auto"/>
        <w:bottom w:val="none" w:sz="0" w:space="0" w:color="auto"/>
        <w:right w:val="none" w:sz="0" w:space="0" w:color="auto"/>
      </w:divBdr>
    </w:div>
    <w:div w:id="371272476">
      <w:bodyDiv w:val="1"/>
      <w:marLeft w:val="0"/>
      <w:marRight w:val="0"/>
      <w:marTop w:val="0"/>
      <w:marBottom w:val="0"/>
      <w:divBdr>
        <w:top w:val="none" w:sz="0" w:space="0" w:color="auto"/>
        <w:left w:val="none" w:sz="0" w:space="0" w:color="auto"/>
        <w:bottom w:val="none" w:sz="0" w:space="0" w:color="auto"/>
        <w:right w:val="none" w:sz="0" w:space="0" w:color="auto"/>
      </w:divBdr>
    </w:div>
    <w:div w:id="452940925">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7885126">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2951743">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2777070">
      <w:bodyDiv w:val="1"/>
      <w:marLeft w:val="0"/>
      <w:marRight w:val="0"/>
      <w:marTop w:val="0"/>
      <w:marBottom w:val="0"/>
      <w:divBdr>
        <w:top w:val="none" w:sz="0" w:space="0" w:color="auto"/>
        <w:left w:val="none" w:sz="0" w:space="0" w:color="auto"/>
        <w:bottom w:val="none" w:sz="0" w:space="0" w:color="auto"/>
        <w:right w:val="none" w:sz="0" w:space="0" w:color="auto"/>
      </w:divBdr>
    </w:div>
    <w:div w:id="736126533">
      <w:bodyDiv w:val="1"/>
      <w:marLeft w:val="0"/>
      <w:marRight w:val="0"/>
      <w:marTop w:val="0"/>
      <w:marBottom w:val="0"/>
      <w:divBdr>
        <w:top w:val="none" w:sz="0" w:space="0" w:color="auto"/>
        <w:left w:val="none" w:sz="0" w:space="0" w:color="auto"/>
        <w:bottom w:val="none" w:sz="0" w:space="0" w:color="auto"/>
        <w:right w:val="none" w:sz="0" w:space="0" w:color="auto"/>
      </w:divBdr>
    </w:div>
    <w:div w:id="756904044">
      <w:bodyDiv w:val="1"/>
      <w:marLeft w:val="0"/>
      <w:marRight w:val="0"/>
      <w:marTop w:val="0"/>
      <w:marBottom w:val="0"/>
      <w:divBdr>
        <w:top w:val="none" w:sz="0" w:space="0" w:color="auto"/>
        <w:left w:val="none" w:sz="0" w:space="0" w:color="auto"/>
        <w:bottom w:val="none" w:sz="0" w:space="0" w:color="auto"/>
        <w:right w:val="none" w:sz="0" w:space="0" w:color="auto"/>
      </w:divBdr>
    </w:div>
    <w:div w:id="762454543">
      <w:bodyDiv w:val="1"/>
      <w:marLeft w:val="0"/>
      <w:marRight w:val="0"/>
      <w:marTop w:val="0"/>
      <w:marBottom w:val="0"/>
      <w:divBdr>
        <w:top w:val="none" w:sz="0" w:space="0" w:color="auto"/>
        <w:left w:val="none" w:sz="0" w:space="0" w:color="auto"/>
        <w:bottom w:val="none" w:sz="0" w:space="0" w:color="auto"/>
        <w:right w:val="none" w:sz="0" w:space="0" w:color="auto"/>
      </w:divBdr>
    </w:div>
    <w:div w:id="785925583">
      <w:bodyDiv w:val="1"/>
      <w:marLeft w:val="0"/>
      <w:marRight w:val="0"/>
      <w:marTop w:val="0"/>
      <w:marBottom w:val="0"/>
      <w:divBdr>
        <w:top w:val="none" w:sz="0" w:space="0" w:color="auto"/>
        <w:left w:val="none" w:sz="0" w:space="0" w:color="auto"/>
        <w:bottom w:val="none" w:sz="0" w:space="0" w:color="auto"/>
        <w:right w:val="none" w:sz="0" w:space="0" w:color="auto"/>
      </w:divBdr>
    </w:div>
    <w:div w:id="1066146983">
      <w:bodyDiv w:val="1"/>
      <w:marLeft w:val="0"/>
      <w:marRight w:val="0"/>
      <w:marTop w:val="0"/>
      <w:marBottom w:val="0"/>
      <w:divBdr>
        <w:top w:val="none" w:sz="0" w:space="0" w:color="auto"/>
        <w:left w:val="none" w:sz="0" w:space="0" w:color="auto"/>
        <w:bottom w:val="none" w:sz="0" w:space="0" w:color="auto"/>
        <w:right w:val="none" w:sz="0" w:space="0" w:color="auto"/>
      </w:divBdr>
    </w:div>
    <w:div w:id="120082253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4830631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46931090">
      <w:bodyDiv w:val="1"/>
      <w:marLeft w:val="0"/>
      <w:marRight w:val="0"/>
      <w:marTop w:val="0"/>
      <w:marBottom w:val="0"/>
      <w:divBdr>
        <w:top w:val="none" w:sz="0" w:space="0" w:color="auto"/>
        <w:left w:val="none" w:sz="0" w:space="0" w:color="auto"/>
        <w:bottom w:val="none" w:sz="0" w:space="0" w:color="auto"/>
        <w:right w:val="none" w:sz="0" w:space="0" w:color="auto"/>
      </w:divBdr>
    </w:div>
    <w:div w:id="1838232636">
      <w:bodyDiv w:val="1"/>
      <w:marLeft w:val="0"/>
      <w:marRight w:val="0"/>
      <w:marTop w:val="0"/>
      <w:marBottom w:val="0"/>
      <w:divBdr>
        <w:top w:val="none" w:sz="0" w:space="0" w:color="auto"/>
        <w:left w:val="none" w:sz="0" w:space="0" w:color="auto"/>
        <w:bottom w:val="none" w:sz="0" w:space="0" w:color="auto"/>
        <w:right w:val="none" w:sz="0" w:space="0" w:color="auto"/>
      </w:divBdr>
    </w:div>
    <w:div w:id="188737796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5921142">
      <w:bodyDiv w:val="1"/>
      <w:marLeft w:val="0"/>
      <w:marRight w:val="0"/>
      <w:marTop w:val="0"/>
      <w:marBottom w:val="0"/>
      <w:divBdr>
        <w:top w:val="none" w:sz="0" w:space="0" w:color="auto"/>
        <w:left w:val="none" w:sz="0" w:space="0" w:color="auto"/>
        <w:bottom w:val="none" w:sz="0" w:space="0" w:color="auto"/>
        <w:right w:val="none" w:sz="0" w:space="0" w:color="auto"/>
      </w:divBdr>
    </w:div>
    <w:div w:id="2080980088">
      <w:bodyDiv w:val="1"/>
      <w:marLeft w:val="0"/>
      <w:marRight w:val="0"/>
      <w:marTop w:val="0"/>
      <w:marBottom w:val="0"/>
      <w:divBdr>
        <w:top w:val="none" w:sz="0" w:space="0" w:color="auto"/>
        <w:left w:val="none" w:sz="0" w:space="0" w:color="auto"/>
        <w:bottom w:val="none" w:sz="0" w:space="0" w:color="auto"/>
        <w:right w:val="none" w:sz="0" w:space="0" w:color="auto"/>
      </w:divBdr>
    </w:div>
    <w:div w:id="208799780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21" Type="http://schemas.openxmlformats.org/officeDocument/2006/relationships/chart" Target="charts/chart11.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7.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chart" Target="charts/chart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s://www.mpsv.cz/documents/20142/225490/Anal%C3%BDza+NP_2022.pdf/cdd09219-aa75-cf4a-e039-5d65aafb28ab" TargetMode="External"/><Relationship Id="rId30" Type="http://schemas.openxmlformats.org/officeDocument/2006/relationships/chart" Target="charts/chart19.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health/databa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kysova23070\Documents\PN\2023\2.%20pol\publ\Form_c439%20-%20Publikace%20bar%20CZ_lide%20a%20spolecnost_2017-08-1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1" Type="http://schemas.openxmlformats.org/officeDocument/2006/relationships/oleObject" Target="file:///D:\hykysova23070\Documents\PN\2023\2.%20pol\publ\Tab%20a%20grafy%20do%20textu_23.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_p&#345;id&#225;n%20rok%2021.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_p&#345;id&#225;n%20rok%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hykysova23070\Documents\PN\2023\2.%20pol\publ\Tab%20a%20grafy%20do%20textu_2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'G1.1'!$F$29</c:f>
              <c:strCache>
                <c:ptCount val="1"/>
                <c:pt idx="0">
                  <c:v> 500 a více zaměstnanců</c:v>
                </c:pt>
              </c:strCache>
            </c:strRef>
          </c:tx>
          <c:spPr>
            <a:solidFill>
              <a:srgbClr val="F5DADD"/>
            </a:solidFill>
            <a:ln>
              <a:noFill/>
            </a:ln>
            <a:effectLst/>
          </c:spPr>
          <c:invertIfNegative val="0"/>
          <c:dLbls>
            <c:numFmt formatCode="0.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'G1.1'!$G$28:$I$28</c:f>
              <c:numCache>
                <c:formatCode>General</c:formatCode>
                <c:ptCount val="3"/>
                <c:pt idx="0">
                  <c:v>2013</c:v>
                </c:pt>
                <c:pt idx="1">
                  <c:v>2018</c:v>
                </c:pt>
                <c:pt idx="2">
                  <c:v>2023</c:v>
                </c:pt>
              </c:numCache>
            </c:numRef>
          </c:cat>
          <c:val>
            <c:numRef>
              <c:f>'G1.1'!$G$29:$I$29</c:f>
              <c:numCache>
                <c:formatCode>0.0</c:formatCode>
                <c:ptCount val="3"/>
                <c:pt idx="0">
                  <c:v>0.31805750298514118</c:v>
                </c:pt>
                <c:pt idx="1">
                  <c:v>0.33359472277104235</c:v>
                </c:pt>
                <c:pt idx="2">
                  <c:v>0.3209379804182611</c:v>
                </c:pt>
              </c:numCache>
            </c:numRef>
          </c:val>
          <c:extLst>
            <c:ext xmlns:c16="http://schemas.microsoft.com/office/drawing/2014/chart" uri="{C3380CC4-5D6E-409C-BE32-E72D297353CC}">
              <c16:uniqueId val="{00000000-DACC-4F1B-A4CF-EBA9FA002A15}"/>
            </c:ext>
          </c:extLst>
        </c:ser>
        <c:ser>
          <c:idx val="1"/>
          <c:order val="1"/>
          <c:tx>
            <c:strRef>
              <c:f>'G1.1'!$F$30</c:f>
              <c:strCache>
                <c:ptCount val="1"/>
                <c:pt idx="0">
                  <c:v> 250–499 zaměstnanců</c:v>
                </c:pt>
              </c:strCache>
            </c:strRef>
          </c:tx>
          <c:spPr>
            <a:solidFill>
              <a:srgbClr val="F59D9D"/>
            </a:solidFill>
            <a:ln>
              <a:noFill/>
            </a:ln>
            <a:effectLst/>
          </c:spPr>
          <c:invertIfNegative val="0"/>
          <c:dLbls>
            <c:numFmt formatCode="0.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'G1.1'!$G$28:$I$28</c:f>
              <c:numCache>
                <c:formatCode>General</c:formatCode>
                <c:ptCount val="3"/>
                <c:pt idx="0">
                  <c:v>2013</c:v>
                </c:pt>
                <c:pt idx="1">
                  <c:v>2018</c:v>
                </c:pt>
                <c:pt idx="2">
                  <c:v>2023</c:v>
                </c:pt>
              </c:numCache>
            </c:numRef>
          </c:cat>
          <c:val>
            <c:numRef>
              <c:f>'G1.1'!$G$30:$I$30</c:f>
              <c:numCache>
                <c:formatCode>0.0</c:formatCode>
                <c:ptCount val="3"/>
                <c:pt idx="0">
                  <c:v>9.2101120503314399E-2</c:v>
                </c:pt>
                <c:pt idx="1">
                  <c:v>9.6943858069728273E-2</c:v>
                </c:pt>
                <c:pt idx="2">
                  <c:v>9.4506387127493388E-2</c:v>
                </c:pt>
              </c:numCache>
            </c:numRef>
          </c:val>
          <c:extLst>
            <c:ext xmlns:c16="http://schemas.microsoft.com/office/drawing/2014/chart" uri="{C3380CC4-5D6E-409C-BE32-E72D297353CC}">
              <c16:uniqueId val="{00000001-DACC-4F1B-A4CF-EBA9FA002A15}"/>
            </c:ext>
          </c:extLst>
        </c:ser>
        <c:ser>
          <c:idx val="2"/>
          <c:order val="2"/>
          <c:tx>
            <c:strRef>
              <c:f>'G1.1'!$F$31</c:f>
              <c:strCache>
                <c:ptCount val="1"/>
                <c:pt idx="0">
                  <c:v> 50–249 zaměstnanců</c:v>
                </c:pt>
              </c:strCache>
            </c:strRef>
          </c:tx>
          <c:spPr>
            <a:solidFill>
              <a:srgbClr val="C36969"/>
            </a:solidFill>
            <a:ln>
              <a:noFill/>
            </a:ln>
            <a:effectLst/>
          </c:spPr>
          <c:invertIfNegative val="0"/>
          <c:dLbls>
            <c:numFmt formatCode="0.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'G1.1'!$G$28:$I$28</c:f>
              <c:numCache>
                <c:formatCode>General</c:formatCode>
                <c:ptCount val="3"/>
                <c:pt idx="0">
                  <c:v>2013</c:v>
                </c:pt>
                <c:pt idx="1">
                  <c:v>2018</c:v>
                </c:pt>
                <c:pt idx="2">
                  <c:v>2023</c:v>
                </c:pt>
              </c:numCache>
            </c:numRef>
          </c:cat>
          <c:val>
            <c:numRef>
              <c:f>'G1.1'!$G$31:$I$31</c:f>
              <c:numCache>
                <c:formatCode>0.0</c:formatCode>
                <c:ptCount val="3"/>
                <c:pt idx="0">
                  <c:v>0.23424226059077646</c:v>
                </c:pt>
                <c:pt idx="1">
                  <c:v>0.23368736284066022</c:v>
                </c:pt>
                <c:pt idx="2">
                  <c:v>0.24683602031624396</c:v>
                </c:pt>
              </c:numCache>
            </c:numRef>
          </c:val>
          <c:extLst>
            <c:ext xmlns:c16="http://schemas.microsoft.com/office/drawing/2014/chart" uri="{C3380CC4-5D6E-409C-BE32-E72D297353CC}">
              <c16:uniqueId val="{00000002-DACC-4F1B-A4CF-EBA9FA002A15}"/>
            </c:ext>
          </c:extLst>
        </c:ser>
        <c:ser>
          <c:idx val="3"/>
          <c:order val="3"/>
          <c:tx>
            <c:strRef>
              <c:f>'G1.1'!$F$32</c:f>
              <c:strCache>
                <c:ptCount val="1"/>
                <c:pt idx="0">
                  <c:v> 1–49 zaměstnanců</c:v>
                </c:pt>
              </c:strCache>
            </c:strRef>
          </c:tx>
          <c:spPr>
            <a:solidFill>
              <a:srgbClr val="9A403C"/>
            </a:solidFill>
            <a:ln>
              <a:noFill/>
            </a:ln>
            <a:effectLst/>
          </c:spPr>
          <c:invertIfNegative val="0"/>
          <c:dLbls>
            <c:numFmt formatCode="0.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'G1.1'!$G$28:$I$28</c:f>
              <c:numCache>
                <c:formatCode>General</c:formatCode>
                <c:ptCount val="3"/>
                <c:pt idx="0">
                  <c:v>2013</c:v>
                </c:pt>
                <c:pt idx="1">
                  <c:v>2018</c:v>
                </c:pt>
                <c:pt idx="2">
                  <c:v>2023</c:v>
                </c:pt>
              </c:numCache>
            </c:numRef>
          </c:cat>
          <c:val>
            <c:numRef>
              <c:f>'G1.1'!$G$32:$I$32</c:f>
              <c:numCache>
                <c:formatCode>0.0</c:formatCode>
                <c:ptCount val="3"/>
                <c:pt idx="0">
                  <c:v>0.33101330848230515</c:v>
                </c:pt>
                <c:pt idx="1">
                  <c:v>0.31648748323638215</c:v>
                </c:pt>
                <c:pt idx="2">
                  <c:v>0.31696720105459769</c:v>
                </c:pt>
              </c:numCache>
            </c:numRef>
          </c:val>
          <c:extLst>
            <c:ext xmlns:c16="http://schemas.microsoft.com/office/drawing/2014/chart" uri="{C3380CC4-5D6E-409C-BE32-E72D297353CC}">
              <c16:uniqueId val="{00000003-DACC-4F1B-A4CF-EBA9FA002A15}"/>
            </c:ext>
          </c:extLst>
        </c:ser>
        <c:ser>
          <c:idx val="4"/>
          <c:order val="4"/>
          <c:tx>
            <c:strRef>
              <c:f>'G1.1'!$F$33</c:f>
              <c:strCache>
                <c:ptCount val="1"/>
                <c:pt idx="0">
                  <c:v> OSVČ</c:v>
                </c:pt>
              </c:strCache>
            </c:strRef>
          </c:tx>
          <c:spPr>
            <a:solidFill>
              <a:srgbClr val="4E201E"/>
            </a:solidFill>
            <a:ln>
              <a:noFill/>
            </a:ln>
            <a:effectLst/>
          </c:spPr>
          <c:invertIfNegative val="0"/>
          <c:dLbls>
            <c:numFmt formatCode="0.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'G1.1'!$G$28:$I$28</c:f>
              <c:numCache>
                <c:formatCode>General</c:formatCode>
                <c:ptCount val="3"/>
                <c:pt idx="0">
                  <c:v>2013</c:v>
                </c:pt>
                <c:pt idx="1">
                  <c:v>2018</c:v>
                </c:pt>
                <c:pt idx="2">
                  <c:v>2023</c:v>
                </c:pt>
              </c:numCache>
            </c:numRef>
          </c:cat>
          <c:val>
            <c:numRef>
              <c:f>'G1.1'!$G$33:$I$33</c:f>
              <c:numCache>
                <c:formatCode>0.0</c:formatCode>
                <c:ptCount val="3"/>
                <c:pt idx="0">
                  <c:v>2.4585807438462851E-2</c:v>
                </c:pt>
                <c:pt idx="1">
                  <c:v>1.9286573082186849E-2</c:v>
                </c:pt>
                <c:pt idx="2">
                  <c:v>2.0752411083403702E-2</c:v>
                </c:pt>
              </c:numCache>
            </c:numRef>
          </c:val>
          <c:extLst>
            <c:ext xmlns:c16="http://schemas.microsoft.com/office/drawing/2014/chart" uri="{C3380CC4-5D6E-409C-BE32-E72D297353CC}">
              <c16:uniqueId val="{00000004-DACC-4F1B-A4CF-EBA9FA002A15}"/>
            </c:ext>
          </c:extLst>
        </c:ser>
        <c:dLbls>
          <c:showLegendKey val="0"/>
          <c:showVal val="0"/>
          <c:showCatName val="0"/>
          <c:showSerName val="0"/>
          <c:showPercent val="0"/>
          <c:showBubbleSize val="0"/>
        </c:dLbls>
        <c:gapWidth val="45"/>
        <c:overlap val="100"/>
        <c:axId val="972192847"/>
        <c:axId val="972193263"/>
      </c:barChart>
      <c:catAx>
        <c:axId val="972192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972193263"/>
        <c:crosses val="autoZero"/>
        <c:auto val="1"/>
        <c:lblAlgn val="ctr"/>
        <c:lblOffset val="100"/>
        <c:noMultiLvlLbl val="0"/>
      </c:catAx>
      <c:valAx>
        <c:axId val="972193263"/>
        <c:scaling>
          <c:orientation val="minMax"/>
        </c:scaling>
        <c:delete val="0"/>
        <c:axPos val="l"/>
        <c:majorGridlines>
          <c:spPr>
            <a:ln w="9525" cap="flat" cmpd="sng" algn="ctr">
              <a:solidFill>
                <a:schemeClr val="tx1">
                  <a:lumMod val="15000"/>
                  <a:lumOff val="85000"/>
                </a:schemeClr>
              </a:solidFill>
              <a:round/>
            </a:ln>
            <a:effectLst/>
          </c:spPr>
        </c:majorGridlines>
        <c:numFmt formatCode="0\ %"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972192847"/>
        <c:crosses val="autoZero"/>
        <c:crossBetween val="between"/>
      </c:valAx>
      <c:spPr>
        <a:noFill/>
        <a:ln>
          <a:noFill/>
        </a:ln>
        <a:effectLst/>
      </c:spPr>
    </c:plotArea>
    <c:legend>
      <c:legendPos val="l"/>
      <c:layout>
        <c:manualLayout>
          <c:xMode val="edge"/>
          <c:yMode val="edge"/>
          <c:x val="2.3469587326422844E-2"/>
          <c:y val="0.22173835035948203"/>
          <c:w val="0.30464109549380841"/>
          <c:h val="0.5565229293484191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'G2.7+G2.8'!$L$3</c:f>
              <c:strCache>
                <c:ptCount val="1"/>
                <c:pt idx="0">
                  <c:v> 1. pololetí</c:v>
                </c:pt>
              </c:strCache>
            </c:strRef>
          </c:tx>
          <c:spPr>
            <a:solidFill>
              <a:srgbClr val="632827"/>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'G2.7+G2.8'!$M$2:$U$2</c:f>
              <c:strCache>
                <c:ptCount val="9"/>
                <c:pt idx="0">
                  <c:v>2015</c:v>
                </c:pt>
                <c:pt idx="1">
                  <c:v>2016</c:v>
                </c:pt>
                <c:pt idx="2">
                  <c:v>2017</c:v>
                </c:pt>
                <c:pt idx="3">
                  <c:v>2018</c:v>
                </c:pt>
                <c:pt idx="4">
                  <c:v>2019</c:v>
                </c:pt>
                <c:pt idx="5">
                  <c:v>2020</c:v>
                </c:pt>
                <c:pt idx="6">
                  <c:v>2021</c:v>
                </c:pt>
                <c:pt idx="7">
                  <c:v>2022*</c:v>
                </c:pt>
                <c:pt idx="8">
                  <c:v>2023</c:v>
                </c:pt>
              </c:strCache>
            </c:strRef>
          </c:cat>
          <c:val>
            <c:numRef>
              <c:f>'G2.7+G2.8'!$M$3:$U$3</c:f>
              <c:numCache>
                <c:formatCode>#,##0</c:formatCode>
                <c:ptCount val="9"/>
                <c:pt idx="0">
                  <c:v>35051963</c:v>
                </c:pt>
                <c:pt idx="1">
                  <c:v>36786872</c:v>
                </c:pt>
                <c:pt idx="2">
                  <c:v>38708732</c:v>
                </c:pt>
                <c:pt idx="3">
                  <c:v>40623841</c:v>
                </c:pt>
                <c:pt idx="4">
                  <c:v>41577938</c:v>
                </c:pt>
                <c:pt idx="5">
                  <c:v>47402024</c:v>
                </c:pt>
                <c:pt idx="6">
                  <c:v>50856089</c:v>
                </c:pt>
                <c:pt idx="7">
                  <c:v>50387135</c:v>
                </c:pt>
                <c:pt idx="8">
                  <c:v>42415167</c:v>
                </c:pt>
              </c:numCache>
            </c:numRef>
          </c:val>
          <c:extLst>
            <c:ext xmlns:c16="http://schemas.microsoft.com/office/drawing/2014/chart" uri="{C3380CC4-5D6E-409C-BE32-E72D297353CC}">
              <c16:uniqueId val="{00000000-EEF4-46B1-A901-FEFFBD875941}"/>
            </c:ext>
          </c:extLst>
        </c:ser>
        <c:ser>
          <c:idx val="1"/>
          <c:order val="1"/>
          <c:tx>
            <c:strRef>
              <c:f>'G2.7+G2.8'!$L$4</c:f>
              <c:strCache>
                <c:ptCount val="1"/>
                <c:pt idx="0">
                  <c:v> 2. pololetí</c:v>
                </c:pt>
              </c:strCache>
            </c:strRef>
          </c:tx>
          <c:spPr>
            <a:solidFill>
              <a:srgbClr val="B44946"/>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'G2.7+G2.8'!$M$2:$U$2</c:f>
              <c:strCache>
                <c:ptCount val="9"/>
                <c:pt idx="0">
                  <c:v>2015</c:v>
                </c:pt>
                <c:pt idx="1">
                  <c:v>2016</c:v>
                </c:pt>
                <c:pt idx="2">
                  <c:v>2017</c:v>
                </c:pt>
                <c:pt idx="3">
                  <c:v>2018</c:v>
                </c:pt>
                <c:pt idx="4">
                  <c:v>2019</c:v>
                </c:pt>
                <c:pt idx="5">
                  <c:v>2020</c:v>
                </c:pt>
                <c:pt idx="6">
                  <c:v>2021</c:v>
                </c:pt>
                <c:pt idx="7">
                  <c:v>2022*</c:v>
                </c:pt>
                <c:pt idx="8">
                  <c:v>2023</c:v>
                </c:pt>
              </c:strCache>
            </c:strRef>
          </c:cat>
          <c:val>
            <c:numRef>
              <c:f>'G2.7+G2.8'!$M$4:$U$4</c:f>
              <c:numCache>
                <c:formatCode>#,##0</c:formatCode>
                <c:ptCount val="9"/>
                <c:pt idx="0">
                  <c:v>31765440</c:v>
                </c:pt>
                <c:pt idx="1">
                  <c:v>33465090</c:v>
                </c:pt>
                <c:pt idx="2">
                  <c:v>33968745</c:v>
                </c:pt>
                <c:pt idx="3">
                  <c:v>36533814</c:v>
                </c:pt>
                <c:pt idx="4">
                  <c:v>39626934</c:v>
                </c:pt>
                <c:pt idx="5">
                  <c:v>46844167</c:v>
                </c:pt>
                <c:pt idx="6">
                  <c:v>44093478</c:v>
                </c:pt>
                <c:pt idx="7">
                  <c:v>40676458</c:v>
                </c:pt>
                <c:pt idx="8">
                  <c:v>37149301</c:v>
                </c:pt>
              </c:numCache>
            </c:numRef>
          </c:val>
          <c:extLst>
            <c:ext xmlns:c16="http://schemas.microsoft.com/office/drawing/2014/chart" uri="{C3380CC4-5D6E-409C-BE32-E72D297353CC}">
              <c16:uniqueId val="{00000001-EEF4-46B1-A901-FEFFBD875941}"/>
            </c:ext>
          </c:extLst>
        </c:ser>
        <c:dLbls>
          <c:showLegendKey val="0"/>
          <c:showVal val="0"/>
          <c:showCatName val="0"/>
          <c:showSerName val="0"/>
          <c:showPercent val="0"/>
          <c:showBubbleSize val="0"/>
        </c:dLbls>
        <c:gapWidth val="70"/>
        <c:axId val="103414079"/>
        <c:axId val="103411583"/>
      </c:barChart>
      <c:catAx>
        <c:axId val="103414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03411583"/>
        <c:crosses val="autoZero"/>
        <c:auto val="1"/>
        <c:lblAlgn val="ctr"/>
        <c:lblOffset val="100"/>
        <c:noMultiLvlLbl val="0"/>
      </c:catAx>
      <c:valAx>
        <c:axId val="103411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03414079"/>
        <c:crosses val="autoZero"/>
        <c:crossBetween val="between"/>
        <c:majorUnit val="5000000"/>
        <c:dispUnits>
          <c:builtInUnit val="millions"/>
          <c:dispUnitsLbl>
            <c:layout>
              <c:manualLayout>
                <c:xMode val="edge"/>
                <c:yMode val="edge"/>
                <c:x val="1.6666666666666666E-2"/>
                <c:y val="0.3291203703703704"/>
              </c:manualLayout>
            </c:layout>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miliony</a:t>
                  </a:r>
                </a:p>
              </c:rich>
            </c:tx>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'G2.9'!$A$37</c:f>
              <c:strCache>
                <c:ptCount val="1"/>
                <c:pt idx="0">
                  <c:v> 1. pololetí</c:v>
                </c:pt>
              </c:strCache>
            </c:strRef>
          </c:tx>
          <c:spPr>
            <a:solidFill>
              <a:srgbClr val="632827"/>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'G2.9'!$B$36:$J$36</c:f>
              <c:strCache>
                <c:ptCount val="9"/>
                <c:pt idx="0">
                  <c:v>2015</c:v>
                </c:pt>
                <c:pt idx="1">
                  <c:v>2016</c:v>
                </c:pt>
                <c:pt idx="2">
                  <c:v>2017</c:v>
                </c:pt>
                <c:pt idx="3">
                  <c:v>2018</c:v>
                </c:pt>
                <c:pt idx="4">
                  <c:v>2019</c:v>
                </c:pt>
                <c:pt idx="5">
                  <c:v>2020</c:v>
                </c:pt>
                <c:pt idx="6">
                  <c:v>2021</c:v>
                </c:pt>
                <c:pt idx="7">
                  <c:v>2022*</c:v>
                </c:pt>
                <c:pt idx="8">
                  <c:v>2023</c:v>
                </c:pt>
              </c:strCache>
            </c:strRef>
          </c:cat>
          <c:val>
            <c:numRef>
              <c:f>'G2.9'!$B$37:$J$37</c:f>
              <c:numCache>
                <c:formatCode>General</c:formatCode>
                <c:ptCount val="9"/>
                <c:pt idx="0">
                  <c:v>40.111737833835704</c:v>
                </c:pt>
                <c:pt idx="1">
                  <c:v>41.971770756913834</c:v>
                </c:pt>
                <c:pt idx="2">
                  <c:v>40.973631424237581</c:v>
                </c:pt>
                <c:pt idx="3">
                  <c:v>39.052748911298465</c:v>
                </c:pt>
                <c:pt idx="4">
                  <c:v>42.645176179057081</c:v>
                </c:pt>
                <c:pt idx="5">
                  <c:v>44.298183197874529</c:v>
                </c:pt>
                <c:pt idx="6">
                  <c:v>36.340469789929358</c:v>
                </c:pt>
                <c:pt idx="7">
                  <c:v>24.53210826485472</c:v>
                </c:pt>
                <c:pt idx="8">
                  <c:v>31.942090268902916</c:v>
                </c:pt>
              </c:numCache>
            </c:numRef>
          </c:val>
          <c:extLst>
            <c:ext xmlns:c16="http://schemas.microsoft.com/office/drawing/2014/chart" uri="{C3380CC4-5D6E-409C-BE32-E72D297353CC}">
              <c16:uniqueId val="{00000000-3379-470A-9F11-F42103D7DB32}"/>
            </c:ext>
          </c:extLst>
        </c:ser>
        <c:ser>
          <c:idx val="1"/>
          <c:order val="1"/>
          <c:tx>
            <c:strRef>
              <c:f>'G2.9'!$A$38</c:f>
              <c:strCache>
                <c:ptCount val="1"/>
                <c:pt idx="0">
                  <c:v> 2. pololetí</c:v>
                </c:pt>
              </c:strCache>
            </c:strRef>
          </c:tx>
          <c:spPr>
            <a:solidFill>
              <a:srgbClr val="B4494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'G2.9'!$B$36:$J$36</c:f>
              <c:strCache>
                <c:ptCount val="9"/>
                <c:pt idx="0">
                  <c:v>2015</c:v>
                </c:pt>
                <c:pt idx="1">
                  <c:v>2016</c:v>
                </c:pt>
                <c:pt idx="2">
                  <c:v>2017</c:v>
                </c:pt>
                <c:pt idx="3">
                  <c:v>2018</c:v>
                </c:pt>
                <c:pt idx="4">
                  <c:v>2019</c:v>
                </c:pt>
                <c:pt idx="5">
                  <c:v>2020</c:v>
                </c:pt>
                <c:pt idx="6">
                  <c:v>2021</c:v>
                </c:pt>
                <c:pt idx="7">
                  <c:v>2022*</c:v>
                </c:pt>
                <c:pt idx="8">
                  <c:v>2023</c:v>
                </c:pt>
              </c:strCache>
            </c:strRef>
          </c:cat>
          <c:val>
            <c:numRef>
              <c:f>'G2.9'!$B$38:$J$38</c:f>
              <c:numCache>
                <c:formatCode>General</c:formatCode>
                <c:ptCount val="9"/>
                <c:pt idx="0">
                  <c:v>46.063573085846862</c:v>
                </c:pt>
                <c:pt idx="1">
                  <c:v>44.214525420145861</c:v>
                </c:pt>
                <c:pt idx="2">
                  <c:v>44.532236919728888</c:v>
                </c:pt>
                <c:pt idx="3">
                  <c:v>45.146669962000686</c:v>
                </c:pt>
                <c:pt idx="4">
                  <c:v>42.163534392592773</c:v>
                </c:pt>
                <c:pt idx="5">
                  <c:v>35.462026681968588</c:v>
                </c:pt>
                <c:pt idx="6">
                  <c:v>32.533172881470975</c:v>
                </c:pt>
                <c:pt idx="7">
                  <c:v>28.977883561170533</c:v>
                </c:pt>
                <c:pt idx="8">
                  <c:v>30.770843600827966</c:v>
                </c:pt>
              </c:numCache>
            </c:numRef>
          </c:val>
          <c:extLst>
            <c:ext xmlns:c16="http://schemas.microsoft.com/office/drawing/2014/chart" uri="{C3380CC4-5D6E-409C-BE32-E72D297353CC}">
              <c16:uniqueId val="{00000001-3379-470A-9F11-F42103D7DB32}"/>
            </c:ext>
          </c:extLst>
        </c:ser>
        <c:dLbls>
          <c:showLegendKey val="0"/>
          <c:showVal val="0"/>
          <c:showCatName val="0"/>
          <c:showSerName val="0"/>
          <c:showPercent val="0"/>
          <c:showBubbleSize val="0"/>
        </c:dLbls>
        <c:gapWidth val="94"/>
        <c:axId val="1237737583"/>
        <c:axId val="1237740911"/>
      </c:barChart>
      <c:catAx>
        <c:axId val="1237737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37740911"/>
        <c:crosses val="autoZero"/>
        <c:auto val="1"/>
        <c:lblAlgn val="ctr"/>
        <c:lblOffset val="100"/>
        <c:noMultiLvlLbl val="0"/>
      </c:catAx>
      <c:valAx>
        <c:axId val="12377409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počet dnů</a:t>
                </a:r>
              </a:p>
            </c:rich>
          </c:tx>
          <c:layout>
            <c:manualLayout>
              <c:xMode val="edge"/>
              <c:yMode val="edge"/>
              <c:x val="1.5555555555555555E-2"/>
              <c:y val="0.3550795251977771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37737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'G2.10'!$A$3</c:f>
              <c:strCache>
                <c:ptCount val="1"/>
                <c:pt idx="0">
                  <c:v> muži</c:v>
                </c:pt>
              </c:strCache>
            </c:strRef>
          </c:tx>
          <c:spPr>
            <a:solidFill>
              <a:srgbClr val="632827"/>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'G2.10'!$B$2:$L$2</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'G2.10'!$B$3:$L$3</c:f>
              <c:numCache>
                <c:formatCode>General</c:formatCode>
                <c:ptCount val="11"/>
                <c:pt idx="0">
                  <c:v>42.346100568813952</c:v>
                </c:pt>
                <c:pt idx="1">
                  <c:v>43.421782761290075</c:v>
                </c:pt>
                <c:pt idx="2">
                  <c:v>40.535215932702108</c:v>
                </c:pt>
                <c:pt idx="3">
                  <c:v>40.654897349033696</c:v>
                </c:pt>
                <c:pt idx="4">
                  <c:v>40.626409339981365</c:v>
                </c:pt>
                <c:pt idx="5">
                  <c:v>40.289645469571234</c:v>
                </c:pt>
                <c:pt idx="6">
                  <c:v>41.053973179652004</c:v>
                </c:pt>
                <c:pt idx="7">
                  <c:v>37.845603387500056</c:v>
                </c:pt>
                <c:pt idx="8" formatCode="0.0">
                  <c:v>32.954890437460811</c:v>
                </c:pt>
                <c:pt idx="9" formatCode="0.0">
                  <c:v>26.050335401474559</c:v>
                </c:pt>
                <c:pt idx="10" formatCode="0.0">
                  <c:v>31.852722200473302</c:v>
                </c:pt>
              </c:numCache>
            </c:numRef>
          </c:val>
          <c:extLst>
            <c:ext xmlns:c16="http://schemas.microsoft.com/office/drawing/2014/chart" uri="{C3380CC4-5D6E-409C-BE32-E72D297353CC}">
              <c16:uniqueId val="{00000000-0D28-4BE7-9F16-488678691681}"/>
            </c:ext>
          </c:extLst>
        </c:ser>
        <c:ser>
          <c:idx val="1"/>
          <c:order val="1"/>
          <c:tx>
            <c:strRef>
              <c:f>'G2.10'!$A$4</c:f>
              <c:strCache>
                <c:ptCount val="1"/>
                <c:pt idx="0">
                  <c:v> ženy</c:v>
                </c:pt>
              </c:strCache>
            </c:strRef>
          </c:tx>
          <c:spPr>
            <a:solidFill>
              <a:srgbClr val="B4494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'G2.10'!$B$2:$L$2</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'G2.10'!$B$4:$L$4</c:f>
              <c:numCache>
                <c:formatCode>General</c:formatCode>
                <c:ptCount val="11"/>
                <c:pt idx="0">
                  <c:v>45.52</c:v>
                </c:pt>
                <c:pt idx="1">
                  <c:v>48.02</c:v>
                </c:pt>
                <c:pt idx="2">
                  <c:v>44.776083656899999</c:v>
                </c:pt>
                <c:pt idx="3">
                  <c:v>45.185948486599997</c:v>
                </c:pt>
                <c:pt idx="4">
                  <c:v>44.329904953400003</c:v>
                </c:pt>
                <c:pt idx="5">
                  <c:v>43.000647046799997</c:v>
                </c:pt>
                <c:pt idx="6">
                  <c:v>43.616790123456788</c:v>
                </c:pt>
                <c:pt idx="7">
                  <c:v>40.852407441899999</c:v>
                </c:pt>
                <c:pt idx="8" formatCode="0.0">
                  <c:v>35.905781411699998</c:v>
                </c:pt>
                <c:pt idx="9" formatCode="0.0">
                  <c:v>26.5805903303695</c:v>
                </c:pt>
                <c:pt idx="10" formatCode="0.0">
                  <c:v>31.005140577155053</c:v>
                </c:pt>
              </c:numCache>
            </c:numRef>
          </c:val>
          <c:extLst>
            <c:ext xmlns:c16="http://schemas.microsoft.com/office/drawing/2014/chart" uri="{C3380CC4-5D6E-409C-BE32-E72D297353CC}">
              <c16:uniqueId val="{00000001-0D28-4BE7-9F16-488678691681}"/>
            </c:ext>
          </c:extLst>
        </c:ser>
        <c:dLbls>
          <c:showLegendKey val="0"/>
          <c:showVal val="0"/>
          <c:showCatName val="0"/>
          <c:showSerName val="0"/>
          <c:showPercent val="0"/>
          <c:showBubbleSize val="0"/>
        </c:dLbls>
        <c:gapWidth val="38"/>
        <c:axId val="1536008143"/>
        <c:axId val="1536029359"/>
      </c:barChart>
      <c:catAx>
        <c:axId val="1536008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36029359"/>
        <c:crosses val="autoZero"/>
        <c:auto val="1"/>
        <c:lblAlgn val="ctr"/>
        <c:lblOffset val="100"/>
        <c:noMultiLvlLbl val="0"/>
      </c:catAx>
      <c:valAx>
        <c:axId val="1536029359"/>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počet dnů</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36008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326986518260231"/>
          <c:y val="3.3197525275388565E-2"/>
          <c:w val="0.46466954133327232"/>
          <c:h val="0.85074183517915847"/>
        </c:manualLayout>
      </c:layout>
      <c:barChart>
        <c:barDir val="bar"/>
        <c:grouping val="clustered"/>
        <c:varyColors val="0"/>
        <c:ser>
          <c:idx val="0"/>
          <c:order val="0"/>
          <c:spPr>
            <a:solidFill>
              <a:srgbClr val="B44946"/>
            </a:solidFill>
            <a:ln>
              <a:noFill/>
            </a:ln>
            <a:effectLst/>
          </c:spPr>
          <c:invertIfNegative val="0"/>
          <c:dPt>
            <c:idx val="3"/>
            <c:invertIfNegative val="0"/>
            <c:bubble3D val="0"/>
            <c:spPr>
              <a:solidFill>
                <a:srgbClr val="B44946"/>
              </a:solidFill>
              <a:ln>
                <a:noFill/>
              </a:ln>
              <a:effectLst/>
            </c:spPr>
            <c:extLst>
              <c:ext xmlns:c16="http://schemas.microsoft.com/office/drawing/2014/chart" uri="{C3380CC4-5D6E-409C-BE32-E72D297353CC}">
                <c16:uniqueId val="{00000001-1D07-4E2D-82A0-097D5E543BE0}"/>
              </c:ext>
            </c:extLst>
          </c:dPt>
          <c:dPt>
            <c:idx val="7"/>
            <c:invertIfNegative val="0"/>
            <c:bubble3D val="0"/>
            <c:spPr>
              <a:solidFill>
                <a:srgbClr val="632827"/>
              </a:solidFill>
              <a:ln>
                <a:noFill/>
              </a:ln>
              <a:effectLst/>
            </c:spPr>
            <c:extLst>
              <c:ext xmlns:c16="http://schemas.microsoft.com/office/drawing/2014/chart" uri="{C3380CC4-5D6E-409C-BE32-E72D297353CC}">
                <c16:uniqueId val="{00000003-1D07-4E2D-82A0-097D5E543BE0}"/>
              </c:ext>
            </c:extLst>
          </c:dPt>
          <c:dPt>
            <c:idx val="13"/>
            <c:invertIfNegative val="0"/>
            <c:bubble3D val="0"/>
            <c:spPr>
              <a:solidFill>
                <a:srgbClr val="B44946"/>
              </a:solidFill>
              <a:ln>
                <a:noFill/>
              </a:ln>
              <a:effectLst/>
            </c:spPr>
            <c:extLst>
              <c:ext xmlns:c16="http://schemas.microsoft.com/office/drawing/2014/chart" uri="{C3380CC4-5D6E-409C-BE32-E72D297353CC}">
                <c16:uniqueId val="{00000005-1D07-4E2D-82A0-097D5E543BE0}"/>
              </c:ext>
            </c:extLst>
          </c:dPt>
          <c:dPt>
            <c:idx val="14"/>
            <c:invertIfNegative val="0"/>
            <c:bubble3D val="0"/>
            <c:spPr>
              <a:solidFill>
                <a:srgbClr val="B44946"/>
              </a:solidFill>
              <a:ln>
                <a:noFill/>
              </a:ln>
              <a:effectLst/>
            </c:spPr>
            <c:extLst>
              <c:ext xmlns:c16="http://schemas.microsoft.com/office/drawing/2014/chart" uri="{C3380CC4-5D6E-409C-BE32-E72D297353CC}">
                <c16:uniqueId val="{00000007-1D07-4E2D-82A0-097D5E543BE0}"/>
              </c:ext>
            </c:extLst>
          </c:dPt>
          <c:cat>
            <c:strRef>
              <c:f>'G2.11'!$S$2:$S$21</c:f>
              <c:strCache>
                <c:ptCount val="20"/>
                <c:pt idx="0">
                  <c:v>J – Informační a komunikační činnosti</c:v>
                </c:pt>
                <c:pt idx="1">
                  <c:v>P – Vzdělávání</c:v>
                </c:pt>
                <c:pt idx="2">
                  <c:v>K – Peněžnictví a pojišťovnictví</c:v>
                </c:pt>
                <c:pt idx="3">
                  <c:v>O – Veřejná správa a obrana; povinné sociální zabezpečení</c:v>
                </c:pt>
                <c:pt idx="4">
                  <c:v>M – Profesní, vědecké a technické činnosti</c:v>
                </c:pt>
                <c:pt idx="5">
                  <c:v>D – Výroba a rozvod elektřiny, plynu, tepla a klimatiz. vzduchu</c:v>
                </c:pt>
                <c:pt idx="6">
                  <c:v>R – Kulturní, zábavní a rekreační činnosti</c:v>
                </c:pt>
                <c:pt idx="7">
                  <c:v>CELKEM</c:v>
                </c:pt>
                <c:pt idx="8">
                  <c:v>C – Zpracovatelský průmysl</c:v>
                </c:pt>
                <c:pt idx="9">
                  <c:v>Q – Zdravotní a sociální péče</c:v>
                </c:pt>
                <c:pt idx="10">
                  <c:v>G – Velkoobchod a maloobchod; opravy a údržba motor. vozidel</c:v>
                </c:pt>
                <c:pt idx="11">
                  <c:v>E – Zásobování vodou; činnosti související s odpady a sanacemi</c:v>
                </c:pt>
                <c:pt idx="12">
                  <c:v>N – Administrativní a podpůrné činnosti</c:v>
                </c:pt>
                <c:pt idx="13">
                  <c:v>H – Doprava a skladování</c:v>
                </c:pt>
                <c:pt idx="14">
                  <c:v>S – Ostatní činnosti</c:v>
                </c:pt>
                <c:pt idx="15">
                  <c:v>L – Činnosti v oblasti nemovitostí</c:v>
                </c:pt>
                <c:pt idx="16">
                  <c:v>B – Těžba a dobývání</c:v>
                </c:pt>
                <c:pt idx="17">
                  <c:v>F – Stavebnictví</c:v>
                </c:pt>
                <c:pt idx="18">
                  <c:v>I – Ubytování, stravování a pohostinství</c:v>
                </c:pt>
                <c:pt idx="19">
                  <c:v>A – Zemědělství, lesnictví, rybářství</c:v>
                </c:pt>
              </c:strCache>
            </c:strRef>
          </c:cat>
          <c:val>
            <c:numRef>
              <c:f>'G2.11'!$T$2:$T$21</c:f>
              <c:numCache>
                <c:formatCode>0.00</c:formatCode>
                <c:ptCount val="20"/>
                <c:pt idx="0">
                  <c:v>18.301502706499999</c:v>
                </c:pt>
                <c:pt idx="1">
                  <c:v>19.919201272999999</c:v>
                </c:pt>
                <c:pt idx="2">
                  <c:v>22.413327256700001</c:v>
                </c:pt>
                <c:pt idx="3">
                  <c:v>24.833584439500001</c:v>
                </c:pt>
                <c:pt idx="4">
                  <c:v>27.708041596499999</c:v>
                </c:pt>
                <c:pt idx="5">
                  <c:v>28.522501747</c:v>
                </c:pt>
                <c:pt idx="6">
                  <c:v>29.647960772099999</c:v>
                </c:pt>
                <c:pt idx="7">
                  <c:v>31.384322762299998</c:v>
                </c:pt>
                <c:pt idx="8">
                  <c:v>31.943403523899999</c:v>
                </c:pt>
                <c:pt idx="9">
                  <c:v>32.17887683</c:v>
                </c:pt>
                <c:pt idx="10">
                  <c:v>33.537094533500003</c:v>
                </c:pt>
                <c:pt idx="11">
                  <c:v>34.921813185200001</c:v>
                </c:pt>
                <c:pt idx="12">
                  <c:v>34.970911359900001</c:v>
                </c:pt>
                <c:pt idx="13">
                  <c:v>35.189693900599998</c:v>
                </c:pt>
                <c:pt idx="14">
                  <c:v>37.693197278900001</c:v>
                </c:pt>
                <c:pt idx="15">
                  <c:v>37.820715852500001</c:v>
                </c:pt>
                <c:pt idx="16">
                  <c:v>40.011082867299997</c:v>
                </c:pt>
                <c:pt idx="17">
                  <c:v>41.746042422099997</c:v>
                </c:pt>
                <c:pt idx="18">
                  <c:v>42.814705828900003</c:v>
                </c:pt>
                <c:pt idx="19">
                  <c:v>45.373759450500003</c:v>
                </c:pt>
              </c:numCache>
            </c:numRef>
          </c:val>
          <c:extLst>
            <c:ext xmlns:c16="http://schemas.microsoft.com/office/drawing/2014/chart" uri="{C3380CC4-5D6E-409C-BE32-E72D297353CC}">
              <c16:uniqueId val="{00000008-1D07-4E2D-82A0-097D5E543BE0}"/>
            </c:ext>
          </c:extLst>
        </c:ser>
        <c:dLbls>
          <c:showLegendKey val="0"/>
          <c:showVal val="0"/>
          <c:showCatName val="0"/>
          <c:showSerName val="0"/>
          <c:showPercent val="0"/>
          <c:showBubbleSize val="0"/>
        </c:dLbls>
        <c:gapWidth val="182"/>
        <c:axId val="1315644767"/>
        <c:axId val="1315646431"/>
      </c:barChart>
      <c:catAx>
        <c:axId val="13156447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15646431"/>
        <c:crosses val="autoZero"/>
        <c:auto val="1"/>
        <c:lblAlgn val="ctr"/>
        <c:lblOffset val="100"/>
        <c:noMultiLvlLbl val="0"/>
      </c:catAx>
      <c:valAx>
        <c:axId val="1315646431"/>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počet dnů</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156447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'G2.12'!$O$26</c:f>
              <c:strCache>
                <c:ptCount val="1"/>
                <c:pt idx="0">
                  <c:v> nemoc</c:v>
                </c:pt>
              </c:strCache>
            </c:strRef>
          </c:tx>
          <c:spPr>
            <a:solidFill>
              <a:srgbClr val="632827"/>
            </a:solidFill>
            <a:ln>
              <a:noFill/>
            </a:ln>
            <a:effectLst/>
          </c:spPr>
          <c:invertIfNegative val="0"/>
          <c:cat>
            <c:multiLvlStrRef>
              <c:f>'G2.12'!$M$27:$N$33</c:f>
              <c:multiLvlStrCache>
                <c:ptCount val="7"/>
                <c:lvl>
                  <c:pt idx="2">
                    <c:v>1–49</c:v>
                  </c:pt>
                  <c:pt idx="3">
                    <c:v>50–99</c:v>
                  </c:pt>
                  <c:pt idx="4">
                    <c:v>100–249</c:v>
                  </c:pt>
                  <c:pt idx="5">
                    <c:v>250–499</c:v>
                  </c:pt>
                  <c:pt idx="6">
                    <c:v>500 a více</c:v>
                  </c:pt>
                </c:lvl>
                <c:lvl>
                  <c:pt idx="0">
                    <c:v>CELKEM</c:v>
                  </c:pt>
                  <c:pt idx="1">
                    <c:v>OSVČ</c:v>
                  </c:pt>
                  <c:pt idx="2">
                    <c:v>zaměstnanci (počet)</c:v>
                  </c:pt>
                </c:lvl>
              </c:multiLvlStrCache>
            </c:multiLvlStrRef>
          </c:cat>
          <c:val>
            <c:numRef>
              <c:f>'G2.12'!$O$27:$O$33</c:f>
              <c:numCache>
                <c:formatCode>0.00</c:formatCode>
                <c:ptCount val="7"/>
                <c:pt idx="0">
                  <c:v>29.2108892613</c:v>
                </c:pt>
                <c:pt idx="1">
                  <c:v>99.463665808499997</c:v>
                </c:pt>
                <c:pt idx="2">
                  <c:v>33.593540494999999</c:v>
                </c:pt>
                <c:pt idx="3">
                  <c:v>25.961436441499998</c:v>
                </c:pt>
                <c:pt idx="4">
                  <c:v>28.056574919300001</c:v>
                </c:pt>
                <c:pt idx="5">
                  <c:v>28.334685696699999</c:v>
                </c:pt>
                <c:pt idx="6">
                  <c:v>27.164058682299999</c:v>
                </c:pt>
              </c:numCache>
            </c:numRef>
          </c:val>
          <c:extLst>
            <c:ext xmlns:c16="http://schemas.microsoft.com/office/drawing/2014/chart" uri="{C3380CC4-5D6E-409C-BE32-E72D297353CC}">
              <c16:uniqueId val="{00000000-36D9-4B31-9418-DF1C37048672}"/>
            </c:ext>
          </c:extLst>
        </c:ser>
        <c:ser>
          <c:idx val="1"/>
          <c:order val="1"/>
          <c:tx>
            <c:strRef>
              <c:f>'G2.12'!$P$26</c:f>
              <c:strCache>
                <c:ptCount val="1"/>
                <c:pt idx="0">
                  <c:v> pracovní úraz</c:v>
                </c:pt>
              </c:strCache>
            </c:strRef>
          </c:tx>
          <c:spPr>
            <a:solidFill>
              <a:srgbClr val="B44946"/>
            </a:solidFill>
            <a:ln>
              <a:noFill/>
            </a:ln>
            <a:effectLst/>
          </c:spPr>
          <c:invertIfNegative val="0"/>
          <c:cat>
            <c:multiLvlStrRef>
              <c:f>'G2.12'!$M$27:$N$33</c:f>
              <c:multiLvlStrCache>
                <c:ptCount val="7"/>
                <c:lvl>
                  <c:pt idx="2">
                    <c:v>1–49</c:v>
                  </c:pt>
                  <c:pt idx="3">
                    <c:v>50–99</c:v>
                  </c:pt>
                  <c:pt idx="4">
                    <c:v>100–249</c:v>
                  </c:pt>
                  <c:pt idx="5">
                    <c:v>250–499</c:v>
                  </c:pt>
                  <c:pt idx="6">
                    <c:v>500 a více</c:v>
                  </c:pt>
                </c:lvl>
                <c:lvl>
                  <c:pt idx="0">
                    <c:v>CELKEM</c:v>
                  </c:pt>
                  <c:pt idx="1">
                    <c:v>OSVČ</c:v>
                  </c:pt>
                  <c:pt idx="2">
                    <c:v>zaměstnanci (počet)</c:v>
                  </c:pt>
                </c:lvl>
              </c:multiLvlStrCache>
            </c:multiLvlStrRef>
          </c:cat>
          <c:val>
            <c:numRef>
              <c:f>'G2.12'!$P$27:$P$33</c:f>
              <c:numCache>
                <c:formatCode>0.00</c:formatCode>
                <c:ptCount val="7"/>
                <c:pt idx="0">
                  <c:v>56.154752047099997</c:v>
                </c:pt>
                <c:pt idx="1">
                  <c:v>97.413043478299997</c:v>
                </c:pt>
                <c:pt idx="2">
                  <c:v>57.5284662356</c:v>
                </c:pt>
                <c:pt idx="3">
                  <c:v>52.567229619999999</c:v>
                </c:pt>
                <c:pt idx="4">
                  <c:v>52.731376386199997</c:v>
                </c:pt>
                <c:pt idx="5">
                  <c:v>53.137090327700001</c:v>
                </c:pt>
                <c:pt idx="6">
                  <c:v>58.930875575999998</c:v>
                </c:pt>
              </c:numCache>
            </c:numRef>
          </c:val>
          <c:extLst>
            <c:ext xmlns:c16="http://schemas.microsoft.com/office/drawing/2014/chart" uri="{C3380CC4-5D6E-409C-BE32-E72D297353CC}">
              <c16:uniqueId val="{00000001-36D9-4B31-9418-DF1C37048672}"/>
            </c:ext>
          </c:extLst>
        </c:ser>
        <c:ser>
          <c:idx val="2"/>
          <c:order val="2"/>
          <c:tx>
            <c:strRef>
              <c:f>'G2.12'!$Q$26</c:f>
              <c:strCache>
                <c:ptCount val="1"/>
                <c:pt idx="0">
                  <c:v> ostatní úraz</c:v>
                </c:pt>
              </c:strCache>
            </c:strRef>
          </c:tx>
          <c:spPr>
            <a:solidFill>
              <a:srgbClr val="F07373"/>
            </a:solidFill>
            <a:ln>
              <a:noFill/>
            </a:ln>
            <a:effectLst/>
          </c:spPr>
          <c:invertIfNegative val="0"/>
          <c:cat>
            <c:multiLvlStrRef>
              <c:f>'G2.12'!$M$27:$N$33</c:f>
              <c:multiLvlStrCache>
                <c:ptCount val="7"/>
                <c:lvl>
                  <c:pt idx="2">
                    <c:v>1–49</c:v>
                  </c:pt>
                  <c:pt idx="3">
                    <c:v>50–99</c:v>
                  </c:pt>
                  <c:pt idx="4">
                    <c:v>100–249</c:v>
                  </c:pt>
                  <c:pt idx="5">
                    <c:v>250–499</c:v>
                  </c:pt>
                  <c:pt idx="6">
                    <c:v>500 a více</c:v>
                  </c:pt>
                </c:lvl>
                <c:lvl>
                  <c:pt idx="0">
                    <c:v>CELKEM</c:v>
                  </c:pt>
                  <c:pt idx="1">
                    <c:v>OSVČ</c:v>
                  </c:pt>
                  <c:pt idx="2">
                    <c:v>zaměstnanci (počet)</c:v>
                  </c:pt>
                </c:lvl>
              </c:multiLvlStrCache>
            </c:multiLvlStrRef>
          </c:cat>
          <c:val>
            <c:numRef>
              <c:f>'G2.12'!$Q$27:$Q$33</c:f>
              <c:numCache>
                <c:formatCode>0.00</c:formatCode>
                <c:ptCount val="7"/>
                <c:pt idx="0">
                  <c:v>54.967378463300001</c:v>
                </c:pt>
                <c:pt idx="1">
                  <c:v>101.79351784409999</c:v>
                </c:pt>
                <c:pt idx="2">
                  <c:v>61.467286663300001</c:v>
                </c:pt>
                <c:pt idx="3">
                  <c:v>51.6978287413</c:v>
                </c:pt>
                <c:pt idx="4">
                  <c:v>51.358543645799998</c:v>
                </c:pt>
                <c:pt idx="5">
                  <c:v>52.751679393700002</c:v>
                </c:pt>
                <c:pt idx="6">
                  <c:v>50.361621573400001</c:v>
                </c:pt>
              </c:numCache>
            </c:numRef>
          </c:val>
          <c:extLst>
            <c:ext xmlns:c16="http://schemas.microsoft.com/office/drawing/2014/chart" uri="{C3380CC4-5D6E-409C-BE32-E72D297353CC}">
              <c16:uniqueId val="{00000002-36D9-4B31-9418-DF1C37048672}"/>
            </c:ext>
          </c:extLst>
        </c:ser>
        <c:dLbls>
          <c:showLegendKey val="0"/>
          <c:showVal val="0"/>
          <c:showCatName val="0"/>
          <c:showSerName val="0"/>
          <c:showPercent val="0"/>
          <c:showBubbleSize val="0"/>
        </c:dLbls>
        <c:gapWidth val="219"/>
        <c:axId val="1541395279"/>
        <c:axId val="1541399855"/>
      </c:barChart>
      <c:catAx>
        <c:axId val="1541395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41399855"/>
        <c:crosses val="autoZero"/>
        <c:auto val="1"/>
        <c:lblAlgn val="ctr"/>
        <c:lblOffset val="100"/>
        <c:noMultiLvlLbl val="0"/>
      </c:catAx>
      <c:valAx>
        <c:axId val="1541399855"/>
        <c:scaling>
          <c:orientation val="minMax"/>
          <c:max val="1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počet dnů</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41395279"/>
        <c:crosses val="autoZero"/>
        <c:crossBetween val="between"/>
        <c:majorUnit val="10"/>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156116795852937"/>
          <c:y val="2.7173538482744362E-2"/>
          <c:w val="0.44161624102759384"/>
          <c:h val="0.91449219490342704"/>
        </c:manualLayout>
      </c:layout>
      <c:barChart>
        <c:barDir val="bar"/>
        <c:grouping val="clustered"/>
        <c:varyColors val="0"/>
        <c:ser>
          <c:idx val="0"/>
          <c:order val="0"/>
          <c:spPr>
            <a:solidFill>
              <a:srgbClr val="B44946"/>
            </a:solidFill>
            <a:ln>
              <a:noFill/>
            </a:ln>
            <a:effectLst/>
          </c:spPr>
          <c:invertIfNegative val="0"/>
          <c:dPt>
            <c:idx val="3"/>
            <c:invertIfNegative val="0"/>
            <c:bubble3D val="0"/>
            <c:spPr>
              <a:solidFill>
                <a:srgbClr val="B44946"/>
              </a:solidFill>
              <a:ln>
                <a:noFill/>
              </a:ln>
              <a:effectLst/>
            </c:spPr>
            <c:extLst>
              <c:ext xmlns:c16="http://schemas.microsoft.com/office/drawing/2014/chart" uri="{C3380CC4-5D6E-409C-BE32-E72D297353CC}">
                <c16:uniqueId val="{00000001-FFF8-4B90-BBD6-4052F3FC5823}"/>
              </c:ext>
            </c:extLst>
          </c:dPt>
          <c:dPt>
            <c:idx val="10"/>
            <c:invertIfNegative val="0"/>
            <c:bubble3D val="0"/>
            <c:spPr>
              <a:solidFill>
                <a:srgbClr val="632827"/>
              </a:solidFill>
              <a:ln>
                <a:noFill/>
              </a:ln>
              <a:effectLst/>
            </c:spPr>
            <c:extLst>
              <c:ext xmlns:c16="http://schemas.microsoft.com/office/drawing/2014/chart" uri="{C3380CC4-5D6E-409C-BE32-E72D297353CC}">
                <c16:uniqueId val="{00000003-FFF8-4B90-BBD6-4052F3FC5823}"/>
              </c:ext>
            </c:extLst>
          </c:dPt>
          <c:dPt>
            <c:idx val="15"/>
            <c:invertIfNegative val="0"/>
            <c:bubble3D val="0"/>
            <c:spPr>
              <a:solidFill>
                <a:srgbClr val="B44946"/>
              </a:solidFill>
              <a:ln>
                <a:noFill/>
              </a:ln>
              <a:effectLst/>
            </c:spPr>
            <c:extLst>
              <c:ext xmlns:c16="http://schemas.microsoft.com/office/drawing/2014/chart" uri="{C3380CC4-5D6E-409C-BE32-E72D297353CC}">
                <c16:uniqueId val="{00000005-FFF8-4B90-BBD6-4052F3FC5823}"/>
              </c:ext>
            </c:extLst>
          </c:dPt>
          <c:cat>
            <c:strRef>
              <c:f>'G2.13'!$S$2:$S$21</c:f>
              <c:strCache>
                <c:ptCount val="20"/>
                <c:pt idx="0">
                  <c:v>J – Informační a komunikační činnosti</c:v>
                </c:pt>
                <c:pt idx="1">
                  <c:v>K – Peněžnictví a pojišťovnictví</c:v>
                </c:pt>
                <c:pt idx="2">
                  <c:v>M – Profesní, vědecké a technické činnosti</c:v>
                </c:pt>
                <c:pt idx="3">
                  <c:v>L – Činnosti v oblasti nemovitostí</c:v>
                </c:pt>
                <c:pt idx="4">
                  <c:v>D – Výroba a rozvod elektřiny, plynu, tepla a klimatiz. vzduchu</c:v>
                </c:pt>
                <c:pt idx="5">
                  <c:v>R – Kulturní, zábavní a rekreační činnosti</c:v>
                </c:pt>
                <c:pt idx="6">
                  <c:v>P – Vzdělávání</c:v>
                </c:pt>
                <c:pt idx="7">
                  <c:v>S – Ostatní činnosti</c:v>
                </c:pt>
                <c:pt idx="8">
                  <c:v>O – Veřejná správa a obrana; povinné sociální zabezpečení</c:v>
                </c:pt>
                <c:pt idx="9">
                  <c:v>I – Ubytování, stravování a pohostinství</c:v>
                </c:pt>
                <c:pt idx="10">
                  <c:v>CELKEM</c:v>
                </c:pt>
                <c:pt idx="11">
                  <c:v>Q – Zdravotní a sociální péče</c:v>
                </c:pt>
                <c:pt idx="12">
                  <c:v>F – Stavebnictví</c:v>
                </c:pt>
                <c:pt idx="13">
                  <c:v>G – Velkoobchod a maloobchod; opravy a údržba motor. vozidel</c:v>
                </c:pt>
                <c:pt idx="14">
                  <c:v>H – Doprava a skladování</c:v>
                </c:pt>
                <c:pt idx="15">
                  <c:v>A – Zemědělství, lesnictví, rybářství</c:v>
                </c:pt>
                <c:pt idx="16">
                  <c:v>N – Administrativní a podpůrné činnosti</c:v>
                </c:pt>
                <c:pt idx="17">
                  <c:v>E – Zásobování vodou; činnosti související s odpady a sanacemi</c:v>
                </c:pt>
                <c:pt idx="18">
                  <c:v>B – Těžba a dobývání</c:v>
                </c:pt>
                <c:pt idx="19">
                  <c:v>C – Zpracovatelský průmysl</c:v>
                </c:pt>
              </c:strCache>
            </c:strRef>
          </c:cat>
          <c:val>
            <c:numRef>
              <c:f>'G2.13'!$T$2:$T$21</c:f>
              <c:numCache>
                <c:formatCode>0.00</c:formatCode>
                <c:ptCount val="20"/>
                <c:pt idx="0">
                  <c:v>1.5130702138000001E-2</c:v>
                </c:pt>
                <c:pt idx="1">
                  <c:v>2.0687814000999998E-2</c:v>
                </c:pt>
                <c:pt idx="2">
                  <c:v>2.2214200741000001E-2</c:v>
                </c:pt>
                <c:pt idx="3">
                  <c:v>2.5907758216999997E-2</c:v>
                </c:pt>
                <c:pt idx="4">
                  <c:v>2.8951584422E-2</c:v>
                </c:pt>
                <c:pt idx="5">
                  <c:v>3.1730297705999999E-2</c:v>
                </c:pt>
                <c:pt idx="6">
                  <c:v>3.4460726733000005E-2</c:v>
                </c:pt>
                <c:pt idx="7">
                  <c:v>3.5036661311999999E-2</c:v>
                </c:pt>
                <c:pt idx="8">
                  <c:v>3.6752230031000005E-2</c:v>
                </c:pt>
                <c:pt idx="9">
                  <c:v>4.4780746714000001E-2</c:v>
                </c:pt>
                <c:pt idx="10">
                  <c:v>4.5729162071999993E-2</c:v>
                </c:pt>
                <c:pt idx="11">
                  <c:v>4.6789492569000002E-2</c:v>
                </c:pt>
                <c:pt idx="12">
                  <c:v>4.6888793022000004E-2</c:v>
                </c:pt>
                <c:pt idx="13">
                  <c:v>4.7074169828000001E-2</c:v>
                </c:pt>
                <c:pt idx="14">
                  <c:v>4.9390868223000005E-2</c:v>
                </c:pt>
                <c:pt idx="15">
                  <c:v>5.1824673277000001E-2</c:v>
                </c:pt>
                <c:pt idx="16">
                  <c:v>5.3611563160999999E-2</c:v>
                </c:pt>
                <c:pt idx="17">
                  <c:v>5.4249202545999999E-2</c:v>
                </c:pt>
                <c:pt idx="18">
                  <c:v>5.6904360456000003E-2</c:v>
                </c:pt>
                <c:pt idx="19">
                  <c:v>6.0515035209E-2</c:v>
                </c:pt>
              </c:numCache>
            </c:numRef>
          </c:val>
          <c:extLst>
            <c:ext xmlns:c16="http://schemas.microsoft.com/office/drawing/2014/chart" uri="{C3380CC4-5D6E-409C-BE32-E72D297353CC}">
              <c16:uniqueId val="{00000006-FFF8-4B90-BBD6-4052F3FC5823}"/>
            </c:ext>
          </c:extLst>
        </c:ser>
        <c:dLbls>
          <c:showLegendKey val="0"/>
          <c:showVal val="0"/>
          <c:showCatName val="0"/>
          <c:showSerName val="0"/>
          <c:showPercent val="0"/>
          <c:showBubbleSize val="0"/>
        </c:dLbls>
        <c:gapWidth val="182"/>
        <c:axId val="1399942447"/>
        <c:axId val="1399957007"/>
      </c:barChart>
      <c:catAx>
        <c:axId val="13999424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99957007"/>
        <c:crosses val="autoZero"/>
        <c:auto val="1"/>
        <c:lblAlgn val="ctr"/>
        <c:lblOffset val="100"/>
        <c:noMultiLvlLbl val="0"/>
      </c:catAx>
      <c:valAx>
        <c:axId val="1399957007"/>
        <c:scaling>
          <c:orientation val="minMax"/>
          <c:max val="7.0000000000000007E-2"/>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99942447"/>
        <c:crosses val="autoZero"/>
        <c:crossBetween val="between"/>
        <c:majorUnit val="1.0000000000000002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72537807774029"/>
          <c:y val="0.11583297542352662"/>
          <c:w val="0.31442241594800652"/>
          <c:h val="0.76833404915294679"/>
        </c:manualLayout>
      </c:layout>
      <c:pieChart>
        <c:varyColors val="1"/>
        <c:ser>
          <c:idx val="0"/>
          <c:order val="0"/>
          <c:dPt>
            <c:idx val="0"/>
            <c:bubble3D val="0"/>
            <c:spPr>
              <a:solidFill>
                <a:srgbClr val="4E201E"/>
              </a:solidFill>
              <a:ln w="19050">
                <a:solidFill>
                  <a:schemeClr val="lt1"/>
                </a:solidFill>
              </a:ln>
              <a:effectLst/>
            </c:spPr>
            <c:extLst>
              <c:ext xmlns:c16="http://schemas.microsoft.com/office/drawing/2014/chart" uri="{C3380CC4-5D6E-409C-BE32-E72D297353CC}">
                <c16:uniqueId val="{00000001-BD8C-4CB5-8816-684A2BAB8A74}"/>
              </c:ext>
            </c:extLst>
          </c:dPt>
          <c:dPt>
            <c:idx val="1"/>
            <c:bubble3D val="0"/>
            <c:spPr>
              <a:solidFill>
                <a:srgbClr val="722F2C"/>
              </a:solidFill>
              <a:ln w="19050">
                <a:solidFill>
                  <a:schemeClr val="lt1"/>
                </a:solidFill>
              </a:ln>
              <a:effectLst/>
            </c:spPr>
            <c:extLst>
              <c:ext xmlns:c16="http://schemas.microsoft.com/office/drawing/2014/chart" uri="{C3380CC4-5D6E-409C-BE32-E72D297353CC}">
                <c16:uniqueId val="{00000003-BD8C-4CB5-8816-684A2BAB8A74}"/>
              </c:ext>
            </c:extLst>
          </c:dPt>
          <c:dPt>
            <c:idx val="2"/>
            <c:bubble3D val="0"/>
            <c:spPr>
              <a:solidFill>
                <a:srgbClr val="9A403C"/>
              </a:solidFill>
              <a:ln w="19050">
                <a:solidFill>
                  <a:schemeClr val="lt1"/>
                </a:solidFill>
              </a:ln>
              <a:effectLst/>
            </c:spPr>
            <c:extLst>
              <c:ext xmlns:c16="http://schemas.microsoft.com/office/drawing/2014/chart" uri="{C3380CC4-5D6E-409C-BE32-E72D297353CC}">
                <c16:uniqueId val="{00000005-BD8C-4CB5-8816-684A2BAB8A74}"/>
              </c:ext>
            </c:extLst>
          </c:dPt>
          <c:dPt>
            <c:idx val="3"/>
            <c:bubble3D val="0"/>
            <c:spPr>
              <a:solidFill>
                <a:srgbClr val="C36969"/>
              </a:solidFill>
              <a:ln w="19050">
                <a:solidFill>
                  <a:schemeClr val="lt1"/>
                </a:solidFill>
              </a:ln>
              <a:effectLst/>
            </c:spPr>
            <c:extLst>
              <c:ext xmlns:c16="http://schemas.microsoft.com/office/drawing/2014/chart" uri="{C3380CC4-5D6E-409C-BE32-E72D297353CC}">
                <c16:uniqueId val="{00000007-BD8C-4CB5-8816-684A2BAB8A74}"/>
              </c:ext>
            </c:extLst>
          </c:dPt>
          <c:dPt>
            <c:idx val="4"/>
            <c:bubble3D val="0"/>
            <c:spPr>
              <a:solidFill>
                <a:srgbClr val="F07373"/>
              </a:solidFill>
              <a:ln w="19050">
                <a:solidFill>
                  <a:schemeClr val="lt1"/>
                </a:solidFill>
              </a:ln>
              <a:effectLst/>
            </c:spPr>
            <c:extLst>
              <c:ext xmlns:c16="http://schemas.microsoft.com/office/drawing/2014/chart" uri="{C3380CC4-5D6E-409C-BE32-E72D297353CC}">
                <c16:uniqueId val="{00000009-BD8C-4CB5-8816-684A2BAB8A74}"/>
              </c:ext>
            </c:extLst>
          </c:dPt>
          <c:dPt>
            <c:idx val="5"/>
            <c:bubble3D val="0"/>
            <c:spPr>
              <a:solidFill>
                <a:srgbClr val="D79895"/>
              </a:solidFill>
              <a:ln w="19050">
                <a:solidFill>
                  <a:schemeClr val="lt1"/>
                </a:solidFill>
              </a:ln>
              <a:effectLst/>
            </c:spPr>
            <c:extLst>
              <c:ext xmlns:c16="http://schemas.microsoft.com/office/drawing/2014/chart" uri="{C3380CC4-5D6E-409C-BE32-E72D297353CC}">
                <c16:uniqueId val="{0000000B-BD8C-4CB5-8816-684A2BAB8A74}"/>
              </c:ext>
            </c:extLst>
          </c:dPt>
          <c:dPt>
            <c:idx val="6"/>
            <c:bubble3D val="0"/>
            <c:spPr>
              <a:solidFill>
                <a:srgbClr val="FA9696"/>
              </a:solidFill>
              <a:ln w="19050">
                <a:solidFill>
                  <a:schemeClr val="lt1"/>
                </a:solidFill>
              </a:ln>
              <a:effectLst/>
            </c:spPr>
            <c:extLst>
              <c:ext xmlns:c16="http://schemas.microsoft.com/office/drawing/2014/chart" uri="{C3380CC4-5D6E-409C-BE32-E72D297353CC}">
                <c16:uniqueId val="{0000000D-BD8C-4CB5-8816-684A2BAB8A74}"/>
              </c:ext>
            </c:extLst>
          </c:dPt>
          <c:dPt>
            <c:idx val="7"/>
            <c:bubble3D val="0"/>
            <c:spPr>
              <a:solidFill>
                <a:srgbClr val="F6E7E6"/>
              </a:solidFill>
              <a:ln w="19050">
                <a:solidFill>
                  <a:schemeClr val="lt1"/>
                </a:solidFill>
              </a:ln>
              <a:effectLst/>
            </c:spPr>
            <c:extLst>
              <c:ext xmlns:c16="http://schemas.microsoft.com/office/drawing/2014/chart" uri="{C3380CC4-5D6E-409C-BE32-E72D297353CC}">
                <c16:uniqueId val="{0000000F-BD8C-4CB5-8816-684A2BAB8A74}"/>
              </c:ext>
            </c:extLst>
          </c:dPt>
          <c:dPt>
            <c:idx val="8"/>
            <c:bubble3D val="0"/>
            <c:spPr>
              <a:solidFill>
                <a:srgbClr val="EBCDCB"/>
              </a:solidFill>
              <a:ln w="19050">
                <a:solidFill>
                  <a:schemeClr val="lt1"/>
                </a:solidFill>
              </a:ln>
              <a:effectLst/>
            </c:spPr>
            <c:extLst>
              <c:ext xmlns:c16="http://schemas.microsoft.com/office/drawing/2014/chart" uri="{C3380CC4-5D6E-409C-BE32-E72D297353CC}">
                <c16:uniqueId val="{00000011-BD8C-4CB5-8816-684A2BAB8A74}"/>
              </c:ext>
            </c:extLst>
          </c:dPt>
          <c:dPt>
            <c:idx val="9"/>
            <c:bubble3D val="0"/>
            <c:spPr>
              <a:solidFill>
                <a:srgbClr val="E2B6B4"/>
              </a:solidFill>
              <a:ln w="19050">
                <a:solidFill>
                  <a:schemeClr val="lt1"/>
                </a:solidFill>
              </a:ln>
              <a:effectLst/>
            </c:spPr>
            <c:extLst>
              <c:ext xmlns:c16="http://schemas.microsoft.com/office/drawing/2014/chart" uri="{C3380CC4-5D6E-409C-BE32-E72D297353CC}">
                <c16:uniqueId val="{00000013-BD8C-4CB5-8816-684A2BAB8A74}"/>
              </c:ext>
            </c:extLst>
          </c:dPt>
          <c:dPt>
            <c:idx val="10"/>
            <c:bubble3D val="0"/>
            <c:spPr>
              <a:solidFill>
                <a:srgbClr val="D9D9D9"/>
              </a:solidFill>
              <a:ln w="19050">
                <a:solidFill>
                  <a:schemeClr val="lt1"/>
                </a:solidFill>
              </a:ln>
              <a:effectLst/>
            </c:spPr>
            <c:extLst>
              <c:ext xmlns:c16="http://schemas.microsoft.com/office/drawing/2014/chart" uri="{C3380CC4-5D6E-409C-BE32-E72D297353CC}">
                <c16:uniqueId val="{00000015-BD8C-4CB5-8816-684A2BAB8A74}"/>
              </c:ext>
            </c:extLst>
          </c:dPt>
          <c:dPt>
            <c:idx val="11"/>
            <c:bubble3D val="0"/>
            <c:spPr>
              <a:solidFill>
                <a:srgbClr val="BFBFBF"/>
              </a:solidFill>
              <a:ln w="19050">
                <a:solidFill>
                  <a:schemeClr val="lt1"/>
                </a:solidFill>
              </a:ln>
              <a:effectLst/>
            </c:spPr>
            <c:extLst>
              <c:ext xmlns:c16="http://schemas.microsoft.com/office/drawing/2014/chart" uri="{C3380CC4-5D6E-409C-BE32-E72D297353CC}">
                <c16:uniqueId val="{00000017-BD8C-4CB5-8816-684A2BAB8A74}"/>
              </c:ext>
            </c:extLst>
          </c:dPt>
          <c:dLbls>
            <c:dLbl>
              <c:idx val="0"/>
              <c:layout>
                <c:manualLayout>
                  <c:x val="0.15718549896611936"/>
                  <c:y val="-2.5399793148111506E-2"/>
                </c:manualLayout>
              </c:layout>
              <c:numFmt formatCode="0\ %"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1400083989501312"/>
                      <c:h val="0.18275679936292794"/>
                    </c:manualLayout>
                  </c15:layout>
                </c:ext>
                <c:ext xmlns:c16="http://schemas.microsoft.com/office/drawing/2014/chart" uri="{C3380CC4-5D6E-409C-BE32-E72D297353CC}">
                  <c16:uniqueId val="{00000001-BD8C-4CB5-8816-684A2BAB8A74}"/>
                </c:ext>
              </c:extLst>
            </c:dLbl>
            <c:dLbl>
              <c:idx val="1"/>
              <c:layout>
                <c:manualLayout>
                  <c:x val="-2.0602185920789825E-2"/>
                  <c:y val="0.1538459271538426"/>
                </c:manualLayout>
              </c:layout>
              <c:numFmt formatCode="0\ %"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BD8C-4CB5-8816-684A2BAB8A74}"/>
                </c:ext>
              </c:extLst>
            </c:dLbl>
            <c:dLbl>
              <c:idx val="2"/>
              <c:layout>
                <c:manualLayout>
                  <c:x val="-1.9307571168988416E-2"/>
                  <c:y val="-4.86853075254138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D8C-4CB5-8816-684A2BAB8A74}"/>
                </c:ext>
              </c:extLst>
            </c:dLbl>
            <c:dLbl>
              <c:idx val="3"/>
              <c:layout>
                <c:manualLayout>
                  <c:x val="0.17589730971128609"/>
                  <c:y val="-0.25184691004533521"/>
                </c:manualLayout>
              </c:layout>
              <c:numFmt formatCode="0\ %"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19656771261801231"/>
                      <c:h val="0.13324013445687707"/>
                    </c:manualLayout>
                  </c15:layout>
                </c:ext>
                <c:ext xmlns:c16="http://schemas.microsoft.com/office/drawing/2014/chart" uri="{C3380CC4-5D6E-409C-BE32-E72D297353CC}">
                  <c16:uniqueId val="{00000007-BD8C-4CB5-8816-684A2BAB8A74}"/>
                </c:ext>
              </c:extLst>
            </c:dLbl>
            <c:dLbl>
              <c:idx val="4"/>
              <c:layout>
                <c:manualLayout>
                  <c:x val="0.23196444194475691"/>
                  <c:y val="-0.2286667621092818"/>
                </c:manualLayout>
              </c:layout>
              <c:showLegendKey val="0"/>
              <c:showVal val="0"/>
              <c:showCatName val="1"/>
              <c:showSerName val="0"/>
              <c:showPercent val="1"/>
              <c:showBubbleSize val="0"/>
              <c:extLst>
                <c:ext xmlns:c15="http://schemas.microsoft.com/office/drawing/2012/chart" uri="{CE6537A1-D6FC-4f65-9D91-7224C49458BB}">
                  <c15:layout>
                    <c:manualLayout>
                      <c:w val="0.22188054618172728"/>
                      <c:h val="0.14829109997613935"/>
                    </c:manualLayout>
                  </c15:layout>
                </c:ext>
                <c:ext xmlns:c16="http://schemas.microsoft.com/office/drawing/2014/chart" uri="{C3380CC4-5D6E-409C-BE32-E72D297353CC}">
                  <c16:uniqueId val="{00000009-BD8C-4CB5-8816-684A2BAB8A74}"/>
                </c:ext>
              </c:extLst>
            </c:dLbl>
            <c:dLbl>
              <c:idx val="5"/>
              <c:layout>
                <c:manualLayout>
                  <c:x val="0.30159730033745769"/>
                  <c:y val="-0.1586718205678835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D8C-4CB5-8816-684A2BAB8A74}"/>
                </c:ext>
              </c:extLst>
            </c:dLbl>
            <c:dLbl>
              <c:idx val="6"/>
              <c:layout>
                <c:manualLayout>
                  <c:x val="0.25090512123484565"/>
                  <c:y val="-0.10024834168456216"/>
                </c:manualLayout>
              </c:layout>
              <c:numFmt formatCode="0\ %"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19721314686410463"/>
                      <c:h val="0.12346014642906479"/>
                    </c:manualLayout>
                  </c15:layout>
                </c:ext>
                <c:ext xmlns:c16="http://schemas.microsoft.com/office/drawing/2014/chart" uri="{C3380CC4-5D6E-409C-BE32-E72D297353CC}">
                  <c16:uniqueId val="{0000000D-BD8C-4CB5-8816-684A2BAB8A74}"/>
                </c:ext>
              </c:extLst>
            </c:dLbl>
            <c:dLbl>
              <c:idx val="7"/>
              <c:layout>
                <c:manualLayout>
                  <c:x val="0.33218675790526186"/>
                  <c:y val="-3.039847291815804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D8C-4CB5-8816-684A2BAB8A74}"/>
                </c:ext>
              </c:extLst>
            </c:dLbl>
            <c:dLbl>
              <c:idx val="8"/>
              <c:layout>
                <c:manualLayout>
                  <c:x val="0.26743610173728283"/>
                  <c:y val="4.036497256024824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BD8C-4CB5-8816-684A2BAB8A74}"/>
                </c:ext>
              </c:extLst>
            </c:dLbl>
            <c:dLbl>
              <c:idx val="9"/>
              <c:layout>
                <c:manualLayout>
                  <c:x val="0.2593294588176478"/>
                  <c:y val="0.12075094249582438"/>
                </c:manualLayout>
              </c:layout>
              <c:showLegendKey val="0"/>
              <c:showVal val="0"/>
              <c:showCatName val="1"/>
              <c:showSerName val="0"/>
              <c:showPercent val="1"/>
              <c:showBubbleSize val="0"/>
              <c:extLst>
                <c:ext xmlns:c15="http://schemas.microsoft.com/office/drawing/2012/chart" uri="{CE6537A1-D6FC-4f65-9D91-7224C49458BB}">
                  <c15:layout>
                    <c:manualLayout>
                      <c:w val="0.21486111111111111"/>
                      <c:h val="0.14829109997613935"/>
                    </c:manualLayout>
                  </c15:layout>
                </c:ext>
                <c:ext xmlns:c16="http://schemas.microsoft.com/office/drawing/2014/chart" uri="{C3380CC4-5D6E-409C-BE32-E72D297353CC}">
                  <c16:uniqueId val="{00000013-BD8C-4CB5-8816-684A2BAB8A74}"/>
                </c:ext>
              </c:extLst>
            </c:dLbl>
            <c:dLbl>
              <c:idx val="10"/>
              <c:layout>
                <c:manualLayout>
                  <c:x val="0.13818878675950999"/>
                  <c:y val="0.178595595013710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BD8C-4CB5-8816-684A2BAB8A74}"/>
                </c:ext>
              </c:extLst>
            </c:dLbl>
            <c:dLbl>
              <c:idx val="11"/>
              <c:layout>
                <c:manualLayout>
                  <c:x val="-7.4044110157872059E-2"/>
                  <c:y val="-0.1728441313256896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BD8C-4CB5-8816-684A2BAB8A74}"/>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'G3.1'!$A$20:$A$31</c:f>
              <c:strCache>
                <c:ptCount val="12"/>
                <c:pt idx="0">
                  <c:v>nemoci dýchací soustavy</c:v>
                </c:pt>
                <c:pt idx="1">
                  <c:v>nemoci pohybové
 soustavy</c:v>
                </c:pt>
                <c:pt idx="2">
                  <c:v>úrazy, otravy</c:v>
                </c:pt>
                <c:pt idx="3">
                  <c:v>nemoci trávicí soustavy</c:v>
                </c:pt>
                <c:pt idx="4">
                  <c:v>nemoci močové 
a pohlavní soustavy</c:v>
                </c:pt>
                <c:pt idx="5">
                  <c:v>nemoci duševní</c:v>
                </c:pt>
                <c:pt idx="6">
                  <c:v>nemoci oběhové soustavy</c:v>
                </c:pt>
                <c:pt idx="7">
                  <c:v>nemoci kůže</c:v>
                </c:pt>
                <c:pt idx="8">
                  <c:v>nemoci nervové soustavy</c:v>
                </c:pt>
                <c:pt idx="9">
                  <c:v>těhotenství, porod, šestinedělí</c:v>
                </c:pt>
                <c:pt idx="10">
                  <c:v>zhoubné novotvary</c:v>
                </c:pt>
                <c:pt idx="11">
                  <c:v>nemoci ostatní</c:v>
                </c:pt>
              </c:strCache>
            </c:strRef>
          </c:cat>
          <c:val>
            <c:numRef>
              <c:f>'G3.1'!$C$20:$C$31</c:f>
              <c:numCache>
                <c:formatCode>General</c:formatCode>
                <c:ptCount val="12"/>
                <c:pt idx="0">
                  <c:v>0.42312949330152511</c:v>
                </c:pt>
                <c:pt idx="1">
                  <c:v>0.14929289701426071</c:v>
                </c:pt>
                <c:pt idx="2">
                  <c:v>7.9498166096233086E-2</c:v>
                </c:pt>
                <c:pt idx="3">
                  <c:v>6.1174157183389588E-2</c:v>
                </c:pt>
                <c:pt idx="4">
                  <c:v>3.2909021446035296E-2</c:v>
                </c:pt>
                <c:pt idx="5">
                  <c:v>2.2683139238263528E-2</c:v>
                </c:pt>
                <c:pt idx="6">
                  <c:v>2.1026021105119821E-2</c:v>
                </c:pt>
                <c:pt idx="7">
                  <c:v>1.3287398071415069E-2</c:v>
                </c:pt>
                <c:pt idx="8">
                  <c:v>1.3219373174302725E-2</c:v>
                </c:pt>
                <c:pt idx="9">
                  <c:v>9.7069946204962187E-3</c:v>
                </c:pt>
                <c:pt idx="10">
                  <c:v>6.4346806745222236E-3</c:v>
                </c:pt>
                <c:pt idx="11">
                  <c:v>0.16763865807443665</c:v>
                </c:pt>
              </c:numCache>
            </c:numRef>
          </c:val>
          <c:extLst>
            <c:ext xmlns:c16="http://schemas.microsoft.com/office/drawing/2014/chart" uri="{C3380CC4-5D6E-409C-BE32-E72D297353CC}">
              <c16:uniqueId val="{00000018-BD8C-4CB5-8816-684A2BAB8A74}"/>
            </c:ext>
          </c:extLst>
        </c:ser>
        <c:dLbls>
          <c:showLegendKey val="0"/>
          <c:showVal val="0"/>
          <c:showCatName val="0"/>
          <c:showSerName val="0"/>
          <c:showPercent val="0"/>
          <c:showBubbleSize val="0"/>
          <c:showLeaderLines val="1"/>
        </c:dLbls>
        <c:firstSliceAng val="18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'G4.1'!$A$3</c:f>
              <c:strCache>
                <c:ptCount val="1"/>
                <c:pt idx="0">
                  <c:v> nemocenské  (mld. Kč)</c:v>
                </c:pt>
              </c:strCache>
            </c:strRef>
          </c:tx>
          <c:spPr>
            <a:solidFill>
              <a:srgbClr val="B44946"/>
            </a:solidFill>
            <a:ln>
              <a:solidFill>
                <a:srgbClr val="B44946"/>
              </a:solid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'G4.1'!$C$2:$M$2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'G4.1'!$C$3:$M$3</c:f>
              <c:numCache>
                <c:formatCode>General</c:formatCode>
                <c:ptCount val="11"/>
                <c:pt idx="0">
                  <c:v>12.035</c:v>
                </c:pt>
                <c:pt idx="1">
                  <c:v>13.881</c:v>
                </c:pt>
                <c:pt idx="2">
                  <c:v>15.428000000000001</c:v>
                </c:pt>
                <c:pt idx="3">
                  <c:v>16.984999999999999</c:v>
                </c:pt>
                <c:pt idx="4">
                  <c:v>18.29</c:v>
                </c:pt>
                <c:pt idx="5">
                  <c:v>22.68</c:v>
                </c:pt>
                <c:pt idx="6" formatCode="0.00">
                  <c:v>26.669625022889999</c:v>
                </c:pt>
                <c:pt idx="7" formatCode="#,##0.00">
                  <c:v>32.766449426119998</c:v>
                </c:pt>
                <c:pt idx="8" formatCode="#,##0.00">
                  <c:v>34.037351810419999</c:v>
                </c:pt>
                <c:pt idx="9" formatCode="#,##0.00">
                  <c:v>32.754035904779997</c:v>
                </c:pt>
                <c:pt idx="10" formatCode="#,##0.00">
                  <c:v>31.681192276299999</c:v>
                </c:pt>
              </c:numCache>
            </c:numRef>
          </c:val>
          <c:extLst>
            <c:ext xmlns:c16="http://schemas.microsoft.com/office/drawing/2014/chart" uri="{C3380CC4-5D6E-409C-BE32-E72D297353CC}">
              <c16:uniqueId val="{00000000-BC38-4AF2-A5E4-AB7F000419B2}"/>
            </c:ext>
          </c:extLst>
        </c:ser>
        <c:dLbls>
          <c:showLegendKey val="0"/>
          <c:showVal val="0"/>
          <c:showCatName val="0"/>
          <c:showSerName val="0"/>
          <c:showPercent val="0"/>
          <c:showBubbleSize val="0"/>
        </c:dLbls>
        <c:gapWidth val="64"/>
        <c:overlap val="-27"/>
        <c:axId val="621806511"/>
        <c:axId val="621830639"/>
      </c:barChart>
      <c:lineChart>
        <c:grouping val="stacked"/>
        <c:varyColors val="0"/>
        <c:ser>
          <c:idx val="1"/>
          <c:order val="1"/>
          <c:tx>
            <c:strRef>
              <c:f>'G4.1'!$A$4</c:f>
              <c:strCache>
                <c:ptCount val="1"/>
                <c:pt idx="0">
                  <c:v>výdaje na 1 pojištěnce (Kč)</c:v>
                </c:pt>
              </c:strCache>
            </c:strRef>
          </c:tx>
          <c:spPr>
            <a:ln w="25400" cap="rnd">
              <a:noFill/>
              <a:round/>
            </a:ln>
            <a:effectLst/>
          </c:spPr>
          <c:marker>
            <c:symbol val="circle"/>
            <c:size val="5"/>
            <c:spPr>
              <a:solidFill>
                <a:srgbClr val="632827"/>
              </a:solidFill>
              <a:ln w="9525">
                <a:solidFill>
                  <a:srgbClr val="632827"/>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'G4.1'!$C$2:$M$2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'G4.1'!$C$4:$M$4</c:f>
              <c:numCache>
                <c:formatCode>General</c:formatCode>
                <c:ptCount val="11"/>
                <c:pt idx="0">
                  <c:v>2710.3865797241015</c:v>
                </c:pt>
                <c:pt idx="1">
                  <c:v>3109.5033060733767</c:v>
                </c:pt>
                <c:pt idx="2">
                  <c:v>3423.1104776290813</c:v>
                </c:pt>
                <c:pt idx="3">
                  <c:v>3715.5693990274981</c:v>
                </c:pt>
                <c:pt idx="4">
                  <c:v>3914.9580434067425</c:v>
                </c:pt>
                <c:pt idx="5">
                  <c:v>4792.1527680967365</c:v>
                </c:pt>
                <c:pt idx="6">
                  <c:v>5634.9562735716163</c:v>
                </c:pt>
                <c:pt idx="7">
                  <c:v>6985.8938827470065</c:v>
                </c:pt>
                <c:pt idx="8">
                  <c:v>7229.4310119163056</c:v>
                </c:pt>
                <c:pt idx="9">
                  <c:v>6898.5647360475032</c:v>
                </c:pt>
                <c:pt idx="10">
                  <c:v>6646.1243394363264</c:v>
                </c:pt>
              </c:numCache>
            </c:numRef>
          </c:val>
          <c:smooth val="0"/>
          <c:extLst>
            <c:ext xmlns:c16="http://schemas.microsoft.com/office/drawing/2014/chart" uri="{C3380CC4-5D6E-409C-BE32-E72D297353CC}">
              <c16:uniqueId val="{00000001-BC38-4AF2-A5E4-AB7F000419B2}"/>
            </c:ext>
          </c:extLst>
        </c:ser>
        <c:dLbls>
          <c:showLegendKey val="0"/>
          <c:showVal val="0"/>
          <c:showCatName val="0"/>
          <c:showSerName val="0"/>
          <c:showPercent val="0"/>
          <c:showBubbleSize val="0"/>
        </c:dLbls>
        <c:marker val="1"/>
        <c:smooth val="0"/>
        <c:axId val="676338687"/>
        <c:axId val="676332863"/>
      </c:lineChart>
      <c:catAx>
        <c:axId val="621806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21830639"/>
        <c:crosses val="autoZero"/>
        <c:auto val="1"/>
        <c:lblAlgn val="ctr"/>
        <c:lblOffset val="100"/>
        <c:noMultiLvlLbl val="0"/>
      </c:catAx>
      <c:valAx>
        <c:axId val="6218306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mld. Kč</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21806511"/>
        <c:crosses val="autoZero"/>
        <c:crossBetween val="between"/>
      </c:valAx>
      <c:valAx>
        <c:axId val="676332863"/>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crossAx val="676338687"/>
        <c:crosses val="max"/>
        <c:crossBetween val="between"/>
      </c:valAx>
      <c:catAx>
        <c:axId val="676338687"/>
        <c:scaling>
          <c:orientation val="minMax"/>
        </c:scaling>
        <c:delete val="1"/>
        <c:axPos val="b"/>
        <c:numFmt formatCode="General" sourceLinked="1"/>
        <c:majorTickMark val="out"/>
        <c:minorTickMark val="none"/>
        <c:tickLblPos val="nextTo"/>
        <c:crossAx val="67633286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'G5.1'!$B$5</c:f>
              <c:strCache>
                <c:ptCount val="1"/>
                <c:pt idx="0">
                  <c:v> celkem</c:v>
                </c:pt>
              </c:strCache>
            </c:strRef>
          </c:tx>
          <c:spPr>
            <a:solidFill>
              <a:srgbClr val="632827"/>
            </a:solidFill>
            <a:ln>
              <a:noFill/>
            </a:ln>
            <a:effectLst/>
          </c:spPr>
          <c:invertIfNegative val="0"/>
          <c:cat>
            <c:numRef>
              <c:f>'G5.1'!$A$7:$A$17</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'G5.1'!$B$7:$B$17</c:f>
              <c:numCache>
                <c:formatCode>General</c:formatCode>
                <c:ptCount val="11"/>
                <c:pt idx="0">
                  <c:v>953.87140493738525</c:v>
                </c:pt>
                <c:pt idx="1">
                  <c:v>992.39324229058911</c:v>
                </c:pt>
                <c:pt idx="2">
                  <c:v>1012.2229156237019</c:v>
                </c:pt>
                <c:pt idx="3">
                  <c:v>1021.8745560010099</c:v>
                </c:pt>
                <c:pt idx="4">
                  <c:v>1003.2481328292729</c:v>
                </c:pt>
                <c:pt idx="5">
                  <c:v>964.89615656043009</c:v>
                </c:pt>
                <c:pt idx="6">
                  <c:v>928.79837124568758</c:v>
                </c:pt>
                <c:pt idx="7">
                  <c:v>864.94183499552605</c:v>
                </c:pt>
                <c:pt idx="8">
                  <c:v>934.1219542430548</c:v>
                </c:pt>
                <c:pt idx="9">
                  <c:v>917.4697717880631</c:v>
                </c:pt>
                <c:pt idx="10">
                  <c:v>891.57087890706123</c:v>
                </c:pt>
              </c:numCache>
            </c:numRef>
          </c:val>
          <c:extLst>
            <c:ext xmlns:c16="http://schemas.microsoft.com/office/drawing/2014/chart" uri="{C3380CC4-5D6E-409C-BE32-E72D297353CC}">
              <c16:uniqueId val="{00000000-9C67-4D33-AB90-0B48F65ABBD9}"/>
            </c:ext>
          </c:extLst>
        </c:ser>
        <c:ser>
          <c:idx val="1"/>
          <c:order val="1"/>
          <c:tx>
            <c:strRef>
              <c:f>'G5.1'!$C$5</c:f>
              <c:strCache>
                <c:ptCount val="1"/>
                <c:pt idx="0">
                  <c:v> muži</c:v>
                </c:pt>
              </c:strCache>
            </c:strRef>
          </c:tx>
          <c:spPr>
            <a:solidFill>
              <a:srgbClr val="B44946"/>
            </a:solidFill>
            <a:ln>
              <a:noFill/>
            </a:ln>
            <a:effectLst/>
          </c:spPr>
          <c:invertIfNegative val="0"/>
          <c:cat>
            <c:numRef>
              <c:f>'G5.1'!$A$7:$A$17</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'G5.1'!$C$7:$C$17</c:f>
              <c:numCache>
                <c:formatCode>General</c:formatCode>
                <c:ptCount val="11"/>
                <c:pt idx="0">
                  <c:v>1325.0414476326634</c:v>
                </c:pt>
                <c:pt idx="1">
                  <c:v>1372.173752359331</c:v>
                </c:pt>
                <c:pt idx="2">
                  <c:v>1373.3670257323856</c:v>
                </c:pt>
                <c:pt idx="3">
                  <c:v>1378.6665387508742</c:v>
                </c:pt>
                <c:pt idx="4">
                  <c:v>1355.2518700976673</c:v>
                </c:pt>
                <c:pt idx="5">
                  <c:v>1294.0989767393464</c:v>
                </c:pt>
                <c:pt idx="6">
                  <c:v>1243.7952127639396</c:v>
                </c:pt>
                <c:pt idx="7">
                  <c:v>1193.8973535578518</c:v>
                </c:pt>
                <c:pt idx="8">
                  <c:v>1291.789040414631</c:v>
                </c:pt>
                <c:pt idx="9">
                  <c:v>1235.5213676374165</c:v>
                </c:pt>
                <c:pt idx="10">
                  <c:v>1184.1173782171657</c:v>
                </c:pt>
              </c:numCache>
            </c:numRef>
          </c:val>
          <c:extLst>
            <c:ext xmlns:c16="http://schemas.microsoft.com/office/drawing/2014/chart" uri="{C3380CC4-5D6E-409C-BE32-E72D297353CC}">
              <c16:uniqueId val="{00000001-9C67-4D33-AB90-0B48F65ABBD9}"/>
            </c:ext>
          </c:extLst>
        </c:ser>
        <c:ser>
          <c:idx val="2"/>
          <c:order val="2"/>
          <c:tx>
            <c:strRef>
              <c:f>'G5.1'!$D$5</c:f>
              <c:strCache>
                <c:ptCount val="1"/>
                <c:pt idx="0">
                  <c:v> ženy</c:v>
                </c:pt>
              </c:strCache>
            </c:strRef>
          </c:tx>
          <c:spPr>
            <a:solidFill>
              <a:srgbClr val="F07373"/>
            </a:solidFill>
            <a:ln>
              <a:noFill/>
            </a:ln>
            <a:effectLst/>
          </c:spPr>
          <c:invertIfNegative val="0"/>
          <c:cat>
            <c:numRef>
              <c:f>'G5.1'!$A$7:$A$17</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'G5.1'!$D$7:$D$17</c:f>
              <c:numCache>
                <c:formatCode>General</c:formatCode>
                <c:ptCount val="11"/>
                <c:pt idx="0">
                  <c:v>568.90076443746273</c:v>
                </c:pt>
                <c:pt idx="1">
                  <c:v>598.4482241654789</c:v>
                </c:pt>
                <c:pt idx="2">
                  <c:v>635.43511275243941</c:v>
                </c:pt>
                <c:pt idx="3">
                  <c:v>651.45580665256648</c:v>
                </c:pt>
                <c:pt idx="4">
                  <c:v>640.8067102346364</c:v>
                </c:pt>
                <c:pt idx="5">
                  <c:v>628.65610667766714</c:v>
                </c:pt>
                <c:pt idx="6">
                  <c:v>608.85567093888449</c:v>
                </c:pt>
                <c:pt idx="7">
                  <c:v>533.51264368714521</c:v>
                </c:pt>
                <c:pt idx="8">
                  <c:v>576.42611519516709</c:v>
                </c:pt>
                <c:pt idx="9">
                  <c:v>603.53284675204736</c:v>
                </c:pt>
                <c:pt idx="10">
                  <c:v>606.18441491133103</c:v>
                </c:pt>
              </c:numCache>
            </c:numRef>
          </c:val>
          <c:extLst>
            <c:ext xmlns:c16="http://schemas.microsoft.com/office/drawing/2014/chart" uri="{C3380CC4-5D6E-409C-BE32-E72D297353CC}">
              <c16:uniqueId val="{00000002-9C67-4D33-AB90-0B48F65ABBD9}"/>
            </c:ext>
          </c:extLst>
        </c:ser>
        <c:dLbls>
          <c:showLegendKey val="0"/>
          <c:showVal val="0"/>
          <c:showCatName val="0"/>
          <c:showSerName val="0"/>
          <c:showPercent val="0"/>
          <c:showBubbleSize val="0"/>
        </c:dLbls>
        <c:gapWidth val="219"/>
        <c:axId val="764446415"/>
        <c:axId val="764448079"/>
      </c:barChart>
      <c:catAx>
        <c:axId val="764446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64448079"/>
        <c:crosses val="autoZero"/>
        <c:auto val="1"/>
        <c:lblAlgn val="ctr"/>
        <c:lblOffset val="100"/>
        <c:noMultiLvlLbl val="0"/>
      </c:catAx>
      <c:valAx>
        <c:axId val="7644480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počet případů</a:t>
                </a:r>
                <a:r>
                  <a:rPr lang="cs-CZ"/>
                  <a:t> na 100 tis. pojištěnců</a:t>
                </a:r>
                <a:r>
                  <a:rPr lang="en-US"/>
                  <a:t> </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64446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76503166461994"/>
          <c:y val="3.3577533577533576E-2"/>
          <c:w val="0.45539598834549344"/>
          <c:h val="0.84903329391518367"/>
        </c:manualLayout>
      </c:layout>
      <c:barChart>
        <c:barDir val="bar"/>
        <c:grouping val="clustered"/>
        <c:varyColors val="0"/>
        <c:ser>
          <c:idx val="0"/>
          <c:order val="0"/>
          <c:spPr>
            <a:solidFill>
              <a:srgbClr val="B44946"/>
            </a:solidFill>
            <a:ln>
              <a:noFill/>
            </a:ln>
            <a:effectLst/>
          </c:spPr>
          <c:invertIfNegative val="0"/>
          <c:dPt>
            <c:idx val="13"/>
            <c:invertIfNegative val="0"/>
            <c:bubble3D val="0"/>
            <c:spPr>
              <a:solidFill>
                <a:srgbClr val="632827"/>
              </a:solidFill>
              <a:ln>
                <a:noFill/>
              </a:ln>
              <a:effectLst/>
            </c:spPr>
            <c:extLst>
              <c:ext xmlns:c16="http://schemas.microsoft.com/office/drawing/2014/chart" uri="{C3380CC4-5D6E-409C-BE32-E72D297353CC}">
                <c16:uniqueId val="{00000001-CAAA-4170-BA18-AAE35A0E0237}"/>
              </c:ext>
            </c:extLst>
          </c:dPt>
          <c:cat>
            <c:strRef>
              <c:f>'G5.2'!$J$8:$J$27</c:f>
              <c:strCache>
                <c:ptCount val="20"/>
                <c:pt idx="0">
                  <c:v>K – Peněžnictví a pojišťovnictví</c:v>
                </c:pt>
                <c:pt idx="1">
                  <c:v>J – Informační a komunikační činnosti</c:v>
                </c:pt>
                <c:pt idx="2">
                  <c:v>M – Profesní, vědecké a technické činnosti</c:v>
                </c:pt>
                <c:pt idx="3">
                  <c:v>S – Ostatní činnosti</c:v>
                </c:pt>
                <c:pt idx="4">
                  <c:v>L – Činnosti v oblasti nemovitostí</c:v>
                </c:pt>
                <c:pt idx="5">
                  <c:v>D – Výroba a rozvod elektřiny, plynu, tepla a klimatiz. vzduchu</c:v>
                </c:pt>
                <c:pt idx="6">
                  <c:v>P – Vzdělávání</c:v>
                </c:pt>
                <c:pt idx="7">
                  <c:v>O – Veřejná správa a obrana; povinné sociální zabezpečení</c:v>
                </c:pt>
                <c:pt idx="8">
                  <c:v>R – Kulturní, zábavní a rekreační činnosti</c:v>
                </c:pt>
                <c:pt idx="9">
                  <c:v>I – Ubytování, stravování a pohostinství</c:v>
                </c:pt>
                <c:pt idx="10">
                  <c:v>Q – Zdravotní a sociální péče</c:v>
                </c:pt>
                <c:pt idx="11">
                  <c:v>N – Administrativní a podpůrné činnosti</c:v>
                </c:pt>
                <c:pt idx="12">
                  <c:v>G – Velkoobchod a maloobchod; opravy a údržba motor. vozidel</c:v>
                </c:pt>
                <c:pt idx="13">
                  <c:v>CELKEM</c:v>
                </c:pt>
                <c:pt idx="14">
                  <c:v>F – Stavebnictví</c:v>
                </c:pt>
                <c:pt idx="15">
                  <c:v>C – Zpracovatelský průmysl</c:v>
                </c:pt>
                <c:pt idx="16">
                  <c:v>H – Doprava a skladování</c:v>
                </c:pt>
                <c:pt idx="17">
                  <c:v>B – Těžba a dobývání</c:v>
                </c:pt>
                <c:pt idx="18">
                  <c:v>E – Zásobování vodou; činnosti související s odpady a sanacemi</c:v>
                </c:pt>
                <c:pt idx="19">
                  <c:v>A – Zemědělství, lesnictví, rybářství</c:v>
                </c:pt>
              </c:strCache>
            </c:strRef>
          </c:cat>
          <c:val>
            <c:numRef>
              <c:f>'G5.2'!$K$8:$K$27</c:f>
              <c:numCache>
                <c:formatCode>General</c:formatCode>
                <c:ptCount val="20"/>
                <c:pt idx="0">
                  <c:v>83.350393294424009</c:v>
                </c:pt>
                <c:pt idx="1">
                  <c:v>89.55685368551336</c:v>
                </c:pt>
                <c:pt idx="2">
                  <c:v>174.19951167156631</c:v>
                </c:pt>
                <c:pt idx="3">
                  <c:v>283.55393491513007</c:v>
                </c:pt>
                <c:pt idx="4">
                  <c:v>314.36072369733995</c:v>
                </c:pt>
                <c:pt idx="5">
                  <c:v>357.28685465621754</c:v>
                </c:pt>
                <c:pt idx="6">
                  <c:v>455.62659500798156</c:v>
                </c:pt>
                <c:pt idx="7">
                  <c:v>463.62602736022507</c:v>
                </c:pt>
                <c:pt idx="8">
                  <c:v>565.52212458003021</c:v>
                </c:pt>
                <c:pt idx="9">
                  <c:v>681.65364139011183</c:v>
                </c:pt>
                <c:pt idx="10">
                  <c:v>710.60331446918326</c:v>
                </c:pt>
                <c:pt idx="11">
                  <c:v>783.82633593916034</c:v>
                </c:pt>
                <c:pt idx="12">
                  <c:v>807.12664941055903</c:v>
                </c:pt>
                <c:pt idx="13">
                  <c:v>891.57087890706123</c:v>
                </c:pt>
                <c:pt idx="14">
                  <c:v>1207.6595076158151</c:v>
                </c:pt>
                <c:pt idx="15">
                  <c:v>1328.6937167879034</c:v>
                </c:pt>
                <c:pt idx="16">
                  <c:v>1402.3433583770941</c:v>
                </c:pt>
                <c:pt idx="17">
                  <c:v>1778.7447956408021</c:v>
                </c:pt>
                <c:pt idx="18">
                  <c:v>1965.7704265520968</c:v>
                </c:pt>
                <c:pt idx="19">
                  <c:v>2270.4629229467168</c:v>
                </c:pt>
              </c:numCache>
            </c:numRef>
          </c:val>
          <c:extLst>
            <c:ext xmlns:c16="http://schemas.microsoft.com/office/drawing/2014/chart" uri="{C3380CC4-5D6E-409C-BE32-E72D297353CC}">
              <c16:uniqueId val="{00000002-CAAA-4170-BA18-AAE35A0E0237}"/>
            </c:ext>
          </c:extLst>
        </c:ser>
        <c:dLbls>
          <c:showLegendKey val="0"/>
          <c:showVal val="0"/>
          <c:showCatName val="0"/>
          <c:showSerName val="0"/>
          <c:showPercent val="0"/>
          <c:showBubbleSize val="0"/>
        </c:dLbls>
        <c:gapWidth val="182"/>
        <c:axId val="759560607"/>
        <c:axId val="759561023"/>
      </c:barChart>
      <c:catAx>
        <c:axId val="7595606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59561023"/>
        <c:crosses val="autoZero"/>
        <c:auto val="1"/>
        <c:lblAlgn val="ctr"/>
        <c:lblOffset val="100"/>
        <c:noMultiLvlLbl val="0"/>
      </c:catAx>
      <c:valAx>
        <c:axId val="759561023"/>
        <c:scaling>
          <c:orientation val="minMax"/>
          <c:max val="2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počet pří</a:t>
                </a:r>
                <a:r>
                  <a:rPr lang="cs-CZ"/>
                  <a:t>padů na 100 tis. pojištěnců</a:t>
                </a:r>
                <a:endParaRPr lang="en-US"/>
              </a:p>
            </c:rich>
          </c:tx>
          <c:layout>
            <c:manualLayout>
              <c:xMode val="edge"/>
              <c:yMode val="edge"/>
              <c:x val="0.67379939209726447"/>
              <c:y val="0.9410860006135595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595606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'G1.1'!$A$29</c:f>
              <c:strCache>
                <c:ptCount val="1"/>
                <c:pt idx="0">
                  <c:v>500 a více zaměstnanců</c:v>
                </c:pt>
              </c:strCache>
            </c:strRef>
          </c:tx>
          <c:spPr>
            <a:solidFill>
              <a:srgbClr val="F5DADD"/>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'G1.1'!$B$28:$D$28</c:f>
              <c:numCache>
                <c:formatCode>General</c:formatCode>
                <c:ptCount val="3"/>
                <c:pt idx="0">
                  <c:v>2013</c:v>
                </c:pt>
                <c:pt idx="1">
                  <c:v>2018</c:v>
                </c:pt>
                <c:pt idx="2">
                  <c:v>2023</c:v>
                </c:pt>
              </c:numCache>
            </c:numRef>
          </c:cat>
          <c:val>
            <c:numRef>
              <c:f>'G1.1'!$B$29:$D$29</c:f>
              <c:numCache>
                <c:formatCode>#\ ##0.0</c:formatCode>
                <c:ptCount val="3"/>
                <c:pt idx="0">
                  <c:v>1412.279</c:v>
                </c:pt>
                <c:pt idx="1">
                  <c:v>1578.8161769000001</c:v>
                </c:pt>
                <c:pt idx="2">
                  <c:v>1529.8687396</c:v>
                </c:pt>
              </c:numCache>
            </c:numRef>
          </c:val>
          <c:extLst>
            <c:ext xmlns:c16="http://schemas.microsoft.com/office/drawing/2014/chart" uri="{C3380CC4-5D6E-409C-BE32-E72D297353CC}">
              <c16:uniqueId val="{00000000-2A7D-42DF-A8E7-9F5FB1246374}"/>
            </c:ext>
          </c:extLst>
        </c:ser>
        <c:ser>
          <c:idx val="1"/>
          <c:order val="1"/>
          <c:tx>
            <c:strRef>
              <c:f>'G1.1'!$A$30</c:f>
              <c:strCache>
                <c:ptCount val="1"/>
                <c:pt idx="0">
                  <c:v>250–499 zaměstnanců</c:v>
                </c:pt>
              </c:strCache>
            </c:strRef>
          </c:tx>
          <c:spPr>
            <a:solidFill>
              <a:srgbClr val="F59D9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'G1.1'!$B$28:$D$28</c:f>
              <c:numCache>
                <c:formatCode>General</c:formatCode>
                <c:ptCount val="3"/>
                <c:pt idx="0">
                  <c:v>2013</c:v>
                </c:pt>
                <c:pt idx="1">
                  <c:v>2018</c:v>
                </c:pt>
                <c:pt idx="2">
                  <c:v>2023</c:v>
                </c:pt>
              </c:numCache>
            </c:numRef>
          </c:cat>
          <c:val>
            <c:numRef>
              <c:f>'G1.1'!$B$30:$D$30</c:f>
              <c:numCache>
                <c:formatCode>#\ ##0.0</c:formatCode>
                <c:ptCount val="3"/>
                <c:pt idx="0">
                  <c:v>408.959</c:v>
                </c:pt>
                <c:pt idx="1">
                  <c:v>458.80980999999997</c:v>
                </c:pt>
                <c:pt idx="2">
                  <c:v>450.49939919999997</c:v>
                </c:pt>
              </c:numCache>
            </c:numRef>
          </c:val>
          <c:extLst>
            <c:ext xmlns:c16="http://schemas.microsoft.com/office/drawing/2014/chart" uri="{C3380CC4-5D6E-409C-BE32-E72D297353CC}">
              <c16:uniqueId val="{00000001-2A7D-42DF-A8E7-9F5FB1246374}"/>
            </c:ext>
          </c:extLst>
        </c:ser>
        <c:ser>
          <c:idx val="2"/>
          <c:order val="2"/>
          <c:tx>
            <c:strRef>
              <c:f>'G1.1'!$A$31</c:f>
              <c:strCache>
                <c:ptCount val="1"/>
                <c:pt idx="0">
                  <c:v> 50–249 zaměstnanců</c:v>
                </c:pt>
              </c:strCache>
            </c:strRef>
          </c:tx>
          <c:spPr>
            <a:solidFill>
              <a:srgbClr val="C3696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'G1.1'!$B$28:$D$28</c:f>
              <c:numCache>
                <c:formatCode>General</c:formatCode>
                <c:ptCount val="3"/>
                <c:pt idx="0">
                  <c:v>2013</c:v>
                </c:pt>
                <c:pt idx="1">
                  <c:v>2018</c:v>
                </c:pt>
                <c:pt idx="2">
                  <c:v>2023</c:v>
                </c:pt>
              </c:numCache>
            </c:numRef>
          </c:cat>
          <c:val>
            <c:numRef>
              <c:f>'G1.1'!$B$31:$D$31</c:f>
              <c:numCache>
                <c:formatCode>#\ ##0.0</c:formatCode>
                <c:ptCount val="3"/>
                <c:pt idx="0">
                  <c:v>1040.1120000000001</c:v>
                </c:pt>
                <c:pt idx="1">
                  <c:v>1105.9808911999999</c:v>
                </c:pt>
                <c:pt idx="2">
                  <c:v>1176.6345348</c:v>
                </c:pt>
              </c:numCache>
            </c:numRef>
          </c:val>
          <c:extLst>
            <c:ext xmlns:c16="http://schemas.microsoft.com/office/drawing/2014/chart" uri="{C3380CC4-5D6E-409C-BE32-E72D297353CC}">
              <c16:uniqueId val="{00000002-2A7D-42DF-A8E7-9F5FB1246374}"/>
            </c:ext>
          </c:extLst>
        </c:ser>
        <c:ser>
          <c:idx val="3"/>
          <c:order val="3"/>
          <c:tx>
            <c:strRef>
              <c:f>'G1.1'!$A$32</c:f>
              <c:strCache>
                <c:ptCount val="1"/>
                <c:pt idx="0">
                  <c:v> 1–49 zaměstnanců</c:v>
                </c:pt>
              </c:strCache>
            </c:strRef>
          </c:tx>
          <c:spPr>
            <a:solidFill>
              <a:srgbClr val="9A403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'G1.1'!$B$28:$D$28</c:f>
              <c:numCache>
                <c:formatCode>General</c:formatCode>
                <c:ptCount val="3"/>
                <c:pt idx="0">
                  <c:v>2013</c:v>
                </c:pt>
                <c:pt idx="1">
                  <c:v>2018</c:v>
                </c:pt>
                <c:pt idx="2">
                  <c:v>2023</c:v>
                </c:pt>
              </c:numCache>
            </c:numRef>
          </c:cat>
          <c:val>
            <c:numRef>
              <c:f>'G1.1'!$B$32:$D$32</c:f>
              <c:numCache>
                <c:formatCode>#\ ##0.0</c:formatCode>
                <c:ptCount val="3"/>
                <c:pt idx="0">
                  <c:v>1469.807</c:v>
                </c:pt>
                <c:pt idx="1">
                  <c:v>1497.8521068</c:v>
                </c:pt>
                <c:pt idx="2">
                  <c:v>1510.9405615999999</c:v>
                </c:pt>
              </c:numCache>
            </c:numRef>
          </c:val>
          <c:extLst>
            <c:ext xmlns:c16="http://schemas.microsoft.com/office/drawing/2014/chart" uri="{C3380CC4-5D6E-409C-BE32-E72D297353CC}">
              <c16:uniqueId val="{00000003-2A7D-42DF-A8E7-9F5FB1246374}"/>
            </c:ext>
          </c:extLst>
        </c:ser>
        <c:ser>
          <c:idx val="4"/>
          <c:order val="4"/>
          <c:tx>
            <c:strRef>
              <c:f>'G1.1'!$A$33</c:f>
              <c:strCache>
                <c:ptCount val="1"/>
                <c:pt idx="0">
                  <c:v> OSVČ</c:v>
                </c:pt>
              </c:strCache>
            </c:strRef>
          </c:tx>
          <c:spPr>
            <a:solidFill>
              <a:srgbClr val="4E201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'G1.1'!$B$28:$D$28</c:f>
              <c:numCache>
                <c:formatCode>General</c:formatCode>
                <c:ptCount val="3"/>
                <c:pt idx="0">
                  <c:v>2013</c:v>
                </c:pt>
                <c:pt idx="1">
                  <c:v>2018</c:v>
                </c:pt>
                <c:pt idx="2">
                  <c:v>2023</c:v>
                </c:pt>
              </c:numCache>
            </c:numRef>
          </c:cat>
          <c:val>
            <c:numRef>
              <c:f>'G1.1'!$B$33:$D$33</c:f>
              <c:numCache>
                <c:formatCode>#\ ##0.0</c:formatCode>
                <c:ptCount val="3"/>
                <c:pt idx="0">
                  <c:v>109.169</c:v>
                </c:pt>
                <c:pt idx="1">
                  <c:v>91.278283200000004</c:v>
                </c:pt>
                <c:pt idx="2">
                  <c:v>98.923988200000011</c:v>
                </c:pt>
              </c:numCache>
            </c:numRef>
          </c:val>
          <c:extLst>
            <c:ext xmlns:c16="http://schemas.microsoft.com/office/drawing/2014/chart" uri="{C3380CC4-5D6E-409C-BE32-E72D297353CC}">
              <c16:uniqueId val="{00000004-2A7D-42DF-A8E7-9F5FB1246374}"/>
            </c:ext>
          </c:extLst>
        </c:ser>
        <c:dLbls>
          <c:showLegendKey val="0"/>
          <c:showVal val="0"/>
          <c:showCatName val="0"/>
          <c:showSerName val="0"/>
          <c:showPercent val="0"/>
          <c:showBubbleSize val="0"/>
        </c:dLbls>
        <c:gapWidth val="73"/>
        <c:overlap val="100"/>
        <c:axId val="972192847"/>
        <c:axId val="972193263"/>
      </c:barChart>
      <c:catAx>
        <c:axId val="972192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972193263"/>
        <c:crosses val="autoZero"/>
        <c:auto val="1"/>
        <c:lblAlgn val="ctr"/>
        <c:lblOffset val="100"/>
        <c:noMultiLvlLbl val="0"/>
      </c:catAx>
      <c:valAx>
        <c:axId val="972193263"/>
        <c:scaling>
          <c:orientation val="minMax"/>
          <c:max val="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tisíce</a:t>
                </a:r>
              </a:p>
            </c:rich>
          </c:tx>
          <c:layout>
            <c:manualLayout>
              <c:xMode val="edge"/>
              <c:yMode val="edge"/>
              <c:x val="1.3888888888888888E-2"/>
              <c:y val="0.351998396033829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9721928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B44946"/>
            </a:solidFill>
            <a:ln>
              <a:noFill/>
            </a:ln>
            <a:effectLst/>
          </c:spPr>
          <c:invertIfNegative val="0"/>
          <c:dPt>
            <c:idx val="6"/>
            <c:invertIfNegative val="0"/>
            <c:bubble3D val="0"/>
            <c:spPr>
              <a:solidFill>
                <a:srgbClr val="B44946"/>
              </a:solidFill>
              <a:ln>
                <a:noFill/>
              </a:ln>
              <a:effectLst/>
            </c:spPr>
            <c:extLst>
              <c:ext xmlns:c16="http://schemas.microsoft.com/office/drawing/2014/chart" uri="{C3380CC4-5D6E-409C-BE32-E72D297353CC}">
                <c16:uniqueId val="{00000001-CD19-46E1-ABF2-F7CDE50808DC}"/>
              </c:ext>
            </c:extLst>
          </c:dPt>
          <c:dPt>
            <c:idx val="7"/>
            <c:invertIfNegative val="0"/>
            <c:bubble3D val="0"/>
            <c:spPr>
              <a:solidFill>
                <a:srgbClr val="B44946"/>
              </a:solidFill>
              <a:ln>
                <a:noFill/>
              </a:ln>
              <a:effectLst/>
            </c:spPr>
            <c:extLst>
              <c:ext xmlns:c16="http://schemas.microsoft.com/office/drawing/2014/chart" uri="{C3380CC4-5D6E-409C-BE32-E72D297353CC}">
                <c16:uniqueId val="{00000003-CD19-46E1-ABF2-F7CDE50808DC}"/>
              </c:ext>
            </c:extLst>
          </c:dPt>
          <c:dPt>
            <c:idx val="8"/>
            <c:invertIfNegative val="0"/>
            <c:bubble3D val="0"/>
            <c:spPr>
              <a:solidFill>
                <a:srgbClr val="B44946"/>
              </a:solidFill>
              <a:ln>
                <a:noFill/>
              </a:ln>
              <a:effectLst/>
            </c:spPr>
            <c:extLst>
              <c:ext xmlns:c16="http://schemas.microsoft.com/office/drawing/2014/chart" uri="{C3380CC4-5D6E-409C-BE32-E72D297353CC}">
                <c16:uniqueId val="{00000005-CD19-46E1-ABF2-F7CDE50808DC}"/>
              </c:ext>
            </c:extLst>
          </c:dPt>
          <c:dPt>
            <c:idx val="10"/>
            <c:invertIfNegative val="0"/>
            <c:bubble3D val="0"/>
            <c:spPr>
              <a:solidFill>
                <a:srgbClr val="B44946"/>
              </a:solidFill>
              <a:ln>
                <a:noFill/>
              </a:ln>
              <a:effectLst/>
            </c:spPr>
            <c:extLst>
              <c:ext xmlns:c16="http://schemas.microsoft.com/office/drawing/2014/chart" uri="{C3380CC4-5D6E-409C-BE32-E72D297353CC}">
                <c16:uniqueId val="{00000007-CD19-46E1-ABF2-F7CDE50808DC}"/>
              </c:ext>
            </c:extLst>
          </c:dPt>
          <c:dPt>
            <c:idx val="11"/>
            <c:invertIfNegative val="0"/>
            <c:bubble3D val="0"/>
            <c:spPr>
              <a:solidFill>
                <a:srgbClr val="632827"/>
              </a:solidFill>
              <a:ln>
                <a:noFill/>
              </a:ln>
              <a:effectLst/>
            </c:spPr>
            <c:extLst>
              <c:ext xmlns:c16="http://schemas.microsoft.com/office/drawing/2014/chart" uri="{C3380CC4-5D6E-409C-BE32-E72D297353CC}">
                <c16:uniqueId val="{00000009-CD19-46E1-ABF2-F7CDE50808DC}"/>
              </c:ext>
            </c:extLst>
          </c:dPt>
          <c:dPt>
            <c:idx val="12"/>
            <c:invertIfNegative val="0"/>
            <c:bubble3D val="0"/>
            <c:spPr>
              <a:solidFill>
                <a:srgbClr val="B44946"/>
              </a:solidFill>
              <a:ln>
                <a:noFill/>
              </a:ln>
              <a:effectLst/>
            </c:spPr>
            <c:extLst>
              <c:ext xmlns:c16="http://schemas.microsoft.com/office/drawing/2014/chart" uri="{C3380CC4-5D6E-409C-BE32-E72D297353CC}">
                <c16:uniqueId val="{0000000B-CD19-46E1-ABF2-F7CDE50808DC}"/>
              </c:ext>
            </c:extLst>
          </c:dPt>
          <c:dPt>
            <c:idx val="16"/>
            <c:invertIfNegative val="0"/>
            <c:bubble3D val="0"/>
            <c:spPr>
              <a:solidFill>
                <a:srgbClr val="B44946"/>
              </a:solidFill>
              <a:ln>
                <a:noFill/>
              </a:ln>
              <a:effectLst/>
            </c:spPr>
            <c:extLst>
              <c:ext xmlns:c16="http://schemas.microsoft.com/office/drawing/2014/chart" uri="{C3380CC4-5D6E-409C-BE32-E72D297353CC}">
                <c16:uniqueId val="{0000000D-CD19-46E1-ABF2-F7CDE50808DC}"/>
              </c:ext>
            </c:extLst>
          </c:dPt>
          <c:dPt>
            <c:idx val="19"/>
            <c:invertIfNegative val="0"/>
            <c:bubble3D val="0"/>
            <c:spPr>
              <a:solidFill>
                <a:srgbClr val="632827"/>
              </a:solidFill>
              <a:ln>
                <a:noFill/>
              </a:ln>
              <a:effectLst/>
            </c:spPr>
            <c:extLst>
              <c:ext xmlns:c16="http://schemas.microsoft.com/office/drawing/2014/chart" uri="{C3380CC4-5D6E-409C-BE32-E72D297353CC}">
                <c16:uniqueId val="{0000000F-CD19-46E1-ABF2-F7CDE50808DC}"/>
              </c:ext>
            </c:extLst>
          </c:dPt>
          <c:cat>
            <c:strRef>
              <c:f>'G6.1'!$D$2:$D$29</c:f>
              <c:strCache>
                <c:ptCount val="28"/>
                <c:pt idx="0">
                  <c:v>Rumunsko</c:v>
                </c:pt>
                <c:pt idx="1">
                  <c:v>Bulharsko</c:v>
                </c:pt>
                <c:pt idx="2">
                  <c:v>Řecko</c:v>
                </c:pt>
                <c:pt idx="3">
                  <c:v>Lotyšsko</c:v>
                </c:pt>
                <c:pt idx="4">
                  <c:v>Litva</c:v>
                </c:pt>
                <c:pt idx="5">
                  <c:v>Slovensko</c:v>
                </c:pt>
                <c:pt idx="6">
                  <c:v>Polsko</c:v>
                </c:pt>
                <c:pt idx="7">
                  <c:v>Kypr</c:v>
                </c:pt>
                <c:pt idx="8">
                  <c:v>Maďarsko</c:v>
                </c:pt>
                <c:pt idx="9">
                  <c:v>Chorvatsko</c:v>
                </c:pt>
                <c:pt idx="10">
                  <c:v>Irsko</c:v>
                </c:pt>
                <c:pt idx="11">
                  <c:v>Česko</c:v>
                </c:pt>
                <c:pt idx="12">
                  <c:v>Malta</c:v>
                </c:pt>
                <c:pt idx="13">
                  <c:v>Švédsko</c:v>
                </c:pt>
                <c:pt idx="14">
                  <c:v>Estonsko</c:v>
                </c:pt>
                <c:pt idx="15">
                  <c:v>Nizozemsko</c:v>
                </c:pt>
                <c:pt idx="16">
                  <c:v>Itálie</c:v>
                </c:pt>
                <c:pt idx="17">
                  <c:v>Slovinsko</c:v>
                </c:pt>
                <c:pt idx="18">
                  <c:v>Belgie</c:v>
                </c:pt>
                <c:pt idx="19">
                  <c:v>EU27</c:v>
                </c:pt>
                <c:pt idx="20">
                  <c:v>Rakousko</c:v>
                </c:pt>
                <c:pt idx="21">
                  <c:v>Finsko</c:v>
                </c:pt>
                <c:pt idx="22">
                  <c:v>Německo</c:v>
                </c:pt>
                <c:pt idx="23">
                  <c:v>Lucembursko</c:v>
                </c:pt>
                <c:pt idx="24">
                  <c:v>Dánsko</c:v>
                </c:pt>
                <c:pt idx="25">
                  <c:v>Španělsko</c:v>
                </c:pt>
                <c:pt idx="26">
                  <c:v>Portugalsko</c:v>
                </c:pt>
                <c:pt idx="27">
                  <c:v>Francie</c:v>
                </c:pt>
              </c:strCache>
            </c:strRef>
          </c:cat>
          <c:val>
            <c:numRef>
              <c:f>'G6.1'!$E$2:$E$29</c:f>
              <c:numCache>
                <c:formatCode>#\ ##0.0</c:formatCode>
                <c:ptCount val="28"/>
                <c:pt idx="0">
                  <c:v>51.83</c:v>
                </c:pt>
                <c:pt idx="1">
                  <c:v>80.510000000000005</c:v>
                </c:pt>
                <c:pt idx="2">
                  <c:v>174.25</c:v>
                </c:pt>
                <c:pt idx="3">
                  <c:v>317.38</c:v>
                </c:pt>
                <c:pt idx="4">
                  <c:v>407.59</c:v>
                </c:pt>
                <c:pt idx="5">
                  <c:v>442.84</c:v>
                </c:pt>
                <c:pt idx="6">
                  <c:v>464.36</c:v>
                </c:pt>
                <c:pt idx="7">
                  <c:v>529.82000000000005</c:v>
                </c:pt>
                <c:pt idx="8">
                  <c:v>607.01</c:v>
                </c:pt>
                <c:pt idx="9">
                  <c:v>635.6</c:v>
                </c:pt>
                <c:pt idx="10">
                  <c:v>667.69</c:v>
                </c:pt>
                <c:pt idx="11">
                  <c:v>807.56</c:v>
                </c:pt>
                <c:pt idx="12">
                  <c:v>824.89</c:v>
                </c:pt>
                <c:pt idx="13">
                  <c:v>952.54</c:v>
                </c:pt>
                <c:pt idx="14">
                  <c:v>1085.42</c:v>
                </c:pt>
                <c:pt idx="15">
                  <c:v>1164.9000000000001</c:v>
                </c:pt>
                <c:pt idx="16">
                  <c:v>1244.56</c:v>
                </c:pt>
                <c:pt idx="17">
                  <c:v>1376.4</c:v>
                </c:pt>
                <c:pt idx="18">
                  <c:v>1580.66</c:v>
                </c:pt>
                <c:pt idx="19">
                  <c:v>1623.97</c:v>
                </c:pt>
                <c:pt idx="20">
                  <c:v>1628.74</c:v>
                </c:pt>
                <c:pt idx="21">
                  <c:v>1653.7</c:v>
                </c:pt>
                <c:pt idx="22">
                  <c:v>1858.85</c:v>
                </c:pt>
                <c:pt idx="23">
                  <c:v>1901.98</c:v>
                </c:pt>
                <c:pt idx="24">
                  <c:v>2070.06</c:v>
                </c:pt>
                <c:pt idx="25">
                  <c:v>2656.73</c:v>
                </c:pt>
                <c:pt idx="26">
                  <c:v>3038.9</c:v>
                </c:pt>
                <c:pt idx="27">
                  <c:v>3364.26</c:v>
                </c:pt>
              </c:numCache>
            </c:numRef>
          </c:val>
          <c:extLst>
            <c:ext xmlns:c16="http://schemas.microsoft.com/office/drawing/2014/chart" uri="{C3380CC4-5D6E-409C-BE32-E72D297353CC}">
              <c16:uniqueId val="{00000010-CD19-46E1-ABF2-F7CDE50808DC}"/>
            </c:ext>
          </c:extLst>
        </c:ser>
        <c:dLbls>
          <c:showLegendKey val="0"/>
          <c:showVal val="0"/>
          <c:showCatName val="0"/>
          <c:showSerName val="0"/>
          <c:showPercent val="0"/>
          <c:showBubbleSize val="0"/>
        </c:dLbls>
        <c:gapWidth val="182"/>
        <c:axId val="876653215"/>
        <c:axId val="876650303"/>
      </c:barChart>
      <c:catAx>
        <c:axId val="8766532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876650303"/>
        <c:crosses val="autoZero"/>
        <c:auto val="1"/>
        <c:lblAlgn val="ctr"/>
        <c:lblOffset val="100"/>
        <c:noMultiLvlLbl val="0"/>
      </c:catAx>
      <c:valAx>
        <c:axId val="876650303"/>
        <c:scaling>
          <c:orientation val="minMax"/>
          <c:max val="3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počet případů</a:t>
                </a:r>
                <a:r>
                  <a:rPr lang="cs-CZ"/>
                  <a:t> na</a:t>
                </a:r>
                <a:r>
                  <a:rPr lang="cs-CZ" baseline="0"/>
                  <a:t> 100 tis. zaměstnaných osob</a:t>
                </a:r>
                <a:r>
                  <a:rPr lang="en-US"/>
                  <a:t> </a:t>
                </a:r>
              </a:p>
            </c:rich>
          </c:tx>
          <c:layout>
            <c:manualLayout>
              <c:xMode val="edge"/>
              <c:yMode val="edge"/>
              <c:x val="0.47844986589791028"/>
              <c:y val="0.9544839540460819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8766532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B44946"/>
            </a:solidFill>
            <a:ln>
              <a:noFill/>
            </a:ln>
            <a:effectLst/>
          </c:spPr>
          <c:invertIfNegative val="0"/>
          <c:dPt>
            <c:idx val="4"/>
            <c:invertIfNegative val="0"/>
            <c:bubble3D val="0"/>
            <c:spPr>
              <a:solidFill>
                <a:srgbClr val="B44946"/>
              </a:solidFill>
              <a:ln>
                <a:noFill/>
              </a:ln>
              <a:effectLst/>
            </c:spPr>
            <c:extLst>
              <c:ext xmlns:c16="http://schemas.microsoft.com/office/drawing/2014/chart" uri="{C3380CC4-5D6E-409C-BE32-E72D297353CC}">
                <c16:uniqueId val="{00000001-44F1-4BF9-85E1-0F9E54D05401}"/>
              </c:ext>
            </c:extLst>
          </c:dPt>
          <c:dPt>
            <c:idx val="6"/>
            <c:invertIfNegative val="0"/>
            <c:bubble3D val="0"/>
            <c:spPr>
              <a:solidFill>
                <a:srgbClr val="B44946"/>
              </a:solidFill>
              <a:ln>
                <a:noFill/>
              </a:ln>
              <a:effectLst/>
            </c:spPr>
            <c:extLst>
              <c:ext xmlns:c16="http://schemas.microsoft.com/office/drawing/2014/chart" uri="{C3380CC4-5D6E-409C-BE32-E72D297353CC}">
                <c16:uniqueId val="{00000003-44F1-4BF9-85E1-0F9E54D05401}"/>
              </c:ext>
            </c:extLst>
          </c:dPt>
          <c:dPt>
            <c:idx val="8"/>
            <c:invertIfNegative val="0"/>
            <c:bubble3D val="0"/>
            <c:spPr>
              <a:solidFill>
                <a:srgbClr val="632827"/>
              </a:solidFill>
              <a:ln>
                <a:noFill/>
              </a:ln>
              <a:effectLst/>
            </c:spPr>
            <c:extLst>
              <c:ext xmlns:c16="http://schemas.microsoft.com/office/drawing/2014/chart" uri="{C3380CC4-5D6E-409C-BE32-E72D297353CC}">
                <c16:uniqueId val="{00000005-44F1-4BF9-85E1-0F9E54D05401}"/>
              </c:ext>
            </c:extLst>
          </c:dPt>
          <c:dPt>
            <c:idx val="9"/>
            <c:invertIfNegative val="0"/>
            <c:bubble3D val="0"/>
            <c:spPr>
              <a:solidFill>
                <a:srgbClr val="B44946"/>
              </a:solidFill>
              <a:ln>
                <a:noFill/>
              </a:ln>
              <a:effectLst/>
            </c:spPr>
            <c:extLst>
              <c:ext xmlns:c16="http://schemas.microsoft.com/office/drawing/2014/chart" uri="{C3380CC4-5D6E-409C-BE32-E72D297353CC}">
                <c16:uniqueId val="{00000007-44F1-4BF9-85E1-0F9E54D05401}"/>
              </c:ext>
            </c:extLst>
          </c:dPt>
          <c:dPt>
            <c:idx val="13"/>
            <c:invertIfNegative val="0"/>
            <c:bubble3D val="0"/>
            <c:spPr>
              <a:solidFill>
                <a:srgbClr val="632827"/>
              </a:solidFill>
              <a:ln>
                <a:noFill/>
              </a:ln>
              <a:effectLst/>
            </c:spPr>
            <c:extLst>
              <c:ext xmlns:c16="http://schemas.microsoft.com/office/drawing/2014/chart" uri="{C3380CC4-5D6E-409C-BE32-E72D297353CC}">
                <c16:uniqueId val="{00000009-44F1-4BF9-85E1-0F9E54D05401}"/>
              </c:ext>
            </c:extLst>
          </c:dPt>
          <c:dPt>
            <c:idx val="15"/>
            <c:invertIfNegative val="0"/>
            <c:bubble3D val="0"/>
            <c:spPr>
              <a:solidFill>
                <a:srgbClr val="B44946"/>
              </a:solidFill>
              <a:ln>
                <a:noFill/>
              </a:ln>
              <a:effectLst/>
            </c:spPr>
            <c:extLst>
              <c:ext xmlns:c16="http://schemas.microsoft.com/office/drawing/2014/chart" uri="{C3380CC4-5D6E-409C-BE32-E72D297353CC}">
                <c16:uniqueId val="{0000000B-44F1-4BF9-85E1-0F9E54D05401}"/>
              </c:ext>
            </c:extLst>
          </c:dPt>
          <c:dPt>
            <c:idx val="19"/>
            <c:invertIfNegative val="0"/>
            <c:bubble3D val="0"/>
            <c:spPr>
              <a:solidFill>
                <a:srgbClr val="B44946"/>
              </a:solidFill>
              <a:ln>
                <a:noFill/>
              </a:ln>
              <a:effectLst/>
            </c:spPr>
            <c:extLst>
              <c:ext xmlns:c16="http://schemas.microsoft.com/office/drawing/2014/chart" uri="{C3380CC4-5D6E-409C-BE32-E72D297353CC}">
                <c16:uniqueId val="{0000000D-44F1-4BF9-85E1-0F9E54D05401}"/>
              </c:ext>
            </c:extLst>
          </c:dPt>
          <c:dPt>
            <c:idx val="21"/>
            <c:invertIfNegative val="0"/>
            <c:bubble3D val="0"/>
            <c:spPr>
              <a:solidFill>
                <a:srgbClr val="B44946"/>
              </a:solidFill>
              <a:ln>
                <a:noFill/>
              </a:ln>
              <a:effectLst/>
            </c:spPr>
            <c:extLst>
              <c:ext xmlns:c16="http://schemas.microsoft.com/office/drawing/2014/chart" uri="{C3380CC4-5D6E-409C-BE32-E72D297353CC}">
                <c16:uniqueId val="{0000000F-44F1-4BF9-85E1-0F9E54D05401}"/>
              </c:ext>
            </c:extLst>
          </c:dPt>
          <c:cat>
            <c:strRef>
              <c:f>'G6.2'!$D$2:$D$29</c:f>
              <c:strCache>
                <c:ptCount val="28"/>
                <c:pt idx="0">
                  <c:v>Nizozemsko</c:v>
                </c:pt>
                <c:pt idx="1">
                  <c:v>Finsko</c:v>
                </c:pt>
                <c:pt idx="2">
                  <c:v>Německo</c:v>
                </c:pt>
                <c:pt idx="3">
                  <c:v>Řecko</c:v>
                </c:pt>
                <c:pt idx="4">
                  <c:v>Švédsko</c:v>
                </c:pt>
                <c:pt idx="5">
                  <c:v>Polsko</c:v>
                </c:pt>
                <c:pt idx="6">
                  <c:v>Slovinsko</c:v>
                </c:pt>
                <c:pt idx="7">
                  <c:v>Dánsko</c:v>
                </c:pt>
                <c:pt idx="8">
                  <c:v>Česko</c:v>
                </c:pt>
                <c:pt idx="9">
                  <c:v>Irsko</c:v>
                </c:pt>
                <c:pt idx="10">
                  <c:v>Kypr</c:v>
                </c:pt>
                <c:pt idx="11">
                  <c:v>Belgie</c:v>
                </c:pt>
                <c:pt idx="12">
                  <c:v>Slovensko</c:v>
                </c:pt>
                <c:pt idx="13">
                  <c:v>EU27</c:v>
                </c:pt>
                <c:pt idx="14">
                  <c:v>Chorvatsko</c:v>
                </c:pt>
                <c:pt idx="15">
                  <c:v>Maďarsko</c:v>
                </c:pt>
                <c:pt idx="16">
                  <c:v>Španělsko</c:v>
                </c:pt>
                <c:pt idx="17">
                  <c:v>Estonsko</c:v>
                </c:pt>
                <c:pt idx="18">
                  <c:v>Portugalsko</c:v>
                </c:pt>
                <c:pt idx="19">
                  <c:v>Lucembursko</c:v>
                </c:pt>
                <c:pt idx="20">
                  <c:v>Itálie</c:v>
                </c:pt>
                <c:pt idx="21">
                  <c:v>Rakousko</c:v>
                </c:pt>
                <c:pt idx="22">
                  <c:v>Bulharsko</c:v>
                </c:pt>
                <c:pt idx="23">
                  <c:v>Rumunsko</c:v>
                </c:pt>
                <c:pt idx="24">
                  <c:v>Francie</c:v>
                </c:pt>
                <c:pt idx="25">
                  <c:v>Lotyšsko</c:v>
                </c:pt>
                <c:pt idx="26">
                  <c:v>Malta</c:v>
                </c:pt>
                <c:pt idx="27">
                  <c:v>Litva</c:v>
                </c:pt>
              </c:strCache>
            </c:strRef>
          </c:cat>
          <c:val>
            <c:numRef>
              <c:f>'G6.2'!$E$2:$E$29</c:f>
              <c:numCache>
                <c:formatCode>#\ ##0.0</c:formatCode>
                <c:ptCount val="28"/>
                <c:pt idx="0">
                  <c:v>0.43</c:v>
                </c:pt>
                <c:pt idx="1">
                  <c:v>0.96</c:v>
                </c:pt>
                <c:pt idx="2">
                  <c:v>1.08</c:v>
                </c:pt>
                <c:pt idx="3">
                  <c:v>1.1100000000000001</c:v>
                </c:pt>
                <c:pt idx="4">
                  <c:v>1.1200000000000001</c:v>
                </c:pt>
                <c:pt idx="5">
                  <c:v>1.81</c:v>
                </c:pt>
                <c:pt idx="6">
                  <c:v>1.93</c:v>
                </c:pt>
                <c:pt idx="7">
                  <c:v>2.0099999999999998</c:v>
                </c:pt>
                <c:pt idx="8">
                  <c:v>2.02</c:v>
                </c:pt>
                <c:pt idx="9">
                  <c:v>2.06</c:v>
                </c:pt>
                <c:pt idx="10">
                  <c:v>2.09</c:v>
                </c:pt>
                <c:pt idx="11">
                  <c:v>2.13</c:v>
                </c:pt>
                <c:pt idx="12">
                  <c:v>2.13</c:v>
                </c:pt>
                <c:pt idx="13">
                  <c:v>2.23</c:v>
                </c:pt>
                <c:pt idx="14">
                  <c:v>2.39</c:v>
                </c:pt>
                <c:pt idx="15">
                  <c:v>2.4700000000000002</c:v>
                </c:pt>
                <c:pt idx="16">
                  <c:v>2.4900000000000002</c:v>
                </c:pt>
                <c:pt idx="17">
                  <c:v>2.5</c:v>
                </c:pt>
                <c:pt idx="18">
                  <c:v>2.82</c:v>
                </c:pt>
                <c:pt idx="19">
                  <c:v>3.07</c:v>
                </c:pt>
                <c:pt idx="20">
                  <c:v>3.17</c:v>
                </c:pt>
                <c:pt idx="21">
                  <c:v>3.44</c:v>
                </c:pt>
                <c:pt idx="22">
                  <c:v>3.47</c:v>
                </c:pt>
                <c:pt idx="23">
                  <c:v>3.77</c:v>
                </c:pt>
                <c:pt idx="24">
                  <c:v>4.45</c:v>
                </c:pt>
                <c:pt idx="25">
                  <c:v>4.7300000000000004</c:v>
                </c:pt>
                <c:pt idx="26">
                  <c:v>4.9800000000000004</c:v>
                </c:pt>
                <c:pt idx="27">
                  <c:v>5.45</c:v>
                </c:pt>
              </c:numCache>
            </c:numRef>
          </c:val>
          <c:extLst>
            <c:ext xmlns:c16="http://schemas.microsoft.com/office/drawing/2014/chart" uri="{C3380CC4-5D6E-409C-BE32-E72D297353CC}">
              <c16:uniqueId val="{00000010-44F1-4BF9-85E1-0F9E54D05401}"/>
            </c:ext>
          </c:extLst>
        </c:ser>
        <c:dLbls>
          <c:showLegendKey val="0"/>
          <c:showVal val="0"/>
          <c:showCatName val="0"/>
          <c:showSerName val="0"/>
          <c:showPercent val="0"/>
          <c:showBubbleSize val="0"/>
        </c:dLbls>
        <c:gapWidth val="182"/>
        <c:axId val="676317471"/>
        <c:axId val="676319135"/>
      </c:barChart>
      <c:catAx>
        <c:axId val="676317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76319135"/>
        <c:crosses val="autoZero"/>
        <c:auto val="1"/>
        <c:lblAlgn val="ctr"/>
        <c:lblOffset val="100"/>
        <c:noMultiLvlLbl val="0"/>
      </c:catAx>
      <c:valAx>
        <c:axId val="676319135"/>
        <c:scaling>
          <c:orientation val="minMax"/>
          <c:max val="5.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počet případů</a:t>
                </a:r>
                <a:r>
                  <a:rPr lang="cs-CZ"/>
                  <a:t> na 100 tis. zaměstnaných</a:t>
                </a:r>
                <a:r>
                  <a:rPr lang="cs-CZ" baseline="0"/>
                  <a:t> osob</a:t>
                </a:r>
                <a:endParaRPr lang="en-US"/>
              </a:p>
            </c:rich>
          </c:tx>
          <c:layout>
            <c:manualLayout>
              <c:xMode val="edge"/>
              <c:yMode val="edge"/>
              <c:x val="0.48783353491471876"/>
              <c:y val="0.951251604498342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76317471"/>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006084838067168"/>
          <c:y val="3.5214081196058747E-2"/>
          <c:w val="0.45363709594404039"/>
          <c:h val="0.86283926322160209"/>
        </c:manualLayout>
      </c:layout>
      <c:barChart>
        <c:barDir val="bar"/>
        <c:grouping val="clustered"/>
        <c:varyColors val="0"/>
        <c:ser>
          <c:idx val="1"/>
          <c:order val="0"/>
          <c:tx>
            <c:strRef>
              <c:f>'G1.2'!$T$27</c:f>
              <c:strCache>
                <c:ptCount val="1"/>
                <c:pt idx="0">
                  <c:v> 2013</c:v>
                </c:pt>
              </c:strCache>
            </c:strRef>
          </c:tx>
          <c:spPr>
            <a:solidFill>
              <a:srgbClr val="B4494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3F00-4CD7-94A0-0FD6D4648C60}"/>
                </c:ext>
              </c:extLst>
            </c:dLbl>
            <c:dLbl>
              <c:idx val="1"/>
              <c:delete val="1"/>
              <c:extLst>
                <c:ext xmlns:c15="http://schemas.microsoft.com/office/drawing/2012/chart" uri="{CE6537A1-D6FC-4f65-9D91-7224C49458BB}"/>
                <c:ext xmlns:c16="http://schemas.microsoft.com/office/drawing/2014/chart" uri="{C3380CC4-5D6E-409C-BE32-E72D297353CC}">
                  <c16:uniqueId val="{00000001-3F00-4CD7-94A0-0FD6D4648C60}"/>
                </c:ext>
              </c:extLst>
            </c:dLbl>
            <c:dLbl>
              <c:idx val="2"/>
              <c:layout>
                <c:manualLayout>
                  <c:x val="-4.220991443866126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00-4CD7-94A0-0FD6D4648C60}"/>
                </c:ext>
              </c:extLst>
            </c:dLbl>
            <c:dLbl>
              <c:idx val="11"/>
              <c:layout>
                <c:manualLayout>
                  <c:x val="-4.71222029449709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00-4CD7-94A0-0FD6D4648C60}"/>
                </c:ext>
              </c:extLst>
            </c:dLbl>
            <c:dLbl>
              <c:idx val="18"/>
              <c:layout>
                <c:manualLayout>
                  <c:x val="-0.11258092738407699"/>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00-4CD7-94A0-0FD6D4648C6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'G1.2'!$R$28:$R$46</c:f>
              <c:strCache>
                <c:ptCount val="19"/>
                <c:pt idx="0">
                  <c:v>B – Těžba a dobývání</c:v>
                </c:pt>
                <c:pt idx="1">
                  <c:v>D – Výroba a rozvod elektřiny, plynu, tepla a klimatiz. vzduchu</c:v>
                </c:pt>
                <c:pt idx="2">
                  <c:v>E – Zásobování vodou; činnosti související s odpady a sanacemi</c:v>
                </c:pt>
                <c:pt idx="3">
                  <c:v>S – Ostatní činnosti</c:v>
                </c:pt>
                <c:pt idx="4">
                  <c:v>R – Kulturní, zábavní a rekreační činnosti</c:v>
                </c:pt>
                <c:pt idx="5">
                  <c:v>L – Činnosti v oblasti nemovitostí</c:v>
                </c:pt>
                <c:pt idx="6">
                  <c:v>K – Peněžnictví a pojišťovnictví</c:v>
                </c:pt>
                <c:pt idx="7">
                  <c:v>A – Zemědělství, lesnictví, rybářství</c:v>
                </c:pt>
                <c:pt idx="8">
                  <c:v>I – Ubytování, stravování a pohostinství</c:v>
                </c:pt>
                <c:pt idx="9">
                  <c:v>J – Informační a komunikační činnosti</c:v>
                </c:pt>
                <c:pt idx="10">
                  <c:v>M – Profesní, vědecké a technické činnosti</c:v>
                </c:pt>
                <c:pt idx="11">
                  <c:v>F – Stavebnictví</c:v>
                </c:pt>
                <c:pt idx="12">
                  <c:v>N – Administrativní a podpůrné činnosti</c:v>
                </c:pt>
                <c:pt idx="13">
                  <c:v>O – Veřejná správa a obrana; povinné sociální zabezpečení</c:v>
                </c:pt>
                <c:pt idx="14">
                  <c:v>H – Doprava a skladování</c:v>
                </c:pt>
                <c:pt idx="15">
                  <c:v>P – Vzdělávání</c:v>
                </c:pt>
                <c:pt idx="16">
                  <c:v>Q – Zdravotní a sociální péče</c:v>
                </c:pt>
                <c:pt idx="17">
                  <c:v>G – Velkoobchod a maloobchod; opravy a údržba motor. vozidel</c:v>
                </c:pt>
                <c:pt idx="18">
                  <c:v>C – Zpracovatelský průmysl</c:v>
                </c:pt>
              </c:strCache>
            </c:strRef>
          </c:cat>
          <c:val>
            <c:numRef>
              <c:f>'G1.2'!$T$28:$T$46</c:f>
              <c:numCache>
                <c:formatCode>#,##0</c:formatCode>
                <c:ptCount val="19"/>
                <c:pt idx="0">
                  <c:v>33.786000000000001</c:v>
                </c:pt>
                <c:pt idx="1">
                  <c:v>32.581000000000003</c:v>
                </c:pt>
                <c:pt idx="2">
                  <c:v>56.987000000000002</c:v>
                </c:pt>
                <c:pt idx="3">
                  <c:v>64.037000000000006</c:v>
                </c:pt>
                <c:pt idx="4">
                  <c:v>64.251000000000005</c:v>
                </c:pt>
                <c:pt idx="5">
                  <c:v>75.414000000000001</c:v>
                </c:pt>
                <c:pt idx="6">
                  <c:v>93.201999999999998</c:v>
                </c:pt>
                <c:pt idx="7">
                  <c:v>113.919</c:v>
                </c:pt>
                <c:pt idx="8">
                  <c:v>138.36500000000001</c:v>
                </c:pt>
                <c:pt idx="9">
                  <c:v>115.889</c:v>
                </c:pt>
                <c:pt idx="10">
                  <c:v>198.01599999999999</c:v>
                </c:pt>
                <c:pt idx="11">
                  <c:v>251.22</c:v>
                </c:pt>
                <c:pt idx="12">
                  <c:v>238.01400000000001</c:v>
                </c:pt>
                <c:pt idx="13">
                  <c:v>252.04300000000001</c:v>
                </c:pt>
                <c:pt idx="14">
                  <c:v>276.34699999999998</c:v>
                </c:pt>
                <c:pt idx="15">
                  <c:v>336.14600000000002</c:v>
                </c:pt>
                <c:pt idx="16">
                  <c:v>330.37400000000002</c:v>
                </c:pt>
                <c:pt idx="17">
                  <c:v>602.37099999999998</c:v>
                </c:pt>
                <c:pt idx="18">
                  <c:v>1144.4780000000001</c:v>
                </c:pt>
              </c:numCache>
            </c:numRef>
          </c:val>
          <c:extLst>
            <c:ext xmlns:c16="http://schemas.microsoft.com/office/drawing/2014/chart" uri="{C3380CC4-5D6E-409C-BE32-E72D297353CC}">
              <c16:uniqueId val="{00000005-3F00-4CD7-94A0-0FD6D4648C60}"/>
            </c:ext>
          </c:extLst>
        </c:ser>
        <c:ser>
          <c:idx val="0"/>
          <c:order val="1"/>
          <c:tx>
            <c:strRef>
              <c:f>'G1.2'!$S$27</c:f>
              <c:strCache>
                <c:ptCount val="1"/>
                <c:pt idx="0">
                  <c:v> 2023</c:v>
                </c:pt>
              </c:strCache>
            </c:strRef>
          </c:tx>
          <c:spPr>
            <a:solidFill>
              <a:srgbClr val="632827"/>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3F00-4CD7-94A0-0FD6D4648C60}"/>
                </c:ext>
              </c:extLst>
            </c:dLbl>
            <c:dLbl>
              <c:idx val="1"/>
              <c:delete val="1"/>
              <c:extLst>
                <c:ext xmlns:c15="http://schemas.microsoft.com/office/drawing/2012/chart" uri="{CE6537A1-D6FC-4f65-9D91-7224C49458BB}"/>
                <c:ext xmlns:c16="http://schemas.microsoft.com/office/drawing/2014/chart" uri="{C3380CC4-5D6E-409C-BE32-E72D297353CC}">
                  <c16:uniqueId val="{00000007-3F00-4CD7-94A0-0FD6D4648C60}"/>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'G1.2'!$R$28:$R$46</c:f>
              <c:strCache>
                <c:ptCount val="19"/>
                <c:pt idx="0">
                  <c:v>B – Těžba a dobývání</c:v>
                </c:pt>
                <c:pt idx="1">
                  <c:v>D – Výroba a rozvod elektřiny, plynu, tepla a klimatiz. vzduchu</c:v>
                </c:pt>
                <c:pt idx="2">
                  <c:v>E – Zásobování vodou; činnosti související s odpady a sanacemi</c:v>
                </c:pt>
                <c:pt idx="3">
                  <c:v>S – Ostatní činnosti</c:v>
                </c:pt>
                <c:pt idx="4">
                  <c:v>R – Kulturní, zábavní a rekreační činnosti</c:v>
                </c:pt>
                <c:pt idx="5">
                  <c:v>L – Činnosti v oblasti nemovitostí</c:v>
                </c:pt>
                <c:pt idx="6">
                  <c:v>K – Peněžnictví a pojišťovnictví</c:v>
                </c:pt>
                <c:pt idx="7">
                  <c:v>A – Zemědělství, lesnictví, rybářství</c:v>
                </c:pt>
                <c:pt idx="8">
                  <c:v>I – Ubytování, stravování a pohostinství</c:v>
                </c:pt>
                <c:pt idx="9">
                  <c:v>J – Informační a komunikační činnosti</c:v>
                </c:pt>
                <c:pt idx="10">
                  <c:v>M – Profesní, vědecké a technické činnosti</c:v>
                </c:pt>
                <c:pt idx="11">
                  <c:v>F – Stavebnictví</c:v>
                </c:pt>
                <c:pt idx="12">
                  <c:v>N – Administrativní a podpůrné činnosti</c:v>
                </c:pt>
                <c:pt idx="13">
                  <c:v>O – Veřejná správa a obrana; povinné sociální zabezpečení</c:v>
                </c:pt>
                <c:pt idx="14">
                  <c:v>H – Doprava a skladování</c:v>
                </c:pt>
                <c:pt idx="15">
                  <c:v>P – Vzdělávání</c:v>
                </c:pt>
                <c:pt idx="16">
                  <c:v>Q – Zdravotní a sociální péče</c:v>
                </c:pt>
                <c:pt idx="17">
                  <c:v>G – Velkoobchod a maloobchod; opravy a údržba motor. vozidel</c:v>
                </c:pt>
                <c:pt idx="18">
                  <c:v>C – Zpracovatelský průmysl</c:v>
                </c:pt>
              </c:strCache>
            </c:strRef>
          </c:cat>
          <c:val>
            <c:numRef>
              <c:f>'G1.2'!$S$28:$S$46</c:f>
              <c:numCache>
                <c:formatCode>#,##0</c:formatCode>
                <c:ptCount val="19"/>
                <c:pt idx="0">
                  <c:v>18.9253663</c:v>
                </c:pt>
                <c:pt idx="1">
                  <c:v>38.603870700000002</c:v>
                </c:pt>
                <c:pt idx="2">
                  <c:v>58.549656499999998</c:v>
                </c:pt>
                <c:pt idx="3">
                  <c:v>60.7664732</c:v>
                </c:pt>
                <c:pt idx="4">
                  <c:v>65.716949999999997</c:v>
                </c:pt>
                <c:pt idx="5">
                  <c:v>75.113162500000001</c:v>
                </c:pt>
                <c:pt idx="6">
                  <c:v>91.180993700000002</c:v>
                </c:pt>
                <c:pt idx="7">
                  <c:v>107.5571587</c:v>
                </c:pt>
                <c:pt idx="8">
                  <c:v>144.15100000000001</c:v>
                </c:pt>
                <c:pt idx="9">
                  <c:v>158.54375859999999</c:v>
                </c:pt>
                <c:pt idx="10">
                  <c:v>231.36936509999998</c:v>
                </c:pt>
                <c:pt idx="11">
                  <c:v>250.5294658</c:v>
                </c:pt>
                <c:pt idx="12">
                  <c:v>254.4276108</c:v>
                </c:pt>
                <c:pt idx="13">
                  <c:v>259.2607668</c:v>
                </c:pt>
                <c:pt idx="14">
                  <c:v>293.81872429999999</c:v>
                </c:pt>
                <c:pt idx="15">
                  <c:v>418.97898930000002</c:v>
                </c:pt>
                <c:pt idx="16">
                  <c:v>433.72910910000002</c:v>
                </c:pt>
                <c:pt idx="17">
                  <c:v>628.33042220000004</c:v>
                </c:pt>
                <c:pt idx="18">
                  <c:v>1177.2993770999999</c:v>
                </c:pt>
              </c:numCache>
            </c:numRef>
          </c:val>
          <c:extLst>
            <c:ext xmlns:c16="http://schemas.microsoft.com/office/drawing/2014/chart" uri="{C3380CC4-5D6E-409C-BE32-E72D297353CC}">
              <c16:uniqueId val="{00000008-3F00-4CD7-94A0-0FD6D4648C60}"/>
            </c:ext>
          </c:extLst>
        </c:ser>
        <c:dLbls>
          <c:showLegendKey val="0"/>
          <c:showVal val="0"/>
          <c:showCatName val="0"/>
          <c:showSerName val="0"/>
          <c:showPercent val="0"/>
          <c:showBubbleSize val="0"/>
        </c:dLbls>
        <c:gapWidth val="71"/>
        <c:axId val="1399933295"/>
        <c:axId val="1399945775"/>
      </c:barChart>
      <c:catAx>
        <c:axId val="13999332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99945775"/>
        <c:crosses val="autoZero"/>
        <c:auto val="1"/>
        <c:lblAlgn val="ctr"/>
        <c:lblOffset val="100"/>
        <c:noMultiLvlLbl val="0"/>
      </c:catAx>
      <c:valAx>
        <c:axId val="1399945775"/>
        <c:scaling>
          <c:orientation val="minMax"/>
          <c:max val="8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a:t>tisíce</a:t>
                </a:r>
                <a:endParaRPr lang="en-US"/>
              </a:p>
            </c:rich>
          </c:tx>
          <c:layout>
            <c:manualLayout>
              <c:xMode val="edge"/>
              <c:yMode val="edge"/>
              <c:x val="0.72448566810504622"/>
              <c:y val="0.9521629044189352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99933295"/>
        <c:crosses val="autoZero"/>
        <c:crossBetween val="between"/>
      </c:valAx>
      <c:spPr>
        <a:noFill/>
        <a:ln>
          <a:noFill/>
        </a:ln>
        <a:effectLst/>
      </c:spPr>
    </c:plotArea>
    <c:legend>
      <c:legendPos val="b"/>
      <c:layout>
        <c:manualLayout>
          <c:xMode val="edge"/>
          <c:yMode val="edge"/>
          <c:x val="0.82079776884634903"/>
          <c:y val="0.43270510064825501"/>
          <c:w val="8.5339874935660864E-2"/>
          <c:h val="7.1024774962438919E-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'G2.1+2.3'!$A$29</c:f>
              <c:strCache>
                <c:ptCount val="1"/>
                <c:pt idx="0">
                  <c:v> 1. pololetí</c:v>
                </c:pt>
              </c:strCache>
            </c:strRef>
          </c:tx>
          <c:spPr>
            <a:solidFill>
              <a:srgbClr val="632827"/>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'G2.1+2.3'!$B$28:$J$28</c:f>
              <c:strCache>
                <c:ptCount val="9"/>
                <c:pt idx="0">
                  <c:v>2015</c:v>
                </c:pt>
                <c:pt idx="1">
                  <c:v>2016</c:v>
                </c:pt>
                <c:pt idx="2">
                  <c:v>2017</c:v>
                </c:pt>
                <c:pt idx="3">
                  <c:v>2018</c:v>
                </c:pt>
                <c:pt idx="4">
                  <c:v>2019</c:v>
                </c:pt>
                <c:pt idx="5">
                  <c:v>2020</c:v>
                </c:pt>
                <c:pt idx="6">
                  <c:v>2021</c:v>
                </c:pt>
                <c:pt idx="7">
                  <c:v>2022*</c:v>
                </c:pt>
                <c:pt idx="8">
                  <c:v>2023</c:v>
                </c:pt>
              </c:strCache>
            </c:strRef>
          </c:cat>
          <c:val>
            <c:numRef>
              <c:f>'G2.1+2.3'!$B$29:$J$29</c:f>
              <c:numCache>
                <c:formatCode>#,##0</c:formatCode>
                <c:ptCount val="9"/>
                <c:pt idx="0">
                  <c:v>873.85799999999995</c:v>
                </c:pt>
                <c:pt idx="1">
                  <c:v>876.46699999999998</c:v>
                </c:pt>
                <c:pt idx="2">
                  <c:v>944.72299999999996</c:v>
                </c:pt>
                <c:pt idx="3">
                  <c:v>1040.23</c:v>
                </c:pt>
                <c:pt idx="4">
                  <c:v>974.97400000000005</c:v>
                </c:pt>
                <c:pt idx="5" formatCode="###\ ###\ ##0">
                  <c:v>1070.067</c:v>
                </c:pt>
                <c:pt idx="6" formatCode="###\ ###\ ##0">
                  <c:v>1399.434</c:v>
                </c:pt>
                <c:pt idx="7" formatCode="###\ ###\ ##0">
                  <c:v>2053.9259999999999</c:v>
                </c:pt>
                <c:pt idx="8">
                  <c:v>1327.877</c:v>
                </c:pt>
              </c:numCache>
            </c:numRef>
          </c:val>
          <c:extLst>
            <c:ext xmlns:c16="http://schemas.microsoft.com/office/drawing/2014/chart" uri="{C3380CC4-5D6E-409C-BE32-E72D297353CC}">
              <c16:uniqueId val="{00000000-5D01-481F-A320-488F6FD0C1B5}"/>
            </c:ext>
          </c:extLst>
        </c:ser>
        <c:ser>
          <c:idx val="1"/>
          <c:order val="1"/>
          <c:tx>
            <c:strRef>
              <c:f>'G2.1+2.3'!$A$30</c:f>
              <c:strCache>
                <c:ptCount val="1"/>
                <c:pt idx="0">
                  <c:v> 2. pololetí</c:v>
                </c:pt>
              </c:strCache>
            </c:strRef>
          </c:tx>
          <c:spPr>
            <a:solidFill>
              <a:srgbClr val="B4494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'G2.1+2.3'!$B$28:$J$28</c:f>
              <c:strCache>
                <c:ptCount val="9"/>
                <c:pt idx="0">
                  <c:v>2015</c:v>
                </c:pt>
                <c:pt idx="1">
                  <c:v>2016</c:v>
                </c:pt>
                <c:pt idx="2">
                  <c:v>2017</c:v>
                </c:pt>
                <c:pt idx="3">
                  <c:v>2018</c:v>
                </c:pt>
                <c:pt idx="4">
                  <c:v>2019</c:v>
                </c:pt>
                <c:pt idx="5">
                  <c:v>2020</c:v>
                </c:pt>
                <c:pt idx="6">
                  <c:v>2021</c:v>
                </c:pt>
                <c:pt idx="7">
                  <c:v>2022*</c:v>
                </c:pt>
                <c:pt idx="8">
                  <c:v>2023</c:v>
                </c:pt>
              </c:strCache>
            </c:strRef>
          </c:cat>
          <c:val>
            <c:numRef>
              <c:f>'G2.1+2.3'!$B$30:$J$30</c:f>
              <c:numCache>
                <c:formatCode>###\ ###\ ##0</c:formatCode>
                <c:ptCount val="9"/>
                <c:pt idx="0">
                  <c:v>689.60000000000014</c:v>
                </c:pt>
                <c:pt idx="1">
                  <c:v>756.88</c:v>
                </c:pt>
                <c:pt idx="2">
                  <c:v>762.79</c:v>
                </c:pt>
                <c:pt idx="3">
                  <c:v>809.22499999999991</c:v>
                </c:pt>
                <c:pt idx="4">
                  <c:v>939.83900000000006</c:v>
                </c:pt>
                <c:pt idx="5">
                  <c:v>1320.9670000000001</c:v>
                </c:pt>
                <c:pt idx="6">
                  <c:v>1355.3390000000002</c:v>
                </c:pt>
                <c:pt idx="7">
                  <c:v>1403.7069999999999</c:v>
                </c:pt>
                <c:pt idx="8">
                  <c:v>1207.2890000000002</c:v>
                </c:pt>
              </c:numCache>
            </c:numRef>
          </c:val>
          <c:extLst>
            <c:ext xmlns:c16="http://schemas.microsoft.com/office/drawing/2014/chart" uri="{C3380CC4-5D6E-409C-BE32-E72D297353CC}">
              <c16:uniqueId val="{00000001-5D01-481F-A320-488F6FD0C1B5}"/>
            </c:ext>
          </c:extLst>
        </c:ser>
        <c:dLbls>
          <c:showLegendKey val="0"/>
          <c:showVal val="0"/>
          <c:showCatName val="0"/>
          <c:showSerName val="0"/>
          <c:showPercent val="0"/>
          <c:showBubbleSize val="0"/>
        </c:dLbls>
        <c:gapWidth val="50"/>
        <c:axId val="170191583"/>
        <c:axId val="170190335"/>
      </c:barChart>
      <c:catAx>
        <c:axId val="170191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70190335"/>
        <c:crosses val="autoZero"/>
        <c:auto val="1"/>
        <c:lblAlgn val="ctr"/>
        <c:lblOffset val="100"/>
        <c:noMultiLvlLbl val="0"/>
      </c:catAx>
      <c:valAx>
        <c:axId val="170190335"/>
        <c:scaling>
          <c:orientation val="minMax"/>
          <c:max val="2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70191583"/>
        <c:crosses val="autoZero"/>
        <c:crossBetween val="between"/>
        <c:majorUnit val="30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s-CZ"/>
        </a:p>
      </c:txPr>
    </c:title>
    <c:autoTitleDeleted val="0"/>
    <c:plotArea>
      <c:layout/>
      <c:doughnutChart>
        <c:varyColors val="1"/>
        <c:ser>
          <c:idx val="0"/>
          <c:order val="0"/>
          <c:tx>
            <c:strRef>
              <c:f>'G2.2'!$A$11</c:f>
              <c:strCache>
                <c:ptCount val="1"/>
                <c:pt idx="0">
                  <c:v>ženy</c:v>
                </c:pt>
              </c:strCache>
            </c:strRef>
          </c:tx>
          <c:dPt>
            <c:idx val="0"/>
            <c:bubble3D val="0"/>
            <c:spPr>
              <a:solidFill>
                <a:srgbClr val="632827"/>
              </a:solidFill>
              <a:ln w="19050">
                <a:solidFill>
                  <a:schemeClr val="lt1"/>
                </a:solidFill>
              </a:ln>
              <a:effectLst/>
            </c:spPr>
            <c:extLst>
              <c:ext xmlns:c16="http://schemas.microsoft.com/office/drawing/2014/chart" uri="{C3380CC4-5D6E-409C-BE32-E72D297353CC}">
                <c16:uniqueId val="{00000001-C373-4796-BADA-222B91A4F94D}"/>
              </c:ext>
            </c:extLst>
          </c:dPt>
          <c:dPt>
            <c:idx val="1"/>
            <c:bubble3D val="0"/>
            <c:spPr>
              <a:solidFill>
                <a:srgbClr val="B44946"/>
              </a:solidFill>
              <a:ln w="19050">
                <a:solidFill>
                  <a:schemeClr val="lt1"/>
                </a:solidFill>
              </a:ln>
              <a:effectLst/>
            </c:spPr>
            <c:extLst>
              <c:ext xmlns:c16="http://schemas.microsoft.com/office/drawing/2014/chart" uri="{C3380CC4-5D6E-409C-BE32-E72D297353CC}">
                <c16:uniqueId val="{00000003-C373-4796-BADA-222B91A4F94D}"/>
              </c:ext>
            </c:extLst>
          </c:dPt>
          <c:dPt>
            <c:idx val="2"/>
            <c:bubble3D val="0"/>
            <c:spPr>
              <a:solidFill>
                <a:srgbClr val="F07373"/>
              </a:solidFill>
              <a:ln w="19050">
                <a:solidFill>
                  <a:schemeClr val="lt1"/>
                </a:solidFill>
              </a:ln>
              <a:effectLst/>
            </c:spPr>
            <c:extLst>
              <c:ext xmlns:c16="http://schemas.microsoft.com/office/drawing/2014/chart" uri="{C3380CC4-5D6E-409C-BE32-E72D297353CC}">
                <c16:uniqueId val="{00000005-C373-4796-BADA-222B91A4F94D}"/>
              </c:ext>
            </c:extLst>
          </c:dPt>
          <c:dLbls>
            <c:dLbl>
              <c:idx val="0"/>
              <c:tx>
                <c:rich>
                  <a:bodyPr rot="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fld id="{41B40091-2989-49C2-83B1-4929ADD03C6E}" type="CELLRANGE">
                      <a:rPr lang="cs-CZ"/>
                      <a:pPr>
                        <a:defRPr>
                          <a:solidFill>
                            <a:schemeClr val="bg1"/>
                          </a:solidFill>
                        </a:defRPr>
                      </a:pPr>
                      <a:t>[OBLAST BUNĚK]</a:t>
                    </a:fld>
                    <a:endParaRPr lang="cs-CZ"/>
                  </a:p>
                </c:rich>
              </c:tx>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373-4796-BADA-222B91A4F94D}"/>
                </c:ext>
              </c:extLst>
            </c:dLbl>
            <c:dLbl>
              <c:idx val="1"/>
              <c:layout>
                <c:manualLayout>
                  <c:x val="-9.2758873374750792E-2"/>
                  <c:y val="-0.11967204038351825"/>
                </c:manualLayout>
              </c:layout>
              <c:tx>
                <c:rich>
                  <a:bodyPr/>
                  <a:lstStyle/>
                  <a:p>
                    <a:fld id="{FD0C572F-92D7-422F-A21B-AE25B825C9C8}"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C373-4796-BADA-222B91A4F94D}"/>
                </c:ext>
              </c:extLst>
            </c:dLbl>
            <c:dLbl>
              <c:idx val="2"/>
              <c:layout>
                <c:manualLayout>
                  <c:x val="1.7759141094345843E-2"/>
                  <c:y val="-0.1464003639716237"/>
                </c:manualLayout>
              </c:layout>
              <c:tx>
                <c:rich>
                  <a:bodyPr/>
                  <a:lstStyle/>
                  <a:p>
                    <a:fld id="{E57169B0-EDB1-49EC-8E34-EA732ABD2108}" type="CELLRANGE">
                      <a:rPr lang="en-US"/>
                      <a:pPr/>
                      <a:t>[OBLAST BUNĚK]</a:t>
                    </a:fld>
                    <a:endParaRPr lang="cs-C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C373-4796-BADA-222B91A4F94D}"/>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0"/>
            <c:showBubbleSize val="0"/>
            <c:showLeaderLines val="0"/>
            <c:extLst>
              <c:ext xmlns:c15="http://schemas.microsoft.com/office/drawing/2012/chart" uri="{CE6537A1-D6FC-4f65-9D91-7224C49458BB}">
                <c15:showDataLabelsRange val="1"/>
              </c:ext>
            </c:extLst>
          </c:dLbls>
          <c:cat>
            <c:strRef>
              <c:f>'G2.2'!$B$10:$D$10</c:f>
              <c:strCache>
                <c:ptCount val="3"/>
                <c:pt idx="0">
                  <c:v> nemoc</c:v>
                </c:pt>
                <c:pt idx="1">
                  <c:v>pracovní úraz</c:v>
                </c:pt>
                <c:pt idx="2">
                  <c:v>ostatní úraz</c:v>
                </c:pt>
              </c:strCache>
            </c:strRef>
          </c:cat>
          <c:val>
            <c:numRef>
              <c:f>'G2.2'!$B$11:$D$11</c:f>
              <c:numCache>
                <c:formatCode>#\ ##0.0</c:formatCode>
                <c:ptCount val="3"/>
                <c:pt idx="0">
                  <c:v>1318.7159999999999</c:v>
                </c:pt>
                <c:pt idx="1">
                  <c:v>14.927</c:v>
                </c:pt>
                <c:pt idx="2">
                  <c:v>67.367000000000004</c:v>
                </c:pt>
              </c:numCache>
            </c:numRef>
          </c:val>
          <c:extLst>
            <c:ext xmlns:c15="http://schemas.microsoft.com/office/drawing/2012/chart" uri="{02D57815-91ED-43cb-92C2-25804820EDAC}">
              <c15:datalabelsRange>
                <c15:f>'G2.2'!$E$18:$E$20</c15:f>
                <c15:dlblRangeCache>
                  <c:ptCount val="3"/>
                  <c:pt idx="0">
                    <c:v>1 318,7 tis.
94 %</c:v>
                  </c:pt>
                  <c:pt idx="1">
                    <c:v>14,9 tis.
1 %</c:v>
                  </c:pt>
                  <c:pt idx="2">
                    <c:v>67,4 tis.
5 %</c:v>
                  </c:pt>
                </c15:dlblRangeCache>
              </c15:datalabelsRange>
            </c:ext>
            <c:ext xmlns:c16="http://schemas.microsoft.com/office/drawing/2014/chart" uri="{C3380CC4-5D6E-409C-BE32-E72D297353CC}">
              <c16:uniqueId val="{00000006-C373-4796-BADA-222B91A4F94D}"/>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s-CZ"/>
        </a:p>
      </c:txPr>
    </c:title>
    <c:autoTitleDeleted val="0"/>
    <c:plotArea>
      <c:layout/>
      <c:doughnutChart>
        <c:varyColors val="1"/>
        <c:ser>
          <c:idx val="0"/>
          <c:order val="0"/>
          <c:tx>
            <c:strRef>
              <c:f>'G2.2'!$A$15</c:f>
              <c:strCache>
                <c:ptCount val="1"/>
                <c:pt idx="0">
                  <c:v>muži</c:v>
                </c:pt>
              </c:strCache>
            </c:strRef>
          </c:tx>
          <c:dPt>
            <c:idx val="0"/>
            <c:bubble3D val="0"/>
            <c:spPr>
              <a:solidFill>
                <a:srgbClr val="632827"/>
              </a:solidFill>
              <a:ln w="19050">
                <a:solidFill>
                  <a:schemeClr val="lt1"/>
                </a:solidFill>
              </a:ln>
              <a:effectLst/>
            </c:spPr>
            <c:extLst>
              <c:ext xmlns:c16="http://schemas.microsoft.com/office/drawing/2014/chart" uri="{C3380CC4-5D6E-409C-BE32-E72D297353CC}">
                <c16:uniqueId val="{00000001-31A2-44F3-A52A-668B0AE0215E}"/>
              </c:ext>
            </c:extLst>
          </c:dPt>
          <c:dPt>
            <c:idx val="1"/>
            <c:bubble3D val="0"/>
            <c:spPr>
              <a:solidFill>
                <a:srgbClr val="B44946"/>
              </a:solidFill>
              <a:ln w="19050">
                <a:solidFill>
                  <a:schemeClr val="lt1"/>
                </a:solidFill>
              </a:ln>
              <a:effectLst/>
            </c:spPr>
            <c:extLst>
              <c:ext xmlns:c16="http://schemas.microsoft.com/office/drawing/2014/chart" uri="{C3380CC4-5D6E-409C-BE32-E72D297353CC}">
                <c16:uniqueId val="{00000003-31A2-44F3-A52A-668B0AE0215E}"/>
              </c:ext>
            </c:extLst>
          </c:dPt>
          <c:dPt>
            <c:idx val="2"/>
            <c:bubble3D val="0"/>
            <c:spPr>
              <a:solidFill>
                <a:srgbClr val="F07373"/>
              </a:solidFill>
              <a:ln w="19050">
                <a:solidFill>
                  <a:schemeClr val="lt1"/>
                </a:solidFill>
              </a:ln>
              <a:effectLst/>
            </c:spPr>
            <c:extLst>
              <c:ext xmlns:c16="http://schemas.microsoft.com/office/drawing/2014/chart" uri="{C3380CC4-5D6E-409C-BE32-E72D297353CC}">
                <c16:uniqueId val="{00000005-31A2-44F3-A52A-668B0AE0215E}"/>
              </c:ext>
            </c:extLst>
          </c:dPt>
          <c:dLbls>
            <c:dLbl>
              <c:idx val="0"/>
              <c:tx>
                <c:rich>
                  <a:bodyPr rot="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fld id="{338DD0F0-AD7A-4893-9AA7-72E384E56C48}" type="CELLRANGE">
                      <a:rPr lang="cs-CZ"/>
                      <a:pPr>
                        <a:defRPr>
                          <a:solidFill>
                            <a:schemeClr val="bg1"/>
                          </a:solidFill>
                        </a:defRPr>
                      </a:pPr>
                      <a:t>[OBLAST BUNĚK]</a:t>
                    </a:fld>
                    <a:endParaRPr lang="cs-CZ"/>
                  </a:p>
                </c:rich>
              </c:tx>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1A2-44F3-A52A-668B0AE0215E}"/>
                </c:ext>
              </c:extLst>
            </c:dLbl>
            <c:dLbl>
              <c:idx val="1"/>
              <c:layout>
                <c:manualLayout>
                  <c:x val="-5.2777777777777778E-2"/>
                  <c:y val="-0.12578616352201261"/>
                </c:manualLayout>
              </c:layout>
              <c:tx>
                <c:rich>
                  <a:bodyPr/>
                  <a:lstStyle/>
                  <a:p>
                    <a:fld id="{571EBD8B-195A-48CB-AA6C-27D3713CBE1A}" type="CELLRANGE">
                      <a:rPr lang="en-US"/>
                      <a:pPr/>
                      <a:t>[OBLAST BUNĚK]</a:t>
                    </a:fld>
                    <a:endParaRPr lang="cs-CZ"/>
                  </a:p>
                </c:rich>
              </c:tx>
              <c:showLegendKey val="0"/>
              <c:showVal val="0"/>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31A2-44F3-A52A-668B0AE0215E}"/>
                </c:ext>
              </c:extLst>
            </c:dLbl>
            <c:dLbl>
              <c:idx val="2"/>
              <c:tx>
                <c:rich>
                  <a:bodyPr/>
                  <a:lstStyle/>
                  <a:p>
                    <a:fld id="{46025265-F2DF-4947-B2C3-5AF42C69EEAD}" type="CELLRANGE">
                      <a:rPr lang="cs-CZ"/>
                      <a:pPr/>
                      <a:t>[OBLAST BUNĚK]</a:t>
                    </a:fld>
                    <a:endParaRPr lang="cs-CZ"/>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31A2-44F3-A52A-668B0AE0215E}"/>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0"/>
            <c:showBubbleSize val="0"/>
            <c:separator>
</c:separator>
            <c:showLeaderLines val="0"/>
            <c:extLst>
              <c:ext xmlns:c15="http://schemas.microsoft.com/office/drawing/2012/chart" uri="{CE6537A1-D6FC-4f65-9D91-7224C49458BB}">
                <c15:showDataLabelsRange val="1"/>
              </c:ext>
            </c:extLst>
          </c:dLbls>
          <c:cat>
            <c:strRef>
              <c:f>'G2.2'!$B$14:$D$14</c:f>
              <c:strCache>
                <c:ptCount val="3"/>
                <c:pt idx="0">
                  <c:v> nemoc</c:v>
                </c:pt>
                <c:pt idx="1">
                  <c:v> pracovní úraz</c:v>
                </c:pt>
                <c:pt idx="2">
                  <c:v> ostatní úraz</c:v>
                </c:pt>
              </c:strCache>
            </c:strRef>
          </c:cat>
          <c:val>
            <c:numRef>
              <c:f>'G2.2'!$B$15:$D$15</c:f>
              <c:numCache>
                <c:formatCode>#\ ##0.0</c:formatCode>
                <c:ptCount val="3"/>
                <c:pt idx="0">
                  <c:v>1004.527</c:v>
                </c:pt>
                <c:pt idx="1">
                  <c:v>28.548999999999999</c:v>
                </c:pt>
                <c:pt idx="2">
                  <c:v>101.08</c:v>
                </c:pt>
              </c:numCache>
            </c:numRef>
          </c:val>
          <c:extLst>
            <c:ext xmlns:c15="http://schemas.microsoft.com/office/drawing/2012/chart" uri="{02D57815-91ED-43cb-92C2-25804820EDAC}">
              <c15:datalabelsRange>
                <c15:f>'G2.2'!$C$18:$C$20</c15:f>
                <c15:dlblRangeCache>
                  <c:ptCount val="3"/>
                  <c:pt idx="0">
                    <c:v>1 004,5 tis.
89 %</c:v>
                  </c:pt>
                  <c:pt idx="1">
                    <c:v>28,5 tis.
2 %</c:v>
                  </c:pt>
                  <c:pt idx="2">
                    <c:v>101,1 tis.
9 %</c:v>
                  </c:pt>
                </c15:dlblRangeCache>
              </c15:datalabelsRange>
            </c:ext>
            <c:ext xmlns:c16="http://schemas.microsoft.com/office/drawing/2014/chart" uri="{C3380CC4-5D6E-409C-BE32-E72D297353CC}">
              <c16:uniqueId val="{00000006-31A2-44F3-A52A-668B0AE0215E}"/>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r"/>
      <c:layout>
        <c:manualLayout>
          <c:xMode val="edge"/>
          <c:yMode val="edge"/>
          <c:x val="0.58635591995954639"/>
          <c:y val="0.32373590873748548"/>
          <c:w val="0.28306304028510199"/>
          <c:h val="0.394624678335263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'G2.1+2.3'!$A$4</c:f>
              <c:strCache>
                <c:ptCount val="1"/>
                <c:pt idx="0">
                  <c:v> 1. pololetí</c:v>
                </c:pt>
              </c:strCache>
            </c:strRef>
          </c:tx>
          <c:spPr>
            <a:solidFill>
              <a:srgbClr val="632827"/>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'G2.1+2.3'!$B$3:$J$3</c:f>
              <c:strCache>
                <c:ptCount val="9"/>
                <c:pt idx="0">
                  <c:v>2015</c:v>
                </c:pt>
                <c:pt idx="1">
                  <c:v>2016</c:v>
                </c:pt>
                <c:pt idx="2">
                  <c:v>2017</c:v>
                </c:pt>
                <c:pt idx="3">
                  <c:v>2018</c:v>
                </c:pt>
                <c:pt idx="4">
                  <c:v>2019</c:v>
                </c:pt>
                <c:pt idx="5">
                  <c:v>2020</c:v>
                </c:pt>
                <c:pt idx="6">
                  <c:v>2021</c:v>
                </c:pt>
                <c:pt idx="7">
                  <c:v>2022*</c:v>
                </c:pt>
                <c:pt idx="8">
                  <c:v>2023</c:v>
                </c:pt>
              </c:strCache>
            </c:strRef>
          </c:cat>
          <c:val>
            <c:numRef>
              <c:f>'G2.1+2.3'!$B$4:$J$4</c:f>
              <c:numCache>
                <c:formatCode>_-* #\ ##0_-;\-* #\ ##0_-;_-* "-"??_-;_-@_-</c:formatCode>
                <c:ptCount val="9"/>
                <c:pt idx="0">
                  <c:v>783.80700000000002</c:v>
                </c:pt>
                <c:pt idx="1">
                  <c:v>777.09199999999998</c:v>
                </c:pt>
                <c:pt idx="2">
                  <c:v>841.59900000000005</c:v>
                </c:pt>
                <c:pt idx="3">
                  <c:v>937.75099999999998</c:v>
                </c:pt>
                <c:pt idx="4">
                  <c:v>872.71400000000006</c:v>
                </c:pt>
                <c:pt idx="5" formatCode="#,##0">
                  <c:v>976.90099999999995</c:v>
                </c:pt>
                <c:pt idx="6" formatCode="#,##0">
                  <c:v>1300.2139999999999</c:v>
                </c:pt>
                <c:pt idx="7" formatCode="#,##0">
                  <c:v>1942.4169999999999</c:v>
                </c:pt>
                <c:pt idx="8" formatCode="#,##0">
                  <c:v>1220.8140000000001</c:v>
                </c:pt>
              </c:numCache>
            </c:numRef>
          </c:val>
          <c:extLst>
            <c:ext xmlns:c16="http://schemas.microsoft.com/office/drawing/2014/chart" uri="{C3380CC4-5D6E-409C-BE32-E72D297353CC}">
              <c16:uniqueId val="{00000000-93E9-4253-B368-D428869C5620}"/>
            </c:ext>
          </c:extLst>
        </c:ser>
        <c:ser>
          <c:idx val="1"/>
          <c:order val="1"/>
          <c:tx>
            <c:strRef>
              <c:f>'G2.1+2.3'!$A$5</c:f>
              <c:strCache>
                <c:ptCount val="1"/>
                <c:pt idx="0">
                  <c:v> 2. pololetí</c:v>
                </c:pt>
              </c:strCache>
            </c:strRef>
          </c:tx>
          <c:spPr>
            <a:solidFill>
              <a:srgbClr val="B4494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'G2.1+2.3'!$B$3:$J$3</c:f>
              <c:strCache>
                <c:ptCount val="9"/>
                <c:pt idx="0">
                  <c:v>2015</c:v>
                </c:pt>
                <c:pt idx="1">
                  <c:v>2016</c:v>
                </c:pt>
                <c:pt idx="2">
                  <c:v>2017</c:v>
                </c:pt>
                <c:pt idx="3">
                  <c:v>2018</c:v>
                </c:pt>
                <c:pt idx="4">
                  <c:v>2019</c:v>
                </c:pt>
                <c:pt idx="5">
                  <c:v>2020</c:v>
                </c:pt>
                <c:pt idx="6">
                  <c:v>2021</c:v>
                </c:pt>
                <c:pt idx="7">
                  <c:v>2022*</c:v>
                </c:pt>
                <c:pt idx="8">
                  <c:v>2023</c:v>
                </c:pt>
              </c:strCache>
            </c:strRef>
          </c:cat>
          <c:val>
            <c:numRef>
              <c:f>'G2.1+2.3'!$B$5:$J$5</c:f>
              <c:numCache>
                <c:formatCode>_-* #\ ##0_-;\-* #\ ##0_-;_-* "-"??_-;_-@_-</c:formatCode>
                <c:ptCount val="9"/>
                <c:pt idx="0">
                  <c:v>600.048</c:v>
                </c:pt>
                <c:pt idx="1">
                  <c:v>663.84400000000005</c:v>
                </c:pt>
                <c:pt idx="2">
                  <c:v>669.27800000000002</c:v>
                </c:pt>
                <c:pt idx="3">
                  <c:v>712.51800000000003</c:v>
                </c:pt>
                <c:pt idx="4">
                  <c:v>838.52499999999998</c:v>
                </c:pt>
                <c:pt idx="5" formatCode="#,##0">
                  <c:v>1225.809</c:v>
                </c:pt>
                <c:pt idx="6" formatCode="#,##0">
                  <c:v>1249.5350000000001</c:v>
                </c:pt>
                <c:pt idx="7" formatCode="#,##0">
                  <c:v>1297.9160000000002</c:v>
                </c:pt>
                <c:pt idx="8" formatCode="#,##0">
                  <c:v>1102.4289999999999</c:v>
                </c:pt>
              </c:numCache>
            </c:numRef>
          </c:val>
          <c:extLst>
            <c:ext xmlns:c16="http://schemas.microsoft.com/office/drawing/2014/chart" uri="{C3380CC4-5D6E-409C-BE32-E72D297353CC}">
              <c16:uniqueId val="{00000001-93E9-4253-B368-D428869C5620}"/>
            </c:ext>
          </c:extLst>
        </c:ser>
        <c:dLbls>
          <c:showLegendKey val="0"/>
          <c:showVal val="0"/>
          <c:showCatName val="0"/>
          <c:showSerName val="0"/>
          <c:showPercent val="0"/>
          <c:showBubbleSize val="0"/>
        </c:dLbls>
        <c:gapWidth val="57"/>
        <c:axId val="1315640191"/>
        <c:axId val="1315654751"/>
      </c:barChart>
      <c:catAx>
        <c:axId val="1315640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15654751"/>
        <c:crosses val="autoZero"/>
        <c:auto val="1"/>
        <c:lblAlgn val="ctr"/>
        <c:lblOffset val="100"/>
        <c:noMultiLvlLbl val="0"/>
      </c:catAx>
      <c:valAx>
        <c:axId val="1315654751"/>
        <c:scaling>
          <c:orientation val="minMax"/>
          <c:max val="2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tisíce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15640191"/>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'G2.4'!$A$3</c:f>
              <c:strCache>
                <c:ptCount val="1"/>
                <c:pt idx="0">
                  <c:v> nemoc</c:v>
                </c:pt>
              </c:strCache>
            </c:strRef>
          </c:tx>
          <c:spPr>
            <a:solidFill>
              <a:srgbClr val="632827"/>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'G2.4'!$D$2:$N$2</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'G2.4'!$D$3:$N$3</c:f>
              <c:numCache>
                <c:formatCode>General</c:formatCode>
                <c:ptCount val="11"/>
                <c:pt idx="0">
                  <c:v>26.31</c:v>
                </c:pt>
                <c:pt idx="1">
                  <c:v>25.68</c:v>
                </c:pt>
                <c:pt idx="2">
                  <c:v>30.704494485000001</c:v>
                </c:pt>
                <c:pt idx="3">
                  <c:v>31.521328864000001</c:v>
                </c:pt>
                <c:pt idx="4">
                  <c:v>32.340186242500003</c:v>
                </c:pt>
                <c:pt idx="5">
                  <c:v>34.869229084899999</c:v>
                </c:pt>
                <c:pt idx="6">
                  <c:v>36.156327396257865</c:v>
                </c:pt>
                <c:pt idx="7">
                  <c:v>46.962361146799999</c:v>
                </c:pt>
                <c:pt idx="8" formatCode="0.00">
                  <c:v>54.155900834699999</c:v>
                </c:pt>
                <c:pt idx="9" formatCode="0.00">
                  <c:v>68.247000253099998</c:v>
                </c:pt>
                <c:pt idx="10" formatCode="0.00">
                  <c:v>48.737313021799999</c:v>
                </c:pt>
              </c:numCache>
            </c:numRef>
          </c:val>
          <c:extLst>
            <c:ext xmlns:c16="http://schemas.microsoft.com/office/drawing/2014/chart" uri="{C3380CC4-5D6E-409C-BE32-E72D297353CC}">
              <c16:uniqueId val="{00000000-A866-4EAC-B1E9-C6C85CCF4714}"/>
            </c:ext>
          </c:extLst>
        </c:ser>
        <c:ser>
          <c:idx val="1"/>
          <c:order val="1"/>
          <c:tx>
            <c:strRef>
              <c:f>'G2.4'!$A$4</c:f>
              <c:strCache>
                <c:ptCount val="1"/>
                <c:pt idx="0">
                  <c:v> pracovní úrazy</c:v>
                </c:pt>
              </c:strCache>
            </c:strRef>
          </c:tx>
          <c:spPr>
            <a:solidFill>
              <a:srgbClr val="B44946"/>
            </a:solidFill>
            <a:ln>
              <a:noFill/>
            </a:ln>
            <a:effectLst/>
          </c:spPr>
          <c:invertIfNegative val="0"/>
          <c:cat>
            <c:strRef>
              <c:f>'G2.4'!$D$2:$N$2</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'G2.4'!$D$4:$N$4</c:f>
              <c:numCache>
                <c:formatCode>General</c:formatCode>
                <c:ptCount val="11"/>
                <c:pt idx="0">
                  <c:v>0.97</c:v>
                </c:pt>
                <c:pt idx="1">
                  <c:v>1.01</c:v>
                </c:pt>
                <c:pt idx="2">
                  <c:v>1.0279761491999999</c:v>
                </c:pt>
                <c:pt idx="3">
                  <c:v>1.0364437007</c:v>
                </c:pt>
                <c:pt idx="4">
                  <c:v>1.016540582</c:v>
                </c:pt>
                <c:pt idx="5">
                  <c:v>0.97666524430000001</c:v>
                </c:pt>
                <c:pt idx="6">
                  <c:v>0.94132771527418446</c:v>
                </c:pt>
                <c:pt idx="7">
                  <c:v>0.88176352420000004</c:v>
                </c:pt>
                <c:pt idx="8" formatCode="0.00">
                  <c:v>0.95436338720000002</c:v>
                </c:pt>
                <c:pt idx="9" formatCode="0.00">
                  <c:v>0.93952139710000004</c:v>
                </c:pt>
                <c:pt idx="10" formatCode="0.00">
                  <c:v>0.91204554189999998</c:v>
                </c:pt>
              </c:numCache>
            </c:numRef>
          </c:val>
          <c:extLst>
            <c:ext xmlns:c16="http://schemas.microsoft.com/office/drawing/2014/chart" uri="{C3380CC4-5D6E-409C-BE32-E72D297353CC}">
              <c16:uniqueId val="{00000001-A866-4EAC-B1E9-C6C85CCF4714}"/>
            </c:ext>
          </c:extLst>
        </c:ser>
        <c:ser>
          <c:idx val="2"/>
          <c:order val="2"/>
          <c:tx>
            <c:strRef>
              <c:f>'G2.4'!$A$5</c:f>
              <c:strCache>
                <c:ptCount val="1"/>
                <c:pt idx="0">
                  <c:v> ostatní úrazy</c:v>
                </c:pt>
              </c:strCache>
            </c:strRef>
          </c:tx>
          <c:spPr>
            <a:solidFill>
              <a:srgbClr val="F6ACAC"/>
            </a:solidFill>
            <a:ln>
              <a:noFill/>
            </a:ln>
            <a:effectLst/>
          </c:spPr>
          <c:invertIfNegative val="0"/>
          <c:cat>
            <c:strRef>
              <c:f>'G2.4'!$D$2:$N$2</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'G2.4'!$D$5:$N$5</c:f>
              <c:numCache>
                <c:formatCode>General</c:formatCode>
                <c:ptCount val="11"/>
                <c:pt idx="0">
                  <c:v>2.71</c:v>
                </c:pt>
                <c:pt idx="1">
                  <c:v>2.76</c:v>
                </c:pt>
                <c:pt idx="2">
                  <c:v>2.9569928851</c:v>
                </c:pt>
                <c:pt idx="3">
                  <c:v>3.1726609424999999</c:v>
                </c:pt>
                <c:pt idx="4">
                  <c:v>3.1924353055000001</c:v>
                </c:pt>
                <c:pt idx="5">
                  <c:v>3.2320196819999998</c:v>
                </c:pt>
                <c:pt idx="6">
                  <c:v>3.3599348163568723</c:v>
                </c:pt>
                <c:pt idx="7">
                  <c:v>3.1333540811999998</c:v>
                </c:pt>
                <c:pt idx="8" formatCode="0.00">
                  <c:v>3.4002846242999998</c:v>
                </c:pt>
                <c:pt idx="9" formatCode="0.00">
                  <c:v>3.6371912911000002</c:v>
                </c:pt>
                <c:pt idx="10" formatCode="0.00">
                  <c:v>3.5337044668000002</c:v>
                </c:pt>
              </c:numCache>
            </c:numRef>
          </c:val>
          <c:extLst>
            <c:ext xmlns:c16="http://schemas.microsoft.com/office/drawing/2014/chart" uri="{C3380CC4-5D6E-409C-BE32-E72D297353CC}">
              <c16:uniqueId val="{00000002-A866-4EAC-B1E9-C6C85CCF4714}"/>
            </c:ext>
          </c:extLst>
        </c:ser>
        <c:dLbls>
          <c:showLegendKey val="0"/>
          <c:showVal val="0"/>
          <c:showCatName val="0"/>
          <c:showSerName val="0"/>
          <c:showPercent val="0"/>
          <c:showBubbleSize val="0"/>
        </c:dLbls>
        <c:gapWidth val="64"/>
        <c:overlap val="100"/>
        <c:axId val="1098100367"/>
        <c:axId val="1098102031"/>
      </c:barChart>
      <c:lineChart>
        <c:grouping val="stacked"/>
        <c:varyColors val="0"/>
        <c:ser>
          <c:idx val="3"/>
          <c:order val="3"/>
          <c:tx>
            <c:strRef>
              <c:f>'G2.4'!$A$6</c:f>
              <c:strCache>
                <c:ptCount val="1"/>
                <c:pt idx="0">
                  <c:v> celkem</c:v>
                </c:pt>
              </c:strCache>
            </c:strRef>
          </c:tx>
          <c:spPr>
            <a:ln w="28575" cap="rnd">
              <a:noFill/>
              <a:round/>
            </a:ln>
            <a:effectLst/>
          </c:spPr>
          <c:marker>
            <c:symbol val="circle"/>
            <c:size val="5"/>
            <c:spPr>
              <a:solidFill>
                <a:srgbClr val="632827"/>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'G2.4'!$D$2:$N$2</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'G2.4'!$D$6:$N$6</c:f>
              <c:numCache>
                <c:formatCode>0.0</c:formatCode>
                <c:ptCount val="11"/>
                <c:pt idx="0">
                  <c:v>29.99</c:v>
                </c:pt>
                <c:pt idx="1">
                  <c:v>29.450000000000003</c:v>
                </c:pt>
                <c:pt idx="2">
                  <c:v>34.689463519300006</c:v>
                </c:pt>
                <c:pt idx="3">
                  <c:v>35.730433507200004</c:v>
                </c:pt>
                <c:pt idx="4">
                  <c:v>36.549162129999999</c:v>
                </c:pt>
                <c:pt idx="5">
                  <c:v>39.077914011200001</c:v>
                </c:pt>
                <c:pt idx="6">
                  <c:v>40.457589927888918</c:v>
                </c:pt>
                <c:pt idx="7">
                  <c:v>50.977478752199993</c:v>
                </c:pt>
                <c:pt idx="8">
                  <c:v>58.510548846200003</c:v>
                </c:pt>
                <c:pt idx="9">
                  <c:v>72.823712941300002</c:v>
                </c:pt>
                <c:pt idx="10" formatCode="0.00">
                  <c:v>53.183063030500001</c:v>
                </c:pt>
              </c:numCache>
            </c:numRef>
          </c:val>
          <c:smooth val="0"/>
          <c:extLst>
            <c:ext xmlns:c16="http://schemas.microsoft.com/office/drawing/2014/chart" uri="{C3380CC4-5D6E-409C-BE32-E72D297353CC}">
              <c16:uniqueId val="{00000003-A866-4EAC-B1E9-C6C85CCF4714}"/>
            </c:ext>
          </c:extLst>
        </c:ser>
        <c:dLbls>
          <c:showLegendKey val="0"/>
          <c:showVal val="0"/>
          <c:showCatName val="0"/>
          <c:showSerName val="0"/>
          <c:showPercent val="0"/>
          <c:showBubbleSize val="0"/>
        </c:dLbls>
        <c:marker val="1"/>
        <c:smooth val="0"/>
        <c:axId val="1557793183"/>
        <c:axId val="1557807743"/>
      </c:lineChart>
      <c:catAx>
        <c:axId val="1098100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098102031"/>
        <c:crosses val="autoZero"/>
        <c:auto val="1"/>
        <c:lblAlgn val="ctr"/>
        <c:lblOffset val="100"/>
        <c:noMultiLvlLbl val="0"/>
      </c:catAx>
      <c:valAx>
        <c:axId val="1098102031"/>
        <c:scaling>
          <c:orientation val="minMax"/>
          <c:max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počet případů</a:t>
                </a:r>
                <a:r>
                  <a:rPr lang="cs-CZ"/>
                  <a:t> na 100 pojištěnců</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098100367"/>
        <c:crosses val="autoZero"/>
        <c:crossBetween val="between"/>
        <c:majorUnit val="10"/>
      </c:valAx>
      <c:valAx>
        <c:axId val="1557807743"/>
        <c:scaling>
          <c:orientation val="minMax"/>
        </c:scaling>
        <c:delete val="1"/>
        <c:axPos val="r"/>
        <c:numFmt formatCode="0.0" sourceLinked="1"/>
        <c:majorTickMark val="out"/>
        <c:minorTickMark val="none"/>
        <c:tickLblPos val="nextTo"/>
        <c:crossAx val="1557793183"/>
        <c:crosses val="max"/>
        <c:crossBetween val="between"/>
      </c:valAx>
      <c:catAx>
        <c:axId val="1557793183"/>
        <c:scaling>
          <c:orientation val="minMax"/>
        </c:scaling>
        <c:delete val="1"/>
        <c:axPos val="b"/>
        <c:numFmt formatCode="General" sourceLinked="1"/>
        <c:majorTickMark val="out"/>
        <c:minorTickMark val="none"/>
        <c:tickLblPos val="nextTo"/>
        <c:crossAx val="155780774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710671601621484"/>
          <c:y val="2.8097062579821201E-2"/>
          <c:w val="0.43550671411082686"/>
          <c:h val="0.85924075582506232"/>
        </c:manualLayout>
      </c:layout>
      <c:barChart>
        <c:barDir val="bar"/>
        <c:grouping val="clustered"/>
        <c:varyColors val="0"/>
        <c:ser>
          <c:idx val="0"/>
          <c:order val="0"/>
          <c:tx>
            <c:strRef>
              <c:f>'G2.5'!$P$31</c:f>
              <c:strCache>
                <c:ptCount val="1"/>
                <c:pt idx="0">
                  <c:v> 2019</c:v>
                </c:pt>
              </c:strCache>
            </c:strRef>
          </c:tx>
          <c:spPr>
            <a:solidFill>
              <a:srgbClr val="B44946"/>
            </a:solidFill>
            <a:ln>
              <a:noFill/>
            </a:ln>
            <a:effectLst/>
          </c:spPr>
          <c:invertIfNegative val="0"/>
          <c:dPt>
            <c:idx val="14"/>
            <c:invertIfNegative val="0"/>
            <c:bubble3D val="0"/>
            <c:spPr>
              <a:solidFill>
                <a:srgbClr val="B44946"/>
              </a:solidFill>
              <a:ln w="19050">
                <a:solidFill>
                  <a:schemeClr val="accent1"/>
                </a:solidFill>
              </a:ln>
              <a:effectLst/>
            </c:spPr>
            <c:extLst>
              <c:ext xmlns:c16="http://schemas.microsoft.com/office/drawing/2014/chart" uri="{C3380CC4-5D6E-409C-BE32-E72D297353CC}">
                <c16:uniqueId val="{00000001-659B-4B2A-8307-59332FB2363D}"/>
              </c:ext>
            </c:extLst>
          </c:dPt>
          <c:cat>
            <c:strRef>
              <c:f>'G2.5'!$N$32:$N$51</c:f>
              <c:strCache>
                <c:ptCount val="20"/>
                <c:pt idx="0">
                  <c:v>L – Činnosti v oblasti nemovitostí</c:v>
                </c:pt>
                <c:pt idx="1">
                  <c:v>M – Profesní, vědecké a technické činnosti</c:v>
                </c:pt>
                <c:pt idx="2">
                  <c:v>J – Informační a komunikační činnosti</c:v>
                </c:pt>
                <c:pt idx="3">
                  <c:v>K – Peněžnictví a pojišťovnictví</c:v>
                </c:pt>
                <c:pt idx="4">
                  <c:v>S – Ostatní činnosti</c:v>
                </c:pt>
                <c:pt idx="5">
                  <c:v>D – Výroba a rozvod elektřiny, plynu, tepla a klimatiz. vzduchu</c:v>
                </c:pt>
                <c:pt idx="6">
                  <c:v>I – Ubytování, stravování a pohostinství</c:v>
                </c:pt>
                <c:pt idx="7">
                  <c:v>R – Kulturní, zábavní a rekreační činnosti</c:v>
                </c:pt>
                <c:pt idx="8">
                  <c:v>F – Stavebnictví</c:v>
                </c:pt>
                <c:pt idx="9">
                  <c:v>A – Zemědělství, lesnictví, rybářství</c:v>
                </c:pt>
                <c:pt idx="10">
                  <c:v>H – Doprava a skladování</c:v>
                </c:pt>
                <c:pt idx="11">
                  <c:v>G – Velkoobchod a maloobchod; opravy a údržba motor. vozidel</c:v>
                </c:pt>
                <c:pt idx="12">
                  <c:v>B – Těžba a dobývání</c:v>
                </c:pt>
                <c:pt idx="13">
                  <c:v>Q – Zdravotní a sociální péče</c:v>
                </c:pt>
                <c:pt idx="14">
                  <c:v>CELKEM</c:v>
                </c:pt>
                <c:pt idx="15">
                  <c:v>O – Veřejná správa a obrana; povinné sociální zabezpečení</c:v>
                </c:pt>
                <c:pt idx="16">
                  <c:v>N – Administrativní a podpůrné činnosti</c:v>
                </c:pt>
                <c:pt idx="17">
                  <c:v>E – Zásobování vodou; činnosti související s odpady a sanacemi</c:v>
                </c:pt>
                <c:pt idx="18">
                  <c:v>P – Vzdělávání</c:v>
                </c:pt>
                <c:pt idx="19">
                  <c:v>C – Zpracovatelský průmysl</c:v>
                </c:pt>
              </c:strCache>
            </c:strRef>
          </c:cat>
          <c:val>
            <c:numRef>
              <c:f>'G2.5'!$P$32:$P$51</c:f>
              <c:numCache>
                <c:formatCode>General</c:formatCode>
                <c:ptCount val="20"/>
                <c:pt idx="0">
                  <c:v>18.345079369600001</c:v>
                </c:pt>
                <c:pt idx="1">
                  <c:v>22.9664972743</c:v>
                </c:pt>
                <c:pt idx="2">
                  <c:v>27.3182950763</c:v>
                </c:pt>
                <c:pt idx="3">
                  <c:v>30.886686647200001</c:v>
                </c:pt>
                <c:pt idx="4">
                  <c:v>31.314303677200002</c:v>
                </c:pt>
                <c:pt idx="5">
                  <c:v>30.038552074399998</c:v>
                </c:pt>
                <c:pt idx="6">
                  <c:v>30.750215303099999</c:v>
                </c:pt>
                <c:pt idx="7">
                  <c:v>27.846363628399999</c:v>
                </c:pt>
                <c:pt idx="8">
                  <c:v>33.848210999899997</c:v>
                </c:pt>
                <c:pt idx="9">
                  <c:v>34.5626146436</c:v>
                </c:pt>
                <c:pt idx="10">
                  <c:v>39.911316684500001</c:v>
                </c:pt>
                <c:pt idx="11">
                  <c:v>40.286069109000003</c:v>
                </c:pt>
                <c:pt idx="12">
                  <c:v>44.483583707999998</c:v>
                </c:pt>
                <c:pt idx="13">
                  <c:v>35.173337095000001</c:v>
                </c:pt>
                <c:pt idx="14">
                  <c:v>40.457589927900003</c:v>
                </c:pt>
                <c:pt idx="15">
                  <c:v>35.533122364500002</c:v>
                </c:pt>
                <c:pt idx="16">
                  <c:v>49.684159152399999</c:v>
                </c:pt>
                <c:pt idx="17">
                  <c:v>42.561036639100003</c:v>
                </c:pt>
                <c:pt idx="18">
                  <c:v>35.984451415700001</c:v>
                </c:pt>
                <c:pt idx="19">
                  <c:v>53.900511653400002</c:v>
                </c:pt>
              </c:numCache>
            </c:numRef>
          </c:val>
          <c:extLst>
            <c:ext xmlns:c16="http://schemas.microsoft.com/office/drawing/2014/chart" uri="{C3380CC4-5D6E-409C-BE32-E72D297353CC}">
              <c16:uniqueId val="{00000002-659B-4B2A-8307-59332FB2363D}"/>
            </c:ext>
          </c:extLst>
        </c:ser>
        <c:ser>
          <c:idx val="1"/>
          <c:order val="1"/>
          <c:tx>
            <c:strRef>
              <c:f>'G2.5'!$O$31</c:f>
              <c:strCache>
                <c:ptCount val="1"/>
                <c:pt idx="0">
                  <c:v> 2023</c:v>
                </c:pt>
              </c:strCache>
            </c:strRef>
          </c:tx>
          <c:spPr>
            <a:solidFill>
              <a:srgbClr val="632827"/>
            </a:solidFill>
            <a:ln>
              <a:noFill/>
            </a:ln>
            <a:effectLst/>
          </c:spPr>
          <c:invertIfNegative val="0"/>
          <c:dPt>
            <c:idx val="14"/>
            <c:invertIfNegative val="0"/>
            <c:bubble3D val="0"/>
            <c:spPr>
              <a:solidFill>
                <a:srgbClr val="632827"/>
              </a:solidFill>
              <a:ln w="19050">
                <a:solidFill>
                  <a:schemeClr val="accent1"/>
                </a:solidFill>
              </a:ln>
              <a:effectLst/>
            </c:spPr>
            <c:extLst>
              <c:ext xmlns:c16="http://schemas.microsoft.com/office/drawing/2014/chart" uri="{C3380CC4-5D6E-409C-BE32-E72D297353CC}">
                <c16:uniqueId val="{00000004-659B-4B2A-8307-59332FB2363D}"/>
              </c:ext>
            </c:extLst>
          </c:dPt>
          <c:cat>
            <c:strRef>
              <c:f>'G2.5'!$N$32:$N$51</c:f>
              <c:strCache>
                <c:ptCount val="20"/>
                <c:pt idx="0">
                  <c:v>L – Činnosti v oblasti nemovitostí</c:v>
                </c:pt>
                <c:pt idx="1">
                  <c:v>M – Profesní, vědecké a technické činnosti</c:v>
                </c:pt>
                <c:pt idx="2">
                  <c:v>J – Informační a komunikační činnosti</c:v>
                </c:pt>
                <c:pt idx="3">
                  <c:v>K – Peněžnictví a pojišťovnictví</c:v>
                </c:pt>
                <c:pt idx="4">
                  <c:v>S – Ostatní činnosti</c:v>
                </c:pt>
                <c:pt idx="5">
                  <c:v>D – Výroba a rozvod elektřiny, plynu, tepla a klimatiz. vzduchu</c:v>
                </c:pt>
                <c:pt idx="6">
                  <c:v>I – Ubytování, stravování a pohostinství</c:v>
                </c:pt>
                <c:pt idx="7">
                  <c:v>R – Kulturní, zábavní a rekreační činnosti</c:v>
                </c:pt>
                <c:pt idx="8">
                  <c:v>F – Stavebnictví</c:v>
                </c:pt>
                <c:pt idx="9">
                  <c:v>A – Zemědělství, lesnictví, rybářství</c:v>
                </c:pt>
                <c:pt idx="10">
                  <c:v>H – Doprava a skladování</c:v>
                </c:pt>
                <c:pt idx="11">
                  <c:v>G – Velkoobchod a maloobchod; opravy a údržba motor. vozidel</c:v>
                </c:pt>
                <c:pt idx="12">
                  <c:v>B – Těžba a dobývání</c:v>
                </c:pt>
                <c:pt idx="13">
                  <c:v>Q – Zdravotní a sociální péče</c:v>
                </c:pt>
                <c:pt idx="14">
                  <c:v>CELKEM</c:v>
                </c:pt>
                <c:pt idx="15">
                  <c:v>O – Veřejná správa a obrana; povinné sociální zabezpečení</c:v>
                </c:pt>
                <c:pt idx="16">
                  <c:v>N – Administrativní a podpůrné činnosti</c:v>
                </c:pt>
                <c:pt idx="17">
                  <c:v>E – Zásobování vodou; činnosti související s odpady a sanacemi</c:v>
                </c:pt>
                <c:pt idx="18">
                  <c:v>P – Vzdělávání</c:v>
                </c:pt>
                <c:pt idx="19">
                  <c:v>C – Zpracovatelský průmysl</c:v>
                </c:pt>
              </c:strCache>
            </c:strRef>
          </c:cat>
          <c:val>
            <c:numRef>
              <c:f>'G2.5'!$O$32:$O$51</c:f>
              <c:numCache>
                <c:formatCode>0.00</c:formatCode>
                <c:ptCount val="20"/>
                <c:pt idx="0">
                  <c:v>25.003048028199998</c:v>
                </c:pt>
                <c:pt idx="1">
                  <c:v>29.262924419699999</c:v>
                </c:pt>
                <c:pt idx="2">
                  <c:v>30.1762449175</c:v>
                </c:pt>
                <c:pt idx="3">
                  <c:v>33.6900096265</c:v>
                </c:pt>
                <c:pt idx="4">
                  <c:v>33.927558026500002</c:v>
                </c:pt>
                <c:pt idx="5">
                  <c:v>37.049093406700003</c:v>
                </c:pt>
                <c:pt idx="6">
                  <c:v>38.1760711286</c:v>
                </c:pt>
                <c:pt idx="7">
                  <c:v>39.063592777399997</c:v>
                </c:pt>
                <c:pt idx="8">
                  <c:v>40.996483642400001</c:v>
                </c:pt>
                <c:pt idx="9">
                  <c:v>41.689306716600001</c:v>
                </c:pt>
                <c:pt idx="10">
                  <c:v>51.229962250200003</c:v>
                </c:pt>
                <c:pt idx="11">
                  <c:v>51.233036809600002</c:v>
                </c:pt>
                <c:pt idx="12">
                  <c:v>51.910845890600001</c:v>
                </c:pt>
                <c:pt idx="13">
                  <c:v>53.072594416599998</c:v>
                </c:pt>
                <c:pt idx="14">
                  <c:v>53.183063030500001</c:v>
                </c:pt>
                <c:pt idx="15">
                  <c:v>54.017832157800001</c:v>
                </c:pt>
                <c:pt idx="16">
                  <c:v>55.955706593599999</c:v>
                </c:pt>
                <c:pt idx="17">
                  <c:v>56.700832869700001</c:v>
                </c:pt>
                <c:pt idx="18">
                  <c:v>63.145931832300001</c:v>
                </c:pt>
                <c:pt idx="19">
                  <c:v>69.147258635</c:v>
                </c:pt>
              </c:numCache>
            </c:numRef>
          </c:val>
          <c:extLst>
            <c:ext xmlns:c16="http://schemas.microsoft.com/office/drawing/2014/chart" uri="{C3380CC4-5D6E-409C-BE32-E72D297353CC}">
              <c16:uniqueId val="{00000005-659B-4B2A-8307-59332FB2363D}"/>
            </c:ext>
          </c:extLst>
        </c:ser>
        <c:dLbls>
          <c:showLegendKey val="0"/>
          <c:showVal val="0"/>
          <c:showCatName val="0"/>
          <c:showSerName val="0"/>
          <c:showPercent val="0"/>
          <c:showBubbleSize val="0"/>
        </c:dLbls>
        <c:gapWidth val="182"/>
        <c:axId val="1399945359"/>
        <c:axId val="1399934543"/>
      </c:barChart>
      <c:catAx>
        <c:axId val="1399945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99934543"/>
        <c:crosses val="autoZero"/>
        <c:auto val="1"/>
        <c:lblAlgn val="ctr"/>
        <c:lblOffset val="100"/>
        <c:noMultiLvlLbl val="0"/>
      </c:catAx>
      <c:valAx>
        <c:axId val="1399934543"/>
        <c:scaling>
          <c:orientation val="minMax"/>
          <c:max val="7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počet případů</a:t>
                </a:r>
                <a:r>
                  <a:rPr lang="cs-CZ"/>
                  <a:t> na 100 pojištěnců</a:t>
                </a:r>
                <a:endParaRPr lang="en-US"/>
              </a:p>
            </c:rich>
          </c:tx>
          <c:layout>
            <c:manualLayout>
              <c:xMode val="edge"/>
              <c:yMode val="edge"/>
              <c:x val="0.61839192958319522"/>
              <c:y val="0.9376834604582365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99945359"/>
        <c:crosses val="autoZero"/>
        <c:crossBetween val="between"/>
        <c:majorUnit val="10"/>
      </c:valAx>
      <c:spPr>
        <a:noFill/>
        <a:ln>
          <a:noFill/>
        </a:ln>
        <a:effectLst/>
      </c:spPr>
    </c:plotArea>
    <c:legend>
      <c:legendPos val="r"/>
      <c:layout>
        <c:manualLayout>
          <c:xMode val="edge"/>
          <c:yMode val="edge"/>
          <c:x val="0.87569155084986461"/>
          <c:y val="0.41749998800424171"/>
          <c:w val="6.934662589863945E-2"/>
          <c:h val="7.2373384771144925E-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0.90697</cdr:x>
      <cdr:y>0.02557</cdr:y>
    </cdr:from>
    <cdr:to>
      <cdr:x>0.98672</cdr:x>
      <cdr:y>0.07235</cdr:y>
    </cdr:to>
    <cdr:sp macro="" textlink="">
      <cdr:nvSpPr>
        <cdr:cNvPr id="2" name="TextovéPole 1"/>
        <cdr:cNvSpPr txBox="1"/>
      </cdr:nvSpPr>
      <cdr:spPr>
        <a:xfrm xmlns:a="http://schemas.openxmlformats.org/drawingml/2006/main">
          <a:off x="5550792" y="132062"/>
          <a:ext cx="488057" cy="241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400" b="1">
              <a:solidFill>
                <a:schemeClr val="bg1"/>
              </a:solidFill>
            </a:rPr>
            <a:t>//</a:t>
          </a:r>
        </a:p>
      </cdr:txBody>
    </cdr:sp>
  </cdr:relSizeAnchor>
  <cdr:relSizeAnchor xmlns:cdr="http://schemas.openxmlformats.org/drawingml/2006/chartDrawing">
    <cdr:from>
      <cdr:x>0.91855</cdr:x>
      <cdr:y>0.07085</cdr:y>
    </cdr:from>
    <cdr:to>
      <cdr:x>0.9694</cdr:x>
      <cdr:y>0.10934</cdr:y>
    </cdr:to>
    <cdr:sp macro="" textlink="">
      <cdr:nvSpPr>
        <cdr:cNvPr id="3" name="TextovéPole 3"/>
        <cdr:cNvSpPr txBox="1"/>
      </cdr:nvSpPr>
      <cdr:spPr>
        <a:xfrm xmlns:a="http://schemas.openxmlformats.org/drawingml/2006/main">
          <a:off x="6194425" y="403225"/>
          <a:ext cx="342900" cy="2190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cs-CZ" sz="1100" b="1">
              <a:solidFill>
                <a:schemeClr val="bg1"/>
              </a:solidFill>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0.37303</cdr:x>
      <cdr:y>0.48598</cdr:y>
    </cdr:from>
    <cdr:to>
      <cdr:x>0.65281</cdr:x>
      <cdr:y>0.63283</cdr:y>
    </cdr:to>
    <cdr:sp macro="" textlink="">
      <cdr:nvSpPr>
        <cdr:cNvPr id="2" name="TextovéPole 1"/>
        <cdr:cNvSpPr txBox="1"/>
      </cdr:nvSpPr>
      <cdr:spPr>
        <a:xfrm xmlns:a="http://schemas.openxmlformats.org/drawingml/2006/main">
          <a:off x="1219200" y="1009431"/>
          <a:ext cx="914400" cy="3050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b="1">
              <a:latin typeface="Arial" panose="020B0604020202020204" pitchFamily="34" charset="0"/>
              <a:cs typeface="Arial" panose="020B0604020202020204" pitchFamily="34" charset="0"/>
            </a:rPr>
            <a:t>1 401,0 tis.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D9F2DB7AEC6647A8C955557DF8632E" ma:contentTypeVersion="16" ma:contentTypeDescription="Vytvoří nový dokument" ma:contentTypeScope="" ma:versionID="356a4260fa4c89cc6536cff4429bdf70">
  <xsd:schema xmlns:xsd="http://www.w3.org/2001/XMLSchema" xmlns:xs="http://www.w3.org/2001/XMLSchema" xmlns:p="http://schemas.microsoft.com/office/2006/metadata/properties" xmlns:ns3="a54ffe45-0905-4298-9ac1-24bf84dddb4f" xmlns:ns4="58154a9b-48f0-4027-84a6-b753b7361b43" targetNamespace="http://schemas.microsoft.com/office/2006/metadata/properties" ma:root="true" ma:fieldsID="a7bf14e38ff2c1bdaa4a382efed316c6" ns3:_="" ns4:_="">
    <xsd:import namespace="a54ffe45-0905-4298-9ac1-24bf84dddb4f"/>
    <xsd:import namespace="58154a9b-48f0-4027-84a6-b753b7361b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OCR" minOccurs="0"/>
                <xsd:element ref="ns4:MediaServiceSearchPropertie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ffe45-0905-4298-9ac1-24bf84dddb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54a9b-48f0-4027-84a6-b753b7361b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8154a9b-48f0-4027-84a6-b753b7361b4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793C-A327-4F6D-BFCB-DBC0AED8A92F}">
  <ds:schemaRefs>
    <ds:schemaRef ds:uri="http://schemas.microsoft.com/sharepoint/v3/contenttype/forms"/>
  </ds:schemaRefs>
</ds:datastoreItem>
</file>

<file path=customXml/itemProps2.xml><?xml version="1.0" encoding="utf-8"?>
<ds:datastoreItem xmlns:ds="http://schemas.openxmlformats.org/officeDocument/2006/customXml" ds:itemID="{98D95D9B-C74E-4212-AC3B-1E28D08DB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ffe45-0905-4298-9ac1-24bf84dddb4f"/>
    <ds:schemaRef ds:uri="58154a9b-48f0-4027-84a6-b753b7361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43DAA-0CE7-4F77-943E-2E3540133225}">
  <ds:schemaRefs>
    <ds:schemaRef ds:uri="http://schemas.microsoft.com/office/2006/metadata/properties"/>
    <ds:schemaRef ds:uri="http://schemas.microsoft.com/office/infopath/2007/PartnerControls"/>
    <ds:schemaRef ds:uri="58154a9b-48f0-4027-84a6-b753b7361b43"/>
  </ds:schemaRefs>
</ds:datastoreItem>
</file>

<file path=customXml/itemProps4.xml><?xml version="1.0" encoding="utf-8"?>
<ds:datastoreItem xmlns:ds="http://schemas.openxmlformats.org/officeDocument/2006/customXml" ds:itemID="{031A43AF-002C-4221-B7B7-C361F33E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Form_c439 - Publikace bar CZ_lide a spolecnost_2017-08-14.dotx</Template>
  <TotalTime>0</TotalTime>
  <Pages>34</Pages>
  <Words>12842</Words>
  <Characters>75769</Characters>
  <Application>Microsoft Office Word</Application>
  <DocSecurity>0</DocSecurity>
  <Lines>631</Lines>
  <Paragraphs>176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88435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Hykyšová Alena</dc:creator>
  <cp:keywords/>
  <dc:description/>
  <cp:lastModifiedBy>Hykyšová Alena</cp:lastModifiedBy>
  <cp:revision>2</cp:revision>
  <cp:lastPrinted>2014-07-17T14:07:00Z</cp:lastPrinted>
  <dcterms:created xsi:type="dcterms:W3CDTF">2024-05-30T10:45:00Z</dcterms:created>
  <dcterms:modified xsi:type="dcterms:W3CDTF">2024-05-30T10:45:00Z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0x01010004D9F2DB7AEC6647A8C955557DF8632E</vt:lpwstr>
  </property>
  <property fmtid="{D5CDD505-2E9C-101B-9397-08002B2CF9AE}" pid="3" name="Názevformuláře">
    <vt:lpwstr>Publikace CZ barevné - lidé a společnost
</vt:lpwstr>
  </property>
  <property fmtid="{D5CDD505-2E9C-101B-9397-08002B2CF9AE}" pid="4" name="Vazbanaprocesnídoménu">
    <vt:lpwstr>;#4. Komunikace a propagace;#</vt:lpwstr>
  </property>
  <property fmtid="{D5CDD505-2E9C-101B-9397-08002B2CF9AE}" pid="5" name="Vazbanadefiničnípředpis">
    <vt:lpwstr>Manuál ke zveřejňování produktů ČSÚ
</vt:lpwstr>
  </property>
  <property fmtid="{D5CDD505-2E9C-101B-9397-08002B2CF9AE}" pid="6" name="Ustanovení">
    <vt:lpwstr>část první čl. 2, odst. 3b,c; část pátá; příloha 1
</vt:lpwstr>
  </property>
  <property fmtid="{D5CDD505-2E9C-101B-9397-08002B2CF9AE}" pid="7" name="Účinnostod">
    <vt:filetime>2017-08-14T07:00:00Z</vt:filetime>
  </property>
  <property fmtid="{D5CDD505-2E9C-101B-9397-08002B2CF9AE}" pid="8" name="Označení">
    <vt:lpwstr>Form_c439</vt:lpwstr>
  </property>
</Properties>
</file>