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58DF" w14:textId="77777777" w:rsidR="007B1D1B" w:rsidRDefault="007B1D1B" w:rsidP="007B1D1B">
      <w:pPr>
        <w:pStyle w:val="Nadpis11"/>
        <w:spacing w:after="120"/>
      </w:pPr>
      <w:bookmarkStart w:id="0" w:name="_Toc97736119"/>
      <w:bookmarkStart w:id="1" w:name="_Toc106176407"/>
      <w:bookmarkStart w:id="2" w:name="_Toc74643859"/>
      <w:bookmarkStart w:id="3" w:name="_Toc90395915"/>
      <w:bookmarkStart w:id="4" w:name="_Toc98245446"/>
      <w:bookmarkStart w:id="5" w:name="_Toc74643860"/>
      <w:r w:rsidRPr="00B43216">
        <w:t>6. Trh práce</w:t>
      </w:r>
      <w:bookmarkEnd w:id="0"/>
      <w:bookmarkEnd w:id="1"/>
    </w:p>
    <w:tbl>
      <w:tblPr>
        <w:tblW w:w="9669" w:type="dxa"/>
        <w:tblInd w:w="-30" w:type="dxa"/>
        <w:tblCellMar>
          <w:left w:w="0" w:type="dxa"/>
          <w:right w:w="0" w:type="dxa"/>
        </w:tblCellMar>
        <w:tblLook w:val="00A0" w:firstRow="1" w:lastRow="0" w:firstColumn="1" w:lastColumn="0" w:noHBand="0" w:noVBand="0"/>
      </w:tblPr>
      <w:tblGrid>
        <w:gridCol w:w="1573"/>
        <w:gridCol w:w="186"/>
        <w:gridCol w:w="7910"/>
      </w:tblGrid>
      <w:tr w:rsidR="007B1D1B" w:rsidRPr="009F0D7F" w14:paraId="3779B71B" w14:textId="77777777" w:rsidTr="000F15F7">
        <w:trPr>
          <w:trHeight w:val="155"/>
        </w:trPr>
        <w:tc>
          <w:tcPr>
            <w:tcW w:w="1573" w:type="dxa"/>
            <w:shd w:val="clear" w:color="auto" w:fill="auto"/>
            <w:tcMar>
              <w:left w:w="0" w:type="dxa"/>
            </w:tcMar>
          </w:tcPr>
          <w:p w14:paraId="166D46E5" w14:textId="77777777" w:rsidR="007B1D1B" w:rsidRPr="009F0D7F" w:rsidRDefault="007B1D1B" w:rsidP="000F15F7">
            <w:pPr>
              <w:pStyle w:val="Marginlie"/>
              <w:spacing w:after="120"/>
              <w:rPr>
                <w:color w:val="0D0D0D" w:themeColor="text1" w:themeTint="F2"/>
                <w:spacing w:val="-4"/>
              </w:rPr>
            </w:pPr>
            <w:r>
              <w:rPr>
                <w:color w:val="0D0D0D" w:themeColor="text1" w:themeTint="F2"/>
                <w:spacing w:val="-4"/>
              </w:rPr>
              <w:t xml:space="preserve">Meziroční růst celkové zaměstnanosti zrychloval. Počet zaměstnanců se již téměř dorovnal úrovni před pandemií. Úbytek </w:t>
            </w:r>
            <w:proofErr w:type="spellStart"/>
            <w:r>
              <w:rPr>
                <w:color w:val="0D0D0D" w:themeColor="text1" w:themeTint="F2"/>
                <w:spacing w:val="-4"/>
              </w:rPr>
              <w:t>sebezaměstnaných</w:t>
            </w:r>
            <w:proofErr w:type="spellEnd"/>
            <w:r>
              <w:rPr>
                <w:color w:val="0D0D0D" w:themeColor="text1" w:themeTint="F2"/>
                <w:spacing w:val="-4"/>
              </w:rPr>
              <w:t xml:space="preserve"> se zmírňoval.</w:t>
            </w:r>
          </w:p>
        </w:tc>
        <w:tc>
          <w:tcPr>
            <w:tcW w:w="186" w:type="dxa"/>
            <w:shd w:val="clear" w:color="auto" w:fill="auto"/>
            <w:tcMar>
              <w:left w:w="0" w:type="dxa"/>
            </w:tcMar>
          </w:tcPr>
          <w:p w14:paraId="79457789" w14:textId="77777777" w:rsidR="007B1D1B" w:rsidRPr="009F0D7F" w:rsidRDefault="007B1D1B" w:rsidP="000F15F7">
            <w:pPr>
              <w:pStyle w:val="Textpoznpodarou"/>
              <w:spacing w:after="120"/>
              <w:jc w:val="both"/>
              <w:rPr>
                <w:color w:val="0D0D0D" w:themeColor="text1" w:themeTint="F2"/>
                <w:spacing w:val="-4"/>
              </w:rPr>
            </w:pPr>
          </w:p>
        </w:tc>
        <w:tc>
          <w:tcPr>
            <w:tcW w:w="7910" w:type="dxa"/>
            <w:shd w:val="clear" w:color="auto" w:fill="auto"/>
            <w:tcMar>
              <w:left w:w="0" w:type="dxa"/>
            </w:tcMar>
          </w:tcPr>
          <w:p w14:paraId="7907B362" w14:textId="77777777" w:rsidR="007B1D1B" w:rsidRPr="009F0D7F" w:rsidRDefault="007B1D1B" w:rsidP="000F15F7">
            <w:pPr>
              <w:rPr>
                <w:color w:val="0D0D0D" w:themeColor="text1" w:themeTint="F2"/>
                <w:spacing w:val="-4"/>
              </w:rPr>
            </w:pPr>
            <w:r w:rsidRPr="00C71A43">
              <w:rPr>
                <w:color w:val="0D0D0D" w:themeColor="text1" w:themeTint="F2"/>
                <w:spacing w:val="-4"/>
              </w:rPr>
              <w:t>Celková zaměstnanost</w:t>
            </w:r>
            <w:r w:rsidRPr="00C71A43">
              <w:rPr>
                <w:color w:val="0D0D0D" w:themeColor="text1" w:themeTint="F2"/>
                <w:spacing w:val="-4"/>
                <w:vertAlign w:val="superscript"/>
              </w:rPr>
              <w:footnoteReference w:id="1"/>
            </w:r>
            <w:r w:rsidRPr="00C71A43">
              <w:rPr>
                <w:color w:val="0D0D0D" w:themeColor="text1" w:themeTint="F2"/>
                <w:spacing w:val="-4"/>
              </w:rPr>
              <w:t xml:space="preserve"> se </w:t>
            </w:r>
            <w:r>
              <w:rPr>
                <w:color w:val="0D0D0D" w:themeColor="text1" w:themeTint="F2"/>
                <w:spacing w:val="-4"/>
              </w:rPr>
              <w:t xml:space="preserve">v 1. čtvrtletí 2022 </w:t>
            </w:r>
            <w:r w:rsidRPr="00C71A43">
              <w:rPr>
                <w:color w:val="0D0D0D" w:themeColor="text1" w:themeTint="F2"/>
                <w:spacing w:val="-4"/>
              </w:rPr>
              <w:t xml:space="preserve">mezikvartálně mírně </w:t>
            </w:r>
            <w:r>
              <w:rPr>
                <w:spacing w:val="-4"/>
              </w:rPr>
              <w:t>zvýšila (o 0,4 %), k čemuž přispěl zejména příznivý vývoj ve stavebnictví, resp. celkové oživení aktivity drobných podnikatelů. V tuzemské ekonomice pracovalo celkem 5,39 mil. osob, meziročně o 1,5 % více (proti vrcholu z předpandemického období</w:t>
            </w:r>
            <w:r>
              <w:rPr>
                <w:rStyle w:val="Znakapoznpodarou"/>
                <w:spacing w:val="-4"/>
              </w:rPr>
              <w:footnoteReference w:id="2"/>
            </w:r>
            <w:r>
              <w:rPr>
                <w:spacing w:val="-4"/>
              </w:rPr>
              <w:t xml:space="preserve"> ale dosud počet zaměstnaných o bezmála 60 tis. osob zaostával). Na </w:t>
            </w:r>
            <w:r w:rsidRPr="00375F59">
              <w:rPr>
                <w:color w:val="0D0D0D" w:themeColor="text1" w:themeTint="F2"/>
                <w:spacing w:val="-4"/>
              </w:rPr>
              <w:t xml:space="preserve">meziročním růstu se </w:t>
            </w:r>
            <w:r>
              <w:rPr>
                <w:color w:val="0D0D0D" w:themeColor="text1" w:themeTint="F2"/>
                <w:spacing w:val="-4"/>
              </w:rPr>
              <w:t xml:space="preserve">stále </w:t>
            </w:r>
            <w:r w:rsidRPr="00375F59">
              <w:rPr>
                <w:color w:val="0D0D0D" w:themeColor="text1" w:themeTint="F2"/>
                <w:spacing w:val="-4"/>
              </w:rPr>
              <w:t xml:space="preserve">podíleli výhradně zaměstnanci, </w:t>
            </w:r>
            <w:r>
              <w:rPr>
                <w:spacing w:val="-4"/>
              </w:rPr>
              <w:t xml:space="preserve">jichž přibylo o 2,0 % a rekordní výši zaměstnanosti z roku 2019 (4,69 mil.) již letos téměř dorovnali. </w:t>
            </w:r>
            <w:r w:rsidRPr="007007EC">
              <w:rPr>
                <w:spacing w:val="-6"/>
              </w:rPr>
              <w:t xml:space="preserve">Naopak počet </w:t>
            </w:r>
            <w:proofErr w:type="spellStart"/>
            <w:r w:rsidRPr="007007EC">
              <w:rPr>
                <w:spacing w:val="-6"/>
              </w:rPr>
              <w:t>sebezaměstnaných</w:t>
            </w:r>
            <w:proofErr w:type="spellEnd"/>
            <w:r w:rsidRPr="007007EC">
              <w:rPr>
                <w:spacing w:val="-6"/>
              </w:rPr>
              <w:t xml:space="preserve"> se dále snižoval, avšak podstatně mírnějším tempem (-1,4 %)</w:t>
            </w:r>
            <w:r>
              <w:rPr>
                <w:spacing w:val="-4"/>
              </w:rPr>
              <w:t xml:space="preserve"> než po většinu pandemického období. Za nižšími stavy podnikatelů stál především jejich pokračující pokles ve zpracovatelském průmyslu a také v p</w:t>
            </w:r>
            <w:r w:rsidRPr="008F234F">
              <w:rPr>
                <w:spacing w:val="-4"/>
              </w:rPr>
              <w:t>rofesní</w:t>
            </w:r>
            <w:r>
              <w:rPr>
                <w:spacing w:val="-4"/>
              </w:rPr>
              <w:t>ch, vědeckých, technických a </w:t>
            </w:r>
            <w:r w:rsidRPr="008F234F">
              <w:rPr>
                <w:spacing w:val="-4"/>
              </w:rPr>
              <w:t>administrativní</w:t>
            </w:r>
            <w:r>
              <w:rPr>
                <w:spacing w:val="-4"/>
              </w:rPr>
              <w:t xml:space="preserve">ch činnostech. Nelze vyloučit, že část úbytku </w:t>
            </w:r>
            <w:proofErr w:type="spellStart"/>
            <w:r>
              <w:rPr>
                <w:spacing w:val="-4"/>
              </w:rPr>
              <w:t>sebezaměstnaných</w:t>
            </w:r>
            <w:proofErr w:type="spellEnd"/>
            <w:r>
              <w:rPr>
                <w:spacing w:val="-4"/>
              </w:rPr>
              <w:t xml:space="preserve"> v celé ekonomice souvisela s jejich přesunem do zaměstnaneckého stavu</w:t>
            </w:r>
            <w:r>
              <w:rPr>
                <w:rStyle w:val="Znakapoznpodarou"/>
                <w:spacing w:val="-4"/>
              </w:rPr>
              <w:footnoteReference w:id="3"/>
            </w:r>
            <w:r>
              <w:rPr>
                <w:spacing w:val="-4"/>
              </w:rPr>
              <w:t>.</w:t>
            </w:r>
          </w:p>
        </w:tc>
      </w:tr>
      <w:tr w:rsidR="007B1D1B" w:rsidRPr="006237E6" w14:paraId="11CF1C8F" w14:textId="77777777" w:rsidTr="000F15F7">
        <w:trPr>
          <w:trHeight w:val="155"/>
        </w:trPr>
        <w:tc>
          <w:tcPr>
            <w:tcW w:w="1573" w:type="dxa"/>
            <w:shd w:val="clear" w:color="auto" w:fill="auto"/>
            <w:tcMar>
              <w:left w:w="0" w:type="dxa"/>
            </w:tcMar>
          </w:tcPr>
          <w:p w14:paraId="53724E11" w14:textId="77777777" w:rsidR="007B1D1B" w:rsidRDefault="007B1D1B" w:rsidP="000F15F7">
            <w:pPr>
              <w:pStyle w:val="Marginlie"/>
              <w:spacing w:after="120"/>
              <w:rPr>
                <w:spacing w:val="-4"/>
              </w:rPr>
            </w:pPr>
            <w:r>
              <w:rPr>
                <w:spacing w:val="-4"/>
              </w:rPr>
              <w:t>K meziročnímu růstu zaměstnanosti přispěly zejména služby. Vyjma finančnictví přibíraly pracovníky všechny hlavní odvětví služeb.</w:t>
            </w:r>
          </w:p>
        </w:tc>
        <w:tc>
          <w:tcPr>
            <w:tcW w:w="186" w:type="dxa"/>
            <w:shd w:val="clear" w:color="auto" w:fill="auto"/>
            <w:tcMar>
              <w:left w:w="0" w:type="dxa"/>
            </w:tcMar>
          </w:tcPr>
          <w:p w14:paraId="6329B20C" w14:textId="77777777" w:rsidR="007B1D1B" w:rsidRPr="003B1401" w:rsidRDefault="007B1D1B" w:rsidP="000F15F7">
            <w:pPr>
              <w:pStyle w:val="Textpoznpodarou"/>
              <w:spacing w:after="120"/>
              <w:jc w:val="both"/>
              <w:rPr>
                <w:spacing w:val="-4"/>
              </w:rPr>
            </w:pPr>
          </w:p>
        </w:tc>
        <w:tc>
          <w:tcPr>
            <w:tcW w:w="7910" w:type="dxa"/>
            <w:shd w:val="clear" w:color="auto" w:fill="auto"/>
            <w:tcMar>
              <w:left w:w="0" w:type="dxa"/>
            </w:tcMar>
          </w:tcPr>
          <w:p w14:paraId="51A06853" w14:textId="77777777" w:rsidR="007B1D1B" w:rsidRDefault="007B1D1B" w:rsidP="000F15F7">
            <w:pPr>
              <w:spacing w:after="200"/>
              <w:rPr>
                <w:spacing w:val="-4"/>
              </w:rPr>
            </w:pPr>
            <w:r w:rsidRPr="00293A8E">
              <w:rPr>
                <w:color w:val="0D0D0D" w:themeColor="text1" w:themeTint="F2"/>
                <w:spacing w:val="-4"/>
              </w:rPr>
              <w:t>Pro meziroční růst zaměstnanosti byly ve druhé půli loňského roku zásadní pohyby ve službách.</w:t>
            </w:r>
            <w:r>
              <w:rPr>
                <w:color w:val="0D0D0D" w:themeColor="text1" w:themeTint="F2"/>
                <w:spacing w:val="-4"/>
              </w:rPr>
              <w:t xml:space="preserve"> Zčásti šlo o očekávaný efekt </w:t>
            </w:r>
            <w:proofErr w:type="spellStart"/>
            <w:r>
              <w:rPr>
                <w:color w:val="0D0D0D" w:themeColor="text1" w:themeTint="F2"/>
                <w:spacing w:val="-4"/>
              </w:rPr>
              <w:t>pokrizového</w:t>
            </w:r>
            <w:proofErr w:type="spellEnd"/>
            <w:r>
              <w:rPr>
                <w:color w:val="0D0D0D" w:themeColor="text1" w:themeTint="F2"/>
                <w:spacing w:val="-4"/>
              </w:rPr>
              <w:t xml:space="preserve"> oživení, neboť negativní dopady protipandemických restrikcí na zaměstnanost v terciární sféře vrcholily právě na přelomu let 2020 a 2021. Ve službách tak letos </w:t>
            </w:r>
            <w:r>
              <w:rPr>
                <w:spacing w:val="-4"/>
              </w:rPr>
              <w:t>přibylo 2,0 % pracovníků (+65 tis.). O to se z více než třetiny zasloužilo uskupení o</w:t>
            </w:r>
            <w:r w:rsidRPr="00D87407">
              <w:rPr>
                <w:spacing w:val="-4"/>
              </w:rPr>
              <w:t>bchod, doprava, ubytování a pohostinství</w:t>
            </w:r>
            <w:r>
              <w:rPr>
                <w:spacing w:val="-4"/>
              </w:rPr>
              <w:t>, v němž zaměstnanost meziročně posílila o 1,9 %</w:t>
            </w:r>
            <w:r>
              <w:rPr>
                <w:rStyle w:val="Znakapoznpodarou"/>
                <w:spacing w:val="-4"/>
              </w:rPr>
              <w:footnoteReference w:id="4"/>
            </w:r>
            <w:r>
              <w:rPr>
                <w:spacing w:val="-4"/>
              </w:rPr>
              <w:t>, nejvíce od 2. čtvrtletí 2015. Ještě významnější vliv měly dlouhodobě rostoucí veřejné služby</w:t>
            </w:r>
            <w:r>
              <w:rPr>
                <w:rStyle w:val="Znakapoznpodarou"/>
                <w:spacing w:val="-4"/>
              </w:rPr>
              <w:footnoteReference w:id="5"/>
            </w:r>
            <w:r>
              <w:rPr>
                <w:spacing w:val="-4"/>
              </w:rPr>
              <w:t xml:space="preserve"> (+2,5 %), které reagují na zvýšenou poptávku hlavně v oblasti vzdělávání či zdravotní a sociální péče. Nadále se dařilo rovněž informačním a komunikačním činnostem, v nichž přibylo 3,4 % zaměstnaných (stejné tempo bylo vykázáno i za celý loňský rok). Počet pracovníků tak zde, podobně jako ve veřejných službách, vystoupal na nejvyšší úroveň v historii samostatné ČR. Blízko své rekordní úrovně se nacházely i č</w:t>
            </w:r>
            <w:r w:rsidRPr="00AA2AA2">
              <w:rPr>
                <w:spacing w:val="-4"/>
              </w:rPr>
              <w:t>innosti v oblasti nemovitostí</w:t>
            </w:r>
            <w:r>
              <w:rPr>
                <w:spacing w:val="-4"/>
              </w:rPr>
              <w:t xml:space="preserve">, jež letos zaznamenaly mezi hlavními odvětvími služeb nejvyšší růst zaměstnanosti (+4,1 %). Naproti tomu v peněžnictví a pojišťovnictví pokračoval vlivem rozvoje digitalizace trend mírného úbytku zaměstnanosti (-0,7 %), a to již šestým rokem v řadě. </w:t>
            </w:r>
          </w:p>
        </w:tc>
      </w:tr>
      <w:tr w:rsidR="007B1D1B" w:rsidRPr="006237E6" w14:paraId="2FF5D018" w14:textId="77777777" w:rsidTr="000F15F7">
        <w:trPr>
          <w:trHeight w:val="155"/>
        </w:trPr>
        <w:tc>
          <w:tcPr>
            <w:tcW w:w="1573" w:type="dxa"/>
            <w:shd w:val="clear" w:color="auto" w:fill="auto"/>
            <w:tcMar>
              <w:left w:w="0" w:type="dxa"/>
            </w:tcMar>
          </w:tcPr>
          <w:p w14:paraId="51875CB6" w14:textId="77777777" w:rsidR="007B1D1B" w:rsidRDefault="007B1D1B" w:rsidP="000F15F7">
            <w:pPr>
              <w:pStyle w:val="Marginlie"/>
              <w:spacing w:after="120"/>
              <w:rPr>
                <w:spacing w:val="-4"/>
              </w:rPr>
            </w:pPr>
            <w:r>
              <w:rPr>
                <w:spacing w:val="-4"/>
              </w:rPr>
              <w:t>Dodavatelské problémy přibrzdily růst zaměstnanosti v průmyslu. Ten naopak ve stavebnictví zrychloval, i zásluhou rozvoje drobného podnikání.</w:t>
            </w:r>
          </w:p>
        </w:tc>
        <w:tc>
          <w:tcPr>
            <w:tcW w:w="186" w:type="dxa"/>
            <w:shd w:val="clear" w:color="auto" w:fill="auto"/>
            <w:tcMar>
              <w:left w:w="0" w:type="dxa"/>
            </w:tcMar>
          </w:tcPr>
          <w:p w14:paraId="50FC85E3" w14:textId="77777777" w:rsidR="007B1D1B" w:rsidRPr="003B1401" w:rsidRDefault="007B1D1B" w:rsidP="000F15F7">
            <w:pPr>
              <w:pStyle w:val="Textpoznpodarou"/>
              <w:spacing w:after="120"/>
              <w:jc w:val="both"/>
              <w:rPr>
                <w:spacing w:val="-4"/>
              </w:rPr>
            </w:pPr>
          </w:p>
        </w:tc>
        <w:tc>
          <w:tcPr>
            <w:tcW w:w="7910" w:type="dxa"/>
            <w:shd w:val="clear" w:color="auto" w:fill="auto"/>
            <w:tcMar>
              <w:left w:w="0" w:type="dxa"/>
            </w:tcMar>
          </w:tcPr>
          <w:p w14:paraId="02A93228" w14:textId="77777777" w:rsidR="007B1D1B" w:rsidRPr="00293A8E" w:rsidRDefault="007B1D1B" w:rsidP="000F15F7">
            <w:pPr>
              <w:spacing w:after="200"/>
              <w:rPr>
                <w:color w:val="0D0D0D" w:themeColor="text1" w:themeTint="F2"/>
                <w:spacing w:val="-4"/>
              </w:rPr>
            </w:pPr>
            <w:r>
              <w:rPr>
                <w:color w:val="0D0D0D" w:themeColor="text1" w:themeTint="F2"/>
                <w:spacing w:val="-4"/>
              </w:rPr>
              <w:t xml:space="preserve">Problémy s dostupností výrobních komponent umocněné vážným narušením dodavatelských vazeb v souvislosti s válkou na Ukrajině, ale i celkové zvolnění dynamiky nových zakázek vedly k tomu, že zaměstnanost v průmyslu se v meziročním ani </w:t>
            </w:r>
            <w:proofErr w:type="spellStart"/>
            <w:r>
              <w:rPr>
                <w:color w:val="0D0D0D" w:themeColor="text1" w:themeTint="F2"/>
                <w:spacing w:val="-4"/>
              </w:rPr>
              <w:t>mezikvartálním</w:t>
            </w:r>
            <w:proofErr w:type="spellEnd"/>
            <w:r>
              <w:rPr>
                <w:color w:val="0D0D0D" w:themeColor="text1" w:themeTint="F2"/>
                <w:spacing w:val="-4"/>
              </w:rPr>
              <w:t xml:space="preserve"> vyjádření významně nezměnila. Problémy s nedostatečnou poptávkou naopak příliš netíží stavební firmy, které tak mohly rozšířit stavy svých zaměstnanců (+3,9 % meziročně), přibylo i drobných podnikatelů ve stavebnictví (+2,0 %). Podniky v průmyslu, stavebnictví či některých „</w:t>
            </w:r>
            <w:proofErr w:type="spellStart"/>
            <w:r>
              <w:rPr>
                <w:color w:val="0D0D0D" w:themeColor="text1" w:themeTint="F2"/>
                <w:spacing w:val="-4"/>
              </w:rPr>
              <w:t>nízkovýdělkových</w:t>
            </w:r>
            <w:proofErr w:type="spellEnd"/>
            <w:r>
              <w:rPr>
                <w:color w:val="0D0D0D" w:themeColor="text1" w:themeTint="F2"/>
                <w:spacing w:val="-4"/>
              </w:rPr>
              <w:t xml:space="preserve">“ odvětvích služeb patrně z významné části saturovaly poptávku po volné pracovní síle </w:t>
            </w:r>
            <w:r>
              <w:rPr>
                <w:spacing w:val="-4"/>
              </w:rPr>
              <w:t>náborem osob ze zahraničí</w:t>
            </w:r>
            <w:r>
              <w:rPr>
                <w:rStyle w:val="Znakapoznpodarou"/>
                <w:spacing w:val="-4"/>
              </w:rPr>
              <w:footnoteReference w:id="6"/>
            </w:r>
            <w:r>
              <w:rPr>
                <w:spacing w:val="-4"/>
              </w:rPr>
              <w:t>.</w:t>
            </w:r>
          </w:p>
        </w:tc>
      </w:tr>
      <w:tr w:rsidR="007B1D1B" w:rsidRPr="006237E6" w14:paraId="59E6BAFB" w14:textId="77777777" w:rsidTr="000F15F7">
        <w:trPr>
          <w:trHeight w:val="155"/>
        </w:trPr>
        <w:tc>
          <w:tcPr>
            <w:tcW w:w="1573" w:type="dxa"/>
            <w:shd w:val="clear" w:color="auto" w:fill="auto"/>
            <w:tcMar>
              <w:left w:w="0" w:type="dxa"/>
            </w:tcMar>
          </w:tcPr>
          <w:p w14:paraId="043CFEF8" w14:textId="77777777" w:rsidR="007B1D1B" w:rsidRDefault="007B1D1B" w:rsidP="000F15F7">
            <w:pPr>
              <w:pStyle w:val="Marginlie"/>
              <w:spacing w:after="120"/>
              <w:rPr>
                <w:spacing w:val="-4"/>
              </w:rPr>
            </w:pPr>
            <w:r>
              <w:rPr>
                <w:spacing w:val="-4"/>
              </w:rPr>
              <w:t>Počet odpracovaných hodin se zvyšoval vyšším tempem než celková zaměstnanost.</w:t>
            </w:r>
          </w:p>
        </w:tc>
        <w:tc>
          <w:tcPr>
            <w:tcW w:w="186" w:type="dxa"/>
            <w:shd w:val="clear" w:color="auto" w:fill="auto"/>
            <w:tcMar>
              <w:left w:w="0" w:type="dxa"/>
            </w:tcMar>
          </w:tcPr>
          <w:p w14:paraId="330E16D5" w14:textId="77777777" w:rsidR="007B1D1B" w:rsidRPr="003B1401" w:rsidRDefault="007B1D1B" w:rsidP="000F15F7">
            <w:pPr>
              <w:pStyle w:val="Textpoznpodarou"/>
              <w:spacing w:after="120"/>
              <w:jc w:val="both"/>
              <w:rPr>
                <w:spacing w:val="-4"/>
              </w:rPr>
            </w:pPr>
          </w:p>
        </w:tc>
        <w:tc>
          <w:tcPr>
            <w:tcW w:w="7910" w:type="dxa"/>
            <w:shd w:val="clear" w:color="auto" w:fill="auto"/>
            <w:tcMar>
              <w:left w:w="0" w:type="dxa"/>
            </w:tcMar>
          </w:tcPr>
          <w:p w14:paraId="3E8EBFB2" w14:textId="115FFA30" w:rsidR="007B1D1B" w:rsidRDefault="007B1D1B" w:rsidP="000F15F7">
            <w:pPr>
              <w:spacing w:after="0"/>
              <w:rPr>
                <w:spacing w:val="-4"/>
              </w:rPr>
            </w:pPr>
            <w:r>
              <w:rPr>
                <w:spacing w:val="-4"/>
              </w:rPr>
              <w:t xml:space="preserve">Přestože počet odpracovaných hodin </w:t>
            </w:r>
            <w:r w:rsidR="005F5271">
              <w:rPr>
                <w:spacing w:val="-4"/>
              </w:rPr>
              <w:t>(v pojetí národních účtů) byl v celé ekonomice v 1. </w:t>
            </w:r>
            <w:r>
              <w:rPr>
                <w:spacing w:val="-4"/>
              </w:rPr>
              <w:t>čtvrtletí meziročně vyšší o 6,4 % a rostl tak dynamičtěji než celková zaměstnanost, za předpande</w:t>
            </w:r>
            <w:r w:rsidR="007D7763">
              <w:rPr>
                <w:spacing w:val="-4"/>
              </w:rPr>
              <w:t>mickou úrovní (z 1.</w:t>
            </w:r>
            <w:r w:rsidR="007D7763">
              <w:rPr>
                <w:szCs w:val="20"/>
              </w:rPr>
              <w:t> </w:t>
            </w:r>
            <w:r>
              <w:rPr>
                <w:spacing w:val="-4"/>
              </w:rPr>
              <w:t xml:space="preserve">čtvrtletí 2019) stále mírně zaostával. Oproti počátku loňského roku se počet hodin navýšil nejvíce v segmentech služeb nejcitelněji zasažený loňskými </w:t>
            </w:r>
            <w:r>
              <w:rPr>
                <w:spacing w:val="-4"/>
              </w:rPr>
              <w:lastRenderedPageBreak/>
              <w:t xml:space="preserve">restrikcemi – </w:t>
            </w:r>
            <w:r w:rsidRPr="0034501B">
              <w:rPr>
                <w:spacing w:val="-4"/>
              </w:rPr>
              <w:t>Obchod, doprava, ubytování a pohostinství</w:t>
            </w:r>
            <w:r>
              <w:rPr>
                <w:spacing w:val="-4"/>
              </w:rPr>
              <w:t xml:space="preserve"> (+15 %) a odvětví Ostatní činnosti služeb</w:t>
            </w:r>
            <w:r>
              <w:rPr>
                <w:rStyle w:val="Znakapoznpodarou"/>
                <w:spacing w:val="-4"/>
              </w:rPr>
              <w:footnoteReference w:id="7"/>
            </w:r>
            <w:r>
              <w:rPr>
                <w:spacing w:val="-4"/>
              </w:rPr>
              <w:t>, zahrnující především kulturu, zábavní a rekreační činnosti či osobní služby zejména pro domácnosti (+31 %). Silně ale vzrostl také ve stavebnictví (+9 %).</w:t>
            </w:r>
          </w:p>
          <w:p w14:paraId="055CF319" w14:textId="77777777" w:rsidR="007B1D1B" w:rsidRPr="007517F0" w:rsidRDefault="007B1D1B" w:rsidP="000F15F7">
            <w:pPr>
              <w:spacing w:after="0"/>
              <w:rPr>
                <w:spacing w:val="-4"/>
              </w:rPr>
            </w:pPr>
          </w:p>
        </w:tc>
      </w:tr>
      <w:tr w:rsidR="007B1D1B" w:rsidRPr="006237E6" w14:paraId="39AA5175" w14:textId="77777777" w:rsidTr="000F15F7">
        <w:trPr>
          <w:trHeight w:val="155"/>
        </w:trPr>
        <w:tc>
          <w:tcPr>
            <w:tcW w:w="1573" w:type="dxa"/>
            <w:shd w:val="clear" w:color="auto" w:fill="auto"/>
            <w:tcMar>
              <w:left w:w="0" w:type="dxa"/>
            </w:tcMar>
          </w:tcPr>
          <w:p w14:paraId="03A0122B" w14:textId="77777777" w:rsidR="007B1D1B" w:rsidRDefault="007B1D1B" w:rsidP="000F15F7">
            <w:pPr>
              <w:pStyle w:val="Marginlie"/>
              <w:spacing w:after="120"/>
              <w:rPr>
                <w:spacing w:val="-4"/>
              </w:rPr>
            </w:pPr>
            <w:r>
              <w:rPr>
                <w:spacing w:val="-4"/>
              </w:rPr>
              <w:lastRenderedPageBreak/>
              <w:t>Míra zaměstnanosti rostla u žen svižněji než u mužů, úrovně z roku 2019 ale stále nedosáhla.</w:t>
            </w:r>
          </w:p>
        </w:tc>
        <w:tc>
          <w:tcPr>
            <w:tcW w:w="186" w:type="dxa"/>
            <w:shd w:val="clear" w:color="auto" w:fill="auto"/>
            <w:tcMar>
              <w:left w:w="0" w:type="dxa"/>
            </w:tcMar>
          </w:tcPr>
          <w:p w14:paraId="2EE5AD13" w14:textId="77777777" w:rsidR="007B1D1B" w:rsidRPr="003B1401" w:rsidRDefault="007B1D1B" w:rsidP="000F15F7">
            <w:pPr>
              <w:pStyle w:val="Textpoznpodarou"/>
              <w:spacing w:after="120"/>
              <w:jc w:val="both"/>
              <w:rPr>
                <w:spacing w:val="-4"/>
              </w:rPr>
            </w:pPr>
          </w:p>
        </w:tc>
        <w:tc>
          <w:tcPr>
            <w:tcW w:w="7910" w:type="dxa"/>
            <w:shd w:val="clear" w:color="auto" w:fill="auto"/>
            <w:tcMar>
              <w:left w:w="0" w:type="dxa"/>
            </w:tcMar>
          </w:tcPr>
          <w:p w14:paraId="3C2D873F" w14:textId="77777777" w:rsidR="007B1D1B" w:rsidRPr="007517F0" w:rsidRDefault="007B1D1B" w:rsidP="000F15F7">
            <w:pPr>
              <w:spacing w:after="200"/>
              <w:rPr>
                <w:spacing w:val="-4"/>
              </w:rPr>
            </w:pPr>
            <w:r>
              <w:rPr>
                <w:spacing w:val="-4"/>
              </w:rPr>
              <w:t xml:space="preserve">Obnovený hospodářský růst doprovázený vysokou poptávkou podniků pro pracovní síle se pozitivně odrazil ve vyšší míře zaměstnanosti obyvatel v produktivním věku. Ta letos vyrovnala rekordní úroveň z počátku roku 2019. Mezi muži ve věku 15 až 64 let jich v dubnu 2022 pracovalo již 82,3 %, mezi ženami 68,5 %. Přestože míra zaměstnanosti se za poslední rok zvýšila u žen více než dvojnásobným tempem než u mužů a kromě zotavování některých odvětví silně zasažených za pandemie byla ovlivněna i </w:t>
            </w:r>
            <w:r>
              <w:rPr>
                <w:spacing w:val="2"/>
                <w:szCs w:val="20"/>
              </w:rPr>
              <w:t xml:space="preserve">rychlejším zvyšováním důchodového věku (než činil u mužů), </w:t>
            </w:r>
            <w:r>
              <w:rPr>
                <w:spacing w:val="-4"/>
              </w:rPr>
              <w:t>úrovně z roku 2019 zatím nedosáhla.</w:t>
            </w:r>
          </w:p>
        </w:tc>
      </w:tr>
      <w:tr w:rsidR="007B1D1B" w:rsidRPr="009F2A8A" w14:paraId="47522D84" w14:textId="77777777" w:rsidTr="000F15F7">
        <w:trPr>
          <w:trHeight w:val="155"/>
        </w:trPr>
        <w:tc>
          <w:tcPr>
            <w:tcW w:w="1573" w:type="dxa"/>
            <w:vMerge w:val="restart"/>
            <w:shd w:val="clear" w:color="auto" w:fill="auto"/>
            <w:tcMar>
              <w:left w:w="0" w:type="dxa"/>
            </w:tcMar>
          </w:tcPr>
          <w:p w14:paraId="5603B99D" w14:textId="77777777" w:rsidR="007B1D1B" w:rsidRPr="00B43216" w:rsidRDefault="007B1D1B" w:rsidP="000F15F7">
            <w:pPr>
              <w:pStyle w:val="Marginlie"/>
              <w:spacing w:after="120"/>
              <w:rPr>
                <w:spacing w:val="-4"/>
              </w:rPr>
            </w:pPr>
          </w:p>
        </w:tc>
        <w:tc>
          <w:tcPr>
            <w:tcW w:w="186" w:type="dxa"/>
            <w:vMerge w:val="restart"/>
            <w:shd w:val="clear" w:color="auto" w:fill="auto"/>
            <w:tcMar>
              <w:left w:w="0" w:type="dxa"/>
            </w:tcMar>
          </w:tcPr>
          <w:p w14:paraId="67F49A25"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2DCA5CAD" w14:textId="77777777" w:rsidR="007B1D1B" w:rsidRPr="00CA5850" w:rsidRDefault="007B1D1B" w:rsidP="000F15F7">
            <w:pPr>
              <w:spacing w:after="0"/>
              <w:rPr>
                <w:spacing w:val="-2"/>
              </w:rPr>
            </w:pPr>
            <w:r>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7B1D1B" w:rsidRPr="00B43216" w14:paraId="517A73ED" w14:textId="77777777" w:rsidTr="000F15F7">
        <w:tblPrEx>
          <w:tblCellMar>
            <w:left w:w="70" w:type="dxa"/>
            <w:right w:w="70" w:type="dxa"/>
          </w:tblCellMar>
        </w:tblPrEx>
        <w:trPr>
          <w:trHeight w:val="155"/>
        </w:trPr>
        <w:tc>
          <w:tcPr>
            <w:tcW w:w="1573" w:type="dxa"/>
            <w:vMerge/>
            <w:shd w:val="clear" w:color="auto" w:fill="auto"/>
          </w:tcPr>
          <w:p w14:paraId="36A90489" w14:textId="77777777" w:rsidR="007B1D1B" w:rsidRPr="00B43216" w:rsidRDefault="007B1D1B" w:rsidP="000F15F7">
            <w:pPr>
              <w:pStyle w:val="Marginlie"/>
              <w:spacing w:after="120"/>
              <w:rPr>
                <w:spacing w:val="-4"/>
              </w:rPr>
            </w:pPr>
          </w:p>
        </w:tc>
        <w:tc>
          <w:tcPr>
            <w:tcW w:w="186" w:type="dxa"/>
            <w:vMerge/>
            <w:shd w:val="clear" w:color="auto" w:fill="auto"/>
          </w:tcPr>
          <w:p w14:paraId="0D1FBE9C" w14:textId="77777777" w:rsidR="007B1D1B" w:rsidRPr="00B43216" w:rsidRDefault="007B1D1B" w:rsidP="000F15F7">
            <w:pPr>
              <w:pStyle w:val="Textpoznpodarou"/>
              <w:spacing w:after="120"/>
              <w:jc w:val="both"/>
              <w:rPr>
                <w:spacing w:val="-4"/>
              </w:rPr>
            </w:pPr>
          </w:p>
        </w:tc>
        <w:tc>
          <w:tcPr>
            <w:tcW w:w="7910" w:type="dxa"/>
            <w:shd w:val="clear" w:color="auto" w:fill="auto"/>
          </w:tcPr>
          <w:p w14:paraId="15E01B0D" w14:textId="77777777" w:rsidR="007B1D1B" w:rsidRPr="00B43216" w:rsidRDefault="007B1D1B" w:rsidP="000F15F7">
            <w:pPr>
              <w:spacing w:after="0"/>
              <w:rPr>
                <w:spacing w:val="-4"/>
              </w:rPr>
            </w:pPr>
            <w:r>
              <w:rPr>
                <w:noProof/>
              </w:rPr>
              <w:drawing>
                <wp:inline distT="0" distB="0" distL="0" distR="0" wp14:anchorId="6D6FA187" wp14:editId="6E94BA57">
                  <wp:extent cx="4858528" cy="3383553"/>
                  <wp:effectExtent l="0" t="0" r="0" b="762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B1D1B" w:rsidRPr="00485ED5" w14:paraId="7B202799" w14:textId="77777777" w:rsidTr="000F15F7">
        <w:trPr>
          <w:trHeight w:val="671"/>
        </w:trPr>
        <w:tc>
          <w:tcPr>
            <w:tcW w:w="1573" w:type="dxa"/>
            <w:vMerge/>
            <w:shd w:val="clear" w:color="auto" w:fill="auto"/>
            <w:tcMar>
              <w:left w:w="0" w:type="dxa"/>
            </w:tcMar>
          </w:tcPr>
          <w:p w14:paraId="61BE1965" w14:textId="77777777" w:rsidR="007B1D1B" w:rsidRPr="00B43216" w:rsidRDefault="007B1D1B" w:rsidP="000F15F7">
            <w:pPr>
              <w:pStyle w:val="Marginlie"/>
              <w:spacing w:after="120"/>
              <w:rPr>
                <w:spacing w:val="-4"/>
              </w:rPr>
            </w:pPr>
          </w:p>
        </w:tc>
        <w:tc>
          <w:tcPr>
            <w:tcW w:w="186" w:type="dxa"/>
            <w:vMerge/>
            <w:shd w:val="clear" w:color="auto" w:fill="auto"/>
            <w:tcMar>
              <w:left w:w="0" w:type="dxa"/>
            </w:tcMar>
          </w:tcPr>
          <w:p w14:paraId="54E130C6"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5E190A26" w14:textId="77777777" w:rsidR="007B1D1B" w:rsidRDefault="007B1D1B" w:rsidP="000F15F7">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1A73511" w14:textId="77777777" w:rsidR="007B1D1B" w:rsidRDefault="007B1D1B" w:rsidP="000F15F7">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druhému měsíci daného čtvrtletí.</w:t>
            </w:r>
          </w:p>
          <w:p w14:paraId="06AB77D0" w14:textId="23BE89FF" w:rsidR="007B1D1B" w:rsidRPr="00485ED5" w:rsidRDefault="007B1D1B" w:rsidP="000F15F7">
            <w:pPr>
              <w:spacing w:after="200" w:line="240" w:lineRule="auto"/>
              <w:rPr>
                <w:rFonts w:cs="Arial"/>
                <w:color w:val="0D0D0D" w:themeColor="text1" w:themeTint="F2"/>
                <w:spacing w:val="-2"/>
                <w:sz w:val="14"/>
                <w:szCs w:val="14"/>
              </w:rPr>
            </w:pPr>
            <w:r>
              <w:rPr>
                <w:rFonts w:cs="Arial"/>
                <w:sz w:val="14"/>
                <w:szCs w:val="14"/>
              </w:rPr>
              <w:t xml:space="preserve">Zdroj: ČSÚ, </w:t>
            </w:r>
            <w:proofErr w:type="spellStart"/>
            <w:r>
              <w:rPr>
                <w:rFonts w:cs="Arial"/>
                <w:sz w:val="14"/>
                <w:szCs w:val="14"/>
              </w:rPr>
              <w:t>Eurostat</w:t>
            </w:r>
            <w:proofErr w:type="spellEnd"/>
          </w:p>
        </w:tc>
      </w:tr>
      <w:tr w:rsidR="007B1D1B" w:rsidRPr="00D82DBD" w14:paraId="58C599BE" w14:textId="77777777" w:rsidTr="000F15F7">
        <w:trPr>
          <w:trHeight w:val="145"/>
        </w:trPr>
        <w:tc>
          <w:tcPr>
            <w:tcW w:w="1573" w:type="dxa"/>
            <w:shd w:val="clear" w:color="auto" w:fill="auto"/>
            <w:tcMar>
              <w:left w:w="0" w:type="dxa"/>
            </w:tcMar>
          </w:tcPr>
          <w:p w14:paraId="1B9C1765" w14:textId="77777777" w:rsidR="007B1D1B" w:rsidRDefault="007B1D1B" w:rsidP="000F15F7">
            <w:pPr>
              <w:pStyle w:val="Marginlie"/>
              <w:rPr>
                <w:color w:val="0D0D0D" w:themeColor="text1" w:themeTint="F2"/>
                <w:spacing w:val="-5"/>
              </w:rPr>
            </w:pPr>
            <w:r>
              <w:rPr>
                <w:color w:val="0D0D0D" w:themeColor="text1" w:themeTint="F2"/>
                <w:spacing w:val="-5"/>
              </w:rPr>
              <w:t>Podniky v krátkodobém horizontu plánovaly pracovníky nabírat, hlavně ve stavebnictví. Ve službách pesimismus rychle opadal, rozdíly dle oborů byly však významné.</w:t>
            </w:r>
          </w:p>
        </w:tc>
        <w:tc>
          <w:tcPr>
            <w:tcW w:w="186" w:type="dxa"/>
            <w:shd w:val="clear" w:color="auto" w:fill="auto"/>
            <w:tcMar>
              <w:left w:w="0" w:type="dxa"/>
            </w:tcMar>
          </w:tcPr>
          <w:p w14:paraId="4E3A4D31" w14:textId="77777777" w:rsidR="007B1D1B" w:rsidRPr="00EA508C" w:rsidRDefault="007B1D1B" w:rsidP="000F15F7">
            <w:pPr>
              <w:pStyle w:val="Textpoznpodarou"/>
              <w:spacing w:after="120"/>
              <w:jc w:val="both"/>
              <w:rPr>
                <w:color w:val="0D0D0D" w:themeColor="text1" w:themeTint="F2"/>
                <w:spacing w:val="-4"/>
              </w:rPr>
            </w:pPr>
          </w:p>
        </w:tc>
        <w:tc>
          <w:tcPr>
            <w:tcW w:w="7910" w:type="dxa"/>
            <w:shd w:val="clear" w:color="auto" w:fill="auto"/>
            <w:tcMar>
              <w:left w:w="0" w:type="dxa"/>
            </w:tcMar>
          </w:tcPr>
          <w:p w14:paraId="2DB01FED" w14:textId="77777777" w:rsidR="007B1D1B" w:rsidRPr="007517F0" w:rsidRDefault="007B1D1B" w:rsidP="000F15F7">
            <w:pPr>
              <w:spacing w:after="200"/>
              <w:rPr>
                <w:spacing w:val="-4"/>
              </w:rPr>
            </w:pPr>
            <w:r w:rsidRPr="00EB49CC">
              <w:rPr>
                <w:color w:val="0D0D0D" w:themeColor="text1" w:themeTint="F2"/>
                <w:spacing w:val="-4"/>
              </w:rPr>
              <w:t xml:space="preserve">Krátkodobá </w:t>
            </w:r>
            <w:r>
              <w:rPr>
                <w:color w:val="0D0D0D" w:themeColor="text1" w:themeTint="F2"/>
                <w:spacing w:val="-4"/>
              </w:rPr>
              <w:t xml:space="preserve">souhrnná </w:t>
            </w:r>
            <w:r w:rsidRPr="00EB49CC">
              <w:rPr>
                <w:color w:val="0D0D0D" w:themeColor="text1" w:themeTint="F2"/>
                <w:spacing w:val="-4"/>
              </w:rPr>
              <w:t>očekávání podniků v oblasti zaměstnanosti</w:t>
            </w:r>
            <w:r>
              <w:rPr>
                <w:color w:val="0D0D0D" w:themeColor="text1" w:themeTint="F2"/>
                <w:spacing w:val="-4"/>
              </w:rPr>
              <w:t xml:space="preserve"> (deklarovaná v konjunkturálních průzkumech) zůstávala pozitivní. Během 1. čtvrtletí 2022 navíc vystoupala nejvýše od léta 2019 a na srovnatelné úrovni setrvávala letos i na počátku 2. čtvrtletí. Největší optimismus vyjádřily v květnu stavební podniky. Nabírat nové pracovníky plánovalo během nejbližších třech měsíců 17 % z nich, s redukcí zaměstnanosti počítaly jen 4 %. V průmyslu shodně jako v obchodu očekávala vyšší zaměstnanost osmina firem, nižší pak desetina. Ve službách se loňský pesimismus citelně snížil, i tak zde lehce převažovalo očekávání další redukce (23 %) nad růstem (20 %). Oba tyto relativně vysoké podíly naznačují výraznou různorodost výhledů v dílčích segmentech služeb</w:t>
            </w:r>
            <w:r>
              <w:rPr>
                <w:rStyle w:val="Znakapoznpodarou"/>
                <w:color w:val="0D0D0D" w:themeColor="text1" w:themeTint="F2"/>
                <w:spacing w:val="-4"/>
              </w:rPr>
              <w:footnoteReference w:id="8"/>
            </w:r>
            <w:r>
              <w:rPr>
                <w:color w:val="0D0D0D" w:themeColor="text1" w:themeTint="F2"/>
                <w:spacing w:val="-4"/>
              </w:rPr>
              <w:t xml:space="preserve">. Na počátku 2. čtvrtletí 2022 došlo v souvislosti se zhoršením celkových ekonomických výhledů a současným příchodem lidí z Ukrajiny k mírnému poklesu podílu podniků, pro něž představuje nedostatek pracovní síly významnou růstovou bariéru. Zejména ve stavebnictví ovšem zůstával tento problém nadále </w:t>
            </w:r>
            <w:r>
              <w:rPr>
                <w:color w:val="0D0D0D" w:themeColor="text1" w:themeTint="F2"/>
                <w:spacing w:val="-4"/>
              </w:rPr>
              <w:lastRenderedPageBreak/>
              <w:t>palčivý, neboť stále limitoval polovinu podniků (srovnatelně jako na přelomu let 2019 a 2020). Nevyhýbal se ani některým dílčím oborům v průmyslu či službách</w:t>
            </w:r>
            <w:r>
              <w:rPr>
                <w:rStyle w:val="Znakapoznpodarou"/>
                <w:color w:val="0D0D0D" w:themeColor="text1" w:themeTint="F2"/>
                <w:spacing w:val="-4"/>
              </w:rPr>
              <w:footnoteReference w:id="9"/>
            </w:r>
            <w:r>
              <w:rPr>
                <w:color w:val="0D0D0D" w:themeColor="text1" w:themeTint="F2"/>
                <w:spacing w:val="-4"/>
              </w:rPr>
              <w:t xml:space="preserve">. </w:t>
            </w:r>
          </w:p>
        </w:tc>
      </w:tr>
      <w:tr w:rsidR="007B1D1B" w:rsidRPr="00B43216" w14:paraId="371C7F36" w14:textId="77777777" w:rsidTr="000F15F7">
        <w:trPr>
          <w:trHeight w:val="155"/>
        </w:trPr>
        <w:tc>
          <w:tcPr>
            <w:tcW w:w="1573" w:type="dxa"/>
            <w:vMerge w:val="restart"/>
            <w:shd w:val="clear" w:color="auto" w:fill="auto"/>
            <w:tcMar>
              <w:left w:w="0" w:type="dxa"/>
            </w:tcMar>
          </w:tcPr>
          <w:p w14:paraId="2FA7F547" w14:textId="77777777" w:rsidR="007B1D1B" w:rsidRPr="00B43216" w:rsidRDefault="007B1D1B" w:rsidP="000F15F7">
            <w:pPr>
              <w:pStyle w:val="Marginlie"/>
              <w:spacing w:after="120"/>
              <w:rPr>
                <w:spacing w:val="-4"/>
              </w:rPr>
            </w:pPr>
          </w:p>
        </w:tc>
        <w:tc>
          <w:tcPr>
            <w:tcW w:w="186" w:type="dxa"/>
            <w:vMerge w:val="restart"/>
            <w:shd w:val="clear" w:color="auto" w:fill="auto"/>
            <w:tcMar>
              <w:left w:w="0" w:type="dxa"/>
            </w:tcMar>
          </w:tcPr>
          <w:p w14:paraId="597963CE"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20F6CCD3" w14:textId="77777777" w:rsidR="007B1D1B" w:rsidRPr="009C410C" w:rsidRDefault="007B1D1B" w:rsidP="000F15F7">
            <w:pPr>
              <w:spacing w:after="0"/>
              <w:rPr>
                <w:b/>
                <w:spacing w:val="-4"/>
              </w:rPr>
            </w:pPr>
            <w:r>
              <w:rPr>
                <w:b/>
                <w:spacing w:val="-4"/>
              </w:rPr>
              <w:t>Graf č. 14</w:t>
            </w:r>
            <w:r w:rsidRPr="009C410C">
              <w:rPr>
                <w:b/>
                <w:spacing w:val="-4"/>
              </w:rPr>
              <w:t xml:space="preserve">  </w:t>
            </w:r>
            <w:r w:rsidRPr="009C410C">
              <w:rPr>
                <w:rFonts w:cs="Arial"/>
                <w:b/>
                <w:spacing w:val="-4"/>
              </w:rPr>
              <w:t xml:space="preserve">Obecná míra nezaměstnanosti </w:t>
            </w:r>
            <w:r w:rsidRPr="009C410C">
              <w:rPr>
                <w:rFonts w:cs="Arial"/>
                <w:bCs/>
                <w:spacing w:val="-4"/>
              </w:rPr>
              <w:t>(v %</w:t>
            </w:r>
            <w:r>
              <w:rPr>
                <w:rFonts w:cs="Arial"/>
                <w:bCs/>
                <w:spacing w:val="-4"/>
              </w:rPr>
              <w:t>, věk 15 až 64 let</w:t>
            </w:r>
            <w:r w:rsidRPr="009C410C">
              <w:rPr>
                <w:rFonts w:cs="Arial"/>
                <w:bCs/>
                <w:spacing w:val="-4"/>
              </w:rPr>
              <w:t>)</w:t>
            </w:r>
            <w:r w:rsidRPr="009C410C">
              <w:rPr>
                <w:rFonts w:cs="Arial"/>
                <w:b/>
                <w:spacing w:val="-4"/>
              </w:rPr>
              <w:t xml:space="preserve">, </w:t>
            </w:r>
            <w:r>
              <w:rPr>
                <w:rFonts w:cs="Arial"/>
                <w:b/>
                <w:spacing w:val="-4"/>
              </w:rPr>
              <w:t>míra ekonomické aktivity</w:t>
            </w:r>
            <w:r>
              <w:rPr>
                <w:rFonts w:cs="Arial"/>
                <w:bCs/>
                <w:spacing w:val="-4"/>
              </w:rPr>
              <w:t xml:space="preserve"> (v %, věk 15 až 64 let)</w:t>
            </w:r>
            <w:r w:rsidRPr="009C410C">
              <w:rPr>
                <w:rFonts w:cs="Arial"/>
                <w:b/>
                <w:spacing w:val="-4"/>
              </w:rPr>
              <w:t xml:space="preserve">, ekonomicky neaktivní chtějící pracovat </w:t>
            </w:r>
            <w:r w:rsidRPr="009C410C">
              <w:rPr>
                <w:rFonts w:cs="Arial"/>
                <w:bCs/>
                <w:spacing w:val="-4"/>
              </w:rPr>
              <w:t>(v tis.</w:t>
            </w:r>
            <w:r>
              <w:rPr>
                <w:rFonts w:cs="Arial"/>
                <w:bCs/>
                <w:spacing w:val="-4"/>
              </w:rPr>
              <w:t xml:space="preserve"> osob</w:t>
            </w:r>
            <w:r w:rsidRPr="009C410C">
              <w:rPr>
                <w:rFonts w:cs="Arial"/>
                <w:bCs/>
                <w:spacing w:val="-4"/>
              </w:rPr>
              <w:t xml:space="preserve">)* </w:t>
            </w:r>
            <w:r w:rsidRPr="009C410C">
              <w:rPr>
                <w:rFonts w:cs="Arial"/>
                <w:b/>
                <w:bCs/>
                <w:spacing w:val="-4"/>
              </w:rPr>
              <w:t>a očekávání nezaměstnanosti u domácností</w:t>
            </w:r>
            <w:r w:rsidRPr="009C410C">
              <w:rPr>
                <w:rFonts w:cs="Arial"/>
                <w:bCs/>
                <w:spacing w:val="-4"/>
              </w:rPr>
              <w:t xml:space="preserve"> (v p. b.)**</w:t>
            </w:r>
          </w:p>
        </w:tc>
      </w:tr>
      <w:tr w:rsidR="007B1D1B" w:rsidRPr="00B43216" w14:paraId="62B94EC5" w14:textId="77777777" w:rsidTr="000F15F7">
        <w:tblPrEx>
          <w:tblCellMar>
            <w:left w:w="70" w:type="dxa"/>
            <w:right w:w="70" w:type="dxa"/>
          </w:tblCellMar>
        </w:tblPrEx>
        <w:trPr>
          <w:trHeight w:val="155"/>
        </w:trPr>
        <w:tc>
          <w:tcPr>
            <w:tcW w:w="1573" w:type="dxa"/>
            <w:vMerge/>
            <w:shd w:val="clear" w:color="auto" w:fill="auto"/>
          </w:tcPr>
          <w:p w14:paraId="5B491C2C" w14:textId="77777777" w:rsidR="007B1D1B" w:rsidRPr="00B43216" w:rsidRDefault="007B1D1B" w:rsidP="000F15F7">
            <w:pPr>
              <w:pStyle w:val="Marginlie"/>
              <w:spacing w:after="120"/>
              <w:rPr>
                <w:spacing w:val="-4"/>
              </w:rPr>
            </w:pPr>
          </w:p>
        </w:tc>
        <w:tc>
          <w:tcPr>
            <w:tcW w:w="186" w:type="dxa"/>
            <w:vMerge/>
            <w:shd w:val="clear" w:color="auto" w:fill="auto"/>
          </w:tcPr>
          <w:p w14:paraId="1ECAB0DC" w14:textId="77777777" w:rsidR="007B1D1B" w:rsidRPr="00B43216" w:rsidRDefault="007B1D1B" w:rsidP="000F15F7">
            <w:pPr>
              <w:pStyle w:val="Textpoznpodarou"/>
              <w:spacing w:after="120"/>
              <w:jc w:val="both"/>
              <w:rPr>
                <w:spacing w:val="-4"/>
              </w:rPr>
            </w:pPr>
          </w:p>
        </w:tc>
        <w:tc>
          <w:tcPr>
            <w:tcW w:w="7910" w:type="dxa"/>
            <w:shd w:val="clear" w:color="auto" w:fill="auto"/>
          </w:tcPr>
          <w:p w14:paraId="60EF9879" w14:textId="77777777" w:rsidR="007B1D1B" w:rsidRPr="00B43216" w:rsidRDefault="007B1D1B" w:rsidP="000F15F7">
            <w:pPr>
              <w:spacing w:after="0"/>
              <w:rPr>
                <w:spacing w:val="-4"/>
              </w:rPr>
            </w:pPr>
            <w:r>
              <w:rPr>
                <w:noProof/>
              </w:rPr>
              <w:drawing>
                <wp:inline distT="0" distB="0" distL="0" distR="0" wp14:anchorId="5ABD9703" wp14:editId="36572E39">
                  <wp:extent cx="4753999" cy="3528000"/>
                  <wp:effectExtent l="0" t="0" r="8890"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B1D1B" w:rsidRPr="00B43216" w14:paraId="40C964D4" w14:textId="77777777" w:rsidTr="000F15F7">
        <w:trPr>
          <w:trHeight w:val="671"/>
        </w:trPr>
        <w:tc>
          <w:tcPr>
            <w:tcW w:w="1573" w:type="dxa"/>
            <w:vMerge/>
            <w:shd w:val="clear" w:color="auto" w:fill="auto"/>
            <w:tcMar>
              <w:left w:w="0" w:type="dxa"/>
            </w:tcMar>
          </w:tcPr>
          <w:p w14:paraId="7A0FBC38" w14:textId="77777777" w:rsidR="007B1D1B" w:rsidRPr="00B43216" w:rsidRDefault="007B1D1B" w:rsidP="000F15F7">
            <w:pPr>
              <w:pStyle w:val="Marginlie"/>
              <w:rPr>
                <w:spacing w:val="-4"/>
              </w:rPr>
            </w:pPr>
          </w:p>
        </w:tc>
        <w:tc>
          <w:tcPr>
            <w:tcW w:w="186" w:type="dxa"/>
            <w:vMerge/>
            <w:shd w:val="clear" w:color="auto" w:fill="auto"/>
            <w:tcMar>
              <w:left w:w="0" w:type="dxa"/>
            </w:tcMar>
          </w:tcPr>
          <w:p w14:paraId="48B4BCAF" w14:textId="77777777" w:rsidR="007B1D1B" w:rsidRPr="00B43216" w:rsidRDefault="007B1D1B" w:rsidP="000F15F7">
            <w:pPr>
              <w:pStyle w:val="Textpoznpodarou"/>
              <w:jc w:val="both"/>
              <w:rPr>
                <w:spacing w:val="-4"/>
              </w:rPr>
            </w:pPr>
          </w:p>
        </w:tc>
        <w:tc>
          <w:tcPr>
            <w:tcW w:w="7910" w:type="dxa"/>
            <w:shd w:val="clear" w:color="auto" w:fill="auto"/>
            <w:tcMar>
              <w:left w:w="0" w:type="dxa"/>
            </w:tcMar>
          </w:tcPr>
          <w:p w14:paraId="58B767A7" w14:textId="77777777" w:rsidR="007B1D1B" w:rsidRPr="004E68B1" w:rsidRDefault="007B1D1B" w:rsidP="000F15F7">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Pozn.: Údaje o mírách</w:t>
            </w:r>
            <w:r w:rsidRPr="004E68B1">
              <w:rPr>
                <w:rFonts w:cs="Arial"/>
                <w:color w:val="0D0D0D" w:themeColor="text1" w:themeTint="F2"/>
                <w:spacing w:val="-2"/>
                <w:sz w:val="14"/>
                <w:szCs w:val="14"/>
              </w:rPr>
              <w:t xml:space="preserve"> nezaměstnanosti </w:t>
            </w:r>
            <w:r>
              <w:rPr>
                <w:rFonts w:cs="Arial"/>
                <w:color w:val="0D0D0D" w:themeColor="text1" w:themeTint="F2"/>
                <w:spacing w:val="-2"/>
                <w:sz w:val="14"/>
                <w:szCs w:val="14"/>
              </w:rPr>
              <w:t xml:space="preserve">i ekonomické aktivity </w:t>
            </w:r>
            <w:r w:rsidRPr="004E68B1">
              <w:rPr>
                <w:rFonts w:cs="Arial"/>
                <w:color w:val="0D0D0D" w:themeColor="text1" w:themeTint="F2"/>
                <w:spacing w:val="-2"/>
                <w:sz w:val="14"/>
                <w:szCs w:val="14"/>
              </w:rPr>
              <w:t>jsou po sezónním oči</w:t>
            </w:r>
            <w:r>
              <w:rPr>
                <w:rFonts w:cs="Arial"/>
                <w:color w:val="0D0D0D" w:themeColor="text1" w:themeTint="F2"/>
                <w:spacing w:val="-2"/>
                <w:sz w:val="14"/>
                <w:szCs w:val="14"/>
              </w:rPr>
              <w:t>štění.</w:t>
            </w:r>
          </w:p>
          <w:p w14:paraId="0F1068F5" w14:textId="77777777" w:rsidR="007B1D1B" w:rsidRDefault="007B1D1B" w:rsidP="000F15F7">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03973914" w14:textId="77777777" w:rsidR="007B1D1B" w:rsidRDefault="007B1D1B" w:rsidP="000F15F7">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5B755EF9" w14:textId="77777777" w:rsidR="007B1D1B" w:rsidRPr="00485ED5" w:rsidRDefault="007B1D1B" w:rsidP="000F15F7">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w:t>
            </w:r>
          </w:p>
        </w:tc>
      </w:tr>
      <w:tr w:rsidR="007B1D1B" w:rsidRPr="00B43216" w14:paraId="6BA3F3D9" w14:textId="77777777" w:rsidTr="000F15F7">
        <w:trPr>
          <w:trHeight w:val="671"/>
        </w:trPr>
        <w:tc>
          <w:tcPr>
            <w:tcW w:w="1573" w:type="dxa"/>
            <w:shd w:val="clear" w:color="auto" w:fill="auto"/>
            <w:tcMar>
              <w:left w:w="0" w:type="dxa"/>
            </w:tcMar>
          </w:tcPr>
          <w:p w14:paraId="092DE1D9" w14:textId="77777777" w:rsidR="007B1D1B" w:rsidRPr="009D39B6" w:rsidRDefault="007B1D1B" w:rsidP="000F15F7">
            <w:pPr>
              <w:pStyle w:val="Marginlie"/>
              <w:rPr>
                <w:color w:val="0D0D0D" w:themeColor="text1" w:themeTint="F2"/>
                <w:spacing w:val="-5"/>
              </w:rPr>
            </w:pPr>
            <w:r>
              <w:rPr>
                <w:color w:val="0D0D0D" w:themeColor="text1" w:themeTint="F2"/>
                <w:spacing w:val="-5"/>
              </w:rPr>
              <w:t>Obecná míra nezaměstnanosti žen zůstávala nad předpandemickou úrovní i vlivem přetrvávající slabší nabídky zkrácených pracovních úvazků.</w:t>
            </w:r>
          </w:p>
        </w:tc>
        <w:tc>
          <w:tcPr>
            <w:tcW w:w="186" w:type="dxa"/>
            <w:shd w:val="clear" w:color="auto" w:fill="auto"/>
            <w:tcMar>
              <w:left w:w="0" w:type="dxa"/>
            </w:tcMar>
          </w:tcPr>
          <w:p w14:paraId="403E0A96" w14:textId="77777777" w:rsidR="007B1D1B" w:rsidRPr="009D39B6" w:rsidRDefault="007B1D1B" w:rsidP="000F15F7">
            <w:pPr>
              <w:pStyle w:val="Textpoznpodarou"/>
              <w:spacing w:line="276" w:lineRule="auto"/>
              <w:jc w:val="both"/>
              <w:rPr>
                <w:color w:val="0D0D0D" w:themeColor="text1" w:themeTint="F2"/>
                <w:spacing w:val="-4"/>
              </w:rPr>
            </w:pPr>
          </w:p>
        </w:tc>
        <w:tc>
          <w:tcPr>
            <w:tcW w:w="7910" w:type="dxa"/>
            <w:shd w:val="clear" w:color="auto" w:fill="auto"/>
            <w:tcMar>
              <w:left w:w="0" w:type="dxa"/>
            </w:tcMar>
          </w:tcPr>
          <w:p w14:paraId="272904A5" w14:textId="77777777" w:rsidR="007B1D1B" w:rsidRPr="005C658A" w:rsidRDefault="007B1D1B" w:rsidP="000F15F7">
            <w:pPr>
              <w:spacing w:after="0"/>
              <w:rPr>
                <w:color w:val="0D0D0D" w:themeColor="text1" w:themeTint="F2"/>
                <w:spacing w:val="-4"/>
              </w:rPr>
            </w:pPr>
            <w:r>
              <w:rPr>
                <w:color w:val="0D0D0D" w:themeColor="text1" w:themeTint="F2"/>
                <w:spacing w:val="-4"/>
              </w:rPr>
              <w:t xml:space="preserve">Vyhlídky pro osoby hledající práci zůstávaly příznivé. </w:t>
            </w:r>
            <w:r w:rsidRPr="00632A02">
              <w:rPr>
                <w:color w:val="0D0D0D" w:themeColor="text1" w:themeTint="F2"/>
                <w:spacing w:val="-4"/>
              </w:rPr>
              <w:t>Obecná míra nezaměstnanosti</w:t>
            </w:r>
            <w:r w:rsidRPr="00632A02">
              <w:rPr>
                <w:rStyle w:val="Znakapoznpodarou"/>
                <w:color w:val="0D0D0D" w:themeColor="text1" w:themeTint="F2"/>
                <w:spacing w:val="-4"/>
              </w:rPr>
              <w:footnoteReference w:id="10"/>
            </w:r>
            <w:r w:rsidRPr="00632A02">
              <w:rPr>
                <w:color w:val="0D0D0D" w:themeColor="text1" w:themeTint="F2"/>
                <w:spacing w:val="-4"/>
              </w:rPr>
              <w:t xml:space="preserve"> (ve věku 15 až 64 let)</w:t>
            </w:r>
            <w:r>
              <w:rPr>
                <w:color w:val="0D0D0D" w:themeColor="text1" w:themeTint="F2"/>
                <w:spacing w:val="-4"/>
              </w:rPr>
              <w:t xml:space="preserve"> sestoupila v letos v dubnu u mužů pod 2 %, u žen mírně kolísala kolem 3 %. Přestože nezaměstnanost žen byla relativně nízká (a to i v evropském kontextu</w:t>
            </w:r>
            <w:r>
              <w:rPr>
                <w:rStyle w:val="Znakapoznpodarou"/>
                <w:color w:val="0D0D0D" w:themeColor="text1" w:themeTint="F2"/>
                <w:spacing w:val="-4"/>
              </w:rPr>
              <w:footnoteReference w:id="11"/>
            </w:r>
            <w:r>
              <w:rPr>
                <w:color w:val="0D0D0D" w:themeColor="text1" w:themeTint="F2"/>
                <w:spacing w:val="-4"/>
              </w:rPr>
              <w:t>), stále se držela zhruba o 1 p. b. nad úrovní z vrcholu předpandemické konjunktury. To lze vysvětlit opatrnějším oživováním zaměstnanosti v některých oborech služeb silně zasažených propadem poptávky za pandemie (cestovní ruch) a s tím zčásti související omezenější nabídkou zkrácených pracovních úvazků (ta zatím nedosáhla úrovně z let 2018 a 2019). To ovlivnilo i možnosti uchazečů o práci mladších 25 let. Přestože počet lidí v tomto věku je vlivem snížené porodnosti z období na počátku milénia relativně nízký, jejich míra nezaměstnanosti se stále udržuje nad předpandemickou úrovní (letos v dubnu činila u mužů 7 %, u žen 9 %). Regionální rozpětí měr celkové nezaměstnanosti (bez sezónního očištění) se v 1. čtvrtletí pohybovalo od 1,3 % ve Středočeském kraji po 4,6 % v kraji Moravskoslezském (ovlivněné dlouhodobým útlumem těžebního průmyslu). Oproti počátku loňského roku došlo k největšímu zlepšení v Karlovarském kraji, kde nezaměstnanost poklesla takřka o polovinu (na 4,4 %). Vedle oživení cestovního ruchu (vč. lázeňství) k tomu patrně přispělo i odstranění administrativních bariér přeshraničního pohybu za prací.</w:t>
            </w:r>
          </w:p>
        </w:tc>
      </w:tr>
      <w:tr w:rsidR="007B1D1B" w:rsidRPr="00B43216" w14:paraId="3A4058D4" w14:textId="77777777" w:rsidTr="000F15F7">
        <w:trPr>
          <w:trHeight w:val="671"/>
        </w:trPr>
        <w:tc>
          <w:tcPr>
            <w:tcW w:w="1573" w:type="dxa"/>
            <w:shd w:val="clear" w:color="auto" w:fill="auto"/>
            <w:tcMar>
              <w:left w:w="0" w:type="dxa"/>
            </w:tcMar>
          </w:tcPr>
          <w:p w14:paraId="0BCEB7BB" w14:textId="77777777" w:rsidR="007B1D1B" w:rsidRDefault="007B1D1B" w:rsidP="000F15F7">
            <w:pPr>
              <w:pStyle w:val="Marginlie"/>
              <w:rPr>
                <w:color w:val="0D0D0D" w:themeColor="text1" w:themeTint="F2"/>
                <w:spacing w:val="-5"/>
              </w:rPr>
            </w:pPr>
            <w:r>
              <w:rPr>
                <w:color w:val="0D0D0D" w:themeColor="text1" w:themeTint="F2"/>
                <w:spacing w:val="-5"/>
              </w:rPr>
              <w:lastRenderedPageBreak/>
              <w:t>Obavy domácností z nezaměstnanosti se ve 2. čtvrtletí mírně zvýšily, přesto zůstávaly relativně nízké.</w:t>
            </w:r>
          </w:p>
        </w:tc>
        <w:tc>
          <w:tcPr>
            <w:tcW w:w="186" w:type="dxa"/>
            <w:shd w:val="clear" w:color="auto" w:fill="auto"/>
            <w:tcMar>
              <w:left w:w="0" w:type="dxa"/>
            </w:tcMar>
          </w:tcPr>
          <w:p w14:paraId="146B49FE" w14:textId="77777777" w:rsidR="007B1D1B" w:rsidRPr="00B43216" w:rsidRDefault="007B1D1B" w:rsidP="000F15F7">
            <w:pPr>
              <w:pStyle w:val="Textpoznpodarou"/>
              <w:spacing w:line="276" w:lineRule="auto"/>
              <w:jc w:val="both"/>
              <w:rPr>
                <w:spacing w:val="-4"/>
              </w:rPr>
            </w:pPr>
          </w:p>
        </w:tc>
        <w:tc>
          <w:tcPr>
            <w:tcW w:w="7910" w:type="dxa"/>
            <w:shd w:val="clear" w:color="auto" w:fill="auto"/>
            <w:tcMar>
              <w:left w:w="0" w:type="dxa"/>
            </w:tcMar>
          </w:tcPr>
          <w:p w14:paraId="73024C91" w14:textId="2C55F640" w:rsidR="007B1D1B" w:rsidRPr="00431E91" w:rsidRDefault="007B1D1B" w:rsidP="000F15F7">
            <w:pPr>
              <w:spacing w:after="200"/>
              <w:rPr>
                <w:color w:val="0D0D0D" w:themeColor="text1" w:themeTint="F2"/>
                <w:spacing w:val="-4"/>
              </w:rPr>
            </w:pPr>
            <w:r w:rsidRPr="005C658A">
              <w:rPr>
                <w:color w:val="0D0D0D" w:themeColor="text1" w:themeTint="F2"/>
                <w:spacing w:val="-4"/>
              </w:rPr>
              <w:t>Obavy domácností z růstu nezaměstnanosti</w:t>
            </w:r>
            <w:r>
              <w:rPr>
                <w:rStyle w:val="Znakapoznpodarou"/>
                <w:color w:val="0D0D0D" w:themeColor="text1" w:themeTint="F2"/>
                <w:spacing w:val="-4"/>
              </w:rPr>
              <w:footnoteReference w:id="12"/>
            </w:r>
            <w:r w:rsidRPr="005C658A">
              <w:rPr>
                <w:color w:val="0D0D0D" w:themeColor="text1" w:themeTint="F2"/>
                <w:spacing w:val="-4"/>
              </w:rPr>
              <w:t xml:space="preserve"> </w:t>
            </w:r>
            <w:r>
              <w:rPr>
                <w:color w:val="0D0D0D" w:themeColor="text1" w:themeTint="F2"/>
                <w:spacing w:val="-4"/>
              </w:rPr>
              <w:t>letos ve 2. čtvrtletí ve srovnání s počátkem roku mírně narostly. I tak nebyly výrazně vyšší než v konjunkturním roce 2019. Subjektivní hodnocení domácností patrně zohledňuje i nabídku volných pracovních míst. Těch nabízely úřady práce (ÚP) v ČR letos v únoru rekordních 364 tis. (meziročně o desetinu více), v květnu pak 337 tis</w:t>
            </w:r>
            <w:r>
              <w:rPr>
                <w:rStyle w:val="Znakapoznpodarou"/>
                <w:color w:val="0D0D0D" w:themeColor="text1" w:themeTint="F2"/>
                <w:spacing w:val="-4"/>
              </w:rPr>
              <w:footnoteReference w:id="13"/>
            </w:r>
            <w:r>
              <w:rPr>
                <w:color w:val="0D0D0D" w:themeColor="text1" w:themeTint="F2"/>
                <w:spacing w:val="-4"/>
              </w:rPr>
              <w:t xml:space="preserve">. </w:t>
            </w:r>
            <w:r>
              <w:rPr>
                <w:color w:val="0D0D0D" w:themeColor="text1" w:themeTint="F2"/>
                <w:spacing w:val="-4"/>
                <w:szCs w:val="20"/>
              </w:rPr>
              <w:t>Významnou</w:t>
            </w:r>
            <w:r w:rsidRPr="00D856F7">
              <w:rPr>
                <w:color w:val="0D0D0D" w:themeColor="text1" w:themeTint="F2"/>
                <w:spacing w:val="-4"/>
                <w:szCs w:val="20"/>
              </w:rPr>
              <w:t xml:space="preserve"> část míst ovšem nelze z různých důvodů považovat za aktivní</w:t>
            </w:r>
            <w:r>
              <w:rPr>
                <w:rStyle w:val="Znakapoznpodarou"/>
                <w:color w:val="0D0D0D" w:themeColor="text1" w:themeTint="F2"/>
                <w:spacing w:val="-4"/>
                <w:szCs w:val="20"/>
              </w:rPr>
              <w:footnoteReference w:id="14"/>
            </w:r>
            <w:r>
              <w:rPr>
                <w:color w:val="0D0D0D" w:themeColor="text1" w:themeTint="F2"/>
                <w:spacing w:val="-4"/>
                <w:szCs w:val="20"/>
              </w:rPr>
              <w:t>, některé nabízené pozice mohou být navíc uvedeny duplicitně (firmy mohou shánět pracovníky různými kanály, mj. i nepřímo přes pracovní agentury). Míst nabízených méně než šest měsíců bylo v březnu „jen“ 203 tis., kombinací dalších omezujících faktorů lze reálnou nabídku dále snížit o další desítky tisíc míst</w:t>
            </w:r>
            <w:r>
              <w:rPr>
                <w:rStyle w:val="Znakapoznpodarou"/>
                <w:color w:val="0D0D0D" w:themeColor="text1" w:themeTint="F2"/>
                <w:spacing w:val="-4"/>
                <w:szCs w:val="20"/>
              </w:rPr>
              <w:footnoteReference w:id="15"/>
            </w:r>
            <w:r>
              <w:rPr>
                <w:color w:val="0D0D0D" w:themeColor="text1" w:themeTint="F2"/>
                <w:spacing w:val="-4"/>
                <w:szCs w:val="20"/>
              </w:rPr>
              <w:t>. Na druhou stranu nelze opomenout, že část volných míst (zejména pro specialisty a manažérské pozice) je tradičně nabízena jinými kanály než prostřednictvím ÚP</w:t>
            </w:r>
            <w:r>
              <w:rPr>
                <w:rStyle w:val="Znakapoznpodarou"/>
                <w:color w:val="0D0D0D" w:themeColor="text1" w:themeTint="F2"/>
                <w:spacing w:val="-4"/>
                <w:szCs w:val="20"/>
              </w:rPr>
              <w:footnoteReference w:id="16"/>
            </w:r>
            <w:r>
              <w:rPr>
                <w:color w:val="0D0D0D" w:themeColor="text1" w:themeTint="F2"/>
                <w:spacing w:val="-4"/>
                <w:szCs w:val="20"/>
              </w:rPr>
              <w:t>. Dle nové experimentální statistiky volných</w:t>
            </w:r>
            <w:r w:rsidR="005F5271">
              <w:rPr>
                <w:color w:val="0D0D0D" w:themeColor="text1" w:themeTint="F2"/>
                <w:spacing w:val="-4"/>
                <w:szCs w:val="20"/>
              </w:rPr>
              <w:t xml:space="preserve"> pracovních míst opírající se o </w:t>
            </w:r>
            <w:r>
              <w:rPr>
                <w:color w:val="0D0D0D" w:themeColor="text1" w:themeTint="F2"/>
                <w:spacing w:val="-4"/>
                <w:szCs w:val="20"/>
              </w:rPr>
              <w:t>přímé šetření ČSÚ u podniků či organizací nabízely tyto subjekty v 1. čtvrtletí 2022 necelých 94 tis. volných míst</w:t>
            </w:r>
            <w:r>
              <w:rPr>
                <w:rStyle w:val="Znakapoznpodarou"/>
                <w:color w:val="0D0D0D" w:themeColor="text1" w:themeTint="F2"/>
                <w:spacing w:val="-4"/>
                <w:szCs w:val="20"/>
              </w:rPr>
              <w:footnoteReference w:id="17"/>
            </w:r>
            <w:r>
              <w:rPr>
                <w:color w:val="0D0D0D" w:themeColor="text1" w:themeTint="F2"/>
                <w:spacing w:val="-4"/>
                <w:szCs w:val="20"/>
              </w:rPr>
              <w:t xml:space="preserve">, meziročně o 14 tis. více. </w:t>
            </w:r>
          </w:p>
        </w:tc>
      </w:tr>
      <w:tr w:rsidR="007B1D1B" w:rsidRPr="00B43216" w14:paraId="356AEB9C" w14:textId="77777777" w:rsidTr="000F15F7">
        <w:trPr>
          <w:trHeight w:val="671"/>
        </w:trPr>
        <w:tc>
          <w:tcPr>
            <w:tcW w:w="1573" w:type="dxa"/>
            <w:shd w:val="clear" w:color="auto" w:fill="auto"/>
            <w:tcMar>
              <w:left w:w="0" w:type="dxa"/>
            </w:tcMar>
          </w:tcPr>
          <w:p w14:paraId="519C841F" w14:textId="77777777" w:rsidR="007B1D1B" w:rsidRDefault="007B1D1B" w:rsidP="000F15F7">
            <w:pPr>
              <w:pStyle w:val="Marginlie"/>
              <w:rPr>
                <w:spacing w:val="-4"/>
              </w:rPr>
            </w:pPr>
            <w:proofErr w:type="spellStart"/>
            <w:r>
              <w:rPr>
                <w:spacing w:val="-4"/>
              </w:rPr>
              <w:t>Mezikvartální</w:t>
            </w:r>
            <w:proofErr w:type="spellEnd"/>
            <w:r>
              <w:rPr>
                <w:spacing w:val="-4"/>
              </w:rPr>
              <w:t xml:space="preserve"> růst průměrné mzdy zrychlil na nejvyšší tempo od 3. čtvrtletí 2020.</w:t>
            </w:r>
          </w:p>
          <w:p w14:paraId="7C85818F" w14:textId="77777777" w:rsidR="007B1D1B" w:rsidRDefault="007B1D1B" w:rsidP="000F15F7">
            <w:pPr>
              <w:pStyle w:val="Marginlie"/>
              <w:rPr>
                <w:spacing w:val="-4"/>
              </w:rPr>
            </w:pPr>
          </w:p>
          <w:p w14:paraId="28C84529" w14:textId="77777777" w:rsidR="007B1D1B" w:rsidRDefault="007B1D1B" w:rsidP="000F15F7">
            <w:pPr>
              <w:pStyle w:val="Marginlie"/>
              <w:rPr>
                <w:spacing w:val="-4"/>
              </w:rPr>
            </w:pPr>
          </w:p>
          <w:p w14:paraId="2611F343" w14:textId="77777777" w:rsidR="007B1D1B" w:rsidRDefault="007B1D1B" w:rsidP="000F15F7">
            <w:pPr>
              <w:pStyle w:val="Marginlie"/>
              <w:rPr>
                <w:spacing w:val="-4"/>
              </w:rPr>
            </w:pPr>
          </w:p>
          <w:p w14:paraId="19AE221D" w14:textId="77777777" w:rsidR="007B1D1B" w:rsidRDefault="007B1D1B" w:rsidP="000F15F7">
            <w:pPr>
              <w:pStyle w:val="Marginlie"/>
              <w:rPr>
                <w:spacing w:val="-4"/>
              </w:rPr>
            </w:pPr>
          </w:p>
          <w:p w14:paraId="485F8508" w14:textId="77777777" w:rsidR="007B1D1B" w:rsidRDefault="007B1D1B" w:rsidP="000F15F7">
            <w:pPr>
              <w:pStyle w:val="Marginlie"/>
              <w:rPr>
                <w:spacing w:val="-4"/>
              </w:rPr>
            </w:pPr>
          </w:p>
          <w:p w14:paraId="137F5D39" w14:textId="77777777" w:rsidR="007B1D1B" w:rsidRDefault="007B1D1B" w:rsidP="000F15F7">
            <w:pPr>
              <w:pStyle w:val="Marginlie"/>
              <w:rPr>
                <w:spacing w:val="-4"/>
              </w:rPr>
            </w:pPr>
          </w:p>
          <w:p w14:paraId="18281AF7" w14:textId="77777777" w:rsidR="007B1D1B" w:rsidRDefault="007B1D1B" w:rsidP="000F15F7">
            <w:pPr>
              <w:pStyle w:val="Marginlie"/>
              <w:rPr>
                <w:spacing w:val="-4"/>
              </w:rPr>
            </w:pPr>
          </w:p>
          <w:p w14:paraId="559F459A" w14:textId="77777777" w:rsidR="007B1D1B" w:rsidRDefault="007B1D1B" w:rsidP="000F15F7">
            <w:pPr>
              <w:pStyle w:val="Marginlie"/>
              <w:rPr>
                <w:spacing w:val="-4"/>
              </w:rPr>
            </w:pPr>
          </w:p>
          <w:p w14:paraId="5A3E16E9" w14:textId="77777777" w:rsidR="007B1D1B" w:rsidRDefault="007B1D1B" w:rsidP="000F15F7">
            <w:pPr>
              <w:pStyle w:val="Marginlie"/>
              <w:rPr>
                <w:spacing w:val="-4"/>
              </w:rPr>
            </w:pPr>
          </w:p>
          <w:p w14:paraId="1B01CD0D" w14:textId="77777777" w:rsidR="007B1D1B" w:rsidRDefault="007B1D1B" w:rsidP="000F15F7">
            <w:pPr>
              <w:pStyle w:val="Marginlie"/>
              <w:rPr>
                <w:spacing w:val="-4"/>
              </w:rPr>
            </w:pPr>
          </w:p>
          <w:p w14:paraId="2F242E7C" w14:textId="77777777" w:rsidR="007B1D1B" w:rsidRDefault="007B1D1B" w:rsidP="000F15F7">
            <w:pPr>
              <w:pStyle w:val="Marginlie"/>
              <w:rPr>
                <w:spacing w:val="-4"/>
              </w:rPr>
            </w:pPr>
          </w:p>
          <w:p w14:paraId="1A181ED2" w14:textId="77777777" w:rsidR="007B1D1B" w:rsidRDefault="007B1D1B" w:rsidP="000F15F7">
            <w:pPr>
              <w:pStyle w:val="Marginlie"/>
              <w:rPr>
                <w:spacing w:val="-4"/>
              </w:rPr>
            </w:pPr>
            <w:r>
              <w:rPr>
                <w:spacing w:val="-4"/>
              </w:rPr>
              <w:t xml:space="preserve">Prostor pro větší navýšení mezd snižoval podnikům rychlý a zčásti i obtížně </w:t>
            </w:r>
            <w:proofErr w:type="spellStart"/>
            <w:r>
              <w:rPr>
                <w:spacing w:val="-4"/>
              </w:rPr>
              <w:t>predikovatelný</w:t>
            </w:r>
            <w:proofErr w:type="spellEnd"/>
            <w:r>
              <w:rPr>
                <w:spacing w:val="-4"/>
              </w:rPr>
              <w:t xml:space="preserve"> růst výrobních nákladů.</w:t>
            </w:r>
          </w:p>
        </w:tc>
        <w:tc>
          <w:tcPr>
            <w:tcW w:w="186" w:type="dxa"/>
            <w:shd w:val="clear" w:color="auto" w:fill="auto"/>
            <w:tcMar>
              <w:left w:w="0" w:type="dxa"/>
            </w:tcMar>
          </w:tcPr>
          <w:p w14:paraId="2A63149D" w14:textId="77777777" w:rsidR="007B1D1B" w:rsidRPr="00B43216" w:rsidRDefault="007B1D1B" w:rsidP="000F15F7">
            <w:pPr>
              <w:pStyle w:val="Textpoznpodarou"/>
              <w:spacing w:line="276" w:lineRule="auto"/>
              <w:jc w:val="both"/>
              <w:rPr>
                <w:spacing w:val="-4"/>
              </w:rPr>
            </w:pPr>
          </w:p>
        </w:tc>
        <w:tc>
          <w:tcPr>
            <w:tcW w:w="7910" w:type="dxa"/>
            <w:shd w:val="clear" w:color="auto" w:fill="auto"/>
            <w:tcMar>
              <w:left w:w="0" w:type="dxa"/>
            </w:tcMar>
          </w:tcPr>
          <w:p w14:paraId="361A98F6" w14:textId="77777777" w:rsidR="007B1D1B" w:rsidRPr="00535525" w:rsidRDefault="007B1D1B" w:rsidP="000F15F7">
            <w:pPr>
              <w:spacing w:after="220"/>
              <w:rPr>
                <w:color w:val="0D0D0D" w:themeColor="text1" w:themeTint="F2"/>
                <w:spacing w:val="-5"/>
              </w:rPr>
            </w:pPr>
            <w:r w:rsidRPr="00535525">
              <w:rPr>
                <w:color w:val="0D0D0D" w:themeColor="text1" w:themeTint="F2"/>
                <w:spacing w:val="-5"/>
              </w:rPr>
              <w:t>Průměrná hrubá měsíční nominální mzda (na zaměstnance při zohlednění délky úvazku) v</w:t>
            </w:r>
            <w:r w:rsidRPr="00535525">
              <w:rPr>
                <w:color w:val="0D0D0D" w:themeColor="text1" w:themeTint="F2"/>
                <w:spacing w:val="-5"/>
                <w:szCs w:val="20"/>
              </w:rPr>
              <w:t> </w:t>
            </w:r>
            <w:r w:rsidRPr="00535525">
              <w:rPr>
                <w:color w:val="0D0D0D" w:themeColor="text1" w:themeTint="F2"/>
                <w:spacing w:val="-5"/>
              </w:rPr>
              <w:t xml:space="preserve">1. čtvrtletí 2022 činila 37 929 korun a meziročně vzrostla o 7,2 %. </w:t>
            </w:r>
            <w:r w:rsidRPr="00535525">
              <w:rPr>
                <w:spacing w:val="-5"/>
              </w:rPr>
              <w:t>Mzda po očištění od sezónních vlivů (např. i</w:t>
            </w:r>
            <w:r w:rsidRPr="00535525">
              <w:rPr>
                <w:rFonts w:cs="Arial"/>
                <w:spacing w:val="-5"/>
              </w:rPr>
              <w:t> </w:t>
            </w:r>
            <w:r w:rsidRPr="00535525">
              <w:rPr>
                <w:spacing w:val="-5"/>
              </w:rPr>
              <w:t xml:space="preserve">vyplacených pravidelných odměn) se mezikvartálně zvýšila o rovná 2 %, což bylo nejvíce za posledních šest čtvrtletí. Meziroční tempo reflektovalo celkové oživení ekonomiky (a zejména některých služeb) vyjádřené i svižným růstem počtu odpracovaných hodin. </w:t>
            </w:r>
            <w:proofErr w:type="spellStart"/>
            <w:r w:rsidRPr="00535525">
              <w:rPr>
                <w:spacing w:val="-5"/>
              </w:rPr>
              <w:t>Prorůstově</w:t>
            </w:r>
            <w:proofErr w:type="spellEnd"/>
            <w:r w:rsidRPr="00535525">
              <w:rPr>
                <w:spacing w:val="-5"/>
              </w:rPr>
              <w:t xml:space="preserve"> působilo i napětí na pracovním trhu spojené jak s nízkou nezaměstnaností, vysokým počtem volných pracovních míst, tak i faktem, že nedostatek zaměstnanců limitoval produkci v řadě významných odvětví. Hlavně v odvětvích s nízkými průměrnými výdělky mělo dílčí dopad i pokračující navyšování minimální mzdy. Stát však současně přispíval i k brždění mzdového růstu – a to zejména nastavením platových tarifů v rozpočtové sféře (zmrazení či jen velmi mírný růst u většiny skupin pracovníků), zčásti také snížením efektivního zdanění mezd (zvýšením daňové slevy na poplatníka), což firmám usnadnilo udržet vysokou zaměstnanost při nižším tlaku na růst nákladů práce. Tlak na růst nemzdových výrobních nákladů vlivem významného navýšení cen prakticky všech </w:t>
            </w:r>
            <w:proofErr w:type="spellStart"/>
            <w:r w:rsidRPr="00535525">
              <w:rPr>
                <w:spacing w:val="-5"/>
              </w:rPr>
              <w:t>mezivstupů</w:t>
            </w:r>
            <w:proofErr w:type="spellEnd"/>
            <w:r w:rsidRPr="00535525">
              <w:rPr>
                <w:spacing w:val="-5"/>
              </w:rPr>
              <w:t xml:space="preserve"> v 1. čtvrtletí citelně zesílil a byl ještě umocněn značnými nejistotami ohledně budoucího vývoje cen energií. Postupně sílil i tlak na růst mezd ze strany zaměstnanců, jenž se ovšem do současných mezd propisuje jen okrajově, neboť u velkých organizací a podniků jsou kolektivní dohody o mzdách uzavírány zpravidla na rok dopředu a menší podniky, které mohou teoreticky reagovat ve mzdové oblasti pružněji, byly patrně více sužovány výše uvedenými nejistotami ohledně vývoje</w:t>
            </w:r>
            <w:r>
              <w:rPr>
                <w:spacing w:val="-5"/>
              </w:rPr>
              <w:t xml:space="preserve"> cen (a </w:t>
            </w:r>
            <w:r w:rsidRPr="00535525">
              <w:rPr>
                <w:spacing w:val="-5"/>
              </w:rPr>
              <w:t xml:space="preserve">případné lepší </w:t>
            </w:r>
            <w:r w:rsidRPr="00535525">
              <w:rPr>
                <w:spacing w:val="-6"/>
              </w:rPr>
              <w:t>ohodnocení svých pracovníků řešily spíše než zvyšováním základních mezd navýšením odměn).</w:t>
            </w:r>
            <w:r w:rsidRPr="00535525">
              <w:rPr>
                <w:spacing w:val="-5"/>
              </w:rPr>
              <w:t xml:space="preserve">  </w:t>
            </w:r>
          </w:p>
        </w:tc>
      </w:tr>
      <w:tr w:rsidR="007B1D1B" w:rsidRPr="00191C35" w14:paraId="7DD78A41" w14:textId="77777777" w:rsidTr="000F15F7">
        <w:trPr>
          <w:trHeight w:val="145"/>
        </w:trPr>
        <w:tc>
          <w:tcPr>
            <w:tcW w:w="1573" w:type="dxa"/>
            <w:shd w:val="clear" w:color="auto" w:fill="auto"/>
            <w:tcMar>
              <w:left w:w="0" w:type="dxa"/>
            </w:tcMar>
          </w:tcPr>
          <w:p w14:paraId="61DD9C22" w14:textId="77777777" w:rsidR="007B1D1B" w:rsidRDefault="007B1D1B" w:rsidP="000F15F7">
            <w:pPr>
              <w:pStyle w:val="Marginlie"/>
              <w:spacing w:after="120"/>
              <w:rPr>
                <w:color w:val="0D0D0D" w:themeColor="text1" w:themeTint="F2"/>
                <w:spacing w:val="-5"/>
              </w:rPr>
            </w:pPr>
            <w:r>
              <w:rPr>
                <w:color w:val="0D0D0D" w:themeColor="text1" w:themeTint="F2"/>
                <w:spacing w:val="-5"/>
              </w:rPr>
              <w:t>Reálný pokles průměrné mzdy byl nejhlubší ve srovnatelné řadě od roku 2000.</w:t>
            </w:r>
          </w:p>
        </w:tc>
        <w:tc>
          <w:tcPr>
            <w:tcW w:w="186" w:type="dxa"/>
            <w:shd w:val="clear" w:color="auto" w:fill="auto"/>
            <w:tcMar>
              <w:left w:w="0" w:type="dxa"/>
            </w:tcMar>
          </w:tcPr>
          <w:p w14:paraId="0DBBA3BD" w14:textId="77777777" w:rsidR="007B1D1B" w:rsidRPr="00EA508C" w:rsidRDefault="007B1D1B" w:rsidP="000F15F7">
            <w:pPr>
              <w:pStyle w:val="Textpoznpodarou"/>
              <w:spacing w:after="120"/>
              <w:jc w:val="both"/>
              <w:rPr>
                <w:color w:val="0D0D0D" w:themeColor="text1" w:themeTint="F2"/>
                <w:spacing w:val="-4"/>
              </w:rPr>
            </w:pPr>
          </w:p>
        </w:tc>
        <w:tc>
          <w:tcPr>
            <w:tcW w:w="7910" w:type="dxa"/>
            <w:shd w:val="clear" w:color="auto" w:fill="auto"/>
            <w:tcMar>
              <w:left w:w="0" w:type="dxa"/>
            </w:tcMar>
          </w:tcPr>
          <w:p w14:paraId="728545E6" w14:textId="0AB757BD" w:rsidR="007B1D1B" w:rsidRPr="00A01519" w:rsidRDefault="007B1D1B" w:rsidP="000F15F7">
            <w:pPr>
              <w:spacing w:after="0"/>
              <w:rPr>
                <w:spacing w:val="-4"/>
              </w:rPr>
            </w:pPr>
            <w:r>
              <w:rPr>
                <w:spacing w:val="-4"/>
              </w:rPr>
              <w:t>Vlivem akcelerace spotřebitelských cen došlo v 1. čtvrtletí k reálnému poklesu průměrných mezd v celé ekonomice o 3,6 %, nej</w:t>
            </w:r>
            <w:r w:rsidR="000F15F7">
              <w:rPr>
                <w:spacing w:val="-4"/>
              </w:rPr>
              <w:t xml:space="preserve">hlubšímu ve srovnatelné řadě </w:t>
            </w:r>
            <w:r>
              <w:rPr>
                <w:spacing w:val="-4"/>
              </w:rPr>
              <w:t xml:space="preserve">po roce 2000. Reálný pokles mezd se dotýkal 94 % zaměstnanců. Celkový dopad na kupní sílu zaměstnaneckých výdělků i všech domácností bude ale možné provést až na základě podrobnějších údajů ze sektorových účtů domácností, které zohledňují i další faktory (šedou ekonomiku, zvýšení ekonomické aktivity, např. formou druhých zaměstnání, dohod o provedení práce aj., příjmy plynoucí z podnikání či vlastnictví kapitálu a také ze sociálních transferů od státu). </w:t>
            </w:r>
          </w:p>
        </w:tc>
      </w:tr>
      <w:tr w:rsidR="007B1D1B" w:rsidRPr="00191C35" w14:paraId="34B4908E" w14:textId="77777777" w:rsidTr="000F15F7">
        <w:trPr>
          <w:trHeight w:val="145"/>
        </w:trPr>
        <w:tc>
          <w:tcPr>
            <w:tcW w:w="1573" w:type="dxa"/>
            <w:shd w:val="clear" w:color="auto" w:fill="auto"/>
            <w:tcMar>
              <w:left w:w="0" w:type="dxa"/>
            </w:tcMar>
          </w:tcPr>
          <w:p w14:paraId="50DFC9A3" w14:textId="77777777" w:rsidR="007B1D1B" w:rsidRDefault="007B1D1B" w:rsidP="000F15F7">
            <w:pPr>
              <w:pStyle w:val="Marginlie"/>
              <w:spacing w:after="120"/>
            </w:pPr>
            <w:r>
              <w:lastRenderedPageBreak/>
              <w:t xml:space="preserve">Nejvyšší mzdový růst zaznamenaly v 1. čtvrtletí finančnictví a oblasti nemovitostí. Růst výdělků v odvětvích se silnou rolí státu byl vlivem rozpočtových úspor značně utlumen. </w:t>
            </w:r>
          </w:p>
        </w:tc>
        <w:tc>
          <w:tcPr>
            <w:tcW w:w="186" w:type="dxa"/>
            <w:shd w:val="clear" w:color="auto" w:fill="auto"/>
            <w:tcMar>
              <w:left w:w="0" w:type="dxa"/>
            </w:tcMar>
          </w:tcPr>
          <w:p w14:paraId="34474CF4"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2E600535" w14:textId="31FA4808" w:rsidR="007B1D1B" w:rsidRPr="009321EE" w:rsidRDefault="007B1D1B" w:rsidP="000F15F7">
            <w:pPr>
              <w:spacing w:after="220"/>
              <w:rPr>
                <w:spacing w:val="-5"/>
              </w:rPr>
            </w:pPr>
            <w:r w:rsidRPr="009321EE">
              <w:rPr>
                <w:spacing w:val="-5"/>
              </w:rPr>
              <w:t>Zatímco v letech 2020 i 2021 bylo celkové mzdové tempo v ekonomice výrazně ovlivněno svižným růstem průměrných výdělků v odvětvích s významnou rolí státu (podpořených výplatou mimořádných „covidových“ odměn), v 1. čtvrtletí 2022 již zřetelněji odráželo situaci především v tržních odvětvích. V nich se mzda zvyšovala nejvíce v peněžnictví a pojišťovnictví (15,9 %), což souviselo s odlišným načasován</w:t>
            </w:r>
            <w:r>
              <w:rPr>
                <w:spacing w:val="-5"/>
              </w:rPr>
              <w:t>ím</w:t>
            </w:r>
            <w:r w:rsidRPr="009321EE">
              <w:rPr>
                <w:spacing w:val="-5"/>
              </w:rPr>
              <w:t xml:space="preserve"> </w:t>
            </w:r>
            <w:r>
              <w:rPr>
                <w:spacing w:val="-5"/>
              </w:rPr>
              <w:t>vyplá</w:t>
            </w:r>
            <w:r w:rsidRPr="009321EE">
              <w:rPr>
                <w:spacing w:val="-5"/>
              </w:rPr>
              <w:t>cení mimořádných odměn v letošním a loňském roce. Nižší srovnávací základna stála za svižným růstem také v činnostech v oblasti nemovitostí (+13,9 %). O</w:t>
            </w:r>
            <w:r>
              <w:rPr>
                <w:spacing w:val="-5"/>
              </w:rPr>
              <w:t xml:space="preserve"> více než desetinu vzrostly</w:t>
            </w:r>
            <w:r w:rsidRPr="009321EE">
              <w:rPr>
                <w:spacing w:val="-5"/>
              </w:rPr>
              <w:t xml:space="preserve"> výdělky i v odvětvích citelně zasažených v období </w:t>
            </w:r>
            <w:r w:rsidRPr="00F56F31">
              <w:rPr>
                <w:spacing w:val="-6"/>
              </w:rPr>
              <w:t>pandemie – v kulturních, zábavních a rekreačních činnos</w:t>
            </w:r>
            <w:r w:rsidR="005F5271">
              <w:rPr>
                <w:spacing w:val="-6"/>
              </w:rPr>
              <w:t>tech, v ubytování, stravování a</w:t>
            </w:r>
            <w:r w:rsidR="005F5271">
              <w:rPr>
                <w:color w:val="0D0D0D" w:themeColor="text1" w:themeTint="F2"/>
                <w:spacing w:val="-4"/>
                <w:szCs w:val="20"/>
              </w:rPr>
              <w:t> </w:t>
            </w:r>
            <w:r w:rsidRPr="00F56F31">
              <w:rPr>
                <w:spacing w:val="-6"/>
              </w:rPr>
              <w:t>pohostinství a též v administrativních a podpůrných činnostech – za růstem spotřebitelských cen</w:t>
            </w:r>
            <w:r w:rsidRPr="009321EE">
              <w:rPr>
                <w:spacing w:val="-5"/>
              </w:rPr>
              <w:t xml:space="preserve"> ovšem již zaostaly. </w:t>
            </w:r>
            <w:r>
              <w:rPr>
                <w:spacing w:val="-5"/>
              </w:rPr>
              <w:t>Mzdy v</w:t>
            </w:r>
            <w:r w:rsidRPr="009321EE">
              <w:rPr>
                <w:spacing w:val="-5"/>
              </w:rPr>
              <w:t>e váhově významné</w:t>
            </w:r>
            <w:r>
              <w:rPr>
                <w:spacing w:val="-5"/>
              </w:rPr>
              <w:t>m</w:t>
            </w:r>
            <w:r w:rsidRPr="009321EE">
              <w:rPr>
                <w:spacing w:val="-5"/>
              </w:rPr>
              <w:t xml:space="preserve"> odvětví obchodu </w:t>
            </w:r>
            <w:r>
              <w:rPr>
                <w:spacing w:val="-5"/>
              </w:rPr>
              <w:t xml:space="preserve">posílily </w:t>
            </w:r>
            <w:r w:rsidRPr="009321EE">
              <w:rPr>
                <w:spacing w:val="-5"/>
              </w:rPr>
              <w:t xml:space="preserve">o 9,4 % a přiblížily se mzdové úrovni ve zpracovatelském průmyslu. V něm </w:t>
            </w:r>
            <w:r>
              <w:rPr>
                <w:spacing w:val="-5"/>
              </w:rPr>
              <w:t>se výdělky</w:t>
            </w:r>
            <w:r w:rsidRPr="009321EE">
              <w:rPr>
                <w:spacing w:val="-5"/>
              </w:rPr>
              <w:t xml:space="preserve"> zvyšovaly pomaleji (6,8 %), zčásti proto, že na počátku loňského roku se průmyslu dařilo (a na rozdíl od obchodu již nebyl citelně poznamenán protipandemickými restrikcemi). N</w:t>
            </w:r>
            <w:r>
              <w:rPr>
                <w:spacing w:val="-5"/>
              </w:rPr>
              <w:t>ižší</w:t>
            </w:r>
            <w:r w:rsidRPr="009321EE">
              <w:rPr>
                <w:spacing w:val="-5"/>
              </w:rPr>
              <w:t xml:space="preserve"> mzdové tempo vykázalo navzdory silné poptávce po práci (doprovázené obtížemi při hledání nových zaměstnanců) stavebnictví (6,6 %)</w:t>
            </w:r>
            <w:r>
              <w:rPr>
                <w:spacing w:val="-5"/>
              </w:rPr>
              <w:t>. Ú</w:t>
            </w:r>
            <w:r w:rsidRPr="009321EE">
              <w:rPr>
                <w:spacing w:val="-5"/>
              </w:rPr>
              <w:t>roveň výdělku zde za celou ekonomik</w:t>
            </w:r>
            <w:r>
              <w:rPr>
                <w:spacing w:val="-5"/>
              </w:rPr>
              <w:t>o</w:t>
            </w:r>
            <w:r w:rsidRPr="009321EE">
              <w:rPr>
                <w:spacing w:val="-5"/>
              </w:rPr>
              <w:t>u zaos</w:t>
            </w:r>
            <w:r>
              <w:rPr>
                <w:spacing w:val="-5"/>
              </w:rPr>
              <w:t>távala</w:t>
            </w:r>
            <w:r w:rsidRPr="009321EE">
              <w:rPr>
                <w:spacing w:val="-5"/>
              </w:rPr>
              <w:t xml:space="preserve"> </w:t>
            </w:r>
            <w:r>
              <w:rPr>
                <w:spacing w:val="-5"/>
              </w:rPr>
              <w:t>již o šes</w:t>
            </w:r>
            <w:r w:rsidRPr="009321EE">
              <w:rPr>
                <w:spacing w:val="-5"/>
              </w:rPr>
              <w:t>tinu. K nejlépe placeným p</w:t>
            </w:r>
            <w:r>
              <w:rPr>
                <w:spacing w:val="-5"/>
              </w:rPr>
              <w:t>atří</w:t>
            </w:r>
            <w:r w:rsidRPr="009321EE">
              <w:rPr>
                <w:spacing w:val="-5"/>
              </w:rPr>
              <w:t xml:space="preserve"> naopak </w:t>
            </w:r>
            <w:r>
              <w:rPr>
                <w:spacing w:val="-5"/>
              </w:rPr>
              <w:t xml:space="preserve">tradičně </w:t>
            </w:r>
            <w:r w:rsidRPr="009321EE">
              <w:rPr>
                <w:spacing w:val="-5"/>
              </w:rPr>
              <w:t xml:space="preserve">zaměstnanci v informačních </w:t>
            </w:r>
            <w:r>
              <w:rPr>
                <w:spacing w:val="-5"/>
              </w:rPr>
              <w:t>a komunikačních činnostech, jejichž výdělky meziročně vzrostly v průměru o 8,7 % a dosáhly 72 tis. ko</w:t>
            </w:r>
            <w:r w:rsidR="005F5271">
              <w:rPr>
                <w:spacing w:val="-5"/>
              </w:rPr>
              <w:t>run měsíčně (3,2krát více než v</w:t>
            </w:r>
            <w:r w:rsidR="005F5271">
              <w:rPr>
                <w:color w:val="0D0D0D" w:themeColor="text1" w:themeTint="F2"/>
                <w:spacing w:val="-4"/>
                <w:szCs w:val="20"/>
              </w:rPr>
              <w:t> </w:t>
            </w:r>
            <w:r>
              <w:rPr>
                <w:spacing w:val="-5"/>
              </w:rPr>
              <w:t>u</w:t>
            </w:r>
            <w:r w:rsidRPr="009321EE">
              <w:rPr>
                <w:spacing w:val="-5"/>
              </w:rPr>
              <w:t>bytování, stravování a pohostinství</w:t>
            </w:r>
            <w:r>
              <w:rPr>
                <w:spacing w:val="-5"/>
              </w:rPr>
              <w:t xml:space="preserve">). </w:t>
            </w:r>
          </w:p>
        </w:tc>
      </w:tr>
      <w:tr w:rsidR="007B1D1B" w:rsidRPr="00191C35" w14:paraId="24D3D778" w14:textId="77777777" w:rsidTr="000F15F7">
        <w:trPr>
          <w:trHeight w:val="145"/>
        </w:trPr>
        <w:tc>
          <w:tcPr>
            <w:tcW w:w="1573" w:type="dxa"/>
            <w:shd w:val="clear" w:color="auto" w:fill="auto"/>
            <w:tcMar>
              <w:left w:w="0" w:type="dxa"/>
            </w:tcMar>
          </w:tcPr>
          <w:p w14:paraId="0E1A6A4F" w14:textId="77777777" w:rsidR="007B1D1B" w:rsidRDefault="007B1D1B" w:rsidP="000F15F7">
            <w:pPr>
              <w:pStyle w:val="Marginlie"/>
              <w:spacing w:after="120"/>
            </w:pPr>
            <w:r>
              <w:t>Trend rychlejšího tempa růstu středních mezd žen se zastavil.</w:t>
            </w:r>
          </w:p>
        </w:tc>
        <w:tc>
          <w:tcPr>
            <w:tcW w:w="186" w:type="dxa"/>
            <w:shd w:val="clear" w:color="auto" w:fill="auto"/>
            <w:tcMar>
              <w:left w:w="0" w:type="dxa"/>
            </w:tcMar>
          </w:tcPr>
          <w:p w14:paraId="266D208F"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4386C8D8" w14:textId="77777777" w:rsidR="007B1D1B" w:rsidRPr="009005A1" w:rsidRDefault="007B1D1B" w:rsidP="000F15F7">
            <w:pPr>
              <w:spacing w:after="220"/>
              <w:rPr>
                <w:bCs/>
                <w:spacing w:val="-4"/>
              </w:rPr>
            </w:pPr>
            <w:r w:rsidRPr="009005A1">
              <w:rPr>
                <w:bCs/>
                <w:color w:val="0D0D0D" w:themeColor="text1" w:themeTint="F2"/>
                <w:spacing w:val="-4"/>
              </w:rPr>
              <w:t xml:space="preserve">Medián mezd v 1. čtvrtletí 2022 dosáhl </w:t>
            </w:r>
            <w:r>
              <w:rPr>
                <w:bCs/>
                <w:spacing w:val="-4"/>
              </w:rPr>
              <w:t>u mužů 34,4 tis. korun, u žen 29,3</w:t>
            </w:r>
            <w:r w:rsidRPr="002A22E5">
              <w:rPr>
                <w:bCs/>
                <w:spacing w:val="-4"/>
              </w:rPr>
              <w:t> tis. koru</w:t>
            </w:r>
            <w:r>
              <w:rPr>
                <w:bCs/>
                <w:spacing w:val="-4"/>
              </w:rPr>
              <w:t xml:space="preserve">n. Na rozdíl od předchozích let </w:t>
            </w:r>
            <w:r w:rsidRPr="002A22E5">
              <w:rPr>
                <w:bCs/>
                <w:spacing w:val="-4"/>
              </w:rPr>
              <w:t>se</w:t>
            </w:r>
            <w:r>
              <w:rPr>
                <w:bCs/>
                <w:spacing w:val="-4"/>
              </w:rPr>
              <w:t xml:space="preserve"> meziročně zvýšil více u mužů (6,9 %) než u žen (6,3 </w:t>
            </w:r>
            <w:r>
              <w:rPr>
                <w:spacing w:val="-4"/>
              </w:rPr>
              <w:t>%), což souviselo s citelným zvolněním mzdového růstu ve vzdělávání a zdravotní a sociální péči. Mzdová distribuce se příliš nezměnila. Desetině zaměstnanců s nejvyššími příjmy rostla průměrná mzda meziročně o 6,5 %, u desetiny nejhůře placených pak o 7,8 %.</w:t>
            </w:r>
          </w:p>
        </w:tc>
      </w:tr>
      <w:tr w:rsidR="007B1D1B" w:rsidRPr="00191C35" w14:paraId="7BCDD285" w14:textId="77777777" w:rsidTr="000F15F7">
        <w:trPr>
          <w:trHeight w:val="145"/>
        </w:trPr>
        <w:tc>
          <w:tcPr>
            <w:tcW w:w="1573" w:type="dxa"/>
            <w:shd w:val="clear" w:color="auto" w:fill="auto"/>
            <w:tcMar>
              <w:left w:w="0" w:type="dxa"/>
            </w:tcMar>
          </w:tcPr>
          <w:p w14:paraId="6DFDD7A1" w14:textId="77777777" w:rsidR="007B1D1B" w:rsidRDefault="007B1D1B" w:rsidP="000F15F7">
            <w:pPr>
              <w:pStyle w:val="Marginlie"/>
              <w:spacing w:after="120"/>
            </w:pPr>
          </w:p>
        </w:tc>
        <w:tc>
          <w:tcPr>
            <w:tcW w:w="186" w:type="dxa"/>
            <w:shd w:val="clear" w:color="auto" w:fill="auto"/>
            <w:tcMar>
              <w:left w:w="0" w:type="dxa"/>
            </w:tcMar>
          </w:tcPr>
          <w:p w14:paraId="3E462ECE"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257E5D4B" w14:textId="77777777" w:rsidR="007B1D1B" w:rsidRPr="00716203" w:rsidRDefault="007B1D1B" w:rsidP="000F15F7">
            <w:pPr>
              <w:spacing w:after="0"/>
              <w:rPr>
                <w:spacing w:val="-4"/>
              </w:rPr>
            </w:pPr>
            <w:r>
              <w:rPr>
                <w:b/>
                <w:spacing w:val="-4"/>
              </w:rPr>
              <w:t>Graf č. 15</w:t>
            </w:r>
            <w:r w:rsidRPr="003E01D3">
              <w:rPr>
                <w:b/>
                <w:spacing w:val="-4"/>
              </w:rPr>
              <w:t xml:space="preserve">  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7B1D1B" w:rsidRPr="00191C35" w14:paraId="64DF3EC2" w14:textId="77777777" w:rsidTr="000F15F7">
        <w:tblPrEx>
          <w:tblCellMar>
            <w:left w:w="70" w:type="dxa"/>
            <w:right w:w="70" w:type="dxa"/>
          </w:tblCellMar>
        </w:tblPrEx>
        <w:trPr>
          <w:trHeight w:val="145"/>
        </w:trPr>
        <w:tc>
          <w:tcPr>
            <w:tcW w:w="1573" w:type="dxa"/>
            <w:shd w:val="clear" w:color="auto" w:fill="auto"/>
          </w:tcPr>
          <w:p w14:paraId="22123513" w14:textId="77777777" w:rsidR="007B1D1B" w:rsidRDefault="007B1D1B" w:rsidP="000F15F7">
            <w:pPr>
              <w:pStyle w:val="Marginlie"/>
              <w:spacing w:after="120"/>
            </w:pPr>
          </w:p>
        </w:tc>
        <w:tc>
          <w:tcPr>
            <w:tcW w:w="186" w:type="dxa"/>
            <w:shd w:val="clear" w:color="auto" w:fill="auto"/>
          </w:tcPr>
          <w:p w14:paraId="2F8ADE03" w14:textId="77777777" w:rsidR="007B1D1B" w:rsidRPr="00B43216" w:rsidRDefault="007B1D1B" w:rsidP="000F15F7">
            <w:pPr>
              <w:pStyle w:val="Textpoznpodarou"/>
              <w:spacing w:after="120"/>
              <w:jc w:val="both"/>
              <w:rPr>
                <w:spacing w:val="-4"/>
              </w:rPr>
            </w:pPr>
          </w:p>
        </w:tc>
        <w:tc>
          <w:tcPr>
            <w:tcW w:w="7910" w:type="dxa"/>
            <w:shd w:val="clear" w:color="auto" w:fill="auto"/>
          </w:tcPr>
          <w:p w14:paraId="7D73F732" w14:textId="77777777" w:rsidR="007B1D1B" w:rsidRPr="003E01D3" w:rsidRDefault="007B1D1B" w:rsidP="000F15F7">
            <w:pPr>
              <w:spacing w:after="0"/>
              <w:rPr>
                <w:b/>
                <w:spacing w:val="-4"/>
              </w:rPr>
            </w:pPr>
            <w:r>
              <w:rPr>
                <w:noProof/>
              </w:rPr>
              <w:drawing>
                <wp:inline distT="0" distB="0" distL="0" distR="0" wp14:anchorId="49951C45" wp14:editId="786A5B8E">
                  <wp:extent cx="4927179" cy="3475518"/>
                  <wp:effectExtent l="0" t="0" r="698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B1D1B" w:rsidRPr="00191C35" w14:paraId="55EFD949" w14:textId="77777777" w:rsidTr="000F15F7">
        <w:trPr>
          <w:trHeight w:val="145"/>
        </w:trPr>
        <w:tc>
          <w:tcPr>
            <w:tcW w:w="1573" w:type="dxa"/>
            <w:shd w:val="clear" w:color="auto" w:fill="auto"/>
            <w:tcMar>
              <w:left w:w="0" w:type="dxa"/>
            </w:tcMar>
          </w:tcPr>
          <w:p w14:paraId="63779395" w14:textId="77777777" w:rsidR="007B1D1B" w:rsidRDefault="007B1D1B" w:rsidP="000F15F7">
            <w:pPr>
              <w:pStyle w:val="Marginlie"/>
              <w:spacing w:after="120"/>
            </w:pPr>
          </w:p>
        </w:tc>
        <w:tc>
          <w:tcPr>
            <w:tcW w:w="186" w:type="dxa"/>
            <w:shd w:val="clear" w:color="auto" w:fill="auto"/>
            <w:tcMar>
              <w:left w:w="0" w:type="dxa"/>
            </w:tcMar>
          </w:tcPr>
          <w:p w14:paraId="7D65A5AC" w14:textId="77777777" w:rsidR="007B1D1B" w:rsidRPr="00B43216" w:rsidRDefault="007B1D1B" w:rsidP="000F15F7">
            <w:pPr>
              <w:pStyle w:val="Textpoznpodarou"/>
              <w:spacing w:after="120"/>
              <w:jc w:val="both"/>
              <w:rPr>
                <w:spacing w:val="-4"/>
              </w:rPr>
            </w:pPr>
          </w:p>
        </w:tc>
        <w:tc>
          <w:tcPr>
            <w:tcW w:w="7910" w:type="dxa"/>
            <w:shd w:val="clear" w:color="auto" w:fill="auto"/>
            <w:tcMar>
              <w:left w:w="0" w:type="dxa"/>
            </w:tcMar>
          </w:tcPr>
          <w:p w14:paraId="3F91C2ED" w14:textId="77777777" w:rsidR="007B1D1B" w:rsidRPr="00F6560A" w:rsidRDefault="007B1D1B" w:rsidP="000F15F7">
            <w:pPr>
              <w:tabs>
                <w:tab w:val="right" w:pos="7683"/>
              </w:tabs>
              <w:spacing w:after="0"/>
              <w:rPr>
                <w:noProof/>
                <w:sz w:val="14"/>
                <w:szCs w:val="14"/>
              </w:rPr>
            </w:pPr>
            <w:r w:rsidRPr="00F6560A">
              <w:rPr>
                <w:bCs/>
                <w:sz w:val="14"/>
                <w:szCs w:val="14"/>
              </w:rPr>
              <w:t>*Zahrnuje odvětví s významnou rolí státu: Veřejná správa a obrana, povinné sociální zabezpečení; Vzdělávání; Zdravotní a sociální péče; Kulturní, zábavní a rekreační činnosti.</w:t>
            </w:r>
            <w:r w:rsidRPr="00F6560A">
              <w:rPr>
                <w:bCs/>
                <w:sz w:val="14"/>
                <w:szCs w:val="14"/>
              </w:rPr>
              <w:tab/>
            </w:r>
            <w:r w:rsidRPr="00F6560A">
              <w:rPr>
                <w:rFonts w:cs="Arial"/>
                <w:color w:val="0D0D0D" w:themeColor="text1" w:themeTint="F2"/>
                <w:spacing w:val="-2"/>
                <w:sz w:val="14"/>
                <w:szCs w:val="14"/>
              </w:rPr>
              <w:t>Zdroj: ČSÚ</w:t>
            </w:r>
          </w:p>
        </w:tc>
      </w:tr>
    </w:tbl>
    <w:p w14:paraId="5D393FED" w14:textId="77777777" w:rsidR="007B1D1B" w:rsidRPr="007B1D1B" w:rsidRDefault="007B1D1B" w:rsidP="00A315D0">
      <w:pPr>
        <w:pStyle w:val="Nadpis11"/>
        <w:spacing w:after="120"/>
        <w:rPr>
          <w:sz w:val="4"/>
          <w:szCs w:val="4"/>
        </w:rPr>
      </w:pPr>
    </w:p>
    <w:bookmarkEnd w:id="2"/>
    <w:bookmarkEnd w:id="3"/>
    <w:bookmarkEnd w:id="4"/>
    <w:bookmarkEnd w:id="5"/>
    <w:p w14:paraId="6DCF6EAF" w14:textId="77777777" w:rsidR="00A315D0" w:rsidRPr="000F45E7" w:rsidRDefault="00A315D0" w:rsidP="00A315D0">
      <w:pPr>
        <w:pStyle w:val="Nadpis11"/>
        <w:spacing w:after="0"/>
        <w:rPr>
          <w:b w:val="0"/>
          <w:sz w:val="2"/>
          <w:szCs w:val="2"/>
        </w:rPr>
      </w:pPr>
    </w:p>
    <w:p w14:paraId="5BAB8EA3" w14:textId="6E38B73A" w:rsidR="000663F0" w:rsidRPr="00E42054" w:rsidRDefault="000663F0" w:rsidP="00A315D0">
      <w:pPr>
        <w:pStyle w:val="Nadpis11"/>
        <w:rPr>
          <w:b w:val="0"/>
          <w:sz w:val="2"/>
          <w:szCs w:val="2"/>
        </w:rPr>
      </w:pPr>
    </w:p>
    <w:sectPr w:rsidR="000663F0" w:rsidRPr="00E42054" w:rsidSect="009C5CEF">
      <w:headerReference w:type="even" r:id="rId12"/>
      <w:headerReference w:type="default" r:id="rId13"/>
      <w:footerReference w:type="even" r:id="rId14"/>
      <w:footerReference w:type="default" r:id="rId15"/>
      <w:pgSz w:w="11906" w:h="16838" w:code="9"/>
      <w:pgMar w:top="1134" w:right="1134" w:bottom="1418" w:left="1134" w:header="680" w:footer="737"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8E2B" w14:textId="77777777" w:rsidR="003541BB" w:rsidRDefault="003541BB" w:rsidP="00E71A58">
      <w:r>
        <w:separator/>
      </w:r>
    </w:p>
  </w:endnote>
  <w:endnote w:type="continuationSeparator" w:id="0">
    <w:p w14:paraId="5A48E032" w14:textId="77777777" w:rsidR="003541BB" w:rsidRDefault="003541BB"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6C8" w14:textId="258B9B72" w:rsidR="00825120" w:rsidRPr="00932443" w:rsidRDefault="00825120"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EB1CDC">
      <w:rPr>
        <w:szCs w:val="16"/>
      </w:rPr>
      <w:t>20</w:t>
    </w:r>
    <w:r w:rsidRPr="00932443">
      <w:rPr>
        <w:szCs w:val="16"/>
      </w:rPr>
      <w:fldChar w:fldCharType="end"/>
    </w:r>
    <w:r w:rsidRPr="00932443">
      <w:rPr>
        <w:szCs w:val="16"/>
      </w:rPr>
      <w:tab/>
    </w:r>
    <w:r>
      <w:rPr>
        <w:szCs w:val="16"/>
      </w:rPr>
      <w:t>1. čtvrtletí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AFAF" w14:textId="12A52D07" w:rsidR="00825120" w:rsidRPr="00932443" w:rsidRDefault="00825120" w:rsidP="00FA6CB6">
    <w:pPr>
      <w:pStyle w:val="Zpat"/>
      <w:rPr>
        <w:szCs w:val="16"/>
      </w:rPr>
    </w:pPr>
    <w:r w:rsidRPr="00FA6CB6">
      <w:rPr>
        <w:szCs w:val="16"/>
      </w:rPr>
      <w:tab/>
    </w:r>
    <w:r>
      <w:rPr>
        <w:szCs w:val="16"/>
      </w:rPr>
      <w:t>1.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2</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EB1CDC">
      <w:rPr>
        <w:rStyle w:val="ZpatChar"/>
        <w:szCs w:val="16"/>
      </w:rPr>
      <w:t>21</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92A5" w14:textId="77777777" w:rsidR="003541BB" w:rsidRDefault="003541BB" w:rsidP="00A21B4D">
      <w:pPr>
        <w:spacing w:after="0"/>
      </w:pPr>
      <w:r>
        <w:separator/>
      </w:r>
    </w:p>
  </w:footnote>
  <w:footnote w:type="continuationSeparator" w:id="0">
    <w:p w14:paraId="2D99C1CC" w14:textId="77777777" w:rsidR="003541BB" w:rsidRDefault="003541BB" w:rsidP="00E71A58">
      <w:r>
        <w:continuationSeparator/>
      </w:r>
    </w:p>
  </w:footnote>
  <w:footnote w:id="1">
    <w:p w14:paraId="23474448" w14:textId="77777777" w:rsidR="00825120" w:rsidRPr="00F72E52" w:rsidRDefault="00825120" w:rsidP="007B1D1B">
      <w:pPr>
        <w:pStyle w:val="Textpoznpodarou"/>
        <w:jc w:val="both"/>
        <w:rPr>
          <w:color w:val="0D0D0D" w:themeColor="text1" w:themeTint="F2"/>
          <w:spacing w:val="-2"/>
          <w:sz w:val="16"/>
          <w:szCs w:val="16"/>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Údaje o zaměstnanosti v této kapitole vycház</w:t>
      </w:r>
      <w:r>
        <w:rPr>
          <w:color w:val="0D0D0D" w:themeColor="text1" w:themeTint="F2"/>
          <w:spacing w:val="-2"/>
          <w:sz w:val="16"/>
          <w:szCs w:val="16"/>
        </w:rPr>
        <w:t>ej</w:t>
      </w:r>
      <w:r w:rsidRPr="00F72E52">
        <w:rPr>
          <w:color w:val="0D0D0D" w:themeColor="text1" w:themeTint="F2"/>
          <w:spacing w:val="-2"/>
          <w:sz w:val="16"/>
          <w:szCs w:val="16"/>
        </w:rPr>
        <w:t>í z</w:t>
      </w:r>
      <w:r>
        <w:rPr>
          <w:color w:val="0D0D0D" w:themeColor="text1" w:themeTint="F2"/>
          <w:spacing w:val="-2"/>
          <w:sz w:val="16"/>
          <w:szCs w:val="16"/>
        </w:rPr>
        <w:t> </w:t>
      </w:r>
      <w:r w:rsidRPr="00F72E52">
        <w:rPr>
          <w:color w:val="0D0D0D" w:themeColor="text1" w:themeTint="F2"/>
          <w:spacing w:val="-2"/>
          <w:sz w:val="16"/>
          <w:szCs w:val="16"/>
        </w:rPr>
        <w:t>pojetí národních účtů. Jsou vyjádřeny ve fyzických osobách a</w:t>
      </w:r>
      <w:r>
        <w:rPr>
          <w:color w:val="0D0D0D" w:themeColor="text1" w:themeTint="F2"/>
          <w:spacing w:val="-2"/>
          <w:sz w:val="16"/>
          <w:szCs w:val="16"/>
        </w:rPr>
        <w:t> </w:t>
      </w:r>
      <w:r w:rsidRPr="00F72E52">
        <w:rPr>
          <w:color w:val="0D0D0D" w:themeColor="text1" w:themeTint="F2"/>
          <w:spacing w:val="-2"/>
          <w:sz w:val="16"/>
          <w:szCs w:val="16"/>
        </w:rPr>
        <w:t>očištěny o sezónní vlivy.</w:t>
      </w:r>
    </w:p>
  </w:footnote>
  <w:footnote w:id="2">
    <w:p w14:paraId="00135501" w14:textId="77777777" w:rsidR="00825120" w:rsidRPr="00FF26C9" w:rsidRDefault="00825120" w:rsidP="007B1D1B">
      <w:pPr>
        <w:pStyle w:val="Textpoznpodarou"/>
        <w:rPr>
          <w:sz w:val="16"/>
          <w:szCs w:val="16"/>
        </w:rPr>
      </w:pPr>
      <w:r w:rsidRPr="00FF26C9">
        <w:rPr>
          <w:rStyle w:val="Znakapoznpodarou"/>
          <w:sz w:val="16"/>
          <w:szCs w:val="16"/>
        </w:rPr>
        <w:footnoteRef/>
      </w:r>
      <w:r w:rsidRPr="00FF26C9">
        <w:rPr>
          <w:sz w:val="16"/>
          <w:szCs w:val="16"/>
        </w:rPr>
        <w:t xml:space="preserve"> Pro zjednodušení je uvažováno období od 1. čtvrtletí 2014 do 4. čtvrtletí 2019.</w:t>
      </w:r>
    </w:p>
  </w:footnote>
  <w:footnote w:id="3">
    <w:p w14:paraId="00B0A87C" w14:textId="77777777" w:rsidR="00825120" w:rsidRPr="00F72E52" w:rsidRDefault="00825120" w:rsidP="007B1D1B">
      <w:pPr>
        <w:pStyle w:val="Textpoznpodarou"/>
        <w:jc w:val="both"/>
        <w:rPr>
          <w:color w:val="0D0D0D" w:themeColor="text1" w:themeTint="F2"/>
          <w:sz w:val="16"/>
          <w:szCs w:val="16"/>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K mírnému poklesu počtu </w:t>
      </w:r>
      <w:proofErr w:type="spellStart"/>
      <w:r w:rsidRPr="00F72E52">
        <w:rPr>
          <w:color w:val="0D0D0D" w:themeColor="text1" w:themeTint="F2"/>
          <w:sz w:val="16"/>
          <w:szCs w:val="16"/>
        </w:rPr>
        <w:t>sebezaměstnaných</w:t>
      </w:r>
      <w:proofErr w:type="spellEnd"/>
      <w:r w:rsidRPr="00F72E52">
        <w:rPr>
          <w:color w:val="0D0D0D" w:themeColor="text1" w:themeTint="F2"/>
          <w:sz w:val="16"/>
          <w:szCs w:val="16"/>
        </w:rPr>
        <w:t xml:space="preserve"> došlo např. v období </w:t>
      </w:r>
      <w:proofErr w:type="spellStart"/>
      <w:r w:rsidRPr="00F72E52">
        <w:rPr>
          <w:color w:val="0D0D0D" w:themeColor="text1" w:themeTint="F2"/>
          <w:sz w:val="16"/>
          <w:szCs w:val="16"/>
        </w:rPr>
        <w:t>pokrizové</w:t>
      </w:r>
      <w:proofErr w:type="spellEnd"/>
      <w:r w:rsidRPr="00F72E52">
        <w:rPr>
          <w:color w:val="0D0D0D" w:themeColor="text1" w:themeTint="F2"/>
          <w:sz w:val="16"/>
          <w:szCs w:val="16"/>
        </w:rPr>
        <w:t xml:space="preserve"> expanze tuzemské ekonomiky v letech 2014 a</w:t>
      </w:r>
      <w:r>
        <w:rPr>
          <w:color w:val="0D0D0D" w:themeColor="text1" w:themeTint="F2"/>
          <w:sz w:val="16"/>
          <w:szCs w:val="16"/>
        </w:rPr>
        <w:t> </w:t>
      </w:r>
      <w:r w:rsidRPr="00F72E52">
        <w:rPr>
          <w:color w:val="0D0D0D" w:themeColor="text1" w:themeTint="F2"/>
          <w:sz w:val="16"/>
          <w:szCs w:val="16"/>
        </w:rPr>
        <w:t>2015.</w:t>
      </w:r>
    </w:p>
  </w:footnote>
  <w:footnote w:id="4">
    <w:p w14:paraId="143C5B77" w14:textId="3D5D860C" w:rsidR="00825120" w:rsidRPr="00F72E52" w:rsidRDefault="00825120" w:rsidP="007B1D1B">
      <w:pPr>
        <w:pStyle w:val="Textpoznpodarou"/>
        <w:jc w:val="both"/>
        <w:rPr>
          <w:color w:val="0D0D0D" w:themeColor="text1" w:themeTint="F2"/>
          <w:sz w:val="16"/>
          <w:szCs w:val="16"/>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Za s</w:t>
      </w:r>
      <w:r>
        <w:rPr>
          <w:color w:val="0D0D0D" w:themeColor="text1" w:themeTint="F2"/>
          <w:sz w:val="16"/>
          <w:szCs w:val="16"/>
        </w:rPr>
        <w:t>vým předpandemickým vrcholem nicméně</w:t>
      </w:r>
      <w:r w:rsidRPr="00F72E52">
        <w:rPr>
          <w:color w:val="0D0D0D" w:themeColor="text1" w:themeTint="F2"/>
          <w:sz w:val="16"/>
          <w:szCs w:val="16"/>
        </w:rPr>
        <w:t xml:space="preserve"> o</w:t>
      </w:r>
      <w:r>
        <w:rPr>
          <w:color w:val="0D0D0D" w:themeColor="text1" w:themeTint="F2"/>
          <w:sz w:val="16"/>
          <w:szCs w:val="16"/>
        </w:rPr>
        <w:t> 4,8 %, resp. 61 tis. osob</w:t>
      </w:r>
      <w:r w:rsidRPr="00F72E52">
        <w:rPr>
          <w:color w:val="0D0D0D" w:themeColor="text1" w:themeTint="F2"/>
          <w:sz w:val="16"/>
          <w:szCs w:val="16"/>
        </w:rPr>
        <w:t xml:space="preserve"> zaostávala</w:t>
      </w:r>
      <w:r>
        <w:rPr>
          <w:color w:val="0D0D0D" w:themeColor="text1" w:themeTint="F2"/>
          <w:sz w:val="16"/>
          <w:szCs w:val="16"/>
        </w:rPr>
        <w:t>. Ještě větší odstup měly p</w:t>
      </w:r>
      <w:r w:rsidR="007D7763">
        <w:rPr>
          <w:color w:val="0D0D0D" w:themeColor="text1" w:themeTint="F2"/>
          <w:sz w:val="16"/>
          <w:szCs w:val="16"/>
        </w:rPr>
        <w:t>eněžnictví a</w:t>
      </w:r>
      <w:r w:rsidR="007D7763">
        <w:rPr>
          <w:color w:val="0D0D0D" w:themeColor="text1" w:themeTint="F2"/>
          <w:spacing w:val="-4"/>
          <w:sz w:val="16"/>
          <w:szCs w:val="16"/>
        </w:rPr>
        <w:t> </w:t>
      </w:r>
      <w:r w:rsidRPr="00B16B6D">
        <w:rPr>
          <w:color w:val="0D0D0D" w:themeColor="text1" w:themeTint="F2"/>
          <w:sz w:val="16"/>
          <w:szCs w:val="16"/>
        </w:rPr>
        <w:t>pojišťovnictví</w:t>
      </w:r>
      <w:r>
        <w:rPr>
          <w:color w:val="0D0D0D" w:themeColor="text1" w:themeTint="F2"/>
          <w:sz w:val="16"/>
          <w:szCs w:val="16"/>
        </w:rPr>
        <w:t xml:space="preserve"> (10,7 %), </w:t>
      </w:r>
      <w:r w:rsidRPr="00B16B6D">
        <w:rPr>
          <w:color w:val="0D0D0D" w:themeColor="text1" w:themeTint="F2"/>
          <w:sz w:val="16"/>
          <w:szCs w:val="16"/>
        </w:rPr>
        <w:t>zpracovatelský průmysl</w:t>
      </w:r>
      <w:r>
        <w:rPr>
          <w:color w:val="0D0D0D" w:themeColor="text1" w:themeTint="F2"/>
          <w:sz w:val="16"/>
          <w:szCs w:val="16"/>
        </w:rPr>
        <w:t xml:space="preserve"> (5,4 %) či odvětví z</w:t>
      </w:r>
      <w:r w:rsidRPr="00B16B6D">
        <w:rPr>
          <w:color w:val="0D0D0D" w:themeColor="text1" w:themeTint="F2"/>
          <w:sz w:val="16"/>
          <w:szCs w:val="16"/>
        </w:rPr>
        <w:t>emědělství, lesnictví a rybářství</w:t>
      </w:r>
      <w:r>
        <w:rPr>
          <w:color w:val="0D0D0D" w:themeColor="text1" w:themeTint="F2"/>
          <w:sz w:val="16"/>
          <w:szCs w:val="16"/>
        </w:rPr>
        <w:t xml:space="preserve"> (7,3 %).</w:t>
      </w:r>
    </w:p>
  </w:footnote>
  <w:footnote w:id="5">
    <w:p w14:paraId="6A8DB11F" w14:textId="77777777" w:rsidR="00825120" w:rsidRPr="00F72E52" w:rsidRDefault="00825120" w:rsidP="007B1D1B">
      <w:pPr>
        <w:pStyle w:val="Textpoznpodarou"/>
        <w:jc w:val="both"/>
        <w:rPr>
          <w:color w:val="0D0D0D" w:themeColor="text1" w:themeTint="F2"/>
          <w:sz w:val="16"/>
          <w:szCs w:val="16"/>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Odvětví s </w:t>
      </w:r>
      <w:r w:rsidRPr="009910EC">
        <w:rPr>
          <w:color w:val="0D0D0D" w:themeColor="text1" w:themeTint="F2"/>
          <w:sz w:val="16"/>
          <w:szCs w:val="16"/>
        </w:rPr>
        <w:t xml:space="preserve">převahou veřejných služeb, zahrnující veřejnou správu, obranu a sociální zabezpečení a také </w:t>
      </w:r>
      <w:r w:rsidRPr="009910EC">
        <w:rPr>
          <w:spacing w:val="-4"/>
          <w:sz w:val="16"/>
          <w:szCs w:val="16"/>
        </w:rPr>
        <w:t xml:space="preserve">vzdělávání i zdravotní a sociální péči, </w:t>
      </w:r>
      <w:r w:rsidRPr="009910EC">
        <w:rPr>
          <w:color w:val="0D0D0D" w:themeColor="text1" w:themeTint="F2"/>
          <w:sz w:val="16"/>
          <w:szCs w:val="16"/>
        </w:rPr>
        <w:t>působila</w:t>
      </w:r>
      <w:r w:rsidRPr="00F72E52">
        <w:rPr>
          <w:color w:val="0D0D0D" w:themeColor="text1" w:themeTint="F2"/>
          <w:sz w:val="16"/>
          <w:szCs w:val="16"/>
        </w:rPr>
        <w:t xml:space="preserve"> na celkovou zaměstnanost </w:t>
      </w:r>
      <w:proofErr w:type="spellStart"/>
      <w:r w:rsidRPr="00F72E52">
        <w:rPr>
          <w:color w:val="0D0D0D" w:themeColor="text1" w:themeTint="F2"/>
          <w:sz w:val="16"/>
          <w:szCs w:val="16"/>
        </w:rPr>
        <w:t>prorůstově</w:t>
      </w:r>
      <w:proofErr w:type="spellEnd"/>
      <w:r w:rsidRPr="00F72E52">
        <w:rPr>
          <w:color w:val="0D0D0D" w:themeColor="text1" w:themeTint="F2"/>
          <w:sz w:val="16"/>
          <w:szCs w:val="16"/>
        </w:rPr>
        <w:t xml:space="preserve"> nejvíce ze všech </w:t>
      </w:r>
      <w:r>
        <w:rPr>
          <w:color w:val="0D0D0D" w:themeColor="text1" w:themeTint="F2"/>
          <w:sz w:val="16"/>
          <w:szCs w:val="16"/>
        </w:rPr>
        <w:t xml:space="preserve">hlavních </w:t>
      </w:r>
      <w:r w:rsidRPr="00F72E52">
        <w:rPr>
          <w:color w:val="0D0D0D" w:themeColor="text1" w:themeTint="F2"/>
          <w:sz w:val="16"/>
          <w:szCs w:val="16"/>
        </w:rPr>
        <w:t xml:space="preserve">odvětví </w:t>
      </w:r>
      <w:r>
        <w:rPr>
          <w:color w:val="0D0D0D" w:themeColor="text1" w:themeTint="F2"/>
          <w:sz w:val="16"/>
          <w:szCs w:val="16"/>
        </w:rPr>
        <w:t>i po celé</w:t>
      </w:r>
      <w:r w:rsidRPr="00F72E52">
        <w:rPr>
          <w:color w:val="0D0D0D" w:themeColor="text1" w:themeTint="F2"/>
          <w:sz w:val="16"/>
          <w:szCs w:val="16"/>
        </w:rPr>
        <w:t xml:space="preserve"> období let 2020 a</w:t>
      </w:r>
      <w:r>
        <w:rPr>
          <w:color w:val="0D0D0D" w:themeColor="text1" w:themeTint="F2"/>
          <w:sz w:val="16"/>
          <w:szCs w:val="16"/>
        </w:rPr>
        <w:t> </w:t>
      </w:r>
      <w:r w:rsidRPr="00F72E52">
        <w:rPr>
          <w:color w:val="0D0D0D" w:themeColor="text1" w:themeTint="F2"/>
          <w:sz w:val="16"/>
          <w:szCs w:val="16"/>
        </w:rPr>
        <w:t>2021.</w:t>
      </w:r>
    </w:p>
  </w:footnote>
  <w:footnote w:id="6">
    <w:p w14:paraId="58D0F2CD" w14:textId="77777777" w:rsidR="00825120" w:rsidRPr="00FC6036" w:rsidRDefault="00825120" w:rsidP="007B1D1B">
      <w:pPr>
        <w:pStyle w:val="Textpoznpodarou"/>
        <w:jc w:val="both"/>
        <w:rPr>
          <w:color w:val="0D0D0D" w:themeColor="text1" w:themeTint="F2"/>
          <w:spacing w:val="-4"/>
          <w:sz w:val="16"/>
          <w:szCs w:val="16"/>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w:t>
      </w:r>
      <w:r w:rsidRPr="00B25E60">
        <w:rPr>
          <w:color w:val="0D0D0D" w:themeColor="text1" w:themeTint="F2"/>
          <w:spacing w:val="-4"/>
          <w:sz w:val="16"/>
          <w:szCs w:val="16"/>
        </w:rPr>
        <w:t xml:space="preserve">Počet všech cizinců pracujících v Česku letos během jara silně </w:t>
      </w:r>
      <w:r>
        <w:rPr>
          <w:color w:val="0D0D0D" w:themeColor="text1" w:themeTint="F2"/>
          <w:spacing w:val="-4"/>
          <w:sz w:val="16"/>
          <w:szCs w:val="16"/>
        </w:rPr>
        <w:t>vz</w:t>
      </w:r>
      <w:r w:rsidRPr="00F72E52">
        <w:rPr>
          <w:color w:val="0D0D0D" w:themeColor="text1" w:themeTint="F2"/>
          <w:spacing w:val="-4"/>
          <w:sz w:val="16"/>
          <w:szCs w:val="16"/>
        </w:rPr>
        <w:t xml:space="preserve">rostl. </w:t>
      </w:r>
      <w:r>
        <w:rPr>
          <w:color w:val="0D0D0D" w:themeColor="text1" w:themeTint="F2"/>
          <w:spacing w:val="-4"/>
          <w:sz w:val="16"/>
          <w:szCs w:val="16"/>
        </w:rPr>
        <w:t>Napomohla tomu i počínající integrace uprchlíků z Ukrajiny (byť jich zatím v Česku našla práci jen menšina), ale i pokračující ekonomická migrace z hospodářsky slabších regionů EU i z </w:t>
      </w:r>
      <w:proofErr w:type="spellStart"/>
      <w:r>
        <w:rPr>
          <w:color w:val="0D0D0D" w:themeColor="text1" w:themeTint="F2"/>
          <w:spacing w:val="-4"/>
          <w:sz w:val="16"/>
          <w:szCs w:val="16"/>
        </w:rPr>
        <w:t>mimounijních</w:t>
      </w:r>
      <w:proofErr w:type="spellEnd"/>
      <w:r>
        <w:rPr>
          <w:color w:val="0D0D0D" w:themeColor="text1" w:themeTint="F2"/>
          <w:spacing w:val="-4"/>
          <w:sz w:val="16"/>
          <w:szCs w:val="16"/>
        </w:rPr>
        <w:t xml:space="preserve"> států. Letos v květnu registrovaly tuzemské úřady práce (ÚP) rekordních 769 tis. cizích státních příslušníků v </w:t>
      </w:r>
      <w:r w:rsidRPr="00B25E60">
        <w:rPr>
          <w:color w:val="0D0D0D" w:themeColor="text1" w:themeTint="F2"/>
          <w:spacing w:val="-4"/>
          <w:sz w:val="16"/>
          <w:szCs w:val="16"/>
        </w:rPr>
        <w:t>zaměstnaneckém postavení</w:t>
      </w:r>
      <w:r>
        <w:rPr>
          <w:color w:val="0D0D0D" w:themeColor="text1" w:themeTint="F2"/>
          <w:spacing w:val="-4"/>
          <w:sz w:val="16"/>
          <w:szCs w:val="16"/>
        </w:rPr>
        <w:t xml:space="preserve"> na území ČR. To bylo skoro o desetinu více než na konci roku 2021 a o 14 % více než loni v květnu. K meziročnímu růstu přispěla ze dvou třetin váhově nejvýznamnější skupina pracovníků z Ukrajiny (+64 tis.), s velkým odstupem pak lidé ze Slovenska (+7 tis.) a Ruska (+3 tis.). Na rozdíl od předchozích let byl letošní přírůstek celkového počtu registrovaných cizinců na ÚP tažen ženami (+56 tis., mužů přibylo 36 tis.), což souviselo s jejich výraznou převahou mezi válečnými uprchlíky. Ze všech pracujících zaměstnanců z Ukrajiny tvořily ženy již 48,5 % (u všech cizinců pouze necelých 40 %). Bezmála tři pětiny </w:t>
      </w:r>
      <w:r w:rsidRPr="00F72E52">
        <w:rPr>
          <w:color w:val="0D0D0D" w:themeColor="text1" w:themeTint="F2"/>
          <w:spacing w:val="-4"/>
          <w:sz w:val="16"/>
          <w:szCs w:val="16"/>
        </w:rPr>
        <w:t>všech registrovaných zamě</w:t>
      </w:r>
      <w:r>
        <w:rPr>
          <w:color w:val="0D0D0D" w:themeColor="text1" w:themeTint="F2"/>
          <w:spacing w:val="-4"/>
          <w:sz w:val="16"/>
          <w:szCs w:val="16"/>
        </w:rPr>
        <w:t>stnanců z Ukrajiny nepotřebovaly</w:t>
      </w:r>
      <w:r w:rsidRPr="00F72E52">
        <w:rPr>
          <w:color w:val="0D0D0D" w:themeColor="text1" w:themeTint="F2"/>
          <w:spacing w:val="-4"/>
          <w:sz w:val="16"/>
          <w:szCs w:val="16"/>
        </w:rPr>
        <w:t xml:space="preserve"> v Česku pracovní </w:t>
      </w:r>
      <w:r w:rsidRPr="00935AA8">
        <w:rPr>
          <w:color w:val="0D0D0D" w:themeColor="text1" w:themeTint="F2"/>
          <w:spacing w:val="-6"/>
          <w:sz w:val="16"/>
          <w:szCs w:val="16"/>
        </w:rPr>
        <w:t xml:space="preserve">oprávnění, </w:t>
      </w:r>
      <w:r w:rsidRPr="00935AA8">
        <w:rPr>
          <w:color w:val="0D0D0D" w:themeColor="text1" w:themeTint="F2"/>
          <w:spacing w:val="-4"/>
          <w:sz w:val="16"/>
          <w:szCs w:val="16"/>
        </w:rPr>
        <w:t>nejčastěji z d</w:t>
      </w:r>
      <w:r>
        <w:rPr>
          <w:color w:val="0D0D0D" w:themeColor="text1" w:themeTint="F2"/>
          <w:spacing w:val="-4"/>
          <w:sz w:val="16"/>
          <w:szCs w:val="16"/>
        </w:rPr>
        <w:t>ůvodu přiznání trvalého pobytu, popř. statutu dočasné ochrany (u uprchlíků z Ukrajiny) a měly tedy volný přístup na tuzemský pracovní trh.</w:t>
      </w:r>
    </w:p>
  </w:footnote>
  <w:footnote w:id="7">
    <w:p w14:paraId="62FF8048" w14:textId="77777777" w:rsidR="00825120" w:rsidRPr="00F72E52" w:rsidRDefault="00825120" w:rsidP="007B1D1B">
      <w:pPr>
        <w:pStyle w:val="Textpoznpodarou"/>
        <w:jc w:val="both"/>
        <w:rPr>
          <w:color w:val="0D0D0D" w:themeColor="text1" w:themeTint="F2"/>
          <w:sz w:val="16"/>
          <w:szCs w:val="16"/>
        </w:rPr>
      </w:pPr>
      <w:r w:rsidRPr="00F72E52">
        <w:rPr>
          <w:rStyle w:val="Znakapoznpodarou"/>
          <w:color w:val="0D0D0D" w:themeColor="text1" w:themeTint="F2"/>
          <w:sz w:val="16"/>
          <w:szCs w:val="16"/>
        </w:rPr>
        <w:footnoteRef/>
      </w:r>
      <w:r w:rsidRPr="00F72E52">
        <w:rPr>
          <w:color w:val="0D0D0D" w:themeColor="text1" w:themeTint="F2"/>
          <w:sz w:val="16"/>
          <w:szCs w:val="16"/>
        </w:rPr>
        <w:t xml:space="preserve"> V tomto odvětví tvořil</w:t>
      </w:r>
      <w:r>
        <w:rPr>
          <w:color w:val="0D0D0D" w:themeColor="text1" w:themeTint="F2"/>
          <w:sz w:val="16"/>
          <w:szCs w:val="16"/>
        </w:rPr>
        <w:t>y</w:t>
      </w:r>
      <w:r w:rsidRPr="00F72E52">
        <w:rPr>
          <w:color w:val="0D0D0D" w:themeColor="text1" w:themeTint="F2"/>
          <w:sz w:val="16"/>
          <w:szCs w:val="16"/>
        </w:rPr>
        <w:t xml:space="preserve"> v roce 2021 více než 35</w:t>
      </w:r>
      <w:r>
        <w:rPr>
          <w:color w:val="0D0D0D" w:themeColor="text1" w:themeTint="F2"/>
          <w:sz w:val="16"/>
          <w:szCs w:val="16"/>
        </w:rPr>
        <w:t> %</w:t>
      </w:r>
      <w:r w:rsidRPr="00F72E52">
        <w:rPr>
          <w:color w:val="0D0D0D" w:themeColor="text1" w:themeTint="F2"/>
          <w:sz w:val="16"/>
          <w:szCs w:val="16"/>
        </w:rPr>
        <w:t xml:space="preserve"> všech pracovníků </w:t>
      </w:r>
      <w:proofErr w:type="spellStart"/>
      <w:r w:rsidRPr="00F72E52">
        <w:rPr>
          <w:color w:val="0D0D0D" w:themeColor="text1" w:themeTint="F2"/>
          <w:sz w:val="16"/>
          <w:szCs w:val="16"/>
        </w:rPr>
        <w:t>sebezaměstnané</w:t>
      </w:r>
      <w:proofErr w:type="spellEnd"/>
      <w:r w:rsidRPr="00F72E52">
        <w:rPr>
          <w:color w:val="0D0D0D" w:themeColor="text1" w:themeTint="F2"/>
          <w:sz w:val="16"/>
          <w:szCs w:val="16"/>
        </w:rPr>
        <w:t xml:space="preserve"> osoby. Více než dvojnásobné zastoupení než v celé ekonomice měl</w:t>
      </w:r>
      <w:r>
        <w:rPr>
          <w:color w:val="0D0D0D" w:themeColor="text1" w:themeTint="F2"/>
          <w:sz w:val="16"/>
          <w:szCs w:val="16"/>
        </w:rPr>
        <w:t>y</w:t>
      </w:r>
      <w:r w:rsidRPr="00F72E52">
        <w:rPr>
          <w:color w:val="0D0D0D" w:themeColor="text1" w:themeTint="F2"/>
          <w:sz w:val="16"/>
          <w:szCs w:val="16"/>
        </w:rPr>
        <w:t xml:space="preserve"> také ve stavebnictví (33</w:t>
      </w:r>
      <w:r>
        <w:rPr>
          <w:color w:val="0D0D0D" w:themeColor="text1" w:themeTint="F2"/>
          <w:sz w:val="16"/>
          <w:szCs w:val="16"/>
        </w:rPr>
        <w:t> %</w:t>
      </w:r>
      <w:r w:rsidRPr="00F72E52">
        <w:rPr>
          <w:color w:val="0D0D0D" w:themeColor="text1" w:themeTint="F2"/>
          <w:sz w:val="16"/>
          <w:szCs w:val="16"/>
        </w:rPr>
        <w:t>), činnostech v oblasti nemovitostí (31</w:t>
      </w:r>
      <w:r>
        <w:rPr>
          <w:color w:val="0D0D0D" w:themeColor="text1" w:themeTint="F2"/>
          <w:sz w:val="16"/>
          <w:szCs w:val="16"/>
        </w:rPr>
        <w:t> %</w:t>
      </w:r>
      <w:r w:rsidRPr="00F72E52">
        <w:rPr>
          <w:color w:val="0D0D0D" w:themeColor="text1" w:themeTint="F2"/>
          <w:sz w:val="16"/>
          <w:szCs w:val="16"/>
        </w:rPr>
        <w:t>) a</w:t>
      </w:r>
      <w:r>
        <w:rPr>
          <w:color w:val="0D0D0D" w:themeColor="text1" w:themeTint="F2"/>
          <w:sz w:val="16"/>
          <w:szCs w:val="16"/>
        </w:rPr>
        <w:t> </w:t>
      </w:r>
      <w:r w:rsidRPr="00F72E52">
        <w:rPr>
          <w:color w:val="0D0D0D" w:themeColor="text1" w:themeTint="F2"/>
          <w:sz w:val="16"/>
          <w:szCs w:val="16"/>
        </w:rPr>
        <w:t>v zemědělství a</w:t>
      </w:r>
      <w:r>
        <w:rPr>
          <w:color w:val="0D0D0D" w:themeColor="text1" w:themeTint="F2"/>
          <w:sz w:val="16"/>
          <w:szCs w:val="16"/>
        </w:rPr>
        <w:t> </w:t>
      </w:r>
      <w:r w:rsidRPr="00F72E52">
        <w:rPr>
          <w:color w:val="0D0D0D" w:themeColor="text1" w:themeTint="F2"/>
          <w:sz w:val="16"/>
          <w:szCs w:val="16"/>
        </w:rPr>
        <w:t>lesnictví (29</w:t>
      </w:r>
      <w:r>
        <w:rPr>
          <w:color w:val="0D0D0D" w:themeColor="text1" w:themeTint="F2"/>
          <w:sz w:val="16"/>
          <w:szCs w:val="16"/>
        </w:rPr>
        <w:t> %</w:t>
      </w:r>
      <w:r w:rsidRPr="00F72E52">
        <w:rPr>
          <w:color w:val="0D0D0D" w:themeColor="text1" w:themeTint="F2"/>
          <w:sz w:val="16"/>
          <w:szCs w:val="16"/>
        </w:rPr>
        <w:t>).</w:t>
      </w:r>
    </w:p>
  </w:footnote>
  <w:footnote w:id="8">
    <w:p w14:paraId="7EE933E0" w14:textId="77777777" w:rsidR="00825120" w:rsidRPr="00067320" w:rsidRDefault="00825120" w:rsidP="007B1D1B">
      <w:pPr>
        <w:pStyle w:val="Textpoznpodarou"/>
        <w:rPr>
          <w:sz w:val="16"/>
          <w:szCs w:val="16"/>
        </w:rPr>
      </w:pPr>
      <w:r w:rsidRPr="00067320">
        <w:rPr>
          <w:rStyle w:val="Znakapoznpodarou"/>
          <w:sz w:val="16"/>
          <w:szCs w:val="16"/>
        </w:rPr>
        <w:footnoteRef/>
      </w:r>
      <w:r w:rsidRPr="00067320">
        <w:rPr>
          <w:sz w:val="16"/>
          <w:szCs w:val="16"/>
        </w:rPr>
        <w:t xml:space="preserve"> </w:t>
      </w:r>
      <w:r>
        <w:rPr>
          <w:sz w:val="16"/>
          <w:szCs w:val="16"/>
        </w:rPr>
        <w:t>Negativní očekávání</w:t>
      </w:r>
      <w:r w:rsidRPr="00067320">
        <w:rPr>
          <w:sz w:val="16"/>
          <w:szCs w:val="16"/>
        </w:rPr>
        <w:t xml:space="preserve"> zaměstnanosti převládaly v letecké dopravě, poštovních a kurýrních činnostech a také v peněžnictví. Příznivé výhledy naopak stabilně od počátku letošního roku zřetelně převažovaly např. v ubytování, stravování a pohostinství.</w:t>
      </w:r>
    </w:p>
  </w:footnote>
  <w:footnote w:id="9">
    <w:p w14:paraId="537823E4" w14:textId="77777777" w:rsidR="00825120" w:rsidRPr="009D39B6" w:rsidRDefault="00825120" w:rsidP="007B1D1B">
      <w:pPr>
        <w:pStyle w:val="Textpoznpodarou"/>
        <w:rPr>
          <w:sz w:val="16"/>
          <w:szCs w:val="16"/>
        </w:rPr>
      </w:pPr>
      <w:r w:rsidRPr="009D39B6">
        <w:rPr>
          <w:rStyle w:val="Znakapoznpodarou"/>
          <w:sz w:val="16"/>
          <w:szCs w:val="16"/>
        </w:rPr>
        <w:footnoteRef/>
      </w:r>
      <w:r w:rsidRPr="009D39B6">
        <w:rPr>
          <w:sz w:val="16"/>
          <w:szCs w:val="16"/>
        </w:rPr>
        <w:t xml:space="preserve"> V průmyslu sužoval více než polovinu firem ve výrobě elektrických zařízení, výrobě kolejových dopravních prostředků, farmacii, textilním, kožedělném a nápojovém průmyslu. Šlo tedy o rozmanitý mix oborů z hlediska velikosti i kvalifikačních nároků na pracovníky. Ve službách se pak jednalo spíše o „</w:t>
      </w:r>
      <w:proofErr w:type="spellStart"/>
      <w:r w:rsidRPr="009D39B6">
        <w:rPr>
          <w:sz w:val="16"/>
          <w:szCs w:val="16"/>
        </w:rPr>
        <w:t>nízkovýdělkové</w:t>
      </w:r>
      <w:proofErr w:type="spellEnd"/>
      <w:r w:rsidRPr="009D39B6">
        <w:rPr>
          <w:sz w:val="16"/>
          <w:szCs w:val="16"/>
        </w:rPr>
        <w:t xml:space="preserve">“ obory – pozemní dopravu, pohostinství a ubytování </w:t>
      </w:r>
      <w:r>
        <w:rPr>
          <w:sz w:val="16"/>
          <w:szCs w:val="16"/>
        </w:rPr>
        <w:t xml:space="preserve">a </w:t>
      </w:r>
      <w:r w:rsidRPr="009D39B6">
        <w:rPr>
          <w:sz w:val="16"/>
          <w:szCs w:val="16"/>
        </w:rPr>
        <w:t>také většin</w:t>
      </w:r>
      <w:r>
        <w:rPr>
          <w:sz w:val="16"/>
          <w:szCs w:val="16"/>
        </w:rPr>
        <w:t>u</w:t>
      </w:r>
      <w:r w:rsidRPr="009D39B6">
        <w:rPr>
          <w:sz w:val="16"/>
          <w:szCs w:val="16"/>
        </w:rPr>
        <w:t xml:space="preserve"> oborů v odvětví administrativních a podpůrných činností. </w:t>
      </w:r>
    </w:p>
  </w:footnote>
  <w:footnote w:id="10">
    <w:p w14:paraId="4305C40F" w14:textId="77777777" w:rsidR="00825120" w:rsidRPr="004E68B1" w:rsidRDefault="00825120" w:rsidP="007B1D1B">
      <w:pPr>
        <w:pStyle w:val="Textpoznpodarou"/>
        <w:jc w:val="both"/>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(dle metodiky ILO) a jsou očištěny o sezónní vlivy.</w:t>
      </w:r>
    </w:p>
  </w:footnote>
  <w:footnote w:id="11">
    <w:p w14:paraId="4F3F524F" w14:textId="77777777" w:rsidR="00825120" w:rsidRPr="00CE38FC" w:rsidRDefault="00825120" w:rsidP="007B1D1B">
      <w:pPr>
        <w:pStyle w:val="Textpoznpodarou"/>
        <w:rPr>
          <w:sz w:val="16"/>
          <w:szCs w:val="16"/>
        </w:rPr>
      </w:pPr>
      <w:r w:rsidRPr="00CE38FC">
        <w:rPr>
          <w:rStyle w:val="Znakapoznpodarou"/>
          <w:sz w:val="16"/>
          <w:szCs w:val="16"/>
        </w:rPr>
        <w:footnoteRef/>
      </w:r>
      <w:r w:rsidRPr="00CE38FC">
        <w:rPr>
          <w:sz w:val="16"/>
          <w:szCs w:val="16"/>
        </w:rPr>
        <w:t xml:space="preserve"> V dubnu 2022 čítala míra nezaměstnanosti žen v EU 6,5 % (meziročně o 1,4 p. b. méně). Nižší nezaměstnanost než Česko hlásily jen Německo (2,7 %) a Malta (2,4 %), naopak v Řecku i Španělsku stále převyšovala 15 %. Nezaměstnanost mužů činila 5,8 %, pozici členského státu s nejnižší nezaměstnaností drželo Česko již sedmý rok v řadě.</w:t>
      </w:r>
    </w:p>
  </w:footnote>
  <w:footnote w:id="12">
    <w:p w14:paraId="4B4578E4" w14:textId="77777777" w:rsidR="00825120" w:rsidRPr="005C658A" w:rsidRDefault="00825120" w:rsidP="007B1D1B">
      <w:pPr>
        <w:pStyle w:val="Textpoznpodarou"/>
        <w:rPr>
          <w:sz w:val="16"/>
          <w:szCs w:val="16"/>
        </w:rPr>
      </w:pPr>
      <w:r w:rsidRPr="005C658A">
        <w:rPr>
          <w:rStyle w:val="Znakapoznpodarou"/>
          <w:sz w:val="16"/>
          <w:szCs w:val="16"/>
        </w:rPr>
        <w:footnoteRef/>
      </w:r>
      <w:r w:rsidRPr="005C658A">
        <w:rPr>
          <w:sz w:val="16"/>
          <w:szCs w:val="16"/>
        </w:rPr>
        <w:t xml:space="preserve"> Vztahuje se k období nejbližších dvanácti měsíců.</w:t>
      </w:r>
    </w:p>
  </w:footnote>
  <w:footnote w:id="13">
    <w:p w14:paraId="433B94A6" w14:textId="4B12EA26" w:rsidR="00825120" w:rsidRPr="001E2997" w:rsidRDefault="00825120" w:rsidP="007B1D1B">
      <w:pPr>
        <w:pStyle w:val="Textpoznpodarou"/>
        <w:rPr>
          <w:sz w:val="16"/>
          <w:szCs w:val="16"/>
        </w:rPr>
      </w:pPr>
      <w:r w:rsidRPr="001E2997">
        <w:rPr>
          <w:rStyle w:val="Znakapoznpodarou"/>
          <w:sz w:val="16"/>
          <w:szCs w:val="16"/>
        </w:rPr>
        <w:footnoteRef/>
      </w:r>
      <w:r>
        <w:rPr>
          <w:sz w:val="16"/>
          <w:szCs w:val="16"/>
        </w:rPr>
        <w:t xml:space="preserve"> </w:t>
      </w:r>
      <w:r w:rsidRPr="001E2997">
        <w:rPr>
          <w:sz w:val="16"/>
          <w:szCs w:val="16"/>
        </w:rPr>
        <w:t xml:space="preserve">Na 1 </w:t>
      </w:r>
      <w:r>
        <w:rPr>
          <w:sz w:val="16"/>
          <w:szCs w:val="16"/>
        </w:rPr>
        <w:t>uchazeče o práci tak letos v květnu připadalo 1,4</w:t>
      </w:r>
      <w:r w:rsidRPr="001E2997">
        <w:rPr>
          <w:sz w:val="16"/>
          <w:szCs w:val="16"/>
        </w:rPr>
        <w:t xml:space="preserve"> místa. </w:t>
      </w:r>
      <w:r w:rsidRPr="001E2997">
        <w:rPr>
          <w:color w:val="0D0D0D" w:themeColor="text1" w:themeTint="F2"/>
          <w:spacing w:val="-4"/>
          <w:sz w:val="16"/>
          <w:szCs w:val="16"/>
        </w:rPr>
        <w:t xml:space="preserve">Převis počtu míst nad registrovanými uchazeči </w:t>
      </w:r>
      <w:r>
        <w:rPr>
          <w:color w:val="0D0D0D" w:themeColor="text1" w:themeTint="F2"/>
          <w:spacing w:val="-4"/>
          <w:sz w:val="16"/>
          <w:szCs w:val="16"/>
        </w:rPr>
        <w:t>signalizovalo 9 ze 14 krajů a 56</w:t>
      </w:r>
      <w:r w:rsidRPr="009321EE">
        <w:rPr>
          <w:color w:val="0D0D0D" w:themeColor="text1" w:themeTint="F2"/>
          <w:spacing w:val="-4"/>
          <w:sz w:val="16"/>
          <w:szCs w:val="16"/>
        </w:rPr>
        <w:t xml:space="preserve"> % </w:t>
      </w:r>
      <w:r>
        <w:rPr>
          <w:color w:val="0D0D0D" w:themeColor="text1" w:themeTint="F2"/>
          <w:spacing w:val="-4"/>
          <w:sz w:val="16"/>
          <w:szCs w:val="16"/>
        </w:rPr>
        <w:t xml:space="preserve">všech okresů </w:t>
      </w:r>
      <w:r w:rsidRPr="009321EE">
        <w:rPr>
          <w:color w:val="0D0D0D" w:themeColor="text1" w:themeTint="F2"/>
          <w:spacing w:val="-4"/>
          <w:sz w:val="16"/>
          <w:szCs w:val="16"/>
        </w:rPr>
        <w:t xml:space="preserve">ČR. </w:t>
      </w:r>
      <w:r>
        <w:rPr>
          <w:color w:val="0D0D0D" w:themeColor="text1" w:themeTint="F2"/>
          <w:spacing w:val="-4"/>
          <w:sz w:val="16"/>
          <w:szCs w:val="16"/>
        </w:rPr>
        <w:t xml:space="preserve">Mírný meziroční pokles nabídky míst (o 9 tis.) byl způsoben nižším počtem pozic pro </w:t>
      </w:r>
      <w:r w:rsidR="005F5271">
        <w:rPr>
          <w:color w:val="0D0D0D" w:themeColor="text1" w:themeTint="F2"/>
          <w:spacing w:val="-4"/>
          <w:sz w:val="16"/>
          <w:szCs w:val="16"/>
        </w:rPr>
        <w:t>osoby se základním vzděláním (o</w:t>
      </w:r>
      <w:r w:rsidR="005F5271">
        <w:rPr>
          <w:sz w:val="16"/>
          <w:szCs w:val="16"/>
        </w:rPr>
        <w:t> </w:t>
      </w:r>
      <w:r>
        <w:rPr>
          <w:color w:val="0D0D0D" w:themeColor="text1" w:themeTint="F2"/>
          <w:spacing w:val="-4"/>
          <w:sz w:val="16"/>
          <w:szCs w:val="16"/>
        </w:rPr>
        <w:t>17 tis.), naopak míst vyžadujících alespoň maturitu o 5 tis, přibylo (na 43 tis.)</w:t>
      </w:r>
      <w:r w:rsidRPr="009321EE">
        <w:rPr>
          <w:color w:val="0D0D0D" w:themeColor="text1" w:themeTint="F2"/>
          <w:spacing w:val="-4"/>
          <w:sz w:val="16"/>
          <w:szCs w:val="16"/>
        </w:rPr>
        <w:t xml:space="preserve">. </w:t>
      </w:r>
      <w:r>
        <w:rPr>
          <w:color w:val="0D0D0D" w:themeColor="text1" w:themeTint="F2"/>
          <w:spacing w:val="-4"/>
          <w:sz w:val="16"/>
          <w:szCs w:val="16"/>
        </w:rPr>
        <w:t xml:space="preserve">Ke snížené celkové nabídce míst v ČR přispěl hlavně Plzeňský kraj (z okresů pak </w:t>
      </w:r>
      <w:r w:rsidRPr="00EF794B">
        <w:rPr>
          <w:color w:val="0D0D0D" w:themeColor="text1" w:themeTint="F2"/>
          <w:spacing w:val="-4"/>
          <w:sz w:val="16"/>
          <w:szCs w:val="16"/>
        </w:rPr>
        <w:t>Praha-východ</w:t>
      </w:r>
      <w:r>
        <w:rPr>
          <w:color w:val="0D0D0D" w:themeColor="text1" w:themeTint="F2"/>
          <w:spacing w:val="-4"/>
          <w:sz w:val="16"/>
          <w:szCs w:val="16"/>
        </w:rPr>
        <w:t>), naproti tomu ve všech moravských krajích se počet míst navýšil.</w:t>
      </w:r>
    </w:p>
  </w:footnote>
  <w:footnote w:id="14">
    <w:p w14:paraId="5FC28BA1" w14:textId="252E87E4" w:rsidR="00825120" w:rsidRPr="00265E8A" w:rsidRDefault="00825120" w:rsidP="007B1D1B">
      <w:pPr>
        <w:pStyle w:val="Textpoznpodarou"/>
        <w:rPr>
          <w:sz w:val="16"/>
          <w:szCs w:val="16"/>
        </w:rPr>
      </w:pPr>
      <w:r w:rsidRPr="00265E8A">
        <w:rPr>
          <w:rStyle w:val="Znakapoznpodarou"/>
          <w:sz w:val="16"/>
          <w:szCs w:val="16"/>
        </w:rPr>
        <w:footnoteRef/>
      </w:r>
      <w:r w:rsidRPr="00265E8A">
        <w:rPr>
          <w:sz w:val="16"/>
          <w:szCs w:val="16"/>
        </w:rPr>
        <w:t xml:space="preserve"> </w:t>
      </w:r>
      <w:r w:rsidRPr="00067F52">
        <w:rPr>
          <w:spacing w:val="-4"/>
          <w:sz w:val="16"/>
          <w:szCs w:val="16"/>
        </w:rPr>
        <w:t>Jde např. o pozice nabízené firmami, jež ukončily svou činnost, dále o pozice, které již nejsou aktuální, ale</w:t>
      </w:r>
      <w:r w:rsidR="005F5271">
        <w:rPr>
          <w:spacing w:val="-4"/>
          <w:sz w:val="16"/>
          <w:szCs w:val="16"/>
        </w:rPr>
        <w:t xml:space="preserve"> z nabídky nebyly staženy, či o</w:t>
      </w:r>
      <w:r w:rsidR="005F5271">
        <w:rPr>
          <w:sz w:val="16"/>
          <w:szCs w:val="16"/>
        </w:rPr>
        <w:t> </w:t>
      </w:r>
      <w:r w:rsidRPr="00067F52">
        <w:rPr>
          <w:spacing w:val="-4"/>
          <w:sz w:val="16"/>
          <w:szCs w:val="16"/>
        </w:rPr>
        <w:t>pozice značně neatraktivní (kombinace velmi nízkého výdělku a relativně vyšších nároků na uchazeče) zůstávající dlouhodobě neobsazeny.</w:t>
      </w:r>
    </w:p>
  </w:footnote>
  <w:footnote w:id="15">
    <w:p w14:paraId="45738BD6" w14:textId="071A14E2" w:rsidR="00825120" w:rsidRPr="00BD1598" w:rsidRDefault="00825120" w:rsidP="007B1D1B">
      <w:pPr>
        <w:pStyle w:val="Textpoznpodarou"/>
        <w:rPr>
          <w:sz w:val="16"/>
          <w:szCs w:val="16"/>
        </w:rPr>
      </w:pPr>
      <w:r w:rsidRPr="00BD1598">
        <w:rPr>
          <w:rStyle w:val="Znakapoznpodarou"/>
          <w:sz w:val="16"/>
          <w:szCs w:val="16"/>
        </w:rPr>
        <w:footnoteRef/>
      </w:r>
      <w:r w:rsidR="005F5271">
        <w:rPr>
          <w:sz w:val="16"/>
          <w:szCs w:val="16"/>
        </w:rPr>
        <w:t xml:space="preserve"> Např. z</w:t>
      </w:r>
      <w:r w:rsidRPr="00BD1598">
        <w:rPr>
          <w:sz w:val="16"/>
          <w:szCs w:val="16"/>
        </w:rPr>
        <w:t xml:space="preserve"> analýzy Ministerstva financí (uvedené v aktuální Makroekonomické predikci ČR) </w:t>
      </w:r>
      <w:r w:rsidR="005F5271">
        <w:rPr>
          <w:sz w:val="16"/>
          <w:szCs w:val="16"/>
        </w:rPr>
        <w:t xml:space="preserve">nepřímo </w:t>
      </w:r>
      <w:r>
        <w:rPr>
          <w:sz w:val="16"/>
          <w:szCs w:val="16"/>
        </w:rPr>
        <w:t xml:space="preserve">plyne, že </w:t>
      </w:r>
      <w:r w:rsidRPr="00BD1598">
        <w:rPr>
          <w:sz w:val="16"/>
          <w:szCs w:val="16"/>
        </w:rPr>
        <w:t>není vhodné z</w:t>
      </w:r>
      <w:r>
        <w:rPr>
          <w:sz w:val="16"/>
          <w:szCs w:val="16"/>
        </w:rPr>
        <w:t xml:space="preserve">a </w:t>
      </w:r>
      <w:r w:rsidRPr="00BD1598">
        <w:rPr>
          <w:sz w:val="16"/>
          <w:szCs w:val="16"/>
        </w:rPr>
        <w:t>aktivní místa považovat t</w:t>
      </w:r>
      <w:r>
        <w:rPr>
          <w:sz w:val="16"/>
          <w:szCs w:val="16"/>
        </w:rPr>
        <w:t>a</w:t>
      </w:r>
      <w:r w:rsidRPr="00BD1598">
        <w:rPr>
          <w:sz w:val="16"/>
          <w:szCs w:val="16"/>
        </w:rPr>
        <w:t>, kter</w:t>
      </w:r>
      <w:r>
        <w:rPr>
          <w:sz w:val="16"/>
          <w:szCs w:val="16"/>
        </w:rPr>
        <w:t>á</w:t>
      </w:r>
      <w:r w:rsidRPr="00BD1598">
        <w:rPr>
          <w:sz w:val="16"/>
          <w:szCs w:val="16"/>
        </w:rPr>
        <w:t xml:space="preserve"> a) nabízí subjekt, který již zanikl nebo je v likvidaci, b) </w:t>
      </w:r>
      <w:r>
        <w:rPr>
          <w:sz w:val="16"/>
          <w:szCs w:val="16"/>
        </w:rPr>
        <w:t xml:space="preserve">byla </w:t>
      </w:r>
      <w:r w:rsidRPr="00BD1598">
        <w:rPr>
          <w:sz w:val="16"/>
          <w:szCs w:val="16"/>
        </w:rPr>
        <w:t>v nabídce voln</w:t>
      </w:r>
      <w:r>
        <w:rPr>
          <w:sz w:val="16"/>
          <w:szCs w:val="16"/>
        </w:rPr>
        <w:t>ých</w:t>
      </w:r>
      <w:r w:rsidRPr="00BD1598">
        <w:rPr>
          <w:sz w:val="16"/>
          <w:szCs w:val="16"/>
        </w:rPr>
        <w:t xml:space="preserve"> míst </w:t>
      </w:r>
      <w:r>
        <w:rPr>
          <w:sz w:val="16"/>
          <w:szCs w:val="16"/>
        </w:rPr>
        <w:t>na</w:t>
      </w:r>
      <w:r w:rsidRPr="00BD1598">
        <w:rPr>
          <w:sz w:val="16"/>
          <w:szCs w:val="16"/>
        </w:rPr>
        <w:t>posled</w:t>
      </w:r>
      <w:r>
        <w:rPr>
          <w:sz w:val="16"/>
          <w:szCs w:val="16"/>
        </w:rPr>
        <w:t>y</w:t>
      </w:r>
      <w:r w:rsidRPr="00BD1598">
        <w:rPr>
          <w:sz w:val="16"/>
          <w:szCs w:val="16"/>
        </w:rPr>
        <w:t xml:space="preserve"> změně</w:t>
      </w:r>
      <w:r>
        <w:rPr>
          <w:sz w:val="16"/>
          <w:szCs w:val="16"/>
        </w:rPr>
        <w:t>na</w:t>
      </w:r>
      <w:r w:rsidRPr="00BD1598">
        <w:rPr>
          <w:sz w:val="16"/>
          <w:szCs w:val="16"/>
        </w:rPr>
        <w:t xml:space="preserve"> před více než 6 mě</w:t>
      </w:r>
      <w:r>
        <w:rPr>
          <w:sz w:val="16"/>
          <w:szCs w:val="16"/>
        </w:rPr>
        <w:t>síci, c) nabízenou mzdou nedosahují úrovně</w:t>
      </w:r>
      <w:r w:rsidRPr="00BD1598">
        <w:rPr>
          <w:sz w:val="16"/>
          <w:szCs w:val="16"/>
        </w:rPr>
        <w:t xml:space="preserve"> minimální mzdy.</w:t>
      </w:r>
    </w:p>
  </w:footnote>
  <w:footnote w:id="16">
    <w:p w14:paraId="7CC85D3E" w14:textId="77777777" w:rsidR="00825120" w:rsidRPr="00C1247F" w:rsidRDefault="00825120" w:rsidP="007B1D1B">
      <w:pPr>
        <w:pStyle w:val="Textpoznpodarou"/>
        <w:rPr>
          <w:sz w:val="16"/>
          <w:szCs w:val="16"/>
        </w:rPr>
      </w:pPr>
      <w:r w:rsidRPr="00C1247F">
        <w:rPr>
          <w:rStyle w:val="Znakapoznpodarou"/>
          <w:sz w:val="16"/>
          <w:szCs w:val="16"/>
        </w:rPr>
        <w:footnoteRef/>
      </w:r>
      <w:r w:rsidRPr="00C1247F">
        <w:rPr>
          <w:sz w:val="16"/>
          <w:szCs w:val="16"/>
        </w:rPr>
        <w:t xml:space="preserve"> Nepřímo lze tak soudit i na základě údajů VŠPS. Ze 119 tis. nezaměstnaných osob </w:t>
      </w:r>
      <w:r>
        <w:rPr>
          <w:sz w:val="16"/>
          <w:szCs w:val="16"/>
        </w:rPr>
        <w:t xml:space="preserve">v ČR </w:t>
      </w:r>
      <w:r w:rsidRPr="00C1247F">
        <w:rPr>
          <w:sz w:val="16"/>
          <w:szCs w:val="16"/>
        </w:rPr>
        <w:t xml:space="preserve">ve 4. </w:t>
      </w:r>
      <w:r>
        <w:rPr>
          <w:sz w:val="16"/>
          <w:szCs w:val="16"/>
        </w:rPr>
        <w:t>čtvrtletí 2021 jich pětina hleda</w:t>
      </w:r>
      <w:r w:rsidRPr="00C1247F">
        <w:rPr>
          <w:sz w:val="16"/>
          <w:szCs w:val="16"/>
        </w:rPr>
        <w:t>la volné místo jinak než prostřednictvím úřadů práce (např. přes pracovní agentury, návštěvami podniků a firem, podáváním inzerátů</w:t>
      </w:r>
      <w:r>
        <w:rPr>
          <w:sz w:val="16"/>
          <w:szCs w:val="16"/>
        </w:rPr>
        <w:t xml:space="preserve">, </w:t>
      </w:r>
      <w:r w:rsidRPr="00C1247F">
        <w:rPr>
          <w:sz w:val="16"/>
          <w:szCs w:val="16"/>
        </w:rPr>
        <w:t>umisťováním a aktualizováním životopisů či přes své známé). Mezi nezaměstnanými se základním vzděláním tvořily tyto „alternativní formy“ jen desetinu preferovaných cest, u vysokoškoláků skoro třetinu.</w:t>
      </w:r>
    </w:p>
  </w:footnote>
  <w:footnote w:id="17">
    <w:p w14:paraId="2DADFED2" w14:textId="77777777" w:rsidR="00825120" w:rsidRPr="00B05A62" w:rsidRDefault="00825120" w:rsidP="007B1D1B">
      <w:pPr>
        <w:pStyle w:val="Textpoznpodarou"/>
        <w:rPr>
          <w:sz w:val="16"/>
          <w:szCs w:val="16"/>
        </w:rPr>
      </w:pPr>
      <w:r w:rsidRPr="00B05A62">
        <w:rPr>
          <w:rStyle w:val="Znakapoznpodarou"/>
          <w:sz w:val="16"/>
          <w:szCs w:val="16"/>
        </w:rPr>
        <w:footnoteRef/>
      </w:r>
      <w:r w:rsidRPr="00B05A62">
        <w:rPr>
          <w:sz w:val="16"/>
          <w:szCs w:val="16"/>
        </w:rPr>
        <w:t xml:space="preserve"> Skutečná poptávka po pracovnících ze strany těchto subjektů bude však patrně vyšší, </w:t>
      </w:r>
      <w:r w:rsidRPr="00385EE2">
        <w:rPr>
          <w:color w:val="0D0D0D" w:themeColor="text1" w:themeTint="F2"/>
          <w:sz w:val="16"/>
          <w:szCs w:val="16"/>
        </w:rPr>
        <w:t xml:space="preserve">neboť zhruba každý sedmý respondent </w:t>
      </w:r>
      <w:r w:rsidRPr="00B05A62">
        <w:rPr>
          <w:sz w:val="16"/>
          <w:szCs w:val="16"/>
        </w:rPr>
        <w:t>žádná volná místa neuvedl (mezi nimi byly zastoupeny i velké firmy).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A67" w14:textId="77777777" w:rsidR="00825120" w:rsidRDefault="00825120" w:rsidP="00937AE2">
    <w:pPr>
      <w:pStyle w:val="Zhlav"/>
    </w:pPr>
    <w:r>
      <w:t>Vývoj ekonomiky České republiky</w:t>
    </w:r>
  </w:p>
  <w:p w14:paraId="3E881AB3" w14:textId="77777777" w:rsidR="00825120" w:rsidRPr="006F5416" w:rsidRDefault="00825120" w:rsidP="00937A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D3DB" w14:textId="77777777" w:rsidR="00825120" w:rsidRDefault="00825120" w:rsidP="00937AE2">
    <w:pPr>
      <w:pStyle w:val="Zhlav"/>
    </w:pPr>
    <w:r>
      <w:t>Vývoj ekonomiky České republiky</w:t>
    </w:r>
  </w:p>
  <w:p w14:paraId="57266714" w14:textId="77777777" w:rsidR="00825120" w:rsidRPr="006F5416" w:rsidRDefault="00825120"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4"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2"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6"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1835756821">
    <w:abstractNumId w:val="24"/>
  </w:num>
  <w:num w:numId="2" w16cid:durableId="2128891545">
    <w:abstractNumId w:val="8"/>
  </w:num>
  <w:num w:numId="3" w16cid:durableId="1689477642">
    <w:abstractNumId w:val="3"/>
  </w:num>
  <w:num w:numId="4" w16cid:durableId="1804039572">
    <w:abstractNumId w:val="2"/>
  </w:num>
  <w:num w:numId="5" w16cid:durableId="1613583959">
    <w:abstractNumId w:val="1"/>
  </w:num>
  <w:num w:numId="6" w16cid:durableId="16590817">
    <w:abstractNumId w:val="0"/>
  </w:num>
  <w:num w:numId="7" w16cid:durableId="289477326">
    <w:abstractNumId w:val="9"/>
  </w:num>
  <w:num w:numId="8" w16cid:durableId="202140121">
    <w:abstractNumId w:val="7"/>
  </w:num>
  <w:num w:numId="9" w16cid:durableId="810100706">
    <w:abstractNumId w:val="6"/>
  </w:num>
  <w:num w:numId="10" w16cid:durableId="1002195951">
    <w:abstractNumId w:val="5"/>
  </w:num>
  <w:num w:numId="11" w16cid:durableId="270630198">
    <w:abstractNumId w:val="4"/>
  </w:num>
  <w:num w:numId="12" w16cid:durableId="559706410">
    <w:abstractNumId w:val="14"/>
  </w:num>
  <w:num w:numId="13" w16cid:durableId="500782980">
    <w:abstractNumId w:val="26"/>
  </w:num>
  <w:num w:numId="14" w16cid:durableId="1388721509">
    <w:abstractNumId w:val="13"/>
  </w:num>
  <w:num w:numId="15" w16cid:durableId="583422021">
    <w:abstractNumId w:val="19"/>
  </w:num>
  <w:num w:numId="16" w16cid:durableId="1698894308">
    <w:abstractNumId w:val="15"/>
  </w:num>
  <w:num w:numId="17" w16cid:durableId="764305198">
    <w:abstractNumId w:val="27"/>
  </w:num>
  <w:num w:numId="18" w16cid:durableId="998967631">
    <w:abstractNumId w:val="20"/>
  </w:num>
  <w:num w:numId="19" w16cid:durableId="937182363">
    <w:abstractNumId w:val="28"/>
  </w:num>
  <w:num w:numId="20" w16cid:durableId="1289119499">
    <w:abstractNumId w:val="29"/>
  </w:num>
  <w:num w:numId="21" w16cid:durableId="1520119771">
    <w:abstractNumId w:val="25"/>
  </w:num>
  <w:num w:numId="22" w16cid:durableId="1785418426">
    <w:abstractNumId w:val="18"/>
  </w:num>
  <w:num w:numId="23" w16cid:durableId="1335763447">
    <w:abstractNumId w:val="16"/>
  </w:num>
  <w:num w:numId="24" w16cid:durableId="926689859">
    <w:abstractNumId w:val="17"/>
  </w:num>
  <w:num w:numId="25" w16cid:durableId="878979949">
    <w:abstractNumId w:val="12"/>
  </w:num>
  <w:num w:numId="26" w16cid:durableId="1960405582">
    <w:abstractNumId w:val="22"/>
  </w:num>
  <w:num w:numId="27" w16cid:durableId="877012024">
    <w:abstractNumId w:val="21"/>
  </w:num>
  <w:num w:numId="28" w16cid:durableId="1361276676">
    <w:abstractNumId w:val="10"/>
  </w:num>
  <w:num w:numId="29" w16cid:durableId="890993651">
    <w:abstractNumId w:val="29"/>
  </w:num>
  <w:num w:numId="30" w16cid:durableId="1708287588">
    <w:abstractNumId w:val="23"/>
  </w:num>
  <w:num w:numId="31" w16cid:durableId="910695841">
    <w:abstractNumId w:val="11"/>
  </w:num>
  <w:num w:numId="32" w16cid:durableId="4797356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828"/>
    <w:rsid w:val="000005AF"/>
    <w:rsid w:val="00000B55"/>
    <w:rsid w:val="0000209D"/>
    <w:rsid w:val="00002566"/>
    <w:rsid w:val="0000370A"/>
    <w:rsid w:val="00003849"/>
    <w:rsid w:val="00003F5C"/>
    <w:rsid w:val="00004D5A"/>
    <w:rsid w:val="000056D5"/>
    <w:rsid w:val="00005D9E"/>
    <w:rsid w:val="000063D5"/>
    <w:rsid w:val="00006625"/>
    <w:rsid w:val="00006ABD"/>
    <w:rsid w:val="00006B67"/>
    <w:rsid w:val="00006C0B"/>
    <w:rsid w:val="000073A0"/>
    <w:rsid w:val="0000767A"/>
    <w:rsid w:val="00007ABE"/>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7CD"/>
    <w:rsid w:val="00084BFF"/>
    <w:rsid w:val="00085395"/>
    <w:rsid w:val="00086896"/>
    <w:rsid w:val="00086AC1"/>
    <w:rsid w:val="00086D19"/>
    <w:rsid w:val="00087634"/>
    <w:rsid w:val="00087F2B"/>
    <w:rsid w:val="00090694"/>
    <w:rsid w:val="00090EE2"/>
    <w:rsid w:val="00090FC6"/>
    <w:rsid w:val="000913B1"/>
    <w:rsid w:val="0009290F"/>
    <w:rsid w:val="00093241"/>
    <w:rsid w:val="00093868"/>
    <w:rsid w:val="00094A84"/>
    <w:rsid w:val="00095025"/>
    <w:rsid w:val="00095135"/>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A2C"/>
    <w:rsid w:val="000A3D9E"/>
    <w:rsid w:val="000A4A54"/>
    <w:rsid w:val="000A4ED9"/>
    <w:rsid w:val="000A5DB7"/>
    <w:rsid w:val="000A6753"/>
    <w:rsid w:val="000A6D94"/>
    <w:rsid w:val="000A7377"/>
    <w:rsid w:val="000A74A4"/>
    <w:rsid w:val="000A775A"/>
    <w:rsid w:val="000A7FF4"/>
    <w:rsid w:val="000B03CC"/>
    <w:rsid w:val="000B4212"/>
    <w:rsid w:val="000B67B7"/>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CDA"/>
    <w:rsid w:val="00102037"/>
    <w:rsid w:val="00103DCB"/>
    <w:rsid w:val="00104C4C"/>
    <w:rsid w:val="00105015"/>
    <w:rsid w:val="001055D2"/>
    <w:rsid w:val="001057C2"/>
    <w:rsid w:val="00107124"/>
    <w:rsid w:val="0011038E"/>
    <w:rsid w:val="00111573"/>
    <w:rsid w:val="001125EF"/>
    <w:rsid w:val="00112CAB"/>
    <w:rsid w:val="0011440C"/>
    <w:rsid w:val="00114C33"/>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ADC"/>
    <w:rsid w:val="00130D9F"/>
    <w:rsid w:val="00132C4D"/>
    <w:rsid w:val="00133FC1"/>
    <w:rsid w:val="00134659"/>
    <w:rsid w:val="00135111"/>
    <w:rsid w:val="00136A6F"/>
    <w:rsid w:val="00136C1A"/>
    <w:rsid w:val="00137812"/>
    <w:rsid w:val="001405FA"/>
    <w:rsid w:val="00140D1A"/>
    <w:rsid w:val="00141184"/>
    <w:rsid w:val="00141315"/>
    <w:rsid w:val="00141AA0"/>
    <w:rsid w:val="001425C3"/>
    <w:rsid w:val="0014262D"/>
    <w:rsid w:val="00142B29"/>
    <w:rsid w:val="00144108"/>
    <w:rsid w:val="00144588"/>
    <w:rsid w:val="001447DD"/>
    <w:rsid w:val="00145358"/>
    <w:rsid w:val="001459BC"/>
    <w:rsid w:val="00150ECA"/>
    <w:rsid w:val="00151707"/>
    <w:rsid w:val="00152C86"/>
    <w:rsid w:val="00152F4F"/>
    <w:rsid w:val="0015329F"/>
    <w:rsid w:val="001544A1"/>
    <w:rsid w:val="001553B8"/>
    <w:rsid w:val="001554C2"/>
    <w:rsid w:val="001571C0"/>
    <w:rsid w:val="0015753D"/>
    <w:rsid w:val="00157984"/>
    <w:rsid w:val="00157CC9"/>
    <w:rsid w:val="00160C21"/>
    <w:rsid w:val="001612F4"/>
    <w:rsid w:val="00161553"/>
    <w:rsid w:val="0016216F"/>
    <w:rsid w:val="0016256B"/>
    <w:rsid w:val="00162F81"/>
    <w:rsid w:val="00163793"/>
    <w:rsid w:val="00164CA1"/>
    <w:rsid w:val="00165313"/>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C22"/>
    <w:rsid w:val="00186BA9"/>
    <w:rsid w:val="00187D50"/>
    <w:rsid w:val="0019196C"/>
    <w:rsid w:val="001926A9"/>
    <w:rsid w:val="00192F05"/>
    <w:rsid w:val="00194729"/>
    <w:rsid w:val="00194850"/>
    <w:rsid w:val="00195234"/>
    <w:rsid w:val="00196016"/>
    <w:rsid w:val="00196117"/>
    <w:rsid w:val="00197A70"/>
    <w:rsid w:val="00197C0F"/>
    <w:rsid w:val="00197D0E"/>
    <w:rsid w:val="001A0487"/>
    <w:rsid w:val="001A0675"/>
    <w:rsid w:val="001A0A37"/>
    <w:rsid w:val="001A1F68"/>
    <w:rsid w:val="001A21FA"/>
    <w:rsid w:val="001A4D7C"/>
    <w:rsid w:val="001A4EF0"/>
    <w:rsid w:val="001A552F"/>
    <w:rsid w:val="001A70B1"/>
    <w:rsid w:val="001B0738"/>
    <w:rsid w:val="001B1235"/>
    <w:rsid w:val="001B158D"/>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4B8F"/>
    <w:rsid w:val="001C4BB8"/>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CD3"/>
    <w:rsid w:val="001F75DA"/>
    <w:rsid w:val="001F7CE0"/>
    <w:rsid w:val="00200085"/>
    <w:rsid w:val="00201633"/>
    <w:rsid w:val="00203332"/>
    <w:rsid w:val="00203CD5"/>
    <w:rsid w:val="00203D8F"/>
    <w:rsid w:val="00203DA4"/>
    <w:rsid w:val="00204EA6"/>
    <w:rsid w:val="00205186"/>
    <w:rsid w:val="00206516"/>
    <w:rsid w:val="002070CF"/>
    <w:rsid w:val="002071D5"/>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496"/>
    <w:rsid w:val="00251B08"/>
    <w:rsid w:val="00251C53"/>
    <w:rsid w:val="00252AB9"/>
    <w:rsid w:val="002532B1"/>
    <w:rsid w:val="00253C0F"/>
    <w:rsid w:val="002558C1"/>
    <w:rsid w:val="00256207"/>
    <w:rsid w:val="002575F3"/>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63A2"/>
    <w:rsid w:val="00276B33"/>
    <w:rsid w:val="00277669"/>
    <w:rsid w:val="002803A5"/>
    <w:rsid w:val="00280ACB"/>
    <w:rsid w:val="002812E3"/>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509B"/>
    <w:rsid w:val="0029588F"/>
    <w:rsid w:val="00295E96"/>
    <w:rsid w:val="00297256"/>
    <w:rsid w:val="00297A5C"/>
    <w:rsid w:val="00297D51"/>
    <w:rsid w:val="002A0122"/>
    <w:rsid w:val="002A016B"/>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E4C"/>
    <w:rsid w:val="002E4EA7"/>
    <w:rsid w:val="002E5846"/>
    <w:rsid w:val="002E792B"/>
    <w:rsid w:val="002E7AEB"/>
    <w:rsid w:val="002E7B79"/>
    <w:rsid w:val="002F1B09"/>
    <w:rsid w:val="002F1D56"/>
    <w:rsid w:val="002F1DCB"/>
    <w:rsid w:val="002F1DE4"/>
    <w:rsid w:val="002F333D"/>
    <w:rsid w:val="002F351A"/>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F89"/>
    <w:rsid w:val="0035506D"/>
    <w:rsid w:val="0036077F"/>
    <w:rsid w:val="00360C86"/>
    <w:rsid w:val="00360F7A"/>
    <w:rsid w:val="00360FBC"/>
    <w:rsid w:val="00361537"/>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6739"/>
    <w:rsid w:val="003978B1"/>
    <w:rsid w:val="003A04F6"/>
    <w:rsid w:val="003A0837"/>
    <w:rsid w:val="003A2B4D"/>
    <w:rsid w:val="003A2D12"/>
    <w:rsid w:val="003A2EBA"/>
    <w:rsid w:val="003A45E3"/>
    <w:rsid w:val="003A46B8"/>
    <w:rsid w:val="003A478C"/>
    <w:rsid w:val="003A4A38"/>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E8"/>
    <w:rsid w:val="003C3D2C"/>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EF8"/>
    <w:rsid w:val="003E2DFB"/>
    <w:rsid w:val="003E4466"/>
    <w:rsid w:val="003E4C91"/>
    <w:rsid w:val="003E52D8"/>
    <w:rsid w:val="003E62F1"/>
    <w:rsid w:val="003E6F84"/>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6FE5"/>
    <w:rsid w:val="00457490"/>
    <w:rsid w:val="0045778B"/>
    <w:rsid w:val="0045786C"/>
    <w:rsid w:val="00457953"/>
    <w:rsid w:val="004604D8"/>
    <w:rsid w:val="00460656"/>
    <w:rsid w:val="00460FB3"/>
    <w:rsid w:val="00463D3C"/>
    <w:rsid w:val="00464851"/>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368C"/>
    <w:rsid w:val="0048372F"/>
    <w:rsid w:val="00483A0C"/>
    <w:rsid w:val="004841CC"/>
    <w:rsid w:val="00484ECE"/>
    <w:rsid w:val="00485E82"/>
    <w:rsid w:val="00486132"/>
    <w:rsid w:val="0048686D"/>
    <w:rsid w:val="00486A4D"/>
    <w:rsid w:val="004915C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40D9"/>
    <w:rsid w:val="004A49A5"/>
    <w:rsid w:val="004A4F8A"/>
    <w:rsid w:val="004A52AB"/>
    <w:rsid w:val="004A5494"/>
    <w:rsid w:val="004A5D4E"/>
    <w:rsid w:val="004A61C5"/>
    <w:rsid w:val="004A62A0"/>
    <w:rsid w:val="004A77DF"/>
    <w:rsid w:val="004B1417"/>
    <w:rsid w:val="004B305C"/>
    <w:rsid w:val="004B31B8"/>
    <w:rsid w:val="004B339A"/>
    <w:rsid w:val="004B4C83"/>
    <w:rsid w:val="004B55B7"/>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12DF"/>
    <w:rsid w:val="004E186A"/>
    <w:rsid w:val="004E1A40"/>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5485"/>
    <w:rsid w:val="00515BE9"/>
    <w:rsid w:val="00515C74"/>
    <w:rsid w:val="00515CEB"/>
    <w:rsid w:val="0051630F"/>
    <w:rsid w:val="00517113"/>
    <w:rsid w:val="0052007E"/>
    <w:rsid w:val="00521CAD"/>
    <w:rsid w:val="0052200D"/>
    <w:rsid w:val="00522425"/>
    <w:rsid w:val="00522A1B"/>
    <w:rsid w:val="00522E01"/>
    <w:rsid w:val="0052337A"/>
    <w:rsid w:val="00524385"/>
    <w:rsid w:val="005246BE"/>
    <w:rsid w:val="00525137"/>
    <w:rsid w:val="005251DD"/>
    <w:rsid w:val="0052762C"/>
    <w:rsid w:val="0053012B"/>
    <w:rsid w:val="005301A6"/>
    <w:rsid w:val="00530A68"/>
    <w:rsid w:val="00530AD4"/>
    <w:rsid w:val="0053129F"/>
    <w:rsid w:val="00531C5A"/>
    <w:rsid w:val="00532CE7"/>
    <w:rsid w:val="00532D8B"/>
    <w:rsid w:val="0053324C"/>
    <w:rsid w:val="00533A8D"/>
    <w:rsid w:val="00534A28"/>
    <w:rsid w:val="00535018"/>
    <w:rsid w:val="0053595E"/>
    <w:rsid w:val="00537571"/>
    <w:rsid w:val="00540056"/>
    <w:rsid w:val="005410E2"/>
    <w:rsid w:val="00541508"/>
    <w:rsid w:val="00541AE3"/>
    <w:rsid w:val="00543498"/>
    <w:rsid w:val="00544011"/>
    <w:rsid w:val="00544BE5"/>
    <w:rsid w:val="005453A3"/>
    <w:rsid w:val="005455F6"/>
    <w:rsid w:val="0054582F"/>
    <w:rsid w:val="00546FC7"/>
    <w:rsid w:val="005500F9"/>
    <w:rsid w:val="00550160"/>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C41"/>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BC3"/>
    <w:rsid w:val="0057182A"/>
    <w:rsid w:val="00571E59"/>
    <w:rsid w:val="00572079"/>
    <w:rsid w:val="00572900"/>
    <w:rsid w:val="00573602"/>
    <w:rsid w:val="0057364B"/>
    <w:rsid w:val="00574773"/>
    <w:rsid w:val="005761EC"/>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948"/>
    <w:rsid w:val="005A0A03"/>
    <w:rsid w:val="005A10F2"/>
    <w:rsid w:val="005A16C0"/>
    <w:rsid w:val="005A2156"/>
    <w:rsid w:val="005A21E0"/>
    <w:rsid w:val="005A28FF"/>
    <w:rsid w:val="005A2C09"/>
    <w:rsid w:val="005A3778"/>
    <w:rsid w:val="005A37B0"/>
    <w:rsid w:val="005A3DF8"/>
    <w:rsid w:val="005A5549"/>
    <w:rsid w:val="005A566A"/>
    <w:rsid w:val="005A7ABD"/>
    <w:rsid w:val="005A7CF8"/>
    <w:rsid w:val="005B0EDA"/>
    <w:rsid w:val="005B121D"/>
    <w:rsid w:val="005B26B0"/>
    <w:rsid w:val="005B41C9"/>
    <w:rsid w:val="005B44E6"/>
    <w:rsid w:val="005B4853"/>
    <w:rsid w:val="005B6CA1"/>
    <w:rsid w:val="005B770C"/>
    <w:rsid w:val="005C06ED"/>
    <w:rsid w:val="005C0CE1"/>
    <w:rsid w:val="005C11B8"/>
    <w:rsid w:val="005C216C"/>
    <w:rsid w:val="005C2609"/>
    <w:rsid w:val="005C2B30"/>
    <w:rsid w:val="005C412B"/>
    <w:rsid w:val="005C43EC"/>
    <w:rsid w:val="005C45DD"/>
    <w:rsid w:val="005C4704"/>
    <w:rsid w:val="005C4CB1"/>
    <w:rsid w:val="005D3F06"/>
    <w:rsid w:val="005D4B73"/>
    <w:rsid w:val="005D5645"/>
    <w:rsid w:val="005D5802"/>
    <w:rsid w:val="005D5AA9"/>
    <w:rsid w:val="005D66E6"/>
    <w:rsid w:val="005D7119"/>
    <w:rsid w:val="005D76C8"/>
    <w:rsid w:val="005D7890"/>
    <w:rsid w:val="005E19C1"/>
    <w:rsid w:val="005E2194"/>
    <w:rsid w:val="005E24F0"/>
    <w:rsid w:val="005E3113"/>
    <w:rsid w:val="005E36FE"/>
    <w:rsid w:val="005E3F66"/>
    <w:rsid w:val="005E490F"/>
    <w:rsid w:val="005E4BC9"/>
    <w:rsid w:val="005E531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B77"/>
    <w:rsid w:val="0062131B"/>
    <w:rsid w:val="00621E26"/>
    <w:rsid w:val="006224EA"/>
    <w:rsid w:val="0062263A"/>
    <w:rsid w:val="006227DF"/>
    <w:rsid w:val="006236C8"/>
    <w:rsid w:val="00624093"/>
    <w:rsid w:val="00625A84"/>
    <w:rsid w:val="00626079"/>
    <w:rsid w:val="00631698"/>
    <w:rsid w:val="00631E44"/>
    <w:rsid w:val="00634C57"/>
    <w:rsid w:val="00634CE7"/>
    <w:rsid w:val="006350D5"/>
    <w:rsid w:val="0063642C"/>
    <w:rsid w:val="006376B3"/>
    <w:rsid w:val="00637858"/>
    <w:rsid w:val="006404A7"/>
    <w:rsid w:val="00640A38"/>
    <w:rsid w:val="00640E6B"/>
    <w:rsid w:val="00641787"/>
    <w:rsid w:val="0064179B"/>
    <w:rsid w:val="00642489"/>
    <w:rsid w:val="00644055"/>
    <w:rsid w:val="00644137"/>
    <w:rsid w:val="0064478C"/>
    <w:rsid w:val="00645160"/>
    <w:rsid w:val="006451E4"/>
    <w:rsid w:val="0064574B"/>
    <w:rsid w:val="00645B33"/>
    <w:rsid w:val="006516CB"/>
    <w:rsid w:val="00652E30"/>
    <w:rsid w:val="00653BD0"/>
    <w:rsid w:val="00654110"/>
    <w:rsid w:val="00656C5D"/>
    <w:rsid w:val="00656CFB"/>
    <w:rsid w:val="00656D25"/>
    <w:rsid w:val="00657E87"/>
    <w:rsid w:val="00660D2D"/>
    <w:rsid w:val="00661C41"/>
    <w:rsid w:val="00661EC9"/>
    <w:rsid w:val="00662469"/>
    <w:rsid w:val="0066411C"/>
    <w:rsid w:val="00664205"/>
    <w:rsid w:val="00664647"/>
    <w:rsid w:val="00664803"/>
    <w:rsid w:val="0066502F"/>
    <w:rsid w:val="006653CC"/>
    <w:rsid w:val="00665982"/>
    <w:rsid w:val="00665BA4"/>
    <w:rsid w:val="00666BF3"/>
    <w:rsid w:val="00667856"/>
    <w:rsid w:val="00667AF2"/>
    <w:rsid w:val="00670489"/>
    <w:rsid w:val="006710C9"/>
    <w:rsid w:val="00671D85"/>
    <w:rsid w:val="00672586"/>
    <w:rsid w:val="006741CD"/>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AEC"/>
    <w:rsid w:val="006C7CA6"/>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34E5"/>
    <w:rsid w:val="0074499B"/>
    <w:rsid w:val="007450BF"/>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B85"/>
    <w:rsid w:val="007644A2"/>
    <w:rsid w:val="00764974"/>
    <w:rsid w:val="00764D18"/>
    <w:rsid w:val="0076521E"/>
    <w:rsid w:val="00765BCC"/>
    <w:rsid w:val="0076600D"/>
    <w:rsid w:val="007661E9"/>
    <w:rsid w:val="00766460"/>
    <w:rsid w:val="00767062"/>
    <w:rsid w:val="00767601"/>
    <w:rsid w:val="00767777"/>
    <w:rsid w:val="00767933"/>
    <w:rsid w:val="00770CFC"/>
    <w:rsid w:val="0077130E"/>
    <w:rsid w:val="007715EE"/>
    <w:rsid w:val="00771972"/>
    <w:rsid w:val="00772279"/>
    <w:rsid w:val="00772DAB"/>
    <w:rsid w:val="00772FF9"/>
    <w:rsid w:val="0077348B"/>
    <w:rsid w:val="007743DB"/>
    <w:rsid w:val="00774D2C"/>
    <w:rsid w:val="0077605B"/>
    <w:rsid w:val="00776169"/>
    <w:rsid w:val="00776527"/>
    <w:rsid w:val="00777040"/>
    <w:rsid w:val="00777CE6"/>
    <w:rsid w:val="00777D57"/>
    <w:rsid w:val="00780EF1"/>
    <w:rsid w:val="00781A91"/>
    <w:rsid w:val="00781AD3"/>
    <w:rsid w:val="00781F36"/>
    <w:rsid w:val="00783576"/>
    <w:rsid w:val="00785778"/>
    <w:rsid w:val="00786C87"/>
    <w:rsid w:val="0078755E"/>
    <w:rsid w:val="007877C9"/>
    <w:rsid w:val="00790764"/>
    <w:rsid w:val="0079085F"/>
    <w:rsid w:val="00790E96"/>
    <w:rsid w:val="00791005"/>
    <w:rsid w:val="00793D78"/>
    <w:rsid w:val="0079420B"/>
    <w:rsid w:val="0079453C"/>
    <w:rsid w:val="00794677"/>
    <w:rsid w:val="00795759"/>
    <w:rsid w:val="007A170B"/>
    <w:rsid w:val="007A20EB"/>
    <w:rsid w:val="007A282C"/>
    <w:rsid w:val="007A293C"/>
    <w:rsid w:val="007A2A3A"/>
    <w:rsid w:val="007A33E2"/>
    <w:rsid w:val="007A3CAF"/>
    <w:rsid w:val="007A4664"/>
    <w:rsid w:val="007A4782"/>
    <w:rsid w:val="007A516D"/>
    <w:rsid w:val="007A5E65"/>
    <w:rsid w:val="007A65E1"/>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725"/>
    <w:rsid w:val="007B5C1F"/>
    <w:rsid w:val="007B6689"/>
    <w:rsid w:val="007B6747"/>
    <w:rsid w:val="007B6F72"/>
    <w:rsid w:val="007B74AA"/>
    <w:rsid w:val="007C10BD"/>
    <w:rsid w:val="007C162D"/>
    <w:rsid w:val="007C1F0C"/>
    <w:rsid w:val="007C1FFB"/>
    <w:rsid w:val="007C2D94"/>
    <w:rsid w:val="007C4A6B"/>
    <w:rsid w:val="007C5F92"/>
    <w:rsid w:val="007C622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34C"/>
    <w:rsid w:val="00807C82"/>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120"/>
    <w:rsid w:val="00825C4D"/>
    <w:rsid w:val="00826A08"/>
    <w:rsid w:val="00826AC0"/>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25D3"/>
    <w:rsid w:val="00862C0A"/>
    <w:rsid w:val="00863434"/>
    <w:rsid w:val="0086344F"/>
    <w:rsid w:val="008641AC"/>
    <w:rsid w:val="00865E4C"/>
    <w:rsid w:val="00866074"/>
    <w:rsid w:val="00867546"/>
    <w:rsid w:val="0086796D"/>
    <w:rsid w:val="00867DAB"/>
    <w:rsid w:val="0087000B"/>
    <w:rsid w:val="008701E4"/>
    <w:rsid w:val="008704E9"/>
    <w:rsid w:val="00870ECD"/>
    <w:rsid w:val="0087347C"/>
    <w:rsid w:val="008734E7"/>
    <w:rsid w:val="0087368D"/>
    <w:rsid w:val="008740CC"/>
    <w:rsid w:val="0087442A"/>
    <w:rsid w:val="00874FE8"/>
    <w:rsid w:val="00875A32"/>
    <w:rsid w:val="00876086"/>
    <w:rsid w:val="00876651"/>
    <w:rsid w:val="00876E83"/>
    <w:rsid w:val="008772BC"/>
    <w:rsid w:val="00880A0E"/>
    <w:rsid w:val="008817FE"/>
    <w:rsid w:val="00881CD7"/>
    <w:rsid w:val="00882911"/>
    <w:rsid w:val="00882F6E"/>
    <w:rsid w:val="00883202"/>
    <w:rsid w:val="00884E02"/>
    <w:rsid w:val="0088502B"/>
    <w:rsid w:val="00885D40"/>
    <w:rsid w:val="008873D4"/>
    <w:rsid w:val="00890CB1"/>
    <w:rsid w:val="00891EDF"/>
    <w:rsid w:val="00892872"/>
    <w:rsid w:val="0089296D"/>
    <w:rsid w:val="00893E85"/>
    <w:rsid w:val="00893EBE"/>
    <w:rsid w:val="00894031"/>
    <w:rsid w:val="00894C5D"/>
    <w:rsid w:val="00895508"/>
    <w:rsid w:val="008967E9"/>
    <w:rsid w:val="00896A5C"/>
    <w:rsid w:val="008972D2"/>
    <w:rsid w:val="0089754C"/>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314"/>
    <w:rsid w:val="008C0E88"/>
    <w:rsid w:val="008C1717"/>
    <w:rsid w:val="008C17F0"/>
    <w:rsid w:val="008C3B05"/>
    <w:rsid w:val="008C4B50"/>
    <w:rsid w:val="008C5A37"/>
    <w:rsid w:val="008C7569"/>
    <w:rsid w:val="008C79C3"/>
    <w:rsid w:val="008D006F"/>
    <w:rsid w:val="008D033D"/>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F06"/>
    <w:rsid w:val="008E7000"/>
    <w:rsid w:val="008E723E"/>
    <w:rsid w:val="008E7B8E"/>
    <w:rsid w:val="008E7FC9"/>
    <w:rsid w:val="008F0107"/>
    <w:rsid w:val="008F029B"/>
    <w:rsid w:val="008F0589"/>
    <w:rsid w:val="008F2A5D"/>
    <w:rsid w:val="008F2BC7"/>
    <w:rsid w:val="008F3636"/>
    <w:rsid w:val="008F3FC9"/>
    <w:rsid w:val="008F509F"/>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443"/>
    <w:rsid w:val="00932B32"/>
    <w:rsid w:val="0093305E"/>
    <w:rsid w:val="00933F4A"/>
    <w:rsid w:val="009341F1"/>
    <w:rsid w:val="00934FF2"/>
    <w:rsid w:val="009358D7"/>
    <w:rsid w:val="00935BD4"/>
    <w:rsid w:val="00935DFE"/>
    <w:rsid w:val="00935F70"/>
    <w:rsid w:val="0093648B"/>
    <w:rsid w:val="00937017"/>
    <w:rsid w:val="009373B2"/>
    <w:rsid w:val="00937AE2"/>
    <w:rsid w:val="0094061F"/>
    <w:rsid w:val="00940F0F"/>
    <w:rsid w:val="00941912"/>
    <w:rsid w:val="0094416B"/>
    <w:rsid w:val="0094427A"/>
    <w:rsid w:val="009449C6"/>
    <w:rsid w:val="00944C7C"/>
    <w:rsid w:val="00945245"/>
    <w:rsid w:val="00945523"/>
    <w:rsid w:val="00950921"/>
    <w:rsid w:val="00951D68"/>
    <w:rsid w:val="00951E5B"/>
    <w:rsid w:val="00952050"/>
    <w:rsid w:val="00952315"/>
    <w:rsid w:val="009523D9"/>
    <w:rsid w:val="00952B7B"/>
    <w:rsid w:val="0095357B"/>
    <w:rsid w:val="009538B3"/>
    <w:rsid w:val="00954F39"/>
    <w:rsid w:val="009555F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D"/>
    <w:rsid w:val="00980D3D"/>
    <w:rsid w:val="0098103E"/>
    <w:rsid w:val="0098157D"/>
    <w:rsid w:val="00983101"/>
    <w:rsid w:val="00983E41"/>
    <w:rsid w:val="009845E1"/>
    <w:rsid w:val="00984D1B"/>
    <w:rsid w:val="00986246"/>
    <w:rsid w:val="00987A30"/>
    <w:rsid w:val="00990312"/>
    <w:rsid w:val="0099182E"/>
    <w:rsid w:val="00991D45"/>
    <w:rsid w:val="00992BB3"/>
    <w:rsid w:val="00992CF3"/>
    <w:rsid w:val="00993194"/>
    <w:rsid w:val="0099321E"/>
    <w:rsid w:val="00994171"/>
    <w:rsid w:val="00994868"/>
    <w:rsid w:val="00994976"/>
    <w:rsid w:val="00994D28"/>
    <w:rsid w:val="00994F2C"/>
    <w:rsid w:val="00995720"/>
    <w:rsid w:val="009957CC"/>
    <w:rsid w:val="009968D6"/>
    <w:rsid w:val="00997953"/>
    <w:rsid w:val="00997D55"/>
    <w:rsid w:val="009A0BFF"/>
    <w:rsid w:val="009A10A0"/>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66CE"/>
    <w:rsid w:val="009B6FD3"/>
    <w:rsid w:val="009B72BE"/>
    <w:rsid w:val="009B78A4"/>
    <w:rsid w:val="009B7DB2"/>
    <w:rsid w:val="009C03DB"/>
    <w:rsid w:val="009C15AF"/>
    <w:rsid w:val="009C1750"/>
    <w:rsid w:val="009C2E29"/>
    <w:rsid w:val="009C3E8F"/>
    <w:rsid w:val="009C554B"/>
    <w:rsid w:val="009C5CEF"/>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E1120"/>
    <w:rsid w:val="009E1393"/>
    <w:rsid w:val="009E1922"/>
    <w:rsid w:val="009E1A3D"/>
    <w:rsid w:val="009E4715"/>
    <w:rsid w:val="009E4A58"/>
    <w:rsid w:val="009E5273"/>
    <w:rsid w:val="009E57A8"/>
    <w:rsid w:val="009E5B85"/>
    <w:rsid w:val="009E5DDB"/>
    <w:rsid w:val="009F1CA6"/>
    <w:rsid w:val="009F2921"/>
    <w:rsid w:val="009F42CF"/>
    <w:rsid w:val="009F4982"/>
    <w:rsid w:val="009F4CA7"/>
    <w:rsid w:val="009F4F6A"/>
    <w:rsid w:val="009F55BA"/>
    <w:rsid w:val="009F7D36"/>
    <w:rsid w:val="009F7D61"/>
    <w:rsid w:val="00A00E71"/>
    <w:rsid w:val="00A0187B"/>
    <w:rsid w:val="00A02E8B"/>
    <w:rsid w:val="00A0306F"/>
    <w:rsid w:val="00A03511"/>
    <w:rsid w:val="00A03B10"/>
    <w:rsid w:val="00A03E2E"/>
    <w:rsid w:val="00A04616"/>
    <w:rsid w:val="00A04717"/>
    <w:rsid w:val="00A05D8F"/>
    <w:rsid w:val="00A05EE4"/>
    <w:rsid w:val="00A06F99"/>
    <w:rsid w:val="00A1053B"/>
    <w:rsid w:val="00A10D66"/>
    <w:rsid w:val="00A113A4"/>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FE1"/>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731E"/>
    <w:rsid w:val="00A309AC"/>
    <w:rsid w:val="00A30F65"/>
    <w:rsid w:val="00A315D0"/>
    <w:rsid w:val="00A3279E"/>
    <w:rsid w:val="00A33DB1"/>
    <w:rsid w:val="00A33EEB"/>
    <w:rsid w:val="00A35900"/>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8BA"/>
    <w:rsid w:val="00A50D73"/>
    <w:rsid w:val="00A518BB"/>
    <w:rsid w:val="00A52A88"/>
    <w:rsid w:val="00A52CAD"/>
    <w:rsid w:val="00A53FC7"/>
    <w:rsid w:val="00A55569"/>
    <w:rsid w:val="00A55C36"/>
    <w:rsid w:val="00A566A0"/>
    <w:rsid w:val="00A601E7"/>
    <w:rsid w:val="00A60AC1"/>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1652"/>
    <w:rsid w:val="00A82BF0"/>
    <w:rsid w:val="00A82C91"/>
    <w:rsid w:val="00A83150"/>
    <w:rsid w:val="00A83398"/>
    <w:rsid w:val="00A83D6E"/>
    <w:rsid w:val="00A83FD5"/>
    <w:rsid w:val="00A8521A"/>
    <w:rsid w:val="00A857C0"/>
    <w:rsid w:val="00A85ACB"/>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D0B22"/>
    <w:rsid w:val="00AD0EE7"/>
    <w:rsid w:val="00AD168E"/>
    <w:rsid w:val="00AD306C"/>
    <w:rsid w:val="00AD44CD"/>
    <w:rsid w:val="00AD47A7"/>
    <w:rsid w:val="00AD5AD2"/>
    <w:rsid w:val="00AD6462"/>
    <w:rsid w:val="00AD66C5"/>
    <w:rsid w:val="00AD68C4"/>
    <w:rsid w:val="00AD71F9"/>
    <w:rsid w:val="00AE09B3"/>
    <w:rsid w:val="00AE1A83"/>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776"/>
    <w:rsid w:val="00AF6F98"/>
    <w:rsid w:val="00AF7277"/>
    <w:rsid w:val="00B00550"/>
    <w:rsid w:val="00B00913"/>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3108D"/>
    <w:rsid w:val="00B32DDB"/>
    <w:rsid w:val="00B32F57"/>
    <w:rsid w:val="00B3345C"/>
    <w:rsid w:val="00B343C4"/>
    <w:rsid w:val="00B34528"/>
    <w:rsid w:val="00B34750"/>
    <w:rsid w:val="00B34CC9"/>
    <w:rsid w:val="00B34CDA"/>
    <w:rsid w:val="00B3563B"/>
    <w:rsid w:val="00B36BDC"/>
    <w:rsid w:val="00B37D3A"/>
    <w:rsid w:val="00B37D96"/>
    <w:rsid w:val="00B402FC"/>
    <w:rsid w:val="00B422E2"/>
    <w:rsid w:val="00B42517"/>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3A11"/>
    <w:rsid w:val="00B64425"/>
    <w:rsid w:val="00B64C24"/>
    <w:rsid w:val="00B64E72"/>
    <w:rsid w:val="00B65CEF"/>
    <w:rsid w:val="00B6608F"/>
    <w:rsid w:val="00B67749"/>
    <w:rsid w:val="00B679FB"/>
    <w:rsid w:val="00B71FBF"/>
    <w:rsid w:val="00B734A0"/>
    <w:rsid w:val="00B73A14"/>
    <w:rsid w:val="00B748BD"/>
    <w:rsid w:val="00B76100"/>
    <w:rsid w:val="00B7680F"/>
    <w:rsid w:val="00B76B48"/>
    <w:rsid w:val="00B76D1E"/>
    <w:rsid w:val="00B77543"/>
    <w:rsid w:val="00B77584"/>
    <w:rsid w:val="00B77E3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D23"/>
    <w:rsid w:val="00C03D4D"/>
    <w:rsid w:val="00C044F4"/>
    <w:rsid w:val="00C04B78"/>
    <w:rsid w:val="00C052AA"/>
    <w:rsid w:val="00C06EE3"/>
    <w:rsid w:val="00C07279"/>
    <w:rsid w:val="00C07749"/>
    <w:rsid w:val="00C07C67"/>
    <w:rsid w:val="00C11244"/>
    <w:rsid w:val="00C11D48"/>
    <w:rsid w:val="00C12304"/>
    <w:rsid w:val="00C12316"/>
    <w:rsid w:val="00C1246C"/>
    <w:rsid w:val="00C1493E"/>
    <w:rsid w:val="00C15DBD"/>
    <w:rsid w:val="00C161C5"/>
    <w:rsid w:val="00C172F7"/>
    <w:rsid w:val="00C2010D"/>
    <w:rsid w:val="00C20CB5"/>
    <w:rsid w:val="00C21430"/>
    <w:rsid w:val="00C216DF"/>
    <w:rsid w:val="00C21E61"/>
    <w:rsid w:val="00C21F94"/>
    <w:rsid w:val="00C224BD"/>
    <w:rsid w:val="00C234DB"/>
    <w:rsid w:val="00C23C5C"/>
    <w:rsid w:val="00C2479A"/>
    <w:rsid w:val="00C24903"/>
    <w:rsid w:val="00C2590D"/>
    <w:rsid w:val="00C25D9C"/>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4022"/>
    <w:rsid w:val="00CB4930"/>
    <w:rsid w:val="00CB4BA9"/>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62FA"/>
    <w:rsid w:val="00CE670B"/>
    <w:rsid w:val="00CE6833"/>
    <w:rsid w:val="00CF020B"/>
    <w:rsid w:val="00CF15BF"/>
    <w:rsid w:val="00CF2E4D"/>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10C15"/>
    <w:rsid w:val="00D11011"/>
    <w:rsid w:val="00D11476"/>
    <w:rsid w:val="00D12C25"/>
    <w:rsid w:val="00D133B4"/>
    <w:rsid w:val="00D13986"/>
    <w:rsid w:val="00D13F3E"/>
    <w:rsid w:val="00D14C5B"/>
    <w:rsid w:val="00D15FED"/>
    <w:rsid w:val="00D16712"/>
    <w:rsid w:val="00D214EF"/>
    <w:rsid w:val="00D215B0"/>
    <w:rsid w:val="00D21D6D"/>
    <w:rsid w:val="00D21D83"/>
    <w:rsid w:val="00D22A47"/>
    <w:rsid w:val="00D235B7"/>
    <w:rsid w:val="00D23A99"/>
    <w:rsid w:val="00D23FAE"/>
    <w:rsid w:val="00D25F28"/>
    <w:rsid w:val="00D26071"/>
    <w:rsid w:val="00D260C7"/>
    <w:rsid w:val="00D269B9"/>
    <w:rsid w:val="00D27973"/>
    <w:rsid w:val="00D27F3A"/>
    <w:rsid w:val="00D31537"/>
    <w:rsid w:val="00D31E1E"/>
    <w:rsid w:val="00D322A0"/>
    <w:rsid w:val="00D32824"/>
    <w:rsid w:val="00D334E2"/>
    <w:rsid w:val="00D350B1"/>
    <w:rsid w:val="00D35AD6"/>
    <w:rsid w:val="00D35BBB"/>
    <w:rsid w:val="00D35E1A"/>
    <w:rsid w:val="00D36B0A"/>
    <w:rsid w:val="00D36DFB"/>
    <w:rsid w:val="00D36E1C"/>
    <w:rsid w:val="00D373AF"/>
    <w:rsid w:val="00D40556"/>
    <w:rsid w:val="00D41F74"/>
    <w:rsid w:val="00D428C8"/>
    <w:rsid w:val="00D43034"/>
    <w:rsid w:val="00D43ED2"/>
    <w:rsid w:val="00D50F46"/>
    <w:rsid w:val="00D533C4"/>
    <w:rsid w:val="00D5384E"/>
    <w:rsid w:val="00D544E7"/>
    <w:rsid w:val="00D5499F"/>
    <w:rsid w:val="00D5560A"/>
    <w:rsid w:val="00D56FBF"/>
    <w:rsid w:val="00D57677"/>
    <w:rsid w:val="00D5781F"/>
    <w:rsid w:val="00D60415"/>
    <w:rsid w:val="00D60E3C"/>
    <w:rsid w:val="00D60FA7"/>
    <w:rsid w:val="00D61FAB"/>
    <w:rsid w:val="00D63BE5"/>
    <w:rsid w:val="00D6475F"/>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32B8"/>
    <w:rsid w:val="00D95302"/>
    <w:rsid w:val="00D95889"/>
    <w:rsid w:val="00D95C5D"/>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2DFA"/>
    <w:rsid w:val="00DB2EC8"/>
    <w:rsid w:val="00DB321D"/>
    <w:rsid w:val="00DB459B"/>
    <w:rsid w:val="00DB47FD"/>
    <w:rsid w:val="00DB5E3A"/>
    <w:rsid w:val="00DB5E9A"/>
    <w:rsid w:val="00DB613B"/>
    <w:rsid w:val="00DB657E"/>
    <w:rsid w:val="00DB7342"/>
    <w:rsid w:val="00DB7489"/>
    <w:rsid w:val="00DC0CBB"/>
    <w:rsid w:val="00DC17D0"/>
    <w:rsid w:val="00DC1E5D"/>
    <w:rsid w:val="00DC2B41"/>
    <w:rsid w:val="00DC2EA7"/>
    <w:rsid w:val="00DC3128"/>
    <w:rsid w:val="00DC435B"/>
    <w:rsid w:val="00DC4AC4"/>
    <w:rsid w:val="00DC53D8"/>
    <w:rsid w:val="00DC56FE"/>
    <w:rsid w:val="00DC5B3B"/>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3E5D"/>
    <w:rsid w:val="00DE450F"/>
    <w:rsid w:val="00DE4865"/>
    <w:rsid w:val="00DE5CA6"/>
    <w:rsid w:val="00DE5E55"/>
    <w:rsid w:val="00DE7156"/>
    <w:rsid w:val="00DE7AC8"/>
    <w:rsid w:val="00DF0830"/>
    <w:rsid w:val="00DF2C5D"/>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FB4"/>
    <w:rsid w:val="00E5539A"/>
    <w:rsid w:val="00E55791"/>
    <w:rsid w:val="00E55E1A"/>
    <w:rsid w:val="00E578A2"/>
    <w:rsid w:val="00E579ED"/>
    <w:rsid w:val="00E60043"/>
    <w:rsid w:val="00E61740"/>
    <w:rsid w:val="00E61EB5"/>
    <w:rsid w:val="00E6324D"/>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2618"/>
    <w:rsid w:val="00E82A42"/>
    <w:rsid w:val="00E84E09"/>
    <w:rsid w:val="00E87CE2"/>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3E60"/>
    <w:rsid w:val="00EB4511"/>
    <w:rsid w:val="00EB48D7"/>
    <w:rsid w:val="00EB49F1"/>
    <w:rsid w:val="00EB4A8E"/>
    <w:rsid w:val="00EB4BC5"/>
    <w:rsid w:val="00EB5BF7"/>
    <w:rsid w:val="00EB5E79"/>
    <w:rsid w:val="00EB6FAC"/>
    <w:rsid w:val="00EB7BAC"/>
    <w:rsid w:val="00EB7CC9"/>
    <w:rsid w:val="00EC03D7"/>
    <w:rsid w:val="00EC13A7"/>
    <w:rsid w:val="00EC2EB6"/>
    <w:rsid w:val="00EC4FFF"/>
    <w:rsid w:val="00EC5517"/>
    <w:rsid w:val="00EC6E8C"/>
    <w:rsid w:val="00ED0962"/>
    <w:rsid w:val="00ED0EF0"/>
    <w:rsid w:val="00ED12B9"/>
    <w:rsid w:val="00ED16B8"/>
    <w:rsid w:val="00ED1959"/>
    <w:rsid w:val="00ED1A00"/>
    <w:rsid w:val="00ED1DF0"/>
    <w:rsid w:val="00ED2386"/>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E06"/>
    <w:rsid w:val="00EE7179"/>
    <w:rsid w:val="00EF0D90"/>
    <w:rsid w:val="00EF150D"/>
    <w:rsid w:val="00EF1F5A"/>
    <w:rsid w:val="00EF23B5"/>
    <w:rsid w:val="00EF326A"/>
    <w:rsid w:val="00EF3898"/>
    <w:rsid w:val="00EF47BF"/>
    <w:rsid w:val="00EF52F7"/>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73ED"/>
    <w:rsid w:val="00F07C4C"/>
    <w:rsid w:val="00F07E45"/>
    <w:rsid w:val="00F10F11"/>
    <w:rsid w:val="00F11159"/>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FAA"/>
    <w:rsid w:val="00F25040"/>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A4D"/>
    <w:rsid w:val="00F91B66"/>
    <w:rsid w:val="00F93688"/>
    <w:rsid w:val="00F939F3"/>
    <w:rsid w:val="00F93C6E"/>
    <w:rsid w:val="00F93F2C"/>
    <w:rsid w:val="00F962AD"/>
    <w:rsid w:val="00F9644E"/>
    <w:rsid w:val="00FA0105"/>
    <w:rsid w:val="00FA05A0"/>
    <w:rsid w:val="00FA0AEF"/>
    <w:rsid w:val="00FA17CC"/>
    <w:rsid w:val="00FA1CFE"/>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916"/>
    <w:rsid w:val="00FD4D12"/>
    <w:rsid w:val="00FD4F73"/>
    <w:rsid w:val="00FD595E"/>
    <w:rsid w:val="00FD7802"/>
    <w:rsid w:val="00FD7D3B"/>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Q-makro-2022\Trh%20pr&#225;ce\Grafy-trh%20pr&#225;ce-1q-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kamenicky3604\Documents\JKAM%20CSU\PUBLIKACE\PUBLIKACE\2022\Q-Makro\Trh%20pr&#225;ce\Grafy-trh%20pr&#225;ce-1q-202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Q-makro-2022\Trh%20pr&#225;ce\Grafy-trh%20pr&#225;ce-1q-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2048E-2"/>
          <c:y val="1.4522051060224651E-2"/>
          <c:w val="0.84495121574960907"/>
          <c:h val="0.675571307394595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1-SNÚ'!$AC$28:$AC$57</c:f>
              <c:numCache>
                <c:formatCode>#\ ##0.0</c:formatCode>
                <c:ptCount val="30"/>
                <c:pt idx="0">
                  <c:v>-5.6677054184560781E-2</c:v>
                </c:pt>
                <c:pt idx="1">
                  <c:v>-5.1607322824015513E-2</c:v>
                </c:pt>
                <c:pt idx="2">
                  <c:v>-6.9891278713406377E-2</c:v>
                </c:pt>
                <c:pt idx="3">
                  <c:v>-0.14152766500586728</c:v>
                </c:pt>
                <c:pt idx="4">
                  <c:v>-0.11957614913941057</c:v>
                </c:pt>
                <c:pt idx="5">
                  <c:v>-3.02348639604662E-2</c:v>
                </c:pt>
                <c:pt idx="6">
                  <c:v>-4.7646022434106698E-2</c:v>
                </c:pt>
                <c:pt idx="7">
                  <c:v>5.3596790651858295E-2</c:v>
                </c:pt>
                <c:pt idx="8">
                  <c:v>0.10353112845488527</c:v>
                </c:pt>
                <c:pt idx="9">
                  <c:v>3.4547187522400186E-2</c:v>
                </c:pt>
                <c:pt idx="10">
                  <c:v>1.7808989286696726E-2</c:v>
                </c:pt>
                <c:pt idx="11">
                  <c:v>-9.5124644980561279E-2</c:v>
                </c:pt>
                <c:pt idx="12">
                  <c:v>3.2050098392482823E-2</c:v>
                </c:pt>
                <c:pt idx="13">
                  <c:v>2.9656752150723571E-2</c:v>
                </c:pt>
                <c:pt idx="14">
                  <c:v>1.6015798281392987E-2</c:v>
                </c:pt>
                <c:pt idx="15">
                  <c:v>8.185225491141454E-2</c:v>
                </c:pt>
                <c:pt idx="16">
                  <c:v>-3.1059507716079723E-2</c:v>
                </c:pt>
                <c:pt idx="17">
                  <c:v>-9.207748512930998E-2</c:v>
                </c:pt>
                <c:pt idx="18">
                  <c:v>-0.12566979454251256</c:v>
                </c:pt>
                <c:pt idx="19">
                  <c:v>-0.13346654214698095</c:v>
                </c:pt>
                <c:pt idx="20">
                  <c:v>-0.11129581706934633</c:v>
                </c:pt>
                <c:pt idx="21">
                  <c:v>-3.5239401139523695E-2</c:v>
                </c:pt>
                <c:pt idx="22">
                  <c:v>5.2608204632653276E-2</c:v>
                </c:pt>
                <c:pt idx="23">
                  <c:v>4.4272879849206082E-2</c:v>
                </c:pt>
                <c:pt idx="24">
                  <c:v>1.206569744457428E-2</c:v>
                </c:pt>
                <c:pt idx="25">
                  <c:v>-5.8581505694808828E-2</c:v>
                </c:pt>
                <c:pt idx="26">
                  <c:v>-8.8950126067353225E-2</c:v>
                </c:pt>
                <c:pt idx="27">
                  <c:v>-3.8876259187133444E-2</c:v>
                </c:pt>
                <c:pt idx="28">
                  <c:v>-2.6378015807968006E-2</c:v>
                </c:pt>
              </c:numCache>
            </c:numRef>
          </c:val>
          <c:extLst>
            <c:ext xmlns:c16="http://schemas.microsoft.com/office/drawing/2014/chart" uri="{C3380CC4-5D6E-409C-BE32-E72D297353CC}">
              <c16:uniqueId val="{00000000-C4FC-45FE-9ECA-2F409B5227C7}"/>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1-SNÚ'!$AD$28:$AD$57</c:f>
              <c:numCache>
                <c:formatCode>#\ ##0.0</c:formatCode>
                <c:ptCount val="30"/>
                <c:pt idx="0">
                  <c:v>0.8973211837957854</c:v>
                </c:pt>
                <c:pt idx="1">
                  <c:v>0.93240500328089182</c:v>
                </c:pt>
                <c:pt idx="2">
                  <c:v>0.78322390473214842</c:v>
                </c:pt>
                <c:pt idx="3">
                  <c:v>0.92856953615549465</c:v>
                </c:pt>
                <c:pt idx="4">
                  <c:v>0.86888766422551245</c:v>
                </c:pt>
                <c:pt idx="5">
                  <c:v>0.63466218902728611</c:v>
                </c:pt>
                <c:pt idx="6">
                  <c:v>0.67030166755296461</c:v>
                </c:pt>
                <c:pt idx="7">
                  <c:v>0.52226112325646856</c:v>
                </c:pt>
                <c:pt idx="8">
                  <c:v>0.25692544860143091</c:v>
                </c:pt>
                <c:pt idx="9">
                  <c:v>0.4029301034533323</c:v>
                </c:pt>
                <c:pt idx="10">
                  <c:v>0.49305079188297163</c:v>
                </c:pt>
                <c:pt idx="11">
                  <c:v>0.4790569189501015</c:v>
                </c:pt>
                <c:pt idx="12">
                  <c:v>0.34915953751387369</c:v>
                </c:pt>
                <c:pt idx="13">
                  <c:v>0.29129979245897197</c:v>
                </c:pt>
                <c:pt idx="14">
                  <c:v>9.8459913388051989E-2</c:v>
                </c:pt>
                <c:pt idx="15">
                  <c:v>8.7027357678158501E-2</c:v>
                </c:pt>
                <c:pt idx="16">
                  <c:v>0.15622524191719908</c:v>
                </c:pt>
                <c:pt idx="17">
                  <c:v>-1.4335858201041258E-2</c:v>
                </c:pt>
                <c:pt idx="18">
                  <c:v>-0.16956473525850688</c:v>
                </c:pt>
                <c:pt idx="19">
                  <c:v>-0.55893946933332894</c:v>
                </c:pt>
                <c:pt idx="20">
                  <c:v>-0.94324538896959975</c:v>
                </c:pt>
                <c:pt idx="21">
                  <c:v>-1.2295778121418588</c:v>
                </c:pt>
                <c:pt idx="22">
                  <c:v>-1.234377103936751</c:v>
                </c:pt>
                <c:pt idx="23">
                  <c:v>-1.0657457809109596</c:v>
                </c:pt>
                <c:pt idx="24">
                  <c:v>-0.57049805382709806</c:v>
                </c:pt>
                <c:pt idx="25">
                  <c:v>-0.15973874374756808</c:v>
                </c:pt>
                <c:pt idx="26">
                  <c:v>5.7756657199897851E-2</c:v>
                </c:pt>
                <c:pt idx="27">
                  <c:v>0.18206387854158756</c:v>
                </c:pt>
                <c:pt idx="28">
                  <c:v>0.10095243478506613</c:v>
                </c:pt>
              </c:numCache>
            </c:numRef>
          </c:val>
          <c:extLst>
            <c:ext xmlns:c16="http://schemas.microsoft.com/office/drawing/2014/chart" uri="{C3380CC4-5D6E-409C-BE32-E72D297353CC}">
              <c16:uniqueId val="{00000001-C4FC-45FE-9ECA-2F409B5227C7}"/>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1-SNÚ'!$AE$28:$AE$57</c:f>
              <c:numCache>
                <c:formatCode>#\ ##0.0</c:formatCode>
                <c:ptCount val="30"/>
                <c:pt idx="0">
                  <c:v>-0.10869652798016841</c:v>
                </c:pt>
                <c:pt idx="1">
                  <c:v>-0.10209615994424059</c:v>
                </c:pt>
                <c:pt idx="2">
                  <c:v>-0.16545690470928856</c:v>
                </c:pt>
                <c:pt idx="3">
                  <c:v>-0.17895019005421842</c:v>
                </c:pt>
                <c:pt idx="4">
                  <c:v>-0.11373322367009846</c:v>
                </c:pt>
                <c:pt idx="5">
                  <c:v>-0.12545154650943438</c:v>
                </c:pt>
                <c:pt idx="6">
                  <c:v>-3.1860386360670866E-2</c:v>
                </c:pt>
                <c:pt idx="7">
                  <c:v>1.8032205750158924E-2</c:v>
                </c:pt>
                <c:pt idx="8">
                  <c:v>-1.9444350441111414E-2</c:v>
                </c:pt>
                <c:pt idx="9">
                  <c:v>1.8614032242393937E-2</c:v>
                </c:pt>
                <c:pt idx="10">
                  <c:v>7.0286650681611176E-2</c:v>
                </c:pt>
                <c:pt idx="11">
                  <c:v>-6.0221710983330345E-2</c:v>
                </c:pt>
                <c:pt idx="12">
                  <c:v>9.978678488335628E-2</c:v>
                </c:pt>
                <c:pt idx="13">
                  <c:v>7.2735902872823929E-2</c:v>
                </c:pt>
                <c:pt idx="14">
                  <c:v>5.9649537087560163E-2</c:v>
                </c:pt>
                <c:pt idx="15">
                  <c:v>0.1162536574759572</c:v>
                </c:pt>
                <c:pt idx="16">
                  <c:v>2.9352533576366864E-2</c:v>
                </c:pt>
                <c:pt idx="17">
                  <c:v>9.3127798647895263E-2</c:v>
                </c:pt>
                <c:pt idx="18">
                  <c:v>0.10007825071187611</c:v>
                </c:pt>
                <c:pt idx="19">
                  <c:v>0.12319422069622019</c:v>
                </c:pt>
                <c:pt idx="20">
                  <c:v>0.2163727572715346</c:v>
                </c:pt>
                <c:pt idx="21">
                  <c:v>-8.4471727588227696E-3</c:v>
                </c:pt>
                <c:pt idx="22">
                  <c:v>7.7604469929050512E-2</c:v>
                </c:pt>
                <c:pt idx="23">
                  <c:v>0.12629596568001819</c:v>
                </c:pt>
                <c:pt idx="24">
                  <c:v>-5.7659577189048523E-2</c:v>
                </c:pt>
                <c:pt idx="25">
                  <c:v>0.15744952411439489</c:v>
                </c:pt>
                <c:pt idx="26">
                  <c:v>-3.7042244280103262E-2</c:v>
                </c:pt>
                <c:pt idx="27">
                  <c:v>6.0342141261348799E-2</c:v>
                </c:pt>
                <c:pt idx="28">
                  <c:v>0.25204194104513433</c:v>
                </c:pt>
              </c:numCache>
            </c:numRef>
          </c:val>
          <c:extLst>
            <c:ext xmlns:c16="http://schemas.microsoft.com/office/drawing/2014/chart" uri="{C3380CC4-5D6E-409C-BE32-E72D297353CC}">
              <c16:uniqueId val="{00000002-C4FC-45FE-9ECA-2F409B5227C7}"/>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1-SNÚ'!$AF$28:$AF$57</c:f>
              <c:numCache>
                <c:formatCode>#\ ##0.0</c:formatCode>
                <c:ptCount val="30"/>
                <c:pt idx="0">
                  <c:v>0.21725549029484031</c:v>
                </c:pt>
                <c:pt idx="1">
                  <c:v>0.47973225414506893</c:v>
                </c:pt>
                <c:pt idx="2">
                  <c:v>0.31856511270432697</c:v>
                </c:pt>
                <c:pt idx="3">
                  <c:v>0.19833353853058974</c:v>
                </c:pt>
                <c:pt idx="4">
                  <c:v>6.3068653986030024E-2</c:v>
                </c:pt>
                <c:pt idx="5">
                  <c:v>0.14785774033727989</c:v>
                </c:pt>
                <c:pt idx="6">
                  <c:v>6.688175479221287E-3</c:v>
                </c:pt>
                <c:pt idx="7">
                  <c:v>0.15925244395982574</c:v>
                </c:pt>
                <c:pt idx="8">
                  <c:v>0.19450086237701714</c:v>
                </c:pt>
                <c:pt idx="9">
                  <c:v>-6.8447922443940921E-4</c:v>
                </c:pt>
                <c:pt idx="10">
                  <c:v>0.33618739157733363</c:v>
                </c:pt>
                <c:pt idx="11">
                  <c:v>0.18398562829243031</c:v>
                </c:pt>
                <c:pt idx="12">
                  <c:v>0.17924314286166321</c:v>
                </c:pt>
                <c:pt idx="13">
                  <c:v>0.42149330932798285</c:v>
                </c:pt>
                <c:pt idx="14">
                  <c:v>0.20459251153416669</c:v>
                </c:pt>
                <c:pt idx="15">
                  <c:v>0.19123680116101013</c:v>
                </c:pt>
                <c:pt idx="16">
                  <c:v>0.41047161840073582</c:v>
                </c:pt>
                <c:pt idx="17">
                  <c:v>0.14533022317687969</c:v>
                </c:pt>
                <c:pt idx="18">
                  <c:v>-1.374599866894316E-2</c:v>
                </c:pt>
                <c:pt idx="19">
                  <c:v>-5.1195924649759174E-2</c:v>
                </c:pt>
                <c:pt idx="20">
                  <c:v>-0.40407980401338806</c:v>
                </c:pt>
                <c:pt idx="21">
                  <c:v>-0.94494481700761324</c:v>
                </c:pt>
                <c:pt idx="22">
                  <c:v>-0.75454827954039783</c:v>
                </c:pt>
                <c:pt idx="23">
                  <c:v>-1.2550326678789345</c:v>
                </c:pt>
                <c:pt idx="24">
                  <c:v>-1.1433499380312484</c:v>
                </c:pt>
                <c:pt idx="25">
                  <c:v>-0.49829931621759876</c:v>
                </c:pt>
                <c:pt idx="26">
                  <c:v>-0.15152452455266935</c:v>
                </c:pt>
                <c:pt idx="27">
                  <c:v>0.26626747922638316</c:v>
                </c:pt>
                <c:pt idx="28">
                  <c:v>0.41901478110957185</c:v>
                </c:pt>
              </c:numCache>
            </c:numRef>
          </c:val>
          <c:extLst>
            <c:ext xmlns:c16="http://schemas.microsoft.com/office/drawing/2014/chart" uri="{C3380CC4-5D6E-409C-BE32-E72D297353CC}">
              <c16:uniqueId val="{00000003-C4FC-45FE-9ECA-2F409B5227C7}"/>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1-SNÚ'!$AG$28:$AG$57</c:f>
              <c:numCache>
                <c:formatCode>#\ ##0.0</c:formatCode>
                <c:ptCount val="30"/>
                <c:pt idx="0">
                  <c:v>7.5857638402359439E-3</c:v>
                </c:pt>
                <c:pt idx="1">
                  <c:v>5.8337859602965066E-2</c:v>
                </c:pt>
                <c:pt idx="2">
                  <c:v>7.3076148277366471E-2</c:v>
                </c:pt>
                <c:pt idx="3">
                  <c:v>0.101592122918871</c:v>
                </c:pt>
                <c:pt idx="4">
                  <c:v>0.11899379776373163</c:v>
                </c:pt>
                <c:pt idx="5">
                  <c:v>0.11409419008550926</c:v>
                </c:pt>
                <c:pt idx="6">
                  <c:v>0.12987010483859668</c:v>
                </c:pt>
                <c:pt idx="7">
                  <c:v>0.16669217063926228</c:v>
                </c:pt>
                <c:pt idx="8">
                  <c:v>0.14027846527673005</c:v>
                </c:pt>
                <c:pt idx="9">
                  <c:v>0.1351276068914134</c:v>
                </c:pt>
                <c:pt idx="10">
                  <c:v>0.13451672611540119</c:v>
                </c:pt>
                <c:pt idx="11">
                  <c:v>0.11997176069642783</c:v>
                </c:pt>
                <c:pt idx="12">
                  <c:v>0.11565167779721315</c:v>
                </c:pt>
                <c:pt idx="13">
                  <c:v>0.13697970162157849</c:v>
                </c:pt>
                <c:pt idx="14">
                  <c:v>0.12890855314395611</c:v>
                </c:pt>
                <c:pt idx="15">
                  <c:v>0.14791858483650214</c:v>
                </c:pt>
                <c:pt idx="16">
                  <c:v>0.14590918081197787</c:v>
                </c:pt>
                <c:pt idx="17">
                  <c:v>8.1482217178668936E-2</c:v>
                </c:pt>
                <c:pt idx="18">
                  <c:v>0.13404655077835173</c:v>
                </c:pt>
                <c:pt idx="19">
                  <c:v>0.14640819444068129</c:v>
                </c:pt>
                <c:pt idx="20">
                  <c:v>0.2038062102293188</c:v>
                </c:pt>
                <c:pt idx="21">
                  <c:v>0.15911902598956371</c:v>
                </c:pt>
                <c:pt idx="22">
                  <c:v>0.16845309221485091</c:v>
                </c:pt>
                <c:pt idx="23">
                  <c:v>0.13904566814076619</c:v>
                </c:pt>
                <c:pt idx="24">
                  <c:v>0.11098217557313486</c:v>
                </c:pt>
                <c:pt idx="25">
                  <c:v>0.16790112522650527</c:v>
                </c:pt>
                <c:pt idx="26">
                  <c:v>0.11245770416818798</c:v>
                </c:pt>
                <c:pt idx="27">
                  <c:v>4.3610825444275837E-2</c:v>
                </c:pt>
                <c:pt idx="28">
                  <c:v>0.11578064795711672</c:v>
                </c:pt>
              </c:numCache>
            </c:numRef>
          </c:val>
          <c:extLst>
            <c:ext xmlns:c16="http://schemas.microsoft.com/office/drawing/2014/chart" uri="{C3380CC4-5D6E-409C-BE32-E72D297353CC}">
              <c16:uniqueId val="{00000004-C4FC-45FE-9ECA-2F409B5227C7}"/>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1-SNÚ'!$AH$28:$AH$57</c:f>
              <c:numCache>
                <c:formatCode>#\ ##0.0</c:formatCode>
                <c:ptCount val="30"/>
                <c:pt idx="0">
                  <c:v>0.10653478180808044</c:v>
                </c:pt>
                <c:pt idx="1">
                  <c:v>0.12599643340418387</c:v>
                </c:pt>
                <c:pt idx="2">
                  <c:v>0.26797844214547623</c:v>
                </c:pt>
                <c:pt idx="3">
                  <c:v>0.33512738074273013</c:v>
                </c:pt>
                <c:pt idx="4">
                  <c:v>0.23895818115359482</c:v>
                </c:pt>
                <c:pt idx="5">
                  <c:v>0.24936049791884499</c:v>
                </c:pt>
                <c:pt idx="6">
                  <c:v>0.24520740186355397</c:v>
                </c:pt>
                <c:pt idx="7">
                  <c:v>0.26629223246396738</c:v>
                </c:pt>
                <c:pt idx="8">
                  <c:v>0.40401039249864829</c:v>
                </c:pt>
                <c:pt idx="9">
                  <c:v>0.35370463922906481</c:v>
                </c:pt>
                <c:pt idx="10">
                  <c:v>0.31524569095555699</c:v>
                </c:pt>
                <c:pt idx="11">
                  <c:v>0.14696965180455621</c:v>
                </c:pt>
                <c:pt idx="12">
                  <c:v>0.1718005862096757</c:v>
                </c:pt>
                <c:pt idx="13">
                  <c:v>0.14108515593321466</c:v>
                </c:pt>
                <c:pt idx="14">
                  <c:v>9.7714992537754661E-2</c:v>
                </c:pt>
                <c:pt idx="15">
                  <c:v>0.19309834891883168</c:v>
                </c:pt>
                <c:pt idx="16">
                  <c:v>-1.7477930865320849E-2</c:v>
                </c:pt>
                <c:pt idx="17">
                  <c:v>-1.9200468181857312E-2</c:v>
                </c:pt>
                <c:pt idx="18">
                  <c:v>-2.754735035266059E-2</c:v>
                </c:pt>
                <c:pt idx="19">
                  <c:v>-0.21095077330513856</c:v>
                </c:pt>
                <c:pt idx="20">
                  <c:v>-0.16421146757214683</c:v>
                </c:pt>
                <c:pt idx="21">
                  <c:v>-0.27534110509954046</c:v>
                </c:pt>
                <c:pt idx="22">
                  <c:v>-0.39281161197175457</c:v>
                </c:pt>
                <c:pt idx="23">
                  <c:v>-0.22225133506938682</c:v>
                </c:pt>
                <c:pt idx="24">
                  <c:v>-0.23006375173502383</c:v>
                </c:pt>
                <c:pt idx="25">
                  <c:v>0.11667514491041682</c:v>
                </c:pt>
                <c:pt idx="26">
                  <c:v>0.19334701796810982</c:v>
                </c:pt>
                <c:pt idx="27">
                  <c:v>9.1484646801357192E-2</c:v>
                </c:pt>
                <c:pt idx="28">
                  <c:v>7.105106972274812E-2</c:v>
                </c:pt>
              </c:numCache>
            </c:numRef>
          </c:val>
          <c:extLst>
            <c:ext xmlns:c16="http://schemas.microsoft.com/office/drawing/2014/chart" uri="{C3380CC4-5D6E-409C-BE32-E72D297353CC}">
              <c16:uniqueId val="{00000005-C4FC-45FE-9ECA-2F409B5227C7}"/>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1-SNÚ'!$AI$28:$AI$57</c:f>
              <c:numCache>
                <c:formatCode>#\ ##0.0</c:formatCode>
                <c:ptCount val="30"/>
                <c:pt idx="0">
                  <c:v>0.22808387339320821</c:v>
                </c:pt>
                <c:pt idx="1">
                  <c:v>0.23731519476564394</c:v>
                </c:pt>
                <c:pt idx="2">
                  <c:v>0.11834818987059058</c:v>
                </c:pt>
                <c:pt idx="3">
                  <c:v>0.11257926718085437</c:v>
                </c:pt>
                <c:pt idx="4">
                  <c:v>0.34574201174059122</c:v>
                </c:pt>
                <c:pt idx="5">
                  <c:v>0.35302288864044334</c:v>
                </c:pt>
                <c:pt idx="6">
                  <c:v>0.44180506724700391</c:v>
                </c:pt>
                <c:pt idx="7">
                  <c:v>0.52441422245051739</c:v>
                </c:pt>
                <c:pt idx="8">
                  <c:v>0.4402223883053985</c:v>
                </c:pt>
                <c:pt idx="9">
                  <c:v>0.48225364024114387</c:v>
                </c:pt>
                <c:pt idx="10">
                  <c:v>0.54201601935673571</c:v>
                </c:pt>
                <c:pt idx="11">
                  <c:v>0.53510914430457346</c:v>
                </c:pt>
                <c:pt idx="12">
                  <c:v>0.4041402471607079</c:v>
                </c:pt>
                <c:pt idx="13">
                  <c:v>0.44415766669222101</c:v>
                </c:pt>
                <c:pt idx="14">
                  <c:v>0.30949599027729074</c:v>
                </c:pt>
                <c:pt idx="15">
                  <c:v>0.28546834866193815</c:v>
                </c:pt>
                <c:pt idx="16">
                  <c:v>0.18663535729751846</c:v>
                </c:pt>
                <c:pt idx="17">
                  <c:v>0.12854363343247277</c:v>
                </c:pt>
                <c:pt idx="18">
                  <c:v>0.15565267754524093</c:v>
                </c:pt>
                <c:pt idx="19">
                  <c:v>0.18823384737281104</c:v>
                </c:pt>
                <c:pt idx="20">
                  <c:v>0.39758494148644485</c:v>
                </c:pt>
                <c:pt idx="21">
                  <c:v>0.34783988347308897</c:v>
                </c:pt>
                <c:pt idx="22">
                  <c:v>0.48822845370744922</c:v>
                </c:pt>
                <c:pt idx="23">
                  <c:v>0.42506399334354628</c:v>
                </c:pt>
                <c:pt idx="24">
                  <c:v>0.43959172348757725</c:v>
                </c:pt>
                <c:pt idx="25">
                  <c:v>0.55815678039647132</c:v>
                </c:pt>
                <c:pt idx="26">
                  <c:v>0.54342996935015864</c:v>
                </c:pt>
                <c:pt idx="27">
                  <c:v>0.59746076346106969</c:v>
                </c:pt>
                <c:pt idx="28">
                  <c:v>0.48068281378062844</c:v>
                </c:pt>
              </c:numCache>
            </c:numRef>
          </c:val>
          <c:extLst>
            <c:ext xmlns:c16="http://schemas.microsoft.com/office/drawing/2014/chart" uri="{C3380CC4-5D6E-409C-BE32-E72D297353CC}">
              <c16:uniqueId val="{00000006-C4FC-45FE-9ECA-2F409B5227C7}"/>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1-SNÚ'!$AJ$28:$AJ$57</c:f>
              <c:numCache>
                <c:formatCode>#\ ##0.0</c:formatCode>
                <c:ptCount val="30"/>
                <c:pt idx="0">
                  <c:v>-5.233390960245677E-2</c:v>
                </c:pt>
                <c:pt idx="1">
                  <c:v>8.3788315003249514E-2</c:v>
                </c:pt>
                <c:pt idx="2">
                  <c:v>4.7987973307275944E-2</c:v>
                </c:pt>
                <c:pt idx="3">
                  <c:v>-2.0669078124050264E-2</c:v>
                </c:pt>
                <c:pt idx="4">
                  <c:v>0.12695259989801055</c:v>
                </c:pt>
                <c:pt idx="5">
                  <c:v>7.2154885803612609E-2</c:v>
                </c:pt>
                <c:pt idx="6">
                  <c:v>0.1033294200118309</c:v>
                </c:pt>
                <c:pt idx="7">
                  <c:v>0.18514730658825221</c:v>
                </c:pt>
                <c:pt idx="8">
                  <c:v>-4.7740946953249951E-2</c:v>
                </c:pt>
                <c:pt idx="9">
                  <c:v>-2.5097571562778392E-3</c:v>
                </c:pt>
                <c:pt idx="10">
                  <c:v>4.0668288968128352E-2</c:v>
                </c:pt>
                <c:pt idx="11">
                  <c:v>3.8449826749381966E-2</c:v>
                </c:pt>
                <c:pt idx="12">
                  <c:v>0.19957356976671253</c:v>
                </c:pt>
                <c:pt idx="13">
                  <c:v>0.1982053353284452</c:v>
                </c:pt>
                <c:pt idx="14">
                  <c:v>1.7449770918215368E-2</c:v>
                </c:pt>
                <c:pt idx="15">
                  <c:v>1.7777781087196014E-2</c:v>
                </c:pt>
                <c:pt idx="16">
                  <c:v>-3.7497768873474988E-2</c:v>
                </c:pt>
                <c:pt idx="17">
                  <c:v>2.0932564159875149E-2</c:v>
                </c:pt>
                <c:pt idx="18">
                  <c:v>0.11376889636604499</c:v>
                </c:pt>
                <c:pt idx="19">
                  <c:v>0.12518241194475455</c:v>
                </c:pt>
                <c:pt idx="20">
                  <c:v>7.6392830628521424E-2</c:v>
                </c:pt>
                <c:pt idx="21">
                  <c:v>-0.14874369423144443</c:v>
                </c:pt>
                <c:pt idx="22">
                  <c:v>-0.14330946500071517</c:v>
                </c:pt>
                <c:pt idx="23">
                  <c:v>-0.23261739750486451</c:v>
                </c:pt>
                <c:pt idx="24">
                  <c:v>-0.19227272701999015</c:v>
                </c:pt>
                <c:pt idx="25">
                  <c:v>9.9262064422017543E-3</c:v>
                </c:pt>
                <c:pt idx="26">
                  <c:v>-5.6219479046573727E-2</c:v>
                </c:pt>
                <c:pt idx="27">
                  <c:v>6.4039252760950044E-2</c:v>
                </c:pt>
                <c:pt idx="28">
                  <c:v>0.10622803794665975</c:v>
                </c:pt>
              </c:numCache>
            </c:numRef>
          </c:val>
          <c:extLst>
            <c:ext xmlns:c16="http://schemas.microsoft.com/office/drawing/2014/chart" uri="{C3380CC4-5D6E-409C-BE32-E72D297353CC}">
              <c16:uniqueId val="{00000007-C4FC-45FE-9ECA-2F409B5227C7}"/>
            </c:ext>
          </c:extLst>
        </c:ser>
        <c:dLbls>
          <c:showLegendKey val="0"/>
          <c:showVal val="0"/>
          <c:showCatName val="0"/>
          <c:showSerName val="0"/>
          <c:showPercent val="0"/>
          <c:showBubbleSize val="0"/>
        </c:dLbls>
        <c:gapWidth val="47"/>
        <c:overlap val="100"/>
        <c:axId val="101898496"/>
        <c:axId val="101781504"/>
      </c:barChart>
      <c:lineChart>
        <c:grouping val="standard"/>
        <c:varyColors val="0"/>
        <c:ser>
          <c:idx val="8"/>
          <c:order val="8"/>
          <c:tx>
            <c:strRef>
              <c:f>'Trh práce 1-SNÚ'!$AK$7</c:f>
              <c:strCache>
                <c:ptCount val="1"/>
                <c:pt idx="0">
                  <c:v>Zaměstnanost celkem</c:v>
                </c:pt>
              </c:strCache>
            </c:strRef>
          </c:tx>
          <c:spPr>
            <a:ln w="22225">
              <a:solidFill>
                <a:schemeClr val="tx1">
                  <a:lumMod val="95000"/>
                  <a:lumOff val="5000"/>
                </a:schemeClr>
              </a:solidFill>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1-SNÚ'!$AK$28:$AK$57</c:f>
              <c:numCache>
                <c:formatCode>#\ ##0.0</c:formatCode>
                <c:ptCount val="30"/>
                <c:pt idx="0">
                  <c:v>1.2390736013649644</c:v>
                </c:pt>
                <c:pt idx="1">
                  <c:v>1.763871577433747</c:v>
                </c:pt>
                <c:pt idx="2">
                  <c:v>1.3738315876144895</c:v>
                </c:pt>
                <c:pt idx="3">
                  <c:v>1.335054912344404</c:v>
                </c:pt>
                <c:pt idx="4">
                  <c:v>1.5292935359579616</c:v>
                </c:pt>
                <c:pt idx="5">
                  <c:v>1.4154659813430754</c:v>
                </c:pt>
                <c:pt idx="6">
                  <c:v>1.5176954281983939</c:v>
                </c:pt>
                <c:pt idx="7">
                  <c:v>1.8956884957603108</c:v>
                </c:pt>
                <c:pt idx="8">
                  <c:v>1.4722833881197488</c:v>
                </c:pt>
                <c:pt idx="9">
                  <c:v>1.4239829731990312</c:v>
                </c:pt>
                <c:pt idx="10">
                  <c:v>1.9497805488244353</c:v>
                </c:pt>
                <c:pt idx="11">
                  <c:v>1.3481965748335796</c:v>
                </c:pt>
                <c:pt idx="12">
                  <c:v>1.5514056445856852</c:v>
                </c:pt>
                <c:pt idx="13">
                  <c:v>1.7356136163859617</c:v>
                </c:pt>
                <c:pt idx="14">
                  <c:v>0.93228706716838872</c:v>
                </c:pt>
                <c:pt idx="15">
                  <c:v>1.1206331347310083</c:v>
                </c:pt>
                <c:pt idx="16">
                  <c:v>0.84255872454892256</c:v>
                </c:pt>
                <c:pt idx="17">
                  <c:v>0.34380262508358328</c:v>
                </c:pt>
                <c:pt idx="18">
                  <c:v>0.16701849657889056</c:v>
                </c:pt>
                <c:pt idx="19">
                  <c:v>-0.37153403498074056</c:v>
                </c:pt>
                <c:pt idx="20">
                  <c:v>-0.72867573800866126</c:v>
                </c:pt>
                <c:pt idx="21">
                  <c:v>-2.1353350929161508</c:v>
                </c:pt>
                <c:pt idx="22">
                  <c:v>-1.7381522399656149</c:v>
                </c:pt>
                <c:pt idx="23">
                  <c:v>-2.0409686743506086</c:v>
                </c:pt>
                <c:pt idx="24">
                  <c:v>-1.6312044512971227</c:v>
                </c:pt>
                <c:pt idx="25">
                  <c:v>0.29348921543001438</c:v>
                </c:pt>
                <c:pt idx="26">
                  <c:v>0.5732549747396547</c:v>
                </c:pt>
                <c:pt idx="27">
                  <c:v>1.2663927283098388</c:v>
                </c:pt>
                <c:pt idx="28">
                  <c:v>1.5193737105389573</c:v>
                </c:pt>
              </c:numCache>
            </c:numRef>
          </c:val>
          <c:smooth val="0"/>
          <c:extLst>
            <c:ext xmlns:c16="http://schemas.microsoft.com/office/drawing/2014/chart" uri="{C3380CC4-5D6E-409C-BE32-E72D297353CC}">
              <c16:uniqueId val="{00000008-C4FC-45FE-9ECA-2F409B5227C7}"/>
            </c:ext>
          </c:extLst>
        </c:ser>
        <c:dLbls>
          <c:showLegendKey val="0"/>
          <c:showVal val="0"/>
          <c:showCatName val="0"/>
          <c:showSerName val="0"/>
          <c:showPercent val="0"/>
          <c:showBubbleSize val="0"/>
        </c:dLbls>
        <c:marker val="1"/>
        <c:smooth val="0"/>
        <c:axId val="101898496"/>
        <c:axId val="101781504"/>
      </c:lineChart>
      <c:lineChart>
        <c:grouping val="standard"/>
        <c:varyColors val="0"/>
        <c:ser>
          <c:idx val="9"/>
          <c:order val="9"/>
          <c:tx>
            <c:strRef>
              <c:f>'Trh práce 1-SNÚ'!$AL$7</c:f>
              <c:strCache>
                <c:ptCount val="1"/>
              </c:strCache>
            </c:strRef>
          </c:tx>
          <c:spPr>
            <a:ln>
              <a:noFill/>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1-SNÚ'!$AL$28:$AL$57</c:f>
              <c:numCache>
                <c:formatCode>General</c:formatCode>
                <c:ptCount val="30"/>
              </c:numCache>
            </c:numRef>
          </c:val>
          <c:smooth val="0"/>
          <c:extLst>
            <c:ext xmlns:c16="http://schemas.microsoft.com/office/drawing/2014/chart" uri="{C3380CC4-5D6E-409C-BE32-E72D297353CC}">
              <c16:uniqueId val="{00000009-C4FC-45FE-9ECA-2F409B5227C7}"/>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1-SNÚ'!$AM$28:$AM$57</c:f>
              <c:numCache>
                <c:formatCode>#\ ##0.0</c:formatCode>
                <c:ptCount val="30"/>
                <c:pt idx="0">
                  <c:v>-3</c:v>
                </c:pt>
                <c:pt idx="1">
                  <c:v>4.3</c:v>
                </c:pt>
                <c:pt idx="2">
                  <c:v>5.5</c:v>
                </c:pt>
                <c:pt idx="3">
                  <c:v>7.8</c:v>
                </c:pt>
                <c:pt idx="4">
                  <c:v>8.1999999999999993</c:v>
                </c:pt>
                <c:pt idx="5">
                  <c:v>9.9</c:v>
                </c:pt>
                <c:pt idx="6">
                  <c:v>3.8</c:v>
                </c:pt>
                <c:pt idx="7">
                  <c:v>9.5</c:v>
                </c:pt>
                <c:pt idx="8">
                  <c:v>11.1</c:v>
                </c:pt>
                <c:pt idx="9">
                  <c:v>5.7</c:v>
                </c:pt>
                <c:pt idx="10">
                  <c:v>8.1999999999999993</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numCache>
            </c:numRef>
          </c:val>
          <c:smooth val="0"/>
          <c:extLst>
            <c:ext xmlns:c16="http://schemas.microsoft.com/office/drawing/2014/chart" uri="{C3380CC4-5D6E-409C-BE32-E72D297353CC}">
              <c16:uniqueId val="{0000000A-C4FC-45FE-9ECA-2F409B5227C7}"/>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1-SNÚ'!$AN$28:$AN$57</c:f>
              <c:numCache>
                <c:formatCode>#\ ##0.0</c:formatCode>
                <c:ptCount val="30"/>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5.5</c:v>
                </c:pt>
                <c:pt idx="21">
                  <c:v>-4.2</c:v>
                </c:pt>
                <c:pt idx="22">
                  <c:v>1.1000000000000001</c:v>
                </c:pt>
                <c:pt idx="23">
                  <c:v>-1.4</c:v>
                </c:pt>
                <c:pt idx="24">
                  <c:v>3.2</c:v>
                </c:pt>
                <c:pt idx="25">
                  <c:v>4.3</c:v>
                </c:pt>
                <c:pt idx="26">
                  <c:v>3.7</c:v>
                </c:pt>
                <c:pt idx="27">
                  <c:v>9</c:v>
                </c:pt>
                <c:pt idx="28">
                  <c:v>9</c:v>
                </c:pt>
                <c:pt idx="29">
                  <c:v>7.2</c:v>
                </c:pt>
              </c:numCache>
            </c:numRef>
          </c:val>
          <c:smooth val="0"/>
          <c:extLst>
            <c:ext xmlns:c16="http://schemas.microsoft.com/office/drawing/2014/chart" uri="{C3380CC4-5D6E-409C-BE32-E72D297353CC}">
              <c16:uniqueId val="{0000000B-C4FC-45FE-9ECA-2F409B5227C7}"/>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1-SNÚ'!$AO$28:$AO$57</c:f>
              <c:numCache>
                <c:formatCode>#\ ##0.0</c:formatCode>
                <c:ptCount val="30"/>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c:v>
                </c:pt>
                <c:pt idx="24">
                  <c:v>5.6</c:v>
                </c:pt>
                <c:pt idx="25">
                  <c:v>13.3</c:v>
                </c:pt>
                <c:pt idx="26">
                  <c:v>10.8</c:v>
                </c:pt>
                <c:pt idx="27">
                  <c:v>9.5</c:v>
                </c:pt>
                <c:pt idx="28">
                  <c:v>10.1</c:v>
                </c:pt>
                <c:pt idx="29">
                  <c:v>3.3</c:v>
                </c:pt>
              </c:numCache>
            </c:numRef>
          </c:val>
          <c:smooth val="0"/>
          <c:extLst>
            <c:ext xmlns:c16="http://schemas.microsoft.com/office/drawing/2014/chart" uri="{C3380CC4-5D6E-409C-BE32-E72D297353CC}">
              <c16:uniqueId val="{0000000C-C4FC-45FE-9ECA-2F409B5227C7}"/>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1-SNÚ'!$AA$28:$AB$57</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 1-SNÚ'!$AP$28:$AP$57</c:f>
              <c:numCache>
                <c:formatCode>#\ ##0.0</c:formatCode>
                <c:ptCount val="30"/>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-32.299999999999997</c:v>
                </c:pt>
                <c:pt idx="22">
                  <c:v>-28.6</c:v>
                </c:pt>
                <c:pt idx="23">
                  <c:v>-30.1</c:v>
                </c:pt>
                <c:pt idx="24">
                  <c:v>-27</c:v>
                </c:pt>
                <c:pt idx="25">
                  <c:v>-27.7</c:v>
                </c:pt>
                <c:pt idx="26">
                  <c:v>-12.1</c:v>
                </c:pt>
                <c:pt idx="27">
                  <c:v>-15.8</c:v>
                </c:pt>
                <c:pt idx="28">
                  <c:v>-6.8</c:v>
                </c:pt>
                <c:pt idx="29">
                  <c:v>-3.5</c:v>
                </c:pt>
              </c:numCache>
            </c:numRef>
          </c:val>
          <c:smooth val="0"/>
          <c:extLst>
            <c:ext xmlns:c16="http://schemas.microsoft.com/office/drawing/2014/chart" uri="{C3380CC4-5D6E-409C-BE32-E72D297353CC}">
              <c16:uniqueId val="{0000000D-C4FC-45FE-9ECA-2F409B5227C7}"/>
            </c:ext>
          </c:extLst>
        </c:ser>
        <c:dLbls>
          <c:showLegendKey val="0"/>
          <c:showVal val="0"/>
          <c:showCatName val="0"/>
          <c:showSerName val="0"/>
          <c:showPercent val="0"/>
          <c:showBubbleSize val="0"/>
        </c:dLbls>
        <c:marker val="1"/>
        <c:smooth val="0"/>
        <c:axId val="332941824"/>
        <c:axId val="332936832"/>
      </c:lineChart>
      <c:catAx>
        <c:axId val="101898496"/>
        <c:scaling>
          <c:orientation val="minMax"/>
        </c:scaling>
        <c:delete val="0"/>
        <c:axPos val="b"/>
        <c:numFmt formatCode="General" sourceLinked="1"/>
        <c:majorTickMark val="out"/>
        <c:minorTickMark val="none"/>
        <c:tickLblPos val="low"/>
        <c:spPr>
          <a:ln>
            <a:solidFill>
              <a:schemeClr val="tx1"/>
            </a:solidFill>
          </a:ln>
        </c:spPr>
        <c:crossAx val="101781504"/>
        <c:crosses val="autoZero"/>
        <c:auto val="1"/>
        <c:lblAlgn val="ctr"/>
        <c:lblOffset val="10"/>
        <c:noMultiLvlLbl val="0"/>
      </c:catAx>
      <c:valAx>
        <c:axId val="101781504"/>
        <c:scaling>
          <c:orientation val="minMax"/>
          <c:max val="2"/>
          <c:min val="-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101898496"/>
        <c:crosses val="autoZero"/>
        <c:crossBetween val="between"/>
        <c:majorUnit val="0.5"/>
      </c:valAx>
      <c:valAx>
        <c:axId val="332936832"/>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332941824"/>
        <c:crosses val="max"/>
        <c:crossBetween val="between"/>
        <c:majorUnit val="10"/>
      </c:valAx>
      <c:catAx>
        <c:axId val="332941824"/>
        <c:scaling>
          <c:orientation val="minMax"/>
        </c:scaling>
        <c:delete val="1"/>
        <c:axPos val="b"/>
        <c:numFmt formatCode="General" sourceLinked="1"/>
        <c:majorTickMark val="out"/>
        <c:minorTickMark val="none"/>
        <c:tickLblPos val="nextTo"/>
        <c:crossAx val="332936832"/>
        <c:crosses val="autoZero"/>
        <c:auto val="1"/>
        <c:lblAlgn val="ctr"/>
        <c:lblOffset val="100"/>
        <c:noMultiLvlLbl val="0"/>
      </c:catAx>
      <c:spPr>
        <a:ln>
          <a:solidFill>
            <a:schemeClr val="tx1"/>
          </a:solidFill>
        </a:ln>
      </c:spPr>
    </c:plotArea>
    <c:legend>
      <c:legendPos val="b"/>
      <c:layout>
        <c:manualLayout>
          <c:xMode val="edge"/>
          <c:yMode val="edge"/>
          <c:x val="1.5472441370721637E-2"/>
          <c:y val="0.77992823117070742"/>
          <c:w val="0.96005692595618608"/>
          <c:h val="0.2119461831534994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891E-2"/>
          <c:y val="1.6081916099773243E-2"/>
          <c:w val="0.83584199323558972"/>
          <c:h val="0.75393509070294773"/>
        </c:manualLayout>
      </c:layout>
      <c:barChart>
        <c:barDir val="col"/>
        <c:grouping val="clustered"/>
        <c:varyColors val="0"/>
        <c:ser>
          <c:idx val="0"/>
          <c:order val="0"/>
          <c:tx>
            <c:strRef>
              <c:f>'Trh práce-2b'!$A$30</c:f>
              <c:strCache>
                <c:ptCount val="1"/>
                <c:pt idx="0">
                  <c:v>Míra nezaměstnanosti mužů</c:v>
                </c:pt>
              </c:strCache>
            </c:strRef>
          </c:tx>
          <c:spPr>
            <a:solidFill>
              <a:srgbClr val="BCBCBC"/>
            </a:solidFill>
          </c:spPr>
          <c:invertIfNegative val="0"/>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práce-2b'!$B$30:$AE$30</c:f>
              <c:numCache>
                <c:formatCode>0.0</c:formatCode>
                <c:ptCount val="30"/>
                <c:pt idx="0">
                  <c:v>5.015654048517181</c:v>
                </c:pt>
                <c:pt idx="1">
                  <c:v>4.3097576556402695</c:v>
                </c:pt>
                <c:pt idx="2">
                  <c:v>4.0655681201340759</c:v>
                </c:pt>
                <c:pt idx="3">
                  <c:v>3.79427398622953</c:v>
                </c:pt>
                <c:pt idx="4">
                  <c:v>3.6458927178551099</c:v>
                </c:pt>
                <c:pt idx="5">
                  <c:v>3.5600663439817914</c:v>
                </c:pt>
                <c:pt idx="6">
                  <c:v>3.3966819627238949</c:v>
                </c:pt>
                <c:pt idx="7">
                  <c:v>3.1583063409409937</c:v>
                </c:pt>
                <c:pt idx="8">
                  <c:v>2.6907735187377972</c:v>
                </c:pt>
                <c:pt idx="9">
                  <c:v>2.4844729762431417</c:v>
                </c:pt>
                <c:pt idx="10">
                  <c:v>2.2541146548508895</c:v>
                </c:pt>
                <c:pt idx="11">
                  <c:v>2.0844989615311071</c:v>
                </c:pt>
                <c:pt idx="12">
                  <c:v>1.8921664936774081</c:v>
                </c:pt>
                <c:pt idx="13">
                  <c:v>1.825304181170899</c:v>
                </c:pt>
                <c:pt idx="14">
                  <c:v>1.8923026100268112</c:v>
                </c:pt>
                <c:pt idx="15">
                  <c:v>1.6805044261359985</c:v>
                </c:pt>
                <c:pt idx="16">
                  <c:v>1.8008133578139223</c:v>
                </c:pt>
                <c:pt idx="17">
                  <c:v>1.6716249228071138</c:v>
                </c:pt>
                <c:pt idx="18">
                  <c:v>1.7681274359620118</c:v>
                </c:pt>
                <c:pt idx="19">
                  <c:v>1.8584459344884465</c:v>
                </c:pt>
                <c:pt idx="20">
                  <c:v>1.8414263499555779</c:v>
                </c:pt>
                <c:pt idx="21">
                  <c:v>2.2751185675088745</c:v>
                </c:pt>
                <c:pt idx="22">
                  <c:v>2.5155872384670896</c:v>
                </c:pt>
                <c:pt idx="23">
                  <c:v>2.5657769523198475</c:v>
                </c:pt>
                <c:pt idx="24">
                  <c:v>2.6522349660034052</c:v>
                </c:pt>
                <c:pt idx="25">
                  <c:v>2.5456756438958865</c:v>
                </c:pt>
                <c:pt idx="26">
                  <c:v>2.2842750736319259</c:v>
                </c:pt>
                <c:pt idx="27">
                  <c:v>1.9602216336010911</c:v>
                </c:pt>
                <c:pt idx="28">
                  <c:v>1.973301273148494</c:v>
                </c:pt>
              </c:numCache>
            </c:numRef>
          </c:val>
          <c:extLst>
            <c:ext xmlns:c16="http://schemas.microsoft.com/office/drawing/2014/chart" uri="{C3380CC4-5D6E-409C-BE32-E72D297353CC}">
              <c16:uniqueId val="{00000000-617F-4E99-8051-C2AA001D52CB}"/>
            </c:ext>
          </c:extLst>
        </c:ser>
        <c:ser>
          <c:idx val="1"/>
          <c:order val="1"/>
          <c:tx>
            <c:strRef>
              <c:f>'Trh práce-2b'!$A$31</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práce-2b'!$B$31:$AE$31</c:f>
              <c:numCache>
                <c:formatCode>0.0</c:formatCode>
                <c:ptCount val="30"/>
                <c:pt idx="0">
                  <c:v>6.9307524048123526</c:v>
                </c:pt>
                <c:pt idx="1">
                  <c:v>6.170287809061648</c:v>
                </c:pt>
                <c:pt idx="2">
                  <c:v>5.9684614161324854</c:v>
                </c:pt>
                <c:pt idx="3">
                  <c:v>5.6750494734064985</c:v>
                </c:pt>
                <c:pt idx="4">
                  <c:v>5.0626344937886811</c:v>
                </c:pt>
                <c:pt idx="5">
                  <c:v>4.8137920103526461</c:v>
                </c:pt>
                <c:pt idx="6">
                  <c:v>4.7932172322640154</c:v>
                </c:pt>
                <c:pt idx="7">
                  <c:v>4.3581087136248824</c:v>
                </c:pt>
                <c:pt idx="8">
                  <c:v>4.2722649585445307</c:v>
                </c:pt>
                <c:pt idx="9">
                  <c:v>3.8986997207042671</c:v>
                </c:pt>
                <c:pt idx="10">
                  <c:v>3.3997973083172801</c:v>
                </c:pt>
                <c:pt idx="11">
                  <c:v>3.0210636946051381</c:v>
                </c:pt>
                <c:pt idx="12">
                  <c:v>2.9353495299400323</c:v>
                </c:pt>
                <c:pt idx="13">
                  <c:v>2.9016029826574883</c:v>
                </c:pt>
                <c:pt idx="14">
                  <c:v>2.8567684802621827</c:v>
                </c:pt>
                <c:pt idx="15">
                  <c:v>2.6639449266363981</c:v>
                </c:pt>
                <c:pt idx="16">
                  <c:v>2.2502119066261521</c:v>
                </c:pt>
                <c:pt idx="17">
                  <c:v>2.4835846165862741</c:v>
                </c:pt>
                <c:pt idx="18">
                  <c:v>2.5551126682430678</c:v>
                </c:pt>
                <c:pt idx="19">
                  <c:v>2.4606243179135556</c:v>
                </c:pt>
                <c:pt idx="20">
                  <c:v>2.0383335079135119</c:v>
                </c:pt>
                <c:pt idx="21">
                  <c:v>2.8272594398944619</c:v>
                </c:pt>
                <c:pt idx="22">
                  <c:v>3.3582665541552834</c:v>
                </c:pt>
                <c:pt idx="23">
                  <c:v>3.90178260750548</c:v>
                </c:pt>
                <c:pt idx="24">
                  <c:v>4.1330039233628275</c:v>
                </c:pt>
                <c:pt idx="25">
                  <c:v>3.9220083816210027</c:v>
                </c:pt>
                <c:pt idx="26">
                  <c:v>3.271000166126214</c:v>
                </c:pt>
                <c:pt idx="27">
                  <c:v>2.709659782923298</c:v>
                </c:pt>
                <c:pt idx="28">
                  <c:v>3.0120093623732518</c:v>
                </c:pt>
              </c:numCache>
            </c:numRef>
          </c:val>
          <c:extLst>
            <c:ext xmlns:c16="http://schemas.microsoft.com/office/drawing/2014/chart" uri="{C3380CC4-5D6E-409C-BE32-E72D297353CC}">
              <c16:uniqueId val="{00000001-617F-4E99-8051-C2AA001D52CB}"/>
            </c:ext>
          </c:extLst>
        </c:ser>
        <c:dLbls>
          <c:showLegendKey val="0"/>
          <c:showVal val="0"/>
          <c:showCatName val="0"/>
          <c:showSerName val="0"/>
          <c:showPercent val="0"/>
          <c:showBubbleSize val="0"/>
        </c:dLbls>
        <c:gapWidth val="68"/>
        <c:axId val="100654464"/>
        <c:axId val="101647488"/>
      </c:barChart>
      <c:lineChart>
        <c:grouping val="standard"/>
        <c:varyColors val="0"/>
        <c:ser>
          <c:idx val="2"/>
          <c:order val="2"/>
          <c:tx>
            <c:strRef>
              <c:f>'Trh práce-2b'!$A$32</c:f>
              <c:strCache>
                <c:ptCount val="1"/>
                <c:pt idx="0">
                  <c:v>Míra ekonomické aktivity mužů</c:v>
                </c:pt>
              </c:strCache>
            </c:strRef>
          </c:tx>
          <c:spPr>
            <a:ln w="19050">
              <a:solidFill>
                <a:srgbClr val="4FD1FF"/>
              </a:solidFill>
              <a:prstDash val="solid"/>
            </a:ln>
          </c:spPr>
          <c:marker>
            <c:symbol val="none"/>
          </c:marker>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práce-2b'!$B$32:$AE$32</c:f>
              <c:numCache>
                <c:formatCode>0.0</c:formatCode>
                <c:ptCount val="30"/>
                <c:pt idx="0">
                  <c:v>81.413481997639423</c:v>
                </c:pt>
                <c:pt idx="1">
                  <c:v>81.419110594189576</c:v>
                </c:pt>
                <c:pt idx="2">
                  <c:v>81.349582359517356</c:v>
                </c:pt>
                <c:pt idx="3">
                  <c:v>81.513665177863871</c:v>
                </c:pt>
                <c:pt idx="4">
                  <c:v>81.95464671816957</c:v>
                </c:pt>
                <c:pt idx="5">
                  <c:v>82.083249820800901</c:v>
                </c:pt>
                <c:pt idx="6">
                  <c:v>82.176405797492166</c:v>
                </c:pt>
                <c:pt idx="7">
                  <c:v>82.467848071365168</c:v>
                </c:pt>
                <c:pt idx="8">
                  <c:v>82.727860041774349</c:v>
                </c:pt>
                <c:pt idx="9">
                  <c:v>82.857472384057985</c:v>
                </c:pt>
                <c:pt idx="10">
                  <c:v>83.019684737731765</c:v>
                </c:pt>
                <c:pt idx="11">
                  <c:v>83.176217916024044</c:v>
                </c:pt>
                <c:pt idx="12">
                  <c:v>83.366789147231756</c:v>
                </c:pt>
                <c:pt idx="13">
                  <c:v>83.41277761607445</c:v>
                </c:pt>
                <c:pt idx="14">
                  <c:v>83.22791826411914</c:v>
                </c:pt>
                <c:pt idx="15">
                  <c:v>83.429606669855332</c:v>
                </c:pt>
                <c:pt idx="16">
                  <c:v>83.682240247092324</c:v>
                </c:pt>
                <c:pt idx="17">
                  <c:v>83.455854890894599</c:v>
                </c:pt>
                <c:pt idx="18">
                  <c:v>83.299122325687904</c:v>
                </c:pt>
                <c:pt idx="19">
                  <c:v>83.582423121236445</c:v>
                </c:pt>
                <c:pt idx="20">
                  <c:v>83.44807830256282</c:v>
                </c:pt>
                <c:pt idx="21">
                  <c:v>83.068246966731536</c:v>
                </c:pt>
                <c:pt idx="22">
                  <c:v>83.392662538096829</c:v>
                </c:pt>
                <c:pt idx="23">
                  <c:v>83.154459861264982</c:v>
                </c:pt>
                <c:pt idx="24">
                  <c:v>83.020549083271689</c:v>
                </c:pt>
                <c:pt idx="25">
                  <c:v>83.039207026511292</c:v>
                </c:pt>
                <c:pt idx="26">
                  <c:v>83.307020654601317</c:v>
                </c:pt>
                <c:pt idx="27">
                  <c:v>83.527401505315368</c:v>
                </c:pt>
                <c:pt idx="28">
                  <c:v>83.981301879512486</c:v>
                </c:pt>
              </c:numCache>
            </c:numRef>
          </c:val>
          <c:smooth val="0"/>
          <c:extLst>
            <c:ext xmlns:c16="http://schemas.microsoft.com/office/drawing/2014/chart" uri="{C3380CC4-5D6E-409C-BE32-E72D297353CC}">
              <c16:uniqueId val="{00000002-617F-4E99-8051-C2AA001D52CB}"/>
            </c:ext>
          </c:extLst>
        </c:ser>
        <c:ser>
          <c:idx val="3"/>
          <c:order val="3"/>
          <c:tx>
            <c:strRef>
              <c:f>'Trh práce-2b'!$A$33</c:f>
              <c:strCache>
                <c:ptCount val="1"/>
                <c:pt idx="0">
                  <c:v>Míra ekonomické aktivity žen</c:v>
                </c:pt>
              </c:strCache>
            </c:strRef>
          </c:tx>
          <c:spPr>
            <a:ln w="19050">
              <a:solidFill>
                <a:schemeClr val="accent2">
                  <a:lumMod val="60000"/>
                  <a:lumOff val="40000"/>
                </a:schemeClr>
              </a:solidFill>
              <a:prstDash val="solid"/>
            </a:ln>
          </c:spPr>
          <c:marker>
            <c:symbol val="none"/>
          </c:marker>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práce-2b'!$B$33:$AE$33</c:f>
              <c:numCache>
                <c:formatCode>0.0</c:formatCode>
                <c:ptCount val="30"/>
                <c:pt idx="0">
                  <c:v>66.54252814007161</c:v>
                </c:pt>
                <c:pt idx="1">
                  <c:v>66.666431768491464</c:v>
                </c:pt>
                <c:pt idx="2">
                  <c:v>66.654792914968979</c:v>
                </c:pt>
                <c:pt idx="3">
                  <c:v>66.418889866464653</c:v>
                </c:pt>
                <c:pt idx="4">
                  <c:v>67.04627543928467</c:v>
                </c:pt>
                <c:pt idx="5">
                  <c:v>67.7106216149934</c:v>
                </c:pt>
                <c:pt idx="6">
                  <c:v>67.837768163348059</c:v>
                </c:pt>
                <c:pt idx="7">
                  <c:v>68.456265295297257</c:v>
                </c:pt>
                <c:pt idx="8">
                  <c:v>68.697468612411953</c:v>
                </c:pt>
                <c:pt idx="9">
                  <c:v>68.713756307271595</c:v>
                </c:pt>
                <c:pt idx="10">
                  <c:v>69.103189641889657</c:v>
                </c:pt>
                <c:pt idx="11">
                  <c:v>68.910813934937678</c:v>
                </c:pt>
                <c:pt idx="12">
                  <c:v>69.34051694184366</c:v>
                </c:pt>
                <c:pt idx="13">
                  <c:v>69.813848571477024</c:v>
                </c:pt>
                <c:pt idx="14">
                  <c:v>69.950002702371691</c:v>
                </c:pt>
                <c:pt idx="15">
                  <c:v>70.044975969350247</c:v>
                </c:pt>
                <c:pt idx="16">
                  <c:v>70.049718587143374</c:v>
                </c:pt>
                <c:pt idx="17">
                  <c:v>69.833313596022066</c:v>
                </c:pt>
                <c:pt idx="18">
                  <c:v>69.925958459528331</c:v>
                </c:pt>
                <c:pt idx="19">
                  <c:v>69.677133900849284</c:v>
                </c:pt>
                <c:pt idx="20">
                  <c:v>69.330641569490012</c:v>
                </c:pt>
                <c:pt idx="21">
                  <c:v>68.908036620541552</c:v>
                </c:pt>
                <c:pt idx="22">
                  <c:v>68.961370773707912</c:v>
                </c:pt>
                <c:pt idx="23">
                  <c:v>69.360930388598959</c:v>
                </c:pt>
                <c:pt idx="24">
                  <c:v>69.429704781311116</c:v>
                </c:pt>
                <c:pt idx="25">
                  <c:v>69.002321720392288</c:v>
                </c:pt>
                <c:pt idx="26">
                  <c:v>69.935698701488221</c:v>
                </c:pt>
                <c:pt idx="27">
                  <c:v>69.90165261652821</c:v>
                </c:pt>
                <c:pt idx="28">
                  <c:v>70.208053573620603</c:v>
                </c:pt>
              </c:numCache>
            </c:numRef>
          </c:val>
          <c:smooth val="0"/>
          <c:extLst>
            <c:ext xmlns:c16="http://schemas.microsoft.com/office/drawing/2014/chart" uri="{C3380CC4-5D6E-409C-BE32-E72D297353CC}">
              <c16:uniqueId val="{00000003-617F-4E99-8051-C2AA001D52CB}"/>
            </c:ext>
          </c:extLst>
        </c:ser>
        <c:ser>
          <c:idx val="4"/>
          <c:order val="4"/>
          <c:tx>
            <c:strRef>
              <c:f>'Trh práce-2b'!$A$34</c:f>
              <c:strCache>
                <c:ptCount val="1"/>
                <c:pt idx="0">
                  <c:v>Ekon. neaktivní chtějící pracovat</c:v>
                </c:pt>
              </c:strCache>
            </c:strRef>
          </c:tx>
          <c:spPr>
            <a:ln w="19050">
              <a:solidFill>
                <a:schemeClr val="bg2">
                  <a:lumMod val="50000"/>
                </a:schemeClr>
              </a:solidFill>
              <a:prstDash val="sysDash"/>
            </a:ln>
          </c:spPr>
          <c:marker>
            <c:symbol val="none"/>
          </c:marker>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práce-2b'!$B$34:$AE$34</c:f>
              <c:numCache>
                <c:formatCode>0.0</c:formatCode>
                <c:ptCount val="30"/>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113.5</c:v>
                </c:pt>
                <c:pt idx="26">
                  <c:v>66</c:v>
                </c:pt>
                <c:pt idx="27">
                  <c:v>64.5</c:v>
                </c:pt>
                <c:pt idx="28">
                  <c:v>67</c:v>
                </c:pt>
              </c:numCache>
            </c:numRef>
          </c:val>
          <c:smooth val="0"/>
          <c:extLst>
            <c:ext xmlns:c16="http://schemas.microsoft.com/office/drawing/2014/chart" uri="{C3380CC4-5D6E-409C-BE32-E72D297353CC}">
              <c16:uniqueId val="{00000004-617F-4E99-8051-C2AA001D52CB}"/>
            </c:ext>
          </c:extLst>
        </c:ser>
        <c:ser>
          <c:idx val="5"/>
          <c:order val="5"/>
          <c:tx>
            <c:strRef>
              <c:f>'Trh práce-2b'!$A$35</c:f>
              <c:strCache>
                <c:ptCount val="1"/>
                <c:pt idx="0">
                  <c:v>Očekávání vývoje nezaměstnanosti</c:v>
                </c:pt>
              </c:strCache>
            </c:strRef>
          </c:tx>
          <c:spPr>
            <a:ln w="15875">
              <a:solidFill>
                <a:srgbClr val="FFC000"/>
              </a:solidFill>
              <a:prstDash val="sysDot"/>
            </a:ln>
          </c:spPr>
          <c:marker>
            <c:symbol val="diamond"/>
            <c:size val="5"/>
            <c:spPr>
              <a:ln>
                <a:noFill/>
              </a:ln>
            </c:spPr>
          </c:marker>
          <c:cat>
            <c:multiLvlStrRef>
              <c:f>'Trh práce-2b'!$B$28:$AE$29</c:f>
              <c:multiLvlStrCache>
                <c:ptCount val="30"/>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lvl>
                <c:lvl>
                  <c:pt idx="0">
                    <c:v>2015</c:v>
                  </c:pt>
                  <c:pt idx="4">
                    <c:v>2016</c:v>
                  </c:pt>
                  <c:pt idx="8">
                    <c:v>2017</c:v>
                  </c:pt>
                  <c:pt idx="12">
                    <c:v>2018</c:v>
                  </c:pt>
                  <c:pt idx="16">
                    <c:v>2019</c:v>
                  </c:pt>
                  <c:pt idx="20">
                    <c:v>2020</c:v>
                  </c:pt>
                  <c:pt idx="24">
                    <c:v>2021</c:v>
                  </c:pt>
                  <c:pt idx="28">
                    <c:v>2022</c:v>
                  </c:pt>
                </c:lvl>
              </c:multiLvlStrCache>
            </c:multiLvlStrRef>
          </c:cat>
          <c:val>
            <c:numRef>
              <c:f>'Trh práce-2b'!$B$35:$AE$35</c:f>
              <c:numCache>
                <c:formatCode>0.0</c:formatCode>
                <c:ptCount val="30"/>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numCache>
            </c:numRef>
          </c:val>
          <c:smooth val="0"/>
          <c:extLst>
            <c:ext xmlns:c16="http://schemas.microsoft.com/office/drawing/2014/chart" uri="{C3380CC4-5D6E-409C-BE32-E72D297353CC}">
              <c16:uniqueId val="{00000005-617F-4E99-8051-C2AA001D52CB}"/>
            </c:ext>
          </c:extLst>
        </c:ser>
        <c:dLbls>
          <c:showLegendKey val="0"/>
          <c:showVal val="0"/>
          <c:showCatName val="0"/>
          <c:showSerName val="0"/>
          <c:showPercent val="0"/>
          <c:showBubbleSize val="0"/>
        </c:dLbls>
        <c:marker val="1"/>
        <c:smooth val="0"/>
        <c:axId val="331670576"/>
        <c:axId val="323971328"/>
      </c:lineChart>
      <c:catAx>
        <c:axId val="100654464"/>
        <c:scaling>
          <c:orientation val="minMax"/>
        </c:scaling>
        <c:delete val="0"/>
        <c:axPos val="b"/>
        <c:numFmt formatCode="General" sourceLinked="0"/>
        <c:majorTickMark val="out"/>
        <c:minorTickMark val="none"/>
        <c:tickLblPos val="low"/>
        <c:spPr>
          <a:ln>
            <a:solidFill>
              <a:schemeClr val="tx1"/>
            </a:solidFill>
          </a:ln>
        </c:spPr>
        <c:crossAx val="101647488"/>
        <c:crossesAt val="-50"/>
        <c:auto val="1"/>
        <c:lblAlgn val="ctr"/>
        <c:lblOffset val="0"/>
        <c:noMultiLvlLbl val="0"/>
      </c:catAx>
      <c:valAx>
        <c:axId val="101647488"/>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overlay val="0"/>
        </c:title>
        <c:numFmt formatCode="0.0" sourceLinked="0"/>
        <c:majorTickMark val="out"/>
        <c:minorTickMark val="none"/>
        <c:tickLblPos val="nextTo"/>
        <c:spPr>
          <a:ln>
            <a:solidFill>
              <a:schemeClr val="tx1"/>
            </a:solidFill>
          </a:ln>
        </c:spPr>
        <c:crossAx val="100654464"/>
        <c:crosses val="autoZero"/>
        <c:crossBetween val="between"/>
        <c:majorUnit val="0.5"/>
      </c:valAx>
      <c:valAx>
        <c:axId val="323971328"/>
        <c:scaling>
          <c:orientation val="minMax"/>
          <c:max val="142"/>
          <c:min val="-10"/>
        </c:scaling>
        <c:delete val="0"/>
        <c:axPos val="r"/>
        <c:title>
          <c:tx>
            <c:rich>
              <a:bodyPr/>
              <a:lstStyle/>
              <a:p>
                <a:pPr>
                  <a:defRPr sz="700" b="0" i="1"/>
                </a:pPr>
                <a:r>
                  <a:rPr lang="cs-CZ" sz="700" b="0" i="1"/>
                  <a:t>Míra</a:t>
                </a:r>
                <a:r>
                  <a:rPr lang="cs-CZ" sz="700" b="0" i="1" baseline="0"/>
                  <a:t> ekonomické aktivity, e</a:t>
                </a:r>
                <a:r>
                  <a:rPr lang="cs-CZ" sz="700" b="0" i="1"/>
                  <a:t>kon. neaktivní, očekávání nezam.</a:t>
                </a:r>
              </a:p>
            </c:rich>
          </c:tx>
          <c:overlay val="0"/>
        </c:title>
        <c:numFmt formatCode="#,##0" sourceLinked="0"/>
        <c:majorTickMark val="out"/>
        <c:minorTickMark val="none"/>
        <c:tickLblPos val="nextTo"/>
        <c:crossAx val="331670576"/>
        <c:crosses val="max"/>
        <c:crossBetween val="between"/>
        <c:majorUnit val="10"/>
      </c:valAx>
      <c:catAx>
        <c:axId val="331670576"/>
        <c:scaling>
          <c:orientation val="minMax"/>
        </c:scaling>
        <c:delete val="1"/>
        <c:axPos val="b"/>
        <c:numFmt formatCode="General" sourceLinked="1"/>
        <c:majorTickMark val="out"/>
        <c:minorTickMark val="none"/>
        <c:tickLblPos val="nextTo"/>
        <c:crossAx val="323971328"/>
        <c:crosses val="autoZero"/>
        <c:auto val="1"/>
        <c:lblAlgn val="ctr"/>
        <c:lblOffset val="100"/>
        <c:noMultiLvlLbl val="0"/>
      </c:catAx>
      <c:spPr>
        <a:ln>
          <a:solidFill>
            <a:schemeClr val="tx1"/>
          </a:solidFill>
        </a:ln>
      </c:spPr>
    </c:plotArea>
    <c:legend>
      <c:legendPos val="b"/>
      <c:layout>
        <c:manualLayout>
          <c:xMode val="edge"/>
          <c:yMode val="edge"/>
          <c:x val="7.770783700011194E-2"/>
          <c:y val="0.86672394918180795"/>
          <c:w val="0.83964940085847328"/>
          <c:h val="0.12568012015870592"/>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0091348527306885E-2"/>
          <c:y val="1.6549886621315273E-2"/>
          <c:w val="0.94100987714831696"/>
          <c:h val="0.76395209750566906"/>
        </c:manualLayout>
      </c:layout>
      <c:barChart>
        <c:barDir val="col"/>
        <c:grouping val="clustered"/>
        <c:varyColors val="0"/>
        <c:ser>
          <c:idx val="4"/>
          <c:order val="1"/>
          <c:tx>
            <c:strRef>
              <c:f>Mzdy!$D$8</c:f>
              <c:strCache>
                <c:ptCount val="1"/>
                <c:pt idx="0">
                  <c:v>Průměrná mzda celkem (reálně)</c:v>
                </c:pt>
              </c:strCache>
            </c:strRef>
          </c:tx>
          <c:spPr>
            <a:solidFill>
              <a:srgbClr val="DBDBDB"/>
            </a:solidFill>
            <a:ln w="19050">
              <a:noFill/>
            </a:ln>
          </c:spPr>
          <c:invertIfNegative val="0"/>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Mzdy!$D$29:$D$57</c:f>
              <c:numCache>
                <c:formatCode>#\ ##0.0</c:formatCode>
                <c:ptCount val="29"/>
                <c:pt idx="0">
                  <c:v>2.2000000000000028</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4.9000000000000057</c:v>
                </c:pt>
                <c:pt idx="10">
                  <c:v>4.0999999999999943</c:v>
                </c:pt>
                <c:pt idx="11">
                  <c:v>5.0999999999999943</c:v>
                </c:pt>
                <c:pt idx="12">
                  <c:v>6.5</c:v>
                </c:pt>
                <c:pt idx="13">
                  <c:v>6.2999999999999972</c:v>
                </c:pt>
                <c:pt idx="14">
                  <c:v>5.9000000000000057</c:v>
                </c:pt>
                <c:pt idx="15">
                  <c:v>4.9000000000000057</c:v>
                </c:pt>
                <c:pt idx="16">
                  <c:v>5.5</c:v>
                </c:pt>
                <c:pt idx="17">
                  <c:v>5.0999999999999943</c:v>
                </c:pt>
                <c:pt idx="18">
                  <c:v>4.7999999999999972</c:v>
                </c:pt>
                <c:pt idx="19">
                  <c:v>4.5</c:v>
                </c:pt>
                <c:pt idx="20">
                  <c:v>1.7999999999999972</c:v>
                </c:pt>
                <c:pt idx="21">
                  <c:v>-2.0999999999999943</c:v>
                </c:pt>
                <c:pt idx="22">
                  <c:v>2</c:v>
                </c:pt>
                <c:pt idx="23">
                  <c:v>4</c:v>
                </c:pt>
                <c:pt idx="24">
                  <c:v>-0.40000000000000568</c:v>
                </c:pt>
                <c:pt idx="25">
                  <c:v>7</c:v>
                </c:pt>
                <c:pt idx="26">
                  <c:v>0.29999999999999716</c:v>
                </c:pt>
                <c:pt idx="27">
                  <c:v>-3</c:v>
                </c:pt>
                <c:pt idx="28">
                  <c:v>-3.5999999999999943</c:v>
                </c:pt>
              </c:numCache>
            </c:numRef>
          </c:val>
          <c:extLst>
            <c:ext xmlns:c16="http://schemas.microsoft.com/office/drawing/2014/chart" uri="{C3380CC4-5D6E-409C-BE32-E72D297353CC}">
              <c16:uniqueId val="{00000000-3F78-48AB-B9CB-FBD92851F6BA}"/>
            </c:ext>
          </c:extLst>
        </c:ser>
        <c:dLbls>
          <c:showLegendKey val="0"/>
          <c:showVal val="0"/>
          <c:showCatName val="0"/>
          <c:showSerName val="0"/>
          <c:showPercent val="0"/>
          <c:showBubbleSize val="0"/>
        </c:dLbls>
        <c:gapWidth val="37"/>
        <c:axId val="100688640"/>
        <c:axId val="100690560"/>
      </c:barChart>
      <c:lineChart>
        <c:grouping val="standard"/>
        <c:varyColors val="0"/>
        <c:ser>
          <c:idx val="0"/>
          <c:order val="0"/>
          <c:tx>
            <c:strRef>
              <c:f>Mzdy!$C$8</c:f>
              <c:strCache>
                <c:ptCount val="1"/>
                <c:pt idx="0">
                  <c:v>Průměrná mzda celkem (nominálně)</c:v>
                </c:pt>
              </c:strCache>
            </c:strRef>
          </c:tx>
          <c:spPr>
            <a:ln w="19050">
              <a:solidFill>
                <a:schemeClr val="tx1">
                  <a:lumMod val="95000"/>
                  <a:lumOff val="5000"/>
                </a:schemeClr>
              </a:solidFill>
              <a:prstDash val="sysDash"/>
            </a:ln>
          </c:spPr>
          <c:marker>
            <c:symbol val="none"/>
          </c:marker>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Mzdy!$C$29:$C$57</c:f>
              <c:numCache>
                <c:formatCode>0.0</c:formatCode>
                <c:ptCount val="29"/>
                <c:pt idx="0">
                  <c:v>2.2999999999999972</c:v>
                </c:pt>
                <c:pt idx="1">
                  <c:v>3.2999999999999972</c:v>
                </c:pt>
                <c:pt idx="2">
                  <c:v>3.5</c:v>
                </c:pt>
                <c:pt idx="3">
                  <c:v>3.7000000000000028</c:v>
                </c:pt>
                <c:pt idx="4">
                  <c:v>4.7000000000000028</c:v>
                </c:pt>
                <c:pt idx="5">
                  <c:v>4</c:v>
                </c:pt>
                <c:pt idx="6">
                  <c:v>4.7000000000000028</c:v>
                </c:pt>
                <c:pt idx="7">
                  <c:v>4.4000000000000057</c:v>
                </c:pt>
                <c:pt idx="8">
                  <c:v>5.0999999999999943</c:v>
                </c:pt>
                <c:pt idx="9">
                  <c:v>7.2000000000000028</c:v>
                </c:pt>
                <c:pt idx="10">
                  <c:v>6.7000000000000028</c:v>
                </c:pt>
                <c:pt idx="11">
                  <c:v>7.7999999999999972</c:v>
                </c:pt>
                <c:pt idx="12">
                  <c:v>8.5</c:v>
                </c:pt>
                <c:pt idx="13">
                  <c:v>8.7000000000000028</c:v>
                </c:pt>
                <c:pt idx="14">
                  <c:v>8.4000000000000057</c:v>
                </c:pt>
                <c:pt idx="15">
                  <c:v>7.0999999999999943</c:v>
                </c:pt>
                <c:pt idx="16">
                  <c:v>8.2999999999999972</c:v>
                </c:pt>
                <c:pt idx="17">
                  <c:v>8</c:v>
                </c:pt>
                <c:pt idx="18">
                  <c:v>7.7000000000000028</c:v>
                </c:pt>
                <c:pt idx="19">
                  <c:v>7.5999999999999943</c:v>
                </c:pt>
                <c:pt idx="20">
                  <c:v>5.5</c:v>
                </c:pt>
                <c:pt idx="21">
                  <c:v>0.90000000000000568</c:v>
                </c:pt>
                <c:pt idx="22">
                  <c:v>5.4000000000000057</c:v>
                </c:pt>
                <c:pt idx="23">
                  <c:v>6.7000000000000028</c:v>
                </c:pt>
                <c:pt idx="24">
                  <c:v>1.7999999999999972</c:v>
                </c:pt>
                <c:pt idx="25">
                  <c:v>10.099999999999994</c:v>
                </c:pt>
                <c:pt idx="26">
                  <c:v>4.4000000000000057</c:v>
                </c:pt>
                <c:pt idx="27">
                  <c:v>2.9000000000000057</c:v>
                </c:pt>
                <c:pt idx="28">
                  <c:v>7.2000000000000028</c:v>
                </c:pt>
              </c:numCache>
            </c:numRef>
          </c:val>
          <c:smooth val="0"/>
          <c:extLst>
            <c:ext xmlns:c16="http://schemas.microsoft.com/office/drawing/2014/chart" uri="{C3380CC4-5D6E-409C-BE32-E72D297353CC}">
              <c16:uniqueId val="{00000001-3F78-48AB-B9CB-FBD92851F6BA}"/>
            </c:ext>
          </c:extLst>
        </c:ser>
        <c:ser>
          <c:idx val="5"/>
          <c:order val="2"/>
          <c:tx>
            <c:strRef>
              <c:f>Mzdy!$E$8</c:f>
              <c:strCache>
                <c:ptCount val="1"/>
                <c:pt idx="0">
                  <c:v>Prům. mzda v průmyslu (nominálně)</c:v>
                </c:pt>
              </c:strCache>
            </c:strRef>
          </c:tx>
          <c:spPr>
            <a:ln w="9525">
              <a:solidFill>
                <a:srgbClr val="C00000"/>
              </a:solidFill>
              <a:prstDash val="solid"/>
            </a:ln>
          </c:spPr>
          <c:marker>
            <c:symbol val="none"/>
          </c:marker>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Mzdy!$E$29:$E$57</c:f>
              <c:numCache>
                <c:formatCode>0.0</c:formatCode>
                <c:ptCount val="29"/>
                <c:pt idx="0">
                  <c:v>1.6381118189372046</c:v>
                </c:pt>
                <c:pt idx="1">
                  <c:v>2.6920877025738719</c:v>
                </c:pt>
                <c:pt idx="2">
                  <c:v>3.010059729644766</c:v>
                </c:pt>
                <c:pt idx="3">
                  <c:v>2.9788308269320822</c:v>
                </c:pt>
                <c:pt idx="4">
                  <c:v>4.6482656596722052</c:v>
                </c:pt>
                <c:pt idx="5">
                  <c:v>3.9508373250157831</c:v>
                </c:pt>
                <c:pt idx="6">
                  <c:v>4.6540016784924205</c:v>
                </c:pt>
                <c:pt idx="7">
                  <c:v>3.8977412011906836</c:v>
                </c:pt>
                <c:pt idx="8">
                  <c:v>5.1746586808526445</c:v>
                </c:pt>
                <c:pt idx="9">
                  <c:v>8.0728701553848907</c:v>
                </c:pt>
                <c:pt idx="10">
                  <c:v>6.8272945979441602</c:v>
                </c:pt>
                <c:pt idx="11">
                  <c:v>7.0884454631252538</c:v>
                </c:pt>
                <c:pt idx="12">
                  <c:v>7.9018109790605564</c:v>
                </c:pt>
                <c:pt idx="13">
                  <c:v>8.1936869938853221</c:v>
                </c:pt>
                <c:pt idx="14">
                  <c:v>7.3566042242467802</c:v>
                </c:pt>
                <c:pt idx="15">
                  <c:v>7.6170092222467076</c:v>
                </c:pt>
                <c:pt idx="16">
                  <c:v>7.1985838851373387</c:v>
                </c:pt>
                <c:pt idx="17">
                  <c:v>7.0904869554591556</c:v>
                </c:pt>
                <c:pt idx="18">
                  <c:v>6.753964974732213</c:v>
                </c:pt>
                <c:pt idx="19">
                  <c:v>5.6242870930946793</c:v>
                </c:pt>
                <c:pt idx="20">
                  <c:v>4.8529141948504844</c:v>
                </c:pt>
                <c:pt idx="21">
                  <c:v>-3.4830979888746327</c:v>
                </c:pt>
                <c:pt idx="22">
                  <c:v>2.956413004644503</c:v>
                </c:pt>
                <c:pt idx="23">
                  <c:v>4.0067563825663086</c:v>
                </c:pt>
                <c:pt idx="24">
                  <c:v>0.94782583335764059</c:v>
                </c:pt>
                <c:pt idx="25">
                  <c:v>9.1091801146775424</c:v>
                </c:pt>
                <c:pt idx="26">
                  <c:v>3.7361556924322628</c:v>
                </c:pt>
                <c:pt idx="27">
                  <c:v>2.7581800271558166</c:v>
                </c:pt>
                <c:pt idx="28">
                  <c:v>6.8238285086958967</c:v>
                </c:pt>
              </c:numCache>
            </c:numRef>
          </c:val>
          <c:smooth val="0"/>
          <c:extLst>
            <c:ext xmlns:c16="http://schemas.microsoft.com/office/drawing/2014/chart" uri="{C3380CC4-5D6E-409C-BE32-E72D297353CC}">
              <c16:uniqueId val="{00000002-3F78-48AB-B9CB-FBD92851F6BA}"/>
            </c:ext>
          </c:extLst>
        </c:ser>
        <c:ser>
          <c:idx val="1"/>
          <c:order val="3"/>
          <c:tx>
            <c:strRef>
              <c:f>Mzdy!$F$8</c:f>
              <c:strCache>
                <c:ptCount val="1"/>
                <c:pt idx="0">
                  <c:v>Prům. mzda v obchodu (nominálně)</c:v>
                </c:pt>
              </c:strCache>
            </c:strRef>
          </c:tx>
          <c:spPr>
            <a:ln w="9525">
              <a:solidFill>
                <a:srgbClr val="0070C0"/>
              </a:solidFill>
              <a:prstDash val="solid"/>
            </a:ln>
          </c:spPr>
          <c:marker>
            <c:symbol val="none"/>
          </c:marker>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Mzdy!$F$29:$F$57</c:f>
              <c:numCache>
                <c:formatCode>0.0</c:formatCode>
                <c:ptCount val="29"/>
                <c:pt idx="0">
                  <c:v>3.1055099144049194</c:v>
                </c:pt>
                <c:pt idx="1">
                  <c:v>3.9141414141414117</c:v>
                </c:pt>
                <c:pt idx="2">
                  <c:v>3.949146815340427</c:v>
                </c:pt>
                <c:pt idx="3">
                  <c:v>5.7916298497871423</c:v>
                </c:pt>
                <c:pt idx="4">
                  <c:v>5.6443202202661524</c:v>
                </c:pt>
                <c:pt idx="5">
                  <c:v>3.9570676387201189</c:v>
                </c:pt>
                <c:pt idx="6">
                  <c:v>4.9977652269310511</c:v>
                </c:pt>
                <c:pt idx="7">
                  <c:v>4.4950645406226215</c:v>
                </c:pt>
                <c:pt idx="8">
                  <c:v>5.6231243089559229</c:v>
                </c:pt>
                <c:pt idx="9">
                  <c:v>7.9284684614485457</c:v>
                </c:pt>
                <c:pt idx="10">
                  <c:v>7.693200727526019</c:v>
                </c:pt>
                <c:pt idx="11">
                  <c:v>8.3926754832146457</c:v>
                </c:pt>
                <c:pt idx="12">
                  <c:v>7.2416629280693883</c:v>
                </c:pt>
                <c:pt idx="13">
                  <c:v>7.0392029456356937</c:v>
                </c:pt>
                <c:pt idx="14">
                  <c:v>6.8381903769449082</c:v>
                </c:pt>
                <c:pt idx="15">
                  <c:v>6.6970570490044992</c:v>
                </c:pt>
                <c:pt idx="16">
                  <c:v>9.5345999651385682</c:v>
                </c:pt>
                <c:pt idx="17">
                  <c:v>7.4227708080399282</c:v>
                </c:pt>
                <c:pt idx="18">
                  <c:v>8.1629221041302316</c:v>
                </c:pt>
                <c:pt idx="19">
                  <c:v>6.3018346318170444</c:v>
                </c:pt>
                <c:pt idx="20">
                  <c:v>6.3685550604710528</c:v>
                </c:pt>
                <c:pt idx="21">
                  <c:v>0.91357172008916621</c:v>
                </c:pt>
                <c:pt idx="22">
                  <c:v>4.7389533256631182</c:v>
                </c:pt>
                <c:pt idx="23">
                  <c:v>2.446953129617583</c:v>
                </c:pt>
                <c:pt idx="24">
                  <c:v>-1.1848837557224527</c:v>
                </c:pt>
                <c:pt idx="25">
                  <c:v>6.5299900447984101</c:v>
                </c:pt>
                <c:pt idx="26">
                  <c:v>3.4349671941335487</c:v>
                </c:pt>
                <c:pt idx="27">
                  <c:v>5.2414469509028976</c:v>
                </c:pt>
                <c:pt idx="28">
                  <c:v>9.3656320968962916</c:v>
                </c:pt>
              </c:numCache>
            </c:numRef>
          </c:val>
          <c:smooth val="0"/>
          <c:extLst>
            <c:ext xmlns:c16="http://schemas.microsoft.com/office/drawing/2014/chart" uri="{C3380CC4-5D6E-409C-BE32-E72D297353CC}">
              <c16:uniqueId val="{00000003-3F78-48AB-B9CB-FBD92851F6BA}"/>
            </c:ext>
          </c:extLst>
        </c:ser>
        <c:ser>
          <c:idx val="2"/>
          <c:order val="4"/>
          <c:tx>
            <c:strRef>
              <c:f>Mzdy!$G$8</c:f>
              <c:strCache>
                <c:ptCount val="1"/>
                <c:pt idx="0">
                  <c:v>Prům. mzda ve veř. službách (nominálně)*</c:v>
                </c:pt>
              </c:strCache>
            </c:strRef>
          </c:tx>
          <c:spPr>
            <a:ln w="9525">
              <a:solidFill>
                <a:srgbClr val="00B050"/>
              </a:solidFill>
              <a:prstDash val="solid"/>
            </a:ln>
          </c:spPr>
          <c:marker>
            <c:symbol val="none"/>
          </c:marker>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Mzdy!$G$29:$G$57</c:f>
              <c:numCache>
                <c:formatCode>0.0</c:formatCode>
                <c:ptCount val="29"/>
                <c:pt idx="0">
                  <c:v>3.2925091204842687</c:v>
                </c:pt>
                <c:pt idx="1">
                  <c:v>4.3135889286729565</c:v>
                </c:pt>
                <c:pt idx="2">
                  <c:v>3.8145419077079765</c:v>
                </c:pt>
                <c:pt idx="3">
                  <c:v>3.6381766938736746</c:v>
                </c:pt>
                <c:pt idx="4">
                  <c:v>4.64178325585614</c:v>
                </c:pt>
                <c:pt idx="5">
                  <c:v>3.8061258933532116</c:v>
                </c:pt>
                <c:pt idx="6">
                  <c:v>4.8526374704253925</c:v>
                </c:pt>
                <c:pt idx="7">
                  <c:v>6.1351981806606233</c:v>
                </c:pt>
                <c:pt idx="8">
                  <c:v>5.4566112929362163</c:v>
                </c:pt>
                <c:pt idx="9">
                  <c:v>7.3192456135909225</c:v>
                </c:pt>
                <c:pt idx="10">
                  <c:v>7.9981713137873953</c:v>
                </c:pt>
                <c:pt idx="11">
                  <c:v>10.484072576559427</c:v>
                </c:pt>
                <c:pt idx="12">
                  <c:v>12.179699393983398</c:v>
                </c:pt>
                <c:pt idx="13">
                  <c:v>11.89217733254111</c:v>
                </c:pt>
                <c:pt idx="14">
                  <c:v>11.361326321628667</c:v>
                </c:pt>
                <c:pt idx="15">
                  <c:v>6.1282038917470629</c:v>
                </c:pt>
                <c:pt idx="16">
                  <c:v>9.4162908795776019</c:v>
                </c:pt>
                <c:pt idx="17">
                  <c:v>9.3022383570098555</c:v>
                </c:pt>
                <c:pt idx="18">
                  <c:v>8.3925247282538464</c:v>
                </c:pt>
                <c:pt idx="19">
                  <c:v>11.041060141001239</c:v>
                </c:pt>
                <c:pt idx="20">
                  <c:v>5.2296117021426483</c:v>
                </c:pt>
                <c:pt idx="21">
                  <c:v>4.9937922145909539</c:v>
                </c:pt>
                <c:pt idx="22">
                  <c:v>8.8109946466096574</c:v>
                </c:pt>
                <c:pt idx="23">
                  <c:v>13.948630451066606</c:v>
                </c:pt>
                <c:pt idx="24">
                  <c:v>4.0872778537601135</c:v>
                </c:pt>
                <c:pt idx="25">
                  <c:v>17.040292202235747</c:v>
                </c:pt>
                <c:pt idx="26">
                  <c:v>4.7904697566185916</c:v>
                </c:pt>
                <c:pt idx="27">
                  <c:v>-0.87797314296285833</c:v>
                </c:pt>
                <c:pt idx="28">
                  <c:v>3.0511097966221996</c:v>
                </c:pt>
              </c:numCache>
            </c:numRef>
          </c:val>
          <c:smooth val="0"/>
          <c:extLst>
            <c:ext xmlns:c16="http://schemas.microsoft.com/office/drawing/2014/chart" uri="{C3380CC4-5D6E-409C-BE32-E72D297353CC}">
              <c16:uniqueId val="{00000004-3F78-48AB-B9CB-FBD92851F6BA}"/>
            </c:ext>
          </c:extLst>
        </c:ser>
        <c:ser>
          <c:idx val="3"/>
          <c:order val="5"/>
          <c:tx>
            <c:strRef>
              <c:f>Mzdy!$H$8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Mzdy!$A$29:$B$57</c:f>
              <c:multiLvlStrCache>
                <c:ptCount val="29"/>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lvl>
                <c:lvl>
                  <c:pt idx="0">
                    <c:v>2015</c:v>
                  </c:pt>
                  <c:pt idx="4">
                    <c:v>2016</c:v>
                  </c:pt>
                  <c:pt idx="8">
                    <c:v>2017</c:v>
                  </c:pt>
                  <c:pt idx="12">
                    <c:v>2018</c:v>
                  </c:pt>
                  <c:pt idx="16">
                    <c:v>2019</c:v>
                  </c:pt>
                  <c:pt idx="20">
                    <c:v>2020</c:v>
                  </c:pt>
                  <c:pt idx="24">
                    <c:v>2021</c:v>
                  </c:pt>
                  <c:pt idx="28">
                    <c:v>2022</c:v>
                  </c:pt>
                </c:lvl>
              </c:multiLvlStrCache>
            </c:multiLvlStrRef>
          </c:cat>
          <c:val>
            <c:numRef>
              <c:f>Mzdy!$H$29:$H$57</c:f>
              <c:numCache>
                <c:formatCode>0.0</c:formatCode>
                <c:ptCount val="29"/>
                <c:pt idx="0">
                  <c:v>0.68577374195987773</c:v>
                </c:pt>
                <c:pt idx="1">
                  <c:v>2.2564717825665639</c:v>
                </c:pt>
                <c:pt idx="2">
                  <c:v>3.7717556899496714</c:v>
                </c:pt>
                <c:pt idx="3">
                  <c:v>4.6808135174482715</c:v>
                </c:pt>
                <c:pt idx="4">
                  <c:v>6.6513222791112696</c:v>
                </c:pt>
                <c:pt idx="5">
                  <c:v>4.5938628158844779</c:v>
                </c:pt>
                <c:pt idx="6">
                  <c:v>5.3430020464454202</c:v>
                </c:pt>
                <c:pt idx="7">
                  <c:v>6.2331422791638431</c:v>
                </c:pt>
                <c:pt idx="8">
                  <c:v>4.9416428099537484</c:v>
                </c:pt>
                <c:pt idx="9">
                  <c:v>7.7271550608335531</c:v>
                </c:pt>
                <c:pt idx="10">
                  <c:v>7.0188774863803189</c:v>
                </c:pt>
                <c:pt idx="11">
                  <c:v>8.9181576546197334</c:v>
                </c:pt>
                <c:pt idx="12">
                  <c:v>8.6666386872035872</c:v>
                </c:pt>
                <c:pt idx="13">
                  <c:v>9.6639833393407741</c:v>
                </c:pt>
                <c:pt idx="14">
                  <c:v>9.2537784617813088</c:v>
                </c:pt>
                <c:pt idx="15">
                  <c:v>6.6581679111272933</c:v>
                </c:pt>
                <c:pt idx="16">
                  <c:v>7.1566507029198192</c:v>
                </c:pt>
                <c:pt idx="17">
                  <c:v>6.4166240596011903</c:v>
                </c:pt>
                <c:pt idx="18">
                  <c:v>7.3177779383081685</c:v>
                </c:pt>
                <c:pt idx="19">
                  <c:v>6.4064474268346743</c:v>
                </c:pt>
                <c:pt idx="20">
                  <c:v>7.0535231573256425</c:v>
                </c:pt>
                <c:pt idx="21">
                  <c:v>1.3795943580768011</c:v>
                </c:pt>
                <c:pt idx="22">
                  <c:v>6.6875336564351073</c:v>
                </c:pt>
                <c:pt idx="23">
                  <c:v>6.7171603710003609</c:v>
                </c:pt>
                <c:pt idx="24">
                  <c:v>0.83159383206519522</c:v>
                </c:pt>
                <c:pt idx="25">
                  <c:v>10.03351274499849</c:v>
                </c:pt>
                <c:pt idx="26">
                  <c:v>4.2146439950787169</c:v>
                </c:pt>
                <c:pt idx="27">
                  <c:v>3.5606880789125483</c:v>
                </c:pt>
                <c:pt idx="28">
                  <c:v>6.5912050485825944</c:v>
                </c:pt>
              </c:numCache>
            </c:numRef>
          </c:val>
          <c:smooth val="0"/>
          <c:extLst>
            <c:ext xmlns:c16="http://schemas.microsoft.com/office/drawing/2014/chart" uri="{C3380CC4-5D6E-409C-BE32-E72D297353CC}">
              <c16:uniqueId val="{00000005-3F78-48AB-B9CB-FBD92851F6BA}"/>
            </c:ext>
          </c:extLst>
        </c:ser>
        <c:dLbls>
          <c:showLegendKey val="0"/>
          <c:showVal val="0"/>
          <c:showCatName val="0"/>
          <c:showSerName val="0"/>
          <c:showPercent val="0"/>
          <c:showBubbleSize val="0"/>
        </c:dLbls>
        <c:marker val="1"/>
        <c:smooth val="0"/>
        <c:axId val="100688640"/>
        <c:axId val="100690560"/>
      </c:lineChart>
      <c:catAx>
        <c:axId val="100688640"/>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100690560"/>
        <c:crosses val="autoZero"/>
        <c:auto val="1"/>
        <c:lblAlgn val="ctr"/>
        <c:lblOffset val="0"/>
        <c:tickMarkSkip val="4"/>
        <c:noMultiLvlLbl val="0"/>
      </c:catAx>
      <c:valAx>
        <c:axId val="100690560"/>
        <c:scaling>
          <c:orientation val="minMax"/>
          <c:max val="18"/>
          <c:min val="-6"/>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100688640"/>
        <c:crosses val="autoZero"/>
        <c:crossBetween val="between"/>
        <c:majorUnit val="2"/>
      </c:valAx>
      <c:spPr>
        <a:ln>
          <a:solidFill>
            <a:schemeClr val="tx1"/>
          </a:solidFill>
        </a:ln>
      </c:spPr>
    </c:plotArea>
    <c:legend>
      <c:legendPos val="b"/>
      <c:layout>
        <c:manualLayout>
          <c:xMode val="edge"/>
          <c:yMode val="edge"/>
          <c:x val="9.1291858669558714E-3"/>
          <c:y val="0.87578174603174608"/>
          <c:w val="0.9774444484255399"/>
          <c:h val="0.11341893424036281"/>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A7592-90E9-43CD-8442-E35C6D50E02D}">
  <ds:schemaRefs>
    <ds:schemaRef ds:uri="http://schemas.openxmlformats.org/officeDocument/2006/bibliography"/>
  </ds:schemaRefs>
</ds:datastoreItem>
</file>

<file path=customXml/itemProps2.xml><?xml version="1.0" encoding="utf-8"?>
<ds:datastoreItem xmlns:ds="http://schemas.openxmlformats.org/officeDocument/2006/customXml" ds:itemID="{FF40F67F-4687-48EB-B9B8-C4A0B0DC2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Template>
  <TotalTime>2</TotalTime>
  <Pages>5</Pages>
  <Words>2218</Words>
  <Characters>13087</Characters>
  <Application>Microsoft Office Word</Application>
  <DocSecurity>0</DocSecurity>
  <Lines>109</Lines>
  <Paragraphs>30</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15275</CharactersWithSpaces>
  <SharedDoc>false</SharedDoc>
  <HLinks>
    <vt:vector size="18" baseType="variant">
      <vt:variant>
        <vt:i4>7602181</vt:i4>
      </vt:variant>
      <vt:variant>
        <vt:i4>11092</vt:i4>
      </vt:variant>
      <vt:variant>
        <vt:i4>1025</vt:i4>
      </vt:variant>
      <vt:variant>
        <vt:i4>1</vt:i4>
      </vt:variant>
      <vt:variant>
        <vt:lpwstr>msoFAAF</vt:lpwstr>
      </vt:variant>
      <vt:variant>
        <vt:lpwstr/>
      </vt:variant>
      <vt:variant>
        <vt:i4>7995509</vt:i4>
      </vt:variant>
      <vt:variant>
        <vt:i4>-1</vt:i4>
      </vt:variant>
      <vt:variant>
        <vt:i4>2058</vt:i4>
      </vt:variant>
      <vt:variant>
        <vt:i4>1</vt:i4>
      </vt:variant>
      <vt:variant>
        <vt:lpwstr>CSU RGB CZ logo-02</vt:lpwstr>
      </vt:variant>
      <vt:variant>
        <vt:lpwstr/>
      </vt:variant>
      <vt:variant>
        <vt:i4>7929973</vt:i4>
      </vt:variant>
      <vt:variant>
        <vt:i4>-1</vt:i4>
      </vt:variant>
      <vt:variant>
        <vt:i4>2059</vt:i4>
      </vt:variant>
      <vt:variant>
        <vt:i4>1</vt:i4>
      </vt:variant>
      <vt:variant>
        <vt:lpwstr>CSU RGB CZ logo-01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Karolína Zábojníková</cp:lastModifiedBy>
  <cp:revision>3</cp:revision>
  <cp:lastPrinted>2019-04-08T10:52:00Z</cp:lastPrinted>
  <dcterms:created xsi:type="dcterms:W3CDTF">2022-06-15T08:05:00Z</dcterms:created>
  <dcterms:modified xsi:type="dcterms:W3CDTF">2022-06-15T08:50:00Z</dcterms:modified>
</cp:coreProperties>
</file>