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BD4" w:rsidRPr="009110F7" w:rsidRDefault="00935BD4" w:rsidP="001554C2">
      <w:pPr>
        <w:pStyle w:val="Nadpis11"/>
      </w:pPr>
      <w:bookmarkStart w:id="0" w:name="_Toc517166410"/>
      <w:r w:rsidRPr="009110F7">
        <w:t>3</w:t>
      </w:r>
      <w:r w:rsidR="001554C2" w:rsidRPr="009110F7">
        <w:t xml:space="preserve">. </w:t>
      </w:r>
      <w:bookmarkStart w:id="1" w:name="_Toc454185150"/>
      <w:bookmarkStart w:id="2" w:name="_Toc493683635"/>
      <w:r w:rsidRPr="009110F7">
        <w:t>Výkonnost odvětví</w:t>
      </w:r>
      <w:bookmarkEnd w:id="0"/>
      <w:bookmarkEnd w:id="1"/>
      <w:bookmarkEnd w:id="2"/>
    </w:p>
    <w:tbl>
      <w:tblPr>
        <w:tblW w:w="9644" w:type="dxa"/>
        <w:tblInd w:w="-15" w:type="dxa"/>
        <w:tblCellMar>
          <w:left w:w="0" w:type="dxa"/>
          <w:right w:w="0" w:type="dxa"/>
        </w:tblCellMar>
        <w:tblLook w:val="00A0"/>
      </w:tblPr>
      <w:tblGrid>
        <w:gridCol w:w="1849"/>
        <w:gridCol w:w="30"/>
        <w:gridCol w:w="213"/>
        <w:gridCol w:w="34"/>
        <w:gridCol w:w="7518"/>
      </w:tblGrid>
      <w:tr w:rsidR="008C7569" w:rsidRPr="009110F7" w:rsidTr="009B3764">
        <w:trPr>
          <w:trHeight w:val="145"/>
        </w:trPr>
        <w:tc>
          <w:tcPr>
            <w:tcW w:w="1879" w:type="dxa"/>
            <w:gridSpan w:val="2"/>
            <w:shd w:val="clear" w:color="auto" w:fill="auto"/>
            <w:tcMar>
              <w:left w:w="0" w:type="dxa"/>
            </w:tcMar>
          </w:tcPr>
          <w:p w:rsidR="008C7569" w:rsidRPr="009110F7" w:rsidRDefault="00D21D6D" w:rsidP="008417B5">
            <w:pPr>
              <w:pStyle w:val="Marginlie"/>
            </w:pPr>
            <w:r w:rsidRPr="009110F7">
              <w:t xml:space="preserve">Celkový výkon odvětví ekonomiky mírně zpomaloval. </w:t>
            </w:r>
            <w:proofErr w:type="spellStart"/>
            <w:r w:rsidR="00307DB3" w:rsidRPr="009110F7">
              <w:t>Mezičtvrtletní</w:t>
            </w:r>
            <w:proofErr w:type="spellEnd"/>
            <w:r w:rsidRPr="009110F7">
              <w:t xml:space="preserve"> tempo růstu HPH bylo </w:t>
            </w:r>
            <w:r w:rsidR="00307DB3" w:rsidRPr="009110F7">
              <w:t>v </w:t>
            </w:r>
            <w:r w:rsidRPr="009110F7">
              <w:t xml:space="preserve">1. čtvrtletí nejslabší od počátku </w:t>
            </w:r>
            <w:r w:rsidR="00307DB3" w:rsidRPr="009110F7">
              <w:t>l</w:t>
            </w:r>
            <w:r w:rsidRPr="009110F7">
              <w:t>oňského roku.</w:t>
            </w:r>
          </w:p>
          <w:p w:rsidR="00D21D6D" w:rsidRPr="009110F7" w:rsidRDefault="00D21D6D" w:rsidP="008417B5">
            <w:pPr>
              <w:pStyle w:val="Marginlie"/>
            </w:pPr>
          </w:p>
          <w:p w:rsidR="00D21D6D" w:rsidRPr="009110F7" w:rsidRDefault="00D21D6D" w:rsidP="008417B5">
            <w:pPr>
              <w:pStyle w:val="Marginlie"/>
            </w:pPr>
          </w:p>
          <w:p w:rsidR="00D21D6D" w:rsidRPr="009110F7" w:rsidRDefault="00D21D6D" w:rsidP="008417B5">
            <w:pPr>
              <w:pStyle w:val="Marginlie"/>
            </w:pPr>
          </w:p>
          <w:p w:rsidR="00D21D6D" w:rsidRPr="009110F7" w:rsidRDefault="00E578A2" w:rsidP="008417B5">
            <w:pPr>
              <w:pStyle w:val="Marginlie"/>
            </w:pPr>
            <w:r w:rsidRPr="009110F7">
              <w:t>Růst HPH se týkal téměř všech hlavních odvětví</w:t>
            </w:r>
            <w:r w:rsidR="00D21D6D" w:rsidRPr="009110F7">
              <w:t>, negativně působily jen těž</w:t>
            </w:r>
            <w:r w:rsidR="00C21430" w:rsidRPr="009110F7">
              <w:t>e</w:t>
            </w:r>
            <w:r w:rsidRPr="009110F7">
              <w:t>bní průmysl a </w:t>
            </w:r>
            <w:r w:rsidR="00D21D6D" w:rsidRPr="009110F7">
              <w:t>energetika.</w:t>
            </w:r>
          </w:p>
        </w:tc>
        <w:tc>
          <w:tcPr>
            <w:tcW w:w="247" w:type="dxa"/>
            <w:gridSpan w:val="2"/>
            <w:shd w:val="clear" w:color="auto" w:fill="auto"/>
            <w:tcMar>
              <w:left w:w="0" w:type="dxa"/>
            </w:tcMar>
          </w:tcPr>
          <w:p w:rsidR="008C7569" w:rsidRPr="009110F7" w:rsidRDefault="008C7569" w:rsidP="008417B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18" w:type="dxa"/>
            <w:shd w:val="clear" w:color="auto" w:fill="auto"/>
            <w:tcMar>
              <w:left w:w="0" w:type="dxa"/>
            </w:tcMar>
          </w:tcPr>
          <w:p w:rsidR="008C7569" w:rsidRPr="009110F7" w:rsidRDefault="00716F48" w:rsidP="008417B5">
            <w:r w:rsidRPr="009110F7">
              <w:t>O </w:t>
            </w:r>
            <w:r w:rsidR="008C7569" w:rsidRPr="009110F7">
              <w:t>přetrvávající dobré kondici tuzemské ekonomiky na počátku roku svědčí vývoj hrubé přidané hodnoty (HPH)</w:t>
            </w:r>
            <w:r w:rsidR="008C7569" w:rsidRPr="009110F7">
              <w:rPr>
                <w:rStyle w:val="Znakapoznpodarou"/>
                <w:spacing w:val="-4"/>
              </w:rPr>
              <w:footnoteReference w:id="1"/>
            </w:r>
            <w:r w:rsidR="008C7569" w:rsidRPr="009110F7">
              <w:t>. Ta proti poslednímu čtvrtletí 2017 posílila o</w:t>
            </w:r>
            <w:r w:rsidR="008C7569" w:rsidRPr="009110F7">
              <w:rPr>
                <w:color w:val="000000" w:themeColor="text1"/>
                <w:spacing w:val="-4"/>
              </w:rPr>
              <w:t> </w:t>
            </w:r>
            <w:r w:rsidR="008C7569" w:rsidRPr="009110F7">
              <w:t>0,7</w:t>
            </w:r>
            <w:r w:rsidR="008C7569" w:rsidRPr="009110F7">
              <w:rPr>
                <w:color w:val="000000" w:themeColor="text1"/>
                <w:spacing w:val="-4"/>
              </w:rPr>
              <w:t> </w:t>
            </w:r>
            <w:r w:rsidR="008C7569" w:rsidRPr="009110F7">
              <w:t>%. Odhlédneme-li od krátkodobé akcelerace v první polovině loňského roku, nevybočil letošní růst HPH z dynamiky posledních dvou let</w:t>
            </w:r>
            <w:r w:rsidR="00D21D6D" w:rsidRPr="009110F7">
              <w:t>.</w:t>
            </w:r>
            <w:r w:rsidR="008C7569" w:rsidRPr="009110F7">
              <w:t xml:space="preserve"> </w:t>
            </w:r>
            <w:r w:rsidR="00307DB3" w:rsidRPr="009110F7">
              <w:t>Přesto by</w:t>
            </w:r>
            <w:r w:rsidR="007A775D">
              <w:t>l nejslabší za posledních pět čtvrtletí</w:t>
            </w:r>
            <w:r w:rsidR="00307DB3" w:rsidRPr="009110F7">
              <w:t xml:space="preserve">. </w:t>
            </w:r>
            <w:r w:rsidRPr="009110F7">
              <w:t>O </w:t>
            </w:r>
            <w:r w:rsidR="008C7569" w:rsidRPr="009110F7">
              <w:t>růst se v </w:t>
            </w:r>
            <w:r w:rsidRPr="009110F7">
              <w:t>1. </w:t>
            </w:r>
            <w:r w:rsidR="008C7569" w:rsidRPr="009110F7">
              <w:t xml:space="preserve">čtvrtletí </w:t>
            </w:r>
            <w:r w:rsidR="00307DB3" w:rsidRPr="009110F7">
              <w:t xml:space="preserve">postaraly </w:t>
            </w:r>
            <w:r w:rsidR="008C7569" w:rsidRPr="009110F7">
              <w:t xml:space="preserve">primárně služby </w:t>
            </w:r>
            <w:r w:rsidRPr="009110F7">
              <w:t>a </w:t>
            </w:r>
            <w:r w:rsidR="008C7569" w:rsidRPr="009110F7">
              <w:t>též stavebnictví, jehož výkon stimulovaly vyšší průměrné teploty (hlavně v první polovině zimního období</w:t>
            </w:r>
            <w:r w:rsidR="008C7569" w:rsidRPr="009110F7">
              <w:rPr>
                <w:rStyle w:val="Znakapoznpodarou"/>
              </w:rPr>
              <w:footnoteReference w:id="2"/>
            </w:r>
            <w:r w:rsidR="008C7569" w:rsidRPr="009110F7">
              <w:t xml:space="preserve">). V meziročním vyjádření se letos HPH navýšila </w:t>
            </w:r>
            <w:r w:rsidRPr="009110F7">
              <w:t>o </w:t>
            </w:r>
            <w:r w:rsidR="008C7569" w:rsidRPr="009110F7">
              <w:t>4,</w:t>
            </w:r>
            <w:r w:rsidR="00167CB9" w:rsidRPr="009110F7">
              <w:t>5 </w:t>
            </w:r>
            <w:r w:rsidR="008C7569" w:rsidRPr="009110F7">
              <w:t xml:space="preserve">% </w:t>
            </w:r>
            <w:r w:rsidR="008C7569" w:rsidRPr="009110F7">
              <w:rPr>
                <w:rFonts w:cs="Arial"/>
                <w:spacing w:val="-4"/>
              </w:rPr>
              <w:t>–</w:t>
            </w:r>
            <w:r w:rsidR="008C7569" w:rsidRPr="009110F7">
              <w:t xml:space="preserve"> bezmála dvojnásobným tempem než v EU </w:t>
            </w:r>
            <w:r w:rsidRPr="009110F7">
              <w:t>a </w:t>
            </w:r>
            <w:r w:rsidR="007A775D">
              <w:t>zároveň rychleji</w:t>
            </w:r>
            <w:r w:rsidR="008C7569" w:rsidRPr="009110F7">
              <w:t xml:space="preserve"> než u všech našich sousedů. Růst podobně jako v loňském roce prolínal prakticky všemi hlavními odvětvími, jen </w:t>
            </w:r>
            <w:r w:rsidRPr="009110F7">
              <w:t>v </w:t>
            </w:r>
            <w:r w:rsidR="0047276D" w:rsidRPr="009110F7">
              <w:t>těžbě</w:t>
            </w:r>
            <w:r w:rsidR="008C7569" w:rsidRPr="009110F7">
              <w:t xml:space="preserve"> a</w:t>
            </w:r>
            <w:r w:rsidR="008C7569" w:rsidRPr="009110F7">
              <w:rPr>
                <w:color w:val="000000" w:themeColor="text1"/>
                <w:spacing w:val="-4"/>
              </w:rPr>
              <w:t> </w:t>
            </w:r>
            <w:r w:rsidR="008C7569" w:rsidRPr="009110F7">
              <w:t>ener</w:t>
            </w:r>
            <w:r w:rsidR="0047276D" w:rsidRPr="009110F7">
              <w:t>getice</w:t>
            </w:r>
            <w:r w:rsidR="008C7569" w:rsidRPr="009110F7">
              <w:t xml:space="preserve"> HPH klesala (</w:t>
            </w:r>
            <w:r w:rsidR="00CA37FF">
              <w:t>-</w:t>
            </w:r>
            <w:r w:rsidR="008C7569" w:rsidRPr="009110F7">
              <w:t>2,</w:t>
            </w:r>
            <w:r w:rsidR="00167CB9" w:rsidRPr="009110F7">
              <w:t>9 </w:t>
            </w:r>
            <w:r w:rsidR="008C7569" w:rsidRPr="009110F7">
              <w:t>%). Již třetí čtvrtletí v řadě přispěla k meziročně vyšší HPH odvětví ter</w:t>
            </w:r>
            <w:r w:rsidR="004059D2" w:rsidRPr="009110F7">
              <w:t>c</w:t>
            </w:r>
            <w:r w:rsidR="008C7569" w:rsidRPr="009110F7">
              <w:t>iárního sektoru více než samotný zpracovatelský průmysl</w:t>
            </w:r>
            <w:r w:rsidR="00CC76BD">
              <w:t>. J</w:t>
            </w:r>
            <w:r w:rsidR="008C7569" w:rsidRPr="009110F7">
              <w:t>eho role však stá</w:t>
            </w:r>
            <w:r w:rsidR="0047276D" w:rsidRPr="009110F7">
              <w:t xml:space="preserve">le zůstala významná, neboť </w:t>
            </w:r>
            <w:r w:rsidR="008C7569" w:rsidRPr="009110F7">
              <w:t>v 1.</w:t>
            </w:r>
            <w:r w:rsidR="0047276D" w:rsidRPr="009110F7">
              <w:t> </w:t>
            </w:r>
            <w:r w:rsidR="008C7569" w:rsidRPr="009110F7">
              <w:t>čtvrtletí zajistil téměř třetinu růstu HPH v ekonomice. Ve většině států EU je role služeb ještě významnější.</w:t>
            </w:r>
          </w:p>
        </w:tc>
      </w:tr>
      <w:tr w:rsidR="008C7569" w:rsidRPr="009110F7" w:rsidTr="009B3764">
        <w:trPr>
          <w:trHeight w:val="170"/>
        </w:trPr>
        <w:tc>
          <w:tcPr>
            <w:tcW w:w="1879" w:type="dxa"/>
            <w:gridSpan w:val="2"/>
            <w:shd w:val="clear" w:color="auto" w:fill="auto"/>
            <w:tcMar>
              <w:left w:w="0" w:type="dxa"/>
            </w:tcMar>
          </w:tcPr>
          <w:p w:rsidR="008C7569" w:rsidRPr="009110F7" w:rsidRDefault="008C7569" w:rsidP="008417B5">
            <w:pPr>
              <w:pStyle w:val="Marginlie"/>
            </w:pPr>
            <w:r w:rsidRPr="009110F7">
              <w:t>Nejdynamičtějším odvětvím služeb zůstává již třetím rokem v řadě finančnictví. Výkon zpracovatelského průmyslu mírně zvolnil.</w:t>
            </w:r>
          </w:p>
        </w:tc>
        <w:tc>
          <w:tcPr>
            <w:tcW w:w="247" w:type="dxa"/>
            <w:gridSpan w:val="2"/>
            <w:shd w:val="clear" w:color="auto" w:fill="auto"/>
            <w:tcMar>
              <w:left w:w="0" w:type="dxa"/>
            </w:tcMar>
          </w:tcPr>
          <w:p w:rsidR="008C7569" w:rsidRPr="009110F7" w:rsidRDefault="008C7569" w:rsidP="008417B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18" w:type="dxa"/>
            <w:shd w:val="clear" w:color="auto" w:fill="auto"/>
            <w:tcMar>
              <w:left w:w="0" w:type="dxa"/>
            </w:tcMar>
          </w:tcPr>
          <w:p w:rsidR="008C7569" w:rsidRPr="009110F7" w:rsidRDefault="00716F48" w:rsidP="004059D2">
            <w:pPr>
              <w:rPr>
                <w:rFonts w:cs="Arial"/>
                <w:spacing w:val="-4"/>
              </w:rPr>
            </w:pPr>
            <w:r w:rsidRPr="009110F7">
              <w:rPr>
                <w:rFonts w:cs="Arial"/>
                <w:spacing w:val="-4"/>
              </w:rPr>
              <w:t>V </w:t>
            </w:r>
            <w:r w:rsidR="004059D2" w:rsidRPr="009110F7">
              <w:rPr>
                <w:rFonts w:cs="Arial"/>
                <w:spacing w:val="-4"/>
              </w:rPr>
              <w:t xml:space="preserve">rámci služeb byl meziročně růst </w:t>
            </w:r>
            <w:r w:rsidR="008C7569" w:rsidRPr="009110F7">
              <w:rPr>
                <w:rFonts w:cs="Arial"/>
                <w:spacing w:val="-4"/>
              </w:rPr>
              <w:t xml:space="preserve">HPH nejvíce </w:t>
            </w:r>
            <w:r w:rsidR="004059D2" w:rsidRPr="009110F7">
              <w:rPr>
                <w:rFonts w:cs="Arial"/>
                <w:spacing w:val="-4"/>
              </w:rPr>
              <w:t xml:space="preserve">podpořen </w:t>
            </w:r>
            <w:r w:rsidR="008C7569" w:rsidRPr="009110F7">
              <w:rPr>
                <w:rFonts w:cs="Arial"/>
                <w:spacing w:val="-4"/>
              </w:rPr>
              <w:t>váhově dominantní</w:t>
            </w:r>
            <w:r w:rsidR="004059D2" w:rsidRPr="009110F7">
              <w:rPr>
                <w:rFonts w:cs="Arial"/>
                <w:spacing w:val="-4"/>
              </w:rPr>
              <w:t>m</w:t>
            </w:r>
            <w:r w:rsidR="008C7569" w:rsidRPr="009110F7">
              <w:rPr>
                <w:rFonts w:cs="Arial"/>
                <w:spacing w:val="-4"/>
              </w:rPr>
              <w:t xml:space="preserve"> uskupení</w:t>
            </w:r>
            <w:r w:rsidR="004059D2" w:rsidRPr="009110F7">
              <w:rPr>
                <w:rFonts w:cs="Arial"/>
                <w:spacing w:val="-4"/>
              </w:rPr>
              <w:t>m</w:t>
            </w:r>
            <w:r w:rsidR="008C7569" w:rsidRPr="009110F7">
              <w:rPr>
                <w:rFonts w:cs="Arial"/>
                <w:spacing w:val="-4"/>
              </w:rPr>
              <w:t xml:space="preserve"> obchod, doprava, ubytování </w:t>
            </w:r>
            <w:r w:rsidRPr="009110F7">
              <w:rPr>
                <w:rFonts w:cs="Arial"/>
                <w:spacing w:val="-4"/>
              </w:rPr>
              <w:t>a </w:t>
            </w:r>
            <w:r w:rsidR="008C7569" w:rsidRPr="009110F7">
              <w:rPr>
                <w:rFonts w:cs="Arial"/>
                <w:spacing w:val="-4"/>
              </w:rPr>
              <w:t xml:space="preserve">pohostinství. Nejdynamičtějším odvětvím terciární sféry však již třetím rokem v řadě zůstalo peněžnictví </w:t>
            </w:r>
            <w:r w:rsidRPr="009110F7">
              <w:rPr>
                <w:rFonts w:cs="Arial"/>
                <w:spacing w:val="-4"/>
              </w:rPr>
              <w:t>a </w:t>
            </w:r>
            <w:r w:rsidR="008C7569" w:rsidRPr="009110F7">
              <w:rPr>
                <w:rFonts w:cs="Arial"/>
                <w:spacing w:val="-4"/>
              </w:rPr>
              <w:t>pojišťovnictví, jež letos oproti počátku loňského roku vytvořilo HPH</w:t>
            </w:r>
            <w:r w:rsidR="00161553" w:rsidRPr="009110F7">
              <w:rPr>
                <w:rFonts w:cs="Arial"/>
                <w:spacing w:val="-4"/>
              </w:rPr>
              <w:t xml:space="preserve"> </w:t>
            </w:r>
            <w:r w:rsidRPr="009110F7">
              <w:rPr>
                <w:rFonts w:cs="Arial"/>
                <w:spacing w:val="-4"/>
              </w:rPr>
              <w:t>o </w:t>
            </w:r>
            <w:r w:rsidR="008C7569" w:rsidRPr="009110F7">
              <w:rPr>
                <w:rFonts w:cs="Arial"/>
                <w:spacing w:val="-4"/>
              </w:rPr>
              <w:t>desetinu vyšší. Zpracovatelský průmysl za silným</w:t>
            </w:r>
            <w:r w:rsidR="00617985">
              <w:rPr>
                <w:rFonts w:cs="Arial"/>
                <w:spacing w:val="-4"/>
              </w:rPr>
              <w:t>i</w:t>
            </w:r>
            <w:r w:rsidR="008C7569" w:rsidRPr="009110F7">
              <w:rPr>
                <w:rFonts w:cs="Arial"/>
                <w:spacing w:val="-4"/>
              </w:rPr>
              <w:t xml:space="preserve"> loňskými výsledky mírně zaostal, jeho tempo (+6,</w:t>
            </w:r>
            <w:r w:rsidR="00167CB9" w:rsidRPr="009110F7">
              <w:rPr>
                <w:rFonts w:cs="Arial"/>
                <w:spacing w:val="-4"/>
              </w:rPr>
              <w:t>1 </w:t>
            </w:r>
            <w:r w:rsidR="008C7569" w:rsidRPr="009110F7">
              <w:rPr>
                <w:rFonts w:cs="Arial"/>
                <w:spacing w:val="-4"/>
              </w:rPr>
              <w:t>%) však bylo ve srovnání s ostatními odvětvím</w:t>
            </w:r>
            <w:r w:rsidR="00617985">
              <w:rPr>
                <w:rFonts w:cs="Arial"/>
                <w:spacing w:val="-4"/>
              </w:rPr>
              <w:t>i</w:t>
            </w:r>
            <w:r w:rsidR="008C7569" w:rsidRPr="009110F7">
              <w:rPr>
                <w:rFonts w:cs="Arial"/>
                <w:spacing w:val="-4"/>
              </w:rPr>
              <w:t xml:space="preserve"> nadále nadprůměrné. Mimořádné faktory stály za akcelerací stavebnict</w:t>
            </w:r>
            <w:r w:rsidR="006968C1" w:rsidRPr="009110F7">
              <w:rPr>
                <w:rFonts w:cs="Arial"/>
                <w:spacing w:val="-4"/>
              </w:rPr>
              <w:t>ví (+7,</w:t>
            </w:r>
            <w:r w:rsidR="00167CB9" w:rsidRPr="009110F7">
              <w:rPr>
                <w:rFonts w:cs="Arial"/>
                <w:spacing w:val="-4"/>
              </w:rPr>
              <w:t>6 </w:t>
            </w:r>
            <w:r w:rsidR="006968C1" w:rsidRPr="009110F7">
              <w:rPr>
                <w:rFonts w:cs="Arial"/>
                <w:spacing w:val="-4"/>
              </w:rPr>
              <w:t>%), jež docílilo nejlep</w:t>
            </w:r>
            <w:r w:rsidR="008C7569" w:rsidRPr="009110F7">
              <w:rPr>
                <w:rFonts w:cs="Arial"/>
                <w:spacing w:val="-4"/>
              </w:rPr>
              <w:t xml:space="preserve">šího výsledku od počátku roku 2007. </w:t>
            </w:r>
          </w:p>
        </w:tc>
      </w:tr>
      <w:tr w:rsidR="008C7569" w:rsidRPr="009110F7" w:rsidTr="009B3764">
        <w:trPr>
          <w:trHeight w:val="145"/>
        </w:trPr>
        <w:tc>
          <w:tcPr>
            <w:tcW w:w="1879" w:type="dxa"/>
            <w:gridSpan w:val="2"/>
            <w:shd w:val="clear" w:color="auto" w:fill="auto"/>
            <w:tcMar>
              <w:left w:w="0" w:type="dxa"/>
            </w:tcMar>
          </w:tcPr>
          <w:p w:rsidR="008C7569" w:rsidRPr="009110F7" w:rsidRDefault="008417B5" w:rsidP="008417B5">
            <w:pPr>
              <w:pStyle w:val="Marginlie"/>
            </w:pPr>
            <w:r w:rsidRPr="009110F7">
              <w:t xml:space="preserve">Index průmyslové produkce vzrostl v 1. čtvrtletí </w:t>
            </w:r>
            <w:r w:rsidR="00716F48" w:rsidRPr="009110F7">
              <w:t>o </w:t>
            </w:r>
            <w:r w:rsidRPr="009110F7">
              <w:t>4,</w:t>
            </w:r>
            <w:r w:rsidR="00167CB9" w:rsidRPr="009110F7">
              <w:t>0 </w:t>
            </w:r>
            <w:r w:rsidRPr="009110F7">
              <w:t xml:space="preserve">%. </w:t>
            </w:r>
            <w:r w:rsidR="0048368C" w:rsidRPr="009110F7">
              <w:t>Pozice exportérů byla proti loňskému roku méně příznivá.</w:t>
            </w:r>
          </w:p>
        </w:tc>
        <w:tc>
          <w:tcPr>
            <w:tcW w:w="247" w:type="dxa"/>
            <w:gridSpan w:val="2"/>
            <w:shd w:val="clear" w:color="auto" w:fill="auto"/>
            <w:tcMar>
              <w:left w:w="0" w:type="dxa"/>
            </w:tcMar>
          </w:tcPr>
          <w:p w:rsidR="008C7569" w:rsidRPr="009110F7" w:rsidRDefault="008C7569" w:rsidP="008417B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18" w:type="dxa"/>
            <w:shd w:val="clear" w:color="auto" w:fill="auto"/>
            <w:tcMar>
              <w:left w:w="0" w:type="dxa"/>
            </w:tcMar>
          </w:tcPr>
          <w:p w:rsidR="008C7569" w:rsidRPr="009110F7" w:rsidRDefault="008C7569" w:rsidP="00053713">
            <w:pPr>
              <w:rPr>
                <w:rFonts w:cs="Arial"/>
                <w:color w:val="0D0D0D" w:themeColor="text1" w:themeTint="F2"/>
                <w:spacing w:val="-4"/>
              </w:rPr>
            </w:pPr>
            <w:r w:rsidRPr="009110F7">
              <w:rPr>
                <w:spacing w:val="-4"/>
              </w:rPr>
              <w:t>Mírné zvolňování tempa růstu průmyslu ilustr</w:t>
            </w:r>
            <w:r w:rsidR="00053713">
              <w:rPr>
                <w:spacing w:val="-4"/>
              </w:rPr>
              <w:t>ovaly</w:t>
            </w:r>
            <w:r w:rsidRPr="009110F7">
              <w:rPr>
                <w:spacing w:val="-4"/>
              </w:rPr>
              <w:t xml:space="preserve"> rovněž údaje z podnikových statistik. I</w:t>
            </w:r>
            <w:r w:rsidRPr="009110F7">
              <w:rPr>
                <w:color w:val="000000" w:themeColor="text1"/>
                <w:spacing w:val="-4"/>
              </w:rPr>
              <w:t>ndex průmyslové produkce</w:t>
            </w:r>
            <w:r w:rsidRPr="009110F7">
              <w:rPr>
                <w:color w:val="000000" w:themeColor="text1"/>
                <w:spacing w:val="-4"/>
                <w:vertAlign w:val="superscript"/>
              </w:rPr>
              <w:footnoteReference w:id="3"/>
            </w:r>
            <w:r w:rsidRPr="009110F7">
              <w:rPr>
                <w:color w:val="000000" w:themeColor="text1"/>
                <w:spacing w:val="-4"/>
              </w:rPr>
              <w:t xml:space="preserve"> vzrostl v </w:t>
            </w:r>
            <w:r w:rsidR="00716F48" w:rsidRPr="009110F7">
              <w:rPr>
                <w:color w:val="000000" w:themeColor="text1"/>
                <w:spacing w:val="-4"/>
              </w:rPr>
              <w:t>1. </w:t>
            </w:r>
            <w:r w:rsidRPr="009110F7">
              <w:rPr>
                <w:color w:val="000000" w:themeColor="text1"/>
                <w:spacing w:val="-4"/>
              </w:rPr>
              <w:t xml:space="preserve">čtvrtletí meziročně </w:t>
            </w:r>
            <w:r w:rsidR="00716F48" w:rsidRPr="009110F7">
              <w:rPr>
                <w:color w:val="000000" w:themeColor="text1"/>
                <w:spacing w:val="-4"/>
              </w:rPr>
              <w:t>o </w:t>
            </w:r>
            <w:r w:rsidRPr="009110F7">
              <w:rPr>
                <w:color w:val="000000" w:themeColor="text1"/>
                <w:spacing w:val="-4"/>
              </w:rPr>
              <w:t>4,</w:t>
            </w:r>
            <w:r w:rsidR="00167CB9" w:rsidRPr="009110F7">
              <w:rPr>
                <w:color w:val="000000" w:themeColor="text1"/>
                <w:spacing w:val="-4"/>
              </w:rPr>
              <w:t>0 </w:t>
            </w:r>
            <w:r w:rsidRPr="009110F7">
              <w:rPr>
                <w:color w:val="000000" w:themeColor="text1"/>
                <w:spacing w:val="-4"/>
              </w:rPr>
              <w:t>%</w:t>
            </w:r>
            <w:r w:rsidRPr="009110F7">
              <w:rPr>
                <w:rStyle w:val="Znakapoznpodarou"/>
                <w:color w:val="000000" w:themeColor="text1"/>
                <w:spacing w:val="-4"/>
              </w:rPr>
              <w:footnoteReference w:id="4"/>
            </w:r>
            <w:r w:rsidR="004F3BD2">
              <w:rPr>
                <w:color w:val="000000" w:themeColor="text1"/>
                <w:spacing w:val="-4"/>
              </w:rPr>
              <w:t xml:space="preserve">, </w:t>
            </w:r>
            <w:r w:rsidRPr="009110F7">
              <w:rPr>
                <w:color w:val="000000" w:themeColor="text1"/>
                <w:spacing w:val="-4"/>
              </w:rPr>
              <w:t>a</w:t>
            </w:r>
            <w:r w:rsidRPr="009110F7">
              <w:rPr>
                <w:spacing w:val="-4"/>
              </w:rPr>
              <w:t> </w:t>
            </w:r>
            <w:r w:rsidRPr="009110F7">
              <w:rPr>
                <w:color w:val="000000" w:themeColor="text1"/>
                <w:spacing w:val="-4"/>
              </w:rPr>
              <w:t xml:space="preserve">nedosáhl tak dynamiky žádného </w:t>
            </w:r>
            <w:r w:rsidR="00716F48" w:rsidRPr="009110F7">
              <w:rPr>
                <w:color w:val="000000" w:themeColor="text1"/>
                <w:spacing w:val="-4"/>
              </w:rPr>
              <w:t>z </w:t>
            </w:r>
            <w:r w:rsidRPr="009110F7">
              <w:rPr>
                <w:color w:val="000000" w:themeColor="text1"/>
                <w:spacing w:val="-4"/>
              </w:rPr>
              <w:t>loňských čtvrtletí. Za tempy z let 2014 i</w:t>
            </w:r>
            <w:r w:rsidRPr="009110F7">
              <w:rPr>
                <w:spacing w:val="-4"/>
              </w:rPr>
              <w:t> </w:t>
            </w:r>
            <w:r w:rsidRPr="009110F7">
              <w:rPr>
                <w:color w:val="000000" w:themeColor="text1"/>
                <w:spacing w:val="-4"/>
              </w:rPr>
              <w:t>2015 však letos průmysl výrazně nezaostal. Pozitivní bylo, že si celé odvětví podrželo růst v </w:t>
            </w:r>
            <w:proofErr w:type="spellStart"/>
            <w:r w:rsidRPr="009110F7">
              <w:rPr>
                <w:color w:val="000000" w:themeColor="text1"/>
                <w:spacing w:val="-4"/>
              </w:rPr>
              <w:t>mezičtvrtletním</w:t>
            </w:r>
            <w:proofErr w:type="spellEnd"/>
            <w:r w:rsidRPr="009110F7">
              <w:rPr>
                <w:color w:val="000000" w:themeColor="text1"/>
                <w:spacing w:val="-4"/>
              </w:rPr>
              <w:t xml:space="preserve"> vyjádření (+0,</w:t>
            </w:r>
            <w:r w:rsidR="00917251">
              <w:rPr>
                <w:color w:val="000000" w:themeColor="text1"/>
                <w:spacing w:val="-4"/>
              </w:rPr>
              <w:t>3</w:t>
            </w:r>
            <w:r w:rsidR="00167CB9" w:rsidRPr="009110F7">
              <w:rPr>
                <w:color w:val="000000" w:themeColor="text1"/>
                <w:spacing w:val="-4"/>
              </w:rPr>
              <w:t> </w:t>
            </w:r>
            <w:r w:rsidRPr="009110F7">
              <w:rPr>
                <w:color w:val="000000" w:themeColor="text1"/>
                <w:spacing w:val="-4"/>
              </w:rPr>
              <w:t>%), byť k němu přispěl jen váhově dominantní zpracovatelský průmysl.</w:t>
            </w:r>
            <w:r w:rsidR="003738BD" w:rsidRPr="009110F7">
              <w:rPr>
                <w:color w:val="000000" w:themeColor="text1"/>
                <w:spacing w:val="-4"/>
              </w:rPr>
              <w:t xml:space="preserve"> Zpomalení výkonu průmyslu může souviset </w:t>
            </w:r>
            <w:r w:rsidR="00716F48" w:rsidRPr="009110F7">
              <w:rPr>
                <w:color w:val="000000" w:themeColor="text1"/>
                <w:spacing w:val="-4"/>
              </w:rPr>
              <w:t>i s </w:t>
            </w:r>
            <w:r w:rsidR="003738BD" w:rsidRPr="009110F7">
              <w:rPr>
                <w:color w:val="000000" w:themeColor="text1"/>
                <w:spacing w:val="-4"/>
              </w:rPr>
              <w:t xml:space="preserve">obtížnější situací exportérů, </w:t>
            </w:r>
            <w:r w:rsidR="00A04717" w:rsidRPr="009110F7">
              <w:rPr>
                <w:color w:val="000000" w:themeColor="text1"/>
                <w:spacing w:val="-4"/>
              </w:rPr>
              <w:t>kteří na</w:t>
            </w:r>
            <w:r w:rsidR="008417B5" w:rsidRPr="009110F7">
              <w:rPr>
                <w:color w:val="000000" w:themeColor="text1"/>
                <w:spacing w:val="-4"/>
              </w:rPr>
              <w:t xml:space="preserve"> jedn</w:t>
            </w:r>
            <w:r w:rsidR="004F3BD2">
              <w:rPr>
                <w:color w:val="000000" w:themeColor="text1"/>
                <w:spacing w:val="-4"/>
              </w:rPr>
              <w:t>é</w:t>
            </w:r>
            <w:r w:rsidR="008417B5" w:rsidRPr="009110F7">
              <w:rPr>
                <w:color w:val="000000" w:themeColor="text1"/>
                <w:spacing w:val="-4"/>
              </w:rPr>
              <w:t xml:space="preserve"> stran</w:t>
            </w:r>
            <w:r w:rsidR="004F3BD2">
              <w:rPr>
                <w:color w:val="000000" w:themeColor="text1"/>
                <w:spacing w:val="-4"/>
              </w:rPr>
              <w:t>ě</w:t>
            </w:r>
            <w:r w:rsidR="008417B5" w:rsidRPr="009110F7">
              <w:rPr>
                <w:color w:val="000000" w:themeColor="text1"/>
                <w:spacing w:val="-4"/>
              </w:rPr>
              <w:t xml:space="preserve"> čel</w:t>
            </w:r>
            <w:r w:rsidR="00053713">
              <w:rPr>
                <w:color w:val="000000" w:themeColor="text1"/>
                <w:spacing w:val="-4"/>
              </w:rPr>
              <w:t>ili</w:t>
            </w:r>
            <w:r w:rsidR="008417B5" w:rsidRPr="009110F7">
              <w:rPr>
                <w:color w:val="000000" w:themeColor="text1"/>
                <w:spacing w:val="-4"/>
              </w:rPr>
              <w:t xml:space="preserve"> důsledkům</w:t>
            </w:r>
            <w:r w:rsidR="00A04717" w:rsidRPr="009110F7">
              <w:rPr>
                <w:color w:val="000000" w:themeColor="text1"/>
                <w:spacing w:val="-4"/>
              </w:rPr>
              <w:t xml:space="preserve"> sílící</w:t>
            </w:r>
            <w:r w:rsidR="008417B5" w:rsidRPr="009110F7">
              <w:rPr>
                <w:color w:val="000000" w:themeColor="text1"/>
                <w:spacing w:val="-4"/>
              </w:rPr>
              <w:t xml:space="preserve"> koruny, na straně druhé pak na</w:t>
            </w:r>
            <w:r w:rsidR="00A04717" w:rsidRPr="009110F7">
              <w:rPr>
                <w:color w:val="000000" w:themeColor="text1"/>
                <w:spacing w:val="-4"/>
              </w:rPr>
              <w:t>ráž</w:t>
            </w:r>
            <w:r w:rsidR="004F3BD2">
              <w:rPr>
                <w:color w:val="000000" w:themeColor="text1"/>
                <w:spacing w:val="-4"/>
              </w:rPr>
              <w:t>e</w:t>
            </w:r>
            <w:r w:rsidR="00053713">
              <w:rPr>
                <w:color w:val="000000" w:themeColor="text1"/>
                <w:spacing w:val="-4"/>
              </w:rPr>
              <w:t>li</w:t>
            </w:r>
            <w:r w:rsidR="00A04717" w:rsidRPr="009110F7">
              <w:rPr>
                <w:color w:val="000000" w:themeColor="text1"/>
                <w:spacing w:val="-4"/>
              </w:rPr>
              <w:t xml:space="preserve"> na limity výrobních kapacit </w:t>
            </w:r>
            <w:r w:rsidR="008417B5" w:rsidRPr="009110F7">
              <w:rPr>
                <w:color w:val="000000" w:themeColor="text1"/>
                <w:spacing w:val="-4"/>
              </w:rPr>
              <w:t xml:space="preserve">v důsledku </w:t>
            </w:r>
            <w:r w:rsidR="00A04717" w:rsidRPr="009110F7">
              <w:rPr>
                <w:color w:val="000000" w:themeColor="text1"/>
                <w:spacing w:val="-4"/>
              </w:rPr>
              <w:t xml:space="preserve">stále </w:t>
            </w:r>
            <w:r w:rsidR="0027583D" w:rsidRPr="009110F7">
              <w:rPr>
                <w:color w:val="000000" w:themeColor="text1"/>
                <w:spacing w:val="-4"/>
              </w:rPr>
              <w:t>se prohlubujícího</w:t>
            </w:r>
            <w:r w:rsidR="00A04717" w:rsidRPr="009110F7">
              <w:rPr>
                <w:color w:val="000000" w:themeColor="text1"/>
                <w:spacing w:val="-4"/>
              </w:rPr>
              <w:t xml:space="preserve"> nedosta</w:t>
            </w:r>
            <w:r w:rsidR="00C21430" w:rsidRPr="009110F7">
              <w:rPr>
                <w:color w:val="000000" w:themeColor="text1"/>
                <w:spacing w:val="-4"/>
              </w:rPr>
              <w:t>t</w:t>
            </w:r>
            <w:r w:rsidR="00A04717" w:rsidRPr="009110F7">
              <w:rPr>
                <w:color w:val="000000" w:themeColor="text1"/>
                <w:spacing w:val="-4"/>
              </w:rPr>
              <w:t xml:space="preserve">ku pracovních </w:t>
            </w:r>
            <w:r w:rsidR="004F3BD2">
              <w:rPr>
                <w:color w:val="000000" w:themeColor="text1"/>
                <w:spacing w:val="-4"/>
              </w:rPr>
              <w:t xml:space="preserve">sil </w:t>
            </w:r>
            <w:r w:rsidR="008417B5" w:rsidRPr="009110F7">
              <w:rPr>
                <w:color w:val="000000" w:themeColor="text1"/>
                <w:spacing w:val="-4"/>
              </w:rPr>
              <w:t>doprovázeného sílícími mzdovými náklady.</w:t>
            </w:r>
          </w:p>
        </w:tc>
      </w:tr>
      <w:tr w:rsidR="008C7569" w:rsidRPr="009110F7" w:rsidTr="009B3764">
        <w:trPr>
          <w:trHeight w:val="145"/>
        </w:trPr>
        <w:tc>
          <w:tcPr>
            <w:tcW w:w="1879" w:type="dxa"/>
            <w:gridSpan w:val="2"/>
            <w:shd w:val="clear" w:color="auto" w:fill="auto"/>
            <w:tcMar>
              <w:left w:w="0" w:type="dxa"/>
            </w:tcMar>
          </w:tcPr>
          <w:p w:rsidR="00C21430" w:rsidRPr="009110F7" w:rsidRDefault="00C21430" w:rsidP="00C21430">
            <w:pPr>
              <w:pStyle w:val="Marginlie"/>
            </w:pPr>
            <w:r w:rsidRPr="009110F7">
              <w:t>Výrobci motorových vozidel přispěli k růstu celého průmyslu 0,</w:t>
            </w:r>
            <w:r w:rsidR="00167CB9" w:rsidRPr="009110F7">
              <w:t>6 p. </w:t>
            </w:r>
            <w:proofErr w:type="spellStart"/>
            <w:r w:rsidR="00167CB9" w:rsidRPr="009110F7">
              <w:t>b</w:t>
            </w:r>
            <w:proofErr w:type="spellEnd"/>
            <w:r w:rsidR="00167CB9" w:rsidRPr="009110F7">
              <w:t>.</w:t>
            </w:r>
            <w:r w:rsidRPr="009110F7">
              <w:t>, nejméně od poloviny roku 2013.</w:t>
            </w:r>
          </w:p>
          <w:p w:rsidR="00C21430" w:rsidRPr="009110F7" w:rsidRDefault="00C21430" w:rsidP="00C21430">
            <w:pPr>
              <w:pStyle w:val="Marginlie"/>
            </w:pPr>
          </w:p>
          <w:p w:rsidR="00C21430" w:rsidRPr="009110F7" w:rsidRDefault="00C21430" w:rsidP="00C21430">
            <w:pPr>
              <w:pStyle w:val="Marginlie"/>
            </w:pPr>
          </w:p>
          <w:p w:rsidR="00C21430" w:rsidRPr="009110F7" w:rsidRDefault="00C21430" w:rsidP="00C21430">
            <w:pPr>
              <w:pStyle w:val="Marginlie"/>
            </w:pPr>
          </w:p>
          <w:p w:rsidR="00C21430" w:rsidRPr="009110F7" w:rsidRDefault="00C21430" w:rsidP="00C21430">
            <w:pPr>
              <w:pStyle w:val="Marginlie"/>
            </w:pPr>
          </w:p>
          <w:p w:rsidR="00C21430" w:rsidRPr="009110F7" w:rsidRDefault="00C21430" w:rsidP="00C21430">
            <w:pPr>
              <w:pStyle w:val="Marginlie"/>
            </w:pPr>
            <w:r w:rsidRPr="009110F7">
              <w:t xml:space="preserve">Dařilo se kovovýrobě, strojírenství </w:t>
            </w:r>
            <w:r w:rsidR="00716F48" w:rsidRPr="009110F7">
              <w:t>i </w:t>
            </w:r>
            <w:r w:rsidRPr="009110F7">
              <w:t>prod</w:t>
            </w:r>
            <w:r w:rsidR="0027583D" w:rsidRPr="009110F7">
              <w:t>ukci počítačů, elektronických a </w:t>
            </w:r>
            <w:r w:rsidRPr="009110F7">
              <w:t>optických přístrojů.</w:t>
            </w:r>
          </w:p>
          <w:p w:rsidR="002071D5" w:rsidRPr="009110F7" w:rsidRDefault="002071D5" w:rsidP="008417B5">
            <w:pPr>
              <w:pStyle w:val="Marginlie"/>
            </w:pPr>
          </w:p>
          <w:p w:rsidR="002071D5" w:rsidRPr="009110F7" w:rsidRDefault="002071D5" w:rsidP="008417B5">
            <w:pPr>
              <w:pStyle w:val="Marginlie"/>
            </w:pPr>
            <w:r w:rsidRPr="009110F7">
              <w:lastRenderedPageBreak/>
              <w:t xml:space="preserve">Z menších oborů pokračoval příznivý vývoj v nábytkářství, oděvnictví </w:t>
            </w:r>
            <w:r w:rsidR="00716F48" w:rsidRPr="009110F7">
              <w:t>a </w:t>
            </w:r>
            <w:r w:rsidRPr="009110F7">
              <w:t>farmacii.</w:t>
            </w:r>
          </w:p>
        </w:tc>
        <w:tc>
          <w:tcPr>
            <w:tcW w:w="247" w:type="dxa"/>
            <w:gridSpan w:val="2"/>
            <w:shd w:val="clear" w:color="auto" w:fill="auto"/>
            <w:tcMar>
              <w:left w:w="0" w:type="dxa"/>
            </w:tcMar>
          </w:tcPr>
          <w:p w:rsidR="008C7569" w:rsidRPr="009110F7" w:rsidRDefault="008C7569" w:rsidP="008417B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18" w:type="dxa"/>
            <w:shd w:val="clear" w:color="auto" w:fill="auto"/>
            <w:tcMar>
              <w:left w:w="0" w:type="dxa"/>
            </w:tcMar>
          </w:tcPr>
          <w:p w:rsidR="008C7569" w:rsidRPr="009110F7" w:rsidRDefault="00C21430" w:rsidP="00C21430">
            <w:pPr>
              <w:spacing w:after="220"/>
              <w:rPr>
                <w:rFonts w:cs="Arial"/>
                <w:color w:val="0D0D0D" w:themeColor="text1" w:themeTint="F2"/>
                <w:spacing w:val="-4"/>
              </w:rPr>
            </w:pPr>
            <w:r w:rsidRPr="009110F7">
              <w:rPr>
                <w:rFonts w:cs="Arial"/>
                <w:color w:val="0D0D0D" w:themeColor="text1" w:themeTint="F2"/>
                <w:spacing w:val="-4"/>
              </w:rPr>
              <w:t>Za zpomalením meziročního růstu stála v </w:t>
            </w:r>
            <w:r w:rsidR="00716F48" w:rsidRPr="009110F7">
              <w:rPr>
                <w:rFonts w:cs="Arial"/>
                <w:color w:val="0D0D0D" w:themeColor="text1" w:themeTint="F2"/>
                <w:spacing w:val="-4"/>
              </w:rPr>
              <w:t>1. </w:t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t xml:space="preserve">čtvrtletí především výroba motorových vozidel, jejíž produkce meziročně vzrostla </w:t>
            </w:r>
            <w:r w:rsidR="00716F48" w:rsidRPr="009110F7">
              <w:rPr>
                <w:rFonts w:cs="Arial"/>
                <w:color w:val="0D0D0D" w:themeColor="text1" w:themeTint="F2"/>
                <w:spacing w:val="-4"/>
              </w:rPr>
              <w:t>o </w:t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t>2,</w:t>
            </w:r>
            <w:r w:rsidR="00167CB9" w:rsidRPr="009110F7">
              <w:rPr>
                <w:rFonts w:cs="Arial"/>
                <w:color w:val="0D0D0D" w:themeColor="text1" w:themeTint="F2"/>
                <w:spacing w:val="-4"/>
              </w:rPr>
              <w:t>9 </w:t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t>% (po celý loňský rok tempo oscilovalo kolem 1</w:t>
            </w:r>
            <w:r w:rsidR="00167CB9" w:rsidRPr="009110F7">
              <w:rPr>
                <w:rFonts w:cs="Arial"/>
                <w:color w:val="0D0D0D" w:themeColor="text1" w:themeTint="F2"/>
                <w:spacing w:val="-4"/>
              </w:rPr>
              <w:t>0 </w:t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t xml:space="preserve">%). Výraznější zvolnění potvrzují </w:t>
            </w:r>
            <w:r w:rsidR="00716F48" w:rsidRPr="009110F7">
              <w:rPr>
                <w:rFonts w:cs="Arial"/>
                <w:color w:val="0D0D0D" w:themeColor="text1" w:themeTint="F2"/>
                <w:spacing w:val="-4"/>
              </w:rPr>
              <w:t>i </w:t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t xml:space="preserve">údaje </w:t>
            </w:r>
            <w:r w:rsidR="00716F48" w:rsidRPr="009110F7">
              <w:rPr>
                <w:rFonts w:cs="Arial"/>
                <w:color w:val="0D0D0D" w:themeColor="text1" w:themeTint="F2"/>
                <w:spacing w:val="-4"/>
              </w:rPr>
              <w:t>o </w:t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t>fyzické produkci</w:t>
            </w:r>
            <w:r w:rsidRPr="009110F7">
              <w:rPr>
                <w:rStyle w:val="Znakapoznpodarou"/>
                <w:color w:val="0D0D0D" w:themeColor="text1" w:themeTint="F2"/>
                <w:spacing w:val="-4"/>
              </w:rPr>
              <w:footnoteReference w:id="5"/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t xml:space="preserve">. Neudržitelnost vysoké dynamiky produkce signalizovaly v tomto odvětví </w:t>
            </w:r>
            <w:r w:rsidR="00716F48" w:rsidRPr="009110F7">
              <w:rPr>
                <w:rFonts w:cs="Arial"/>
                <w:color w:val="0D0D0D" w:themeColor="text1" w:themeTint="F2"/>
                <w:spacing w:val="-4"/>
              </w:rPr>
              <w:t>i </w:t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t>no</w:t>
            </w:r>
            <w:r w:rsidR="007A775D">
              <w:rPr>
                <w:rFonts w:cs="Arial"/>
                <w:color w:val="0D0D0D" w:themeColor="text1" w:themeTint="F2"/>
                <w:spacing w:val="-4"/>
              </w:rPr>
              <w:t>vé zakázky, jejichž objem již po</w:t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t xml:space="preserve"> </w:t>
            </w:r>
            <w:r w:rsidR="007A775D">
              <w:rPr>
                <w:rFonts w:cs="Arial"/>
                <w:color w:val="0D0D0D" w:themeColor="text1" w:themeTint="F2"/>
                <w:spacing w:val="-4"/>
              </w:rPr>
              <w:t>1</w:t>
            </w:r>
            <w:r w:rsidR="00716F48" w:rsidRPr="009110F7">
              <w:rPr>
                <w:rFonts w:cs="Arial"/>
                <w:color w:val="0D0D0D" w:themeColor="text1" w:themeTint="F2"/>
                <w:spacing w:val="-4"/>
              </w:rPr>
              <w:t>. </w:t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t>čtvrtletí 2017 meziročně fakticky stagnoval. Výrobci motorových vozidel přispěli v </w:t>
            </w:r>
            <w:r w:rsidR="00716F48" w:rsidRPr="009110F7">
              <w:rPr>
                <w:rFonts w:cs="Arial"/>
                <w:color w:val="0D0D0D" w:themeColor="text1" w:themeTint="F2"/>
                <w:spacing w:val="-4"/>
              </w:rPr>
              <w:t>1. </w:t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t>čtvrtletí k růstu celého průmyslu jen 0,</w:t>
            </w:r>
            <w:r w:rsidR="00167CB9" w:rsidRPr="009110F7">
              <w:rPr>
                <w:rFonts w:cs="Arial"/>
                <w:color w:val="0D0D0D" w:themeColor="text1" w:themeTint="F2"/>
                <w:spacing w:val="-4"/>
              </w:rPr>
              <w:t>6 p. </w:t>
            </w:r>
            <w:proofErr w:type="spellStart"/>
            <w:r w:rsidR="00167CB9" w:rsidRPr="009110F7">
              <w:rPr>
                <w:rFonts w:cs="Arial"/>
                <w:color w:val="0D0D0D" w:themeColor="text1" w:themeTint="F2"/>
                <w:spacing w:val="-4"/>
              </w:rPr>
              <w:t>b</w:t>
            </w:r>
            <w:proofErr w:type="spellEnd"/>
            <w:r w:rsidR="00167CB9" w:rsidRPr="009110F7">
              <w:rPr>
                <w:rFonts w:cs="Arial"/>
                <w:color w:val="0D0D0D" w:themeColor="text1" w:themeTint="F2"/>
                <w:spacing w:val="-4"/>
              </w:rPr>
              <w:t>.</w:t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t>, nejméně od poloviny roku 2013, kdy se ekonomika vymaňovala z recese. Silnější dynamiku si uchovaly návazn</w:t>
            </w:r>
            <w:r w:rsidR="0027583D" w:rsidRPr="009110F7">
              <w:rPr>
                <w:rFonts w:cs="Arial"/>
                <w:color w:val="0D0D0D" w:themeColor="text1" w:themeTint="F2"/>
                <w:spacing w:val="-4"/>
              </w:rPr>
              <w:t>é obory automobilového průmyslu. J</w:t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t>ejich příspěvek k růstu průmyslu činil 1,</w:t>
            </w:r>
            <w:r w:rsidR="00167CB9" w:rsidRPr="009110F7">
              <w:rPr>
                <w:rFonts w:cs="Arial"/>
                <w:color w:val="0D0D0D" w:themeColor="text1" w:themeTint="F2"/>
                <w:spacing w:val="-4"/>
              </w:rPr>
              <w:t>0 p. </w:t>
            </w:r>
            <w:proofErr w:type="spellStart"/>
            <w:r w:rsidR="00167CB9" w:rsidRPr="009110F7">
              <w:rPr>
                <w:rFonts w:cs="Arial"/>
                <w:color w:val="0D0D0D" w:themeColor="text1" w:themeTint="F2"/>
                <w:spacing w:val="-4"/>
              </w:rPr>
              <w:t>b</w:t>
            </w:r>
            <w:proofErr w:type="spellEnd"/>
            <w:r w:rsidR="00167CB9" w:rsidRPr="009110F7">
              <w:rPr>
                <w:rFonts w:cs="Arial"/>
                <w:color w:val="0D0D0D" w:themeColor="text1" w:themeTint="F2"/>
                <w:spacing w:val="-4"/>
              </w:rPr>
              <w:t>.</w:t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t xml:space="preserve"> (hlavně vlivem výroby elektrických zařízení). Významný byl </w:t>
            </w:r>
            <w:r w:rsidR="00716F48" w:rsidRPr="009110F7">
              <w:rPr>
                <w:rFonts w:cs="Arial"/>
                <w:color w:val="0D0D0D" w:themeColor="text1" w:themeTint="F2"/>
                <w:spacing w:val="-4"/>
              </w:rPr>
              <w:t>i </w:t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t>příspěve</w:t>
            </w:r>
            <w:r w:rsidR="0027583D" w:rsidRPr="009110F7">
              <w:rPr>
                <w:rFonts w:cs="Arial"/>
                <w:color w:val="0D0D0D" w:themeColor="text1" w:themeTint="F2"/>
                <w:spacing w:val="-4"/>
              </w:rPr>
              <w:t>k kovovýroby (0,</w:t>
            </w:r>
            <w:r w:rsidR="00917251">
              <w:rPr>
                <w:rFonts w:cs="Arial"/>
                <w:color w:val="0D0D0D" w:themeColor="text1" w:themeTint="F2"/>
                <w:spacing w:val="-4"/>
              </w:rPr>
              <w:t>7</w:t>
            </w:r>
            <w:r w:rsidR="00167CB9" w:rsidRPr="009110F7">
              <w:rPr>
                <w:rFonts w:cs="Arial"/>
                <w:color w:val="0D0D0D" w:themeColor="text1" w:themeTint="F2"/>
                <w:spacing w:val="-4"/>
              </w:rPr>
              <w:t> </w:t>
            </w:r>
            <w:r w:rsidR="0027583D" w:rsidRPr="009110F7">
              <w:rPr>
                <w:rFonts w:cs="Arial"/>
                <w:color w:val="0D0D0D" w:themeColor="text1" w:themeTint="F2"/>
                <w:spacing w:val="-4"/>
              </w:rPr>
              <w:t>p.</w:t>
            </w:r>
            <w:r w:rsidR="00EF5FF9">
              <w:rPr>
                <w:rFonts w:cs="Arial"/>
                <w:color w:val="0D0D0D" w:themeColor="text1" w:themeTint="F2"/>
                <w:spacing w:val="-4"/>
              </w:rPr>
              <w:t> </w:t>
            </w:r>
            <w:proofErr w:type="spellStart"/>
            <w:r w:rsidR="0027583D" w:rsidRPr="009110F7">
              <w:rPr>
                <w:rFonts w:cs="Arial"/>
                <w:color w:val="0D0D0D" w:themeColor="text1" w:themeTint="F2"/>
                <w:spacing w:val="-4"/>
              </w:rPr>
              <w:t>b</w:t>
            </w:r>
            <w:proofErr w:type="spellEnd"/>
            <w:r w:rsidR="0027583D" w:rsidRPr="009110F7">
              <w:rPr>
                <w:rFonts w:cs="Arial"/>
                <w:color w:val="0D0D0D" w:themeColor="text1" w:themeTint="F2"/>
                <w:spacing w:val="-4"/>
              </w:rPr>
              <w:t xml:space="preserve">.), kterou </w:t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t>poháněla sílící tuzemská poptávka. Dařilo se strojírenství (+7,</w:t>
            </w:r>
            <w:r w:rsidR="00917251">
              <w:rPr>
                <w:rFonts w:cs="Arial"/>
                <w:color w:val="0D0D0D" w:themeColor="text1" w:themeTint="F2"/>
                <w:spacing w:val="-4"/>
              </w:rPr>
              <w:t>7</w:t>
            </w:r>
            <w:r w:rsidR="00167CB9" w:rsidRPr="009110F7">
              <w:rPr>
                <w:rFonts w:cs="Arial"/>
                <w:color w:val="0D0D0D" w:themeColor="text1" w:themeTint="F2"/>
                <w:spacing w:val="-4"/>
              </w:rPr>
              <w:t> </w:t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t xml:space="preserve">%) </w:t>
            </w:r>
            <w:r w:rsidR="00716F48" w:rsidRPr="009110F7">
              <w:rPr>
                <w:rFonts w:cs="Arial"/>
                <w:color w:val="0D0D0D" w:themeColor="text1" w:themeTint="F2"/>
                <w:spacing w:val="-4"/>
              </w:rPr>
              <w:t>a </w:t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t xml:space="preserve">hlavně výrobě počítačů, elektronických </w:t>
            </w:r>
            <w:r w:rsidR="00716F48" w:rsidRPr="009110F7">
              <w:rPr>
                <w:rFonts w:cs="Arial"/>
                <w:color w:val="0D0D0D" w:themeColor="text1" w:themeTint="F2"/>
                <w:spacing w:val="-4"/>
              </w:rPr>
              <w:t>a </w:t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t>optických přístrojů (15,</w:t>
            </w:r>
            <w:r w:rsidR="00917251">
              <w:rPr>
                <w:rFonts w:cs="Arial"/>
                <w:color w:val="0D0D0D" w:themeColor="text1" w:themeTint="F2"/>
                <w:spacing w:val="-4"/>
              </w:rPr>
              <w:t>7</w:t>
            </w:r>
            <w:r w:rsidR="00167CB9" w:rsidRPr="009110F7">
              <w:rPr>
                <w:rFonts w:cs="Arial"/>
                <w:color w:val="0D0D0D" w:themeColor="text1" w:themeTint="F2"/>
                <w:spacing w:val="-4"/>
              </w:rPr>
              <w:t> </w:t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t xml:space="preserve">%, nejvíce ze všech </w:t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lastRenderedPageBreak/>
              <w:t>zpracovatelských oborů) – přís</w:t>
            </w:r>
            <w:r w:rsidR="00917251">
              <w:rPr>
                <w:rFonts w:cs="Arial"/>
                <w:color w:val="0D0D0D" w:themeColor="text1" w:themeTint="F2"/>
                <w:spacing w:val="-4"/>
              </w:rPr>
              <w:t xml:space="preserve">pěvek obou odvětví činil </w:t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t>0,</w:t>
            </w:r>
            <w:r w:rsidR="00167CB9" w:rsidRPr="009110F7">
              <w:rPr>
                <w:rFonts w:cs="Arial"/>
                <w:color w:val="0D0D0D" w:themeColor="text1" w:themeTint="F2"/>
                <w:spacing w:val="-4"/>
              </w:rPr>
              <w:t>6</w:t>
            </w:r>
            <w:r w:rsidR="00917251">
              <w:rPr>
                <w:rFonts w:cs="Arial"/>
                <w:color w:val="0D0D0D" w:themeColor="text1" w:themeTint="F2"/>
                <w:spacing w:val="-4"/>
              </w:rPr>
              <w:t xml:space="preserve">, resp. 0,5 </w:t>
            </w:r>
            <w:r w:rsidR="00167CB9" w:rsidRPr="009110F7">
              <w:rPr>
                <w:rFonts w:cs="Arial"/>
                <w:color w:val="0D0D0D" w:themeColor="text1" w:themeTint="F2"/>
                <w:spacing w:val="-4"/>
              </w:rPr>
              <w:t> </w:t>
            </w:r>
            <w:r w:rsidR="00716F48" w:rsidRPr="009110F7">
              <w:rPr>
                <w:rFonts w:cs="Arial"/>
                <w:color w:val="0D0D0D" w:themeColor="text1" w:themeTint="F2"/>
                <w:spacing w:val="-4"/>
              </w:rPr>
              <w:t>p</w:t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t>.</w:t>
            </w:r>
            <w:r w:rsidR="00EF5FF9">
              <w:rPr>
                <w:rFonts w:cs="Arial"/>
                <w:color w:val="0D0D0D" w:themeColor="text1" w:themeTint="F2"/>
                <w:spacing w:val="-4"/>
              </w:rPr>
              <w:t> </w:t>
            </w:r>
            <w:proofErr w:type="spellStart"/>
            <w:r w:rsidRPr="009110F7">
              <w:rPr>
                <w:rFonts w:cs="Arial"/>
                <w:color w:val="0D0D0D" w:themeColor="text1" w:themeTint="F2"/>
                <w:spacing w:val="-4"/>
              </w:rPr>
              <w:t>b</w:t>
            </w:r>
            <w:proofErr w:type="spellEnd"/>
            <w:r w:rsidRPr="009110F7">
              <w:rPr>
                <w:rFonts w:cs="Arial"/>
                <w:color w:val="0D0D0D" w:themeColor="text1" w:themeTint="F2"/>
                <w:spacing w:val="-4"/>
              </w:rPr>
              <w:t>. Na vlně oživení pozemního stavitelství se pohybovali výrobci ostatních nekovových minerálních výrobků (+8,</w:t>
            </w:r>
            <w:r w:rsidR="00917251">
              <w:rPr>
                <w:rFonts w:cs="Arial"/>
                <w:color w:val="0D0D0D" w:themeColor="text1" w:themeTint="F2"/>
                <w:spacing w:val="-4"/>
              </w:rPr>
              <w:t>6</w:t>
            </w:r>
            <w:r w:rsidR="00167CB9" w:rsidRPr="009110F7">
              <w:rPr>
                <w:rFonts w:cs="Arial"/>
                <w:color w:val="0D0D0D" w:themeColor="text1" w:themeTint="F2"/>
                <w:spacing w:val="-4"/>
              </w:rPr>
              <w:t> </w:t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t>%). Oproti loňskému roku se zlepšilo postavení hutnictví</w:t>
            </w:r>
            <w:r w:rsidR="0027583D" w:rsidRPr="009110F7">
              <w:rPr>
                <w:rFonts w:cs="Arial"/>
                <w:color w:val="0D0D0D" w:themeColor="text1" w:themeTint="F2"/>
                <w:spacing w:val="-4"/>
              </w:rPr>
              <w:t>,</w:t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t xml:space="preserve"> podobně jako výroby ostatních (zejména kolejových) dopravních prostředků, silný růstový impul</w:t>
            </w:r>
            <w:r w:rsidR="00EF5FF9">
              <w:rPr>
                <w:rFonts w:cs="Arial"/>
                <w:color w:val="0D0D0D" w:themeColor="text1" w:themeTint="F2"/>
                <w:spacing w:val="-4"/>
              </w:rPr>
              <w:t>z</w:t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t xml:space="preserve"> chemického průmyslu naopak vyprchával. Z menších oborů pokračoval svižný růst silně exportně oriento</w:t>
            </w:r>
            <w:r w:rsidR="007A775D">
              <w:rPr>
                <w:rFonts w:cs="Arial"/>
                <w:color w:val="0D0D0D" w:themeColor="text1" w:themeTint="F2"/>
                <w:spacing w:val="-4"/>
              </w:rPr>
              <w:t>vaného farmaceutického průmyslu. D</w:t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t xml:space="preserve">ařilo se oděvnictví (kde rostla poptávka po pracovních </w:t>
            </w:r>
            <w:r w:rsidR="00716F48" w:rsidRPr="009110F7">
              <w:rPr>
                <w:rFonts w:cs="Arial"/>
                <w:color w:val="0D0D0D" w:themeColor="text1" w:themeTint="F2"/>
                <w:spacing w:val="-4"/>
              </w:rPr>
              <w:t>a </w:t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t>sportovních oděvech) či nábytkářskému průmyslu (</w:t>
            </w:r>
            <w:r w:rsidR="00716F48" w:rsidRPr="009110F7">
              <w:rPr>
                <w:rFonts w:cs="Arial"/>
                <w:color w:val="0D0D0D" w:themeColor="text1" w:themeTint="F2"/>
                <w:spacing w:val="-4"/>
              </w:rPr>
              <w:t>s </w:t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t>růstem produkce trvajícím již více než pět let).</w:t>
            </w:r>
          </w:p>
        </w:tc>
      </w:tr>
      <w:tr w:rsidR="008C7569" w:rsidRPr="009110F7" w:rsidTr="009B3764">
        <w:trPr>
          <w:trHeight w:val="145"/>
        </w:trPr>
        <w:tc>
          <w:tcPr>
            <w:tcW w:w="1879" w:type="dxa"/>
            <w:gridSpan w:val="2"/>
            <w:shd w:val="clear" w:color="auto" w:fill="auto"/>
            <w:tcMar>
              <w:left w:w="0" w:type="dxa"/>
            </w:tcMar>
          </w:tcPr>
          <w:p w:rsidR="008C7569" w:rsidRPr="009110F7" w:rsidRDefault="00C71D2F" w:rsidP="008417B5">
            <w:pPr>
              <w:pStyle w:val="Marginlie"/>
            </w:pPr>
            <w:r w:rsidRPr="009110F7">
              <w:lastRenderedPageBreak/>
              <w:t>Za meziročním poklesem produkce energetiky stála teplejší zima</w:t>
            </w:r>
            <w:r w:rsidR="002812E3" w:rsidRPr="009110F7">
              <w:t>.</w:t>
            </w:r>
          </w:p>
        </w:tc>
        <w:tc>
          <w:tcPr>
            <w:tcW w:w="247" w:type="dxa"/>
            <w:gridSpan w:val="2"/>
            <w:shd w:val="clear" w:color="auto" w:fill="auto"/>
            <w:tcMar>
              <w:left w:w="0" w:type="dxa"/>
            </w:tcMar>
          </w:tcPr>
          <w:p w:rsidR="008C7569" w:rsidRPr="009110F7" w:rsidRDefault="008C7569" w:rsidP="008417B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18" w:type="dxa"/>
            <w:shd w:val="clear" w:color="auto" w:fill="auto"/>
            <w:tcMar>
              <w:left w:w="0" w:type="dxa"/>
            </w:tcMar>
          </w:tcPr>
          <w:p w:rsidR="008C7569" w:rsidRPr="009110F7" w:rsidRDefault="00D544E7" w:rsidP="008417B5">
            <w:pPr>
              <w:spacing w:after="220"/>
              <w:rPr>
                <w:rFonts w:cs="Arial"/>
                <w:color w:val="0D0D0D" w:themeColor="text1" w:themeTint="F2"/>
                <w:spacing w:val="-4"/>
              </w:rPr>
            </w:pPr>
            <w:r w:rsidRPr="009110F7">
              <w:rPr>
                <w:rFonts w:cs="Arial"/>
                <w:color w:val="0D0D0D" w:themeColor="text1" w:themeTint="F2"/>
                <w:spacing w:val="-4"/>
              </w:rPr>
              <w:t>Naopak v p</w:t>
            </w:r>
            <w:r w:rsidR="0027583D" w:rsidRPr="009110F7">
              <w:rPr>
                <w:rFonts w:cs="Arial"/>
                <w:color w:val="0D0D0D" w:themeColor="text1" w:themeTint="F2"/>
                <w:spacing w:val="-4"/>
              </w:rPr>
              <w:t xml:space="preserve">otravinářství </w:t>
            </w:r>
            <w:r w:rsidR="00716F48" w:rsidRPr="009110F7">
              <w:rPr>
                <w:rFonts w:cs="Arial"/>
                <w:color w:val="0D0D0D" w:themeColor="text1" w:themeTint="F2"/>
                <w:spacing w:val="-4"/>
              </w:rPr>
              <w:t>a </w:t>
            </w:r>
            <w:r w:rsidR="0027583D" w:rsidRPr="009110F7">
              <w:rPr>
                <w:rFonts w:cs="Arial"/>
                <w:color w:val="0D0D0D" w:themeColor="text1" w:themeTint="F2"/>
                <w:spacing w:val="-4"/>
              </w:rPr>
              <w:t>výrobě nápojů (</w:t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t>zaměř</w:t>
            </w:r>
            <w:r w:rsidR="0027583D" w:rsidRPr="009110F7">
              <w:rPr>
                <w:rFonts w:cs="Arial"/>
                <w:color w:val="0D0D0D" w:themeColor="text1" w:themeTint="F2"/>
                <w:spacing w:val="-4"/>
              </w:rPr>
              <w:t>ených tradičně na tuzemský trh)</w:t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t xml:space="preserve"> produkce spíše stagnovala. Nejmenší zpracovatelský obor – kožedělný </w:t>
            </w:r>
            <w:r w:rsidR="00716F48" w:rsidRPr="009110F7">
              <w:rPr>
                <w:rFonts w:cs="Arial"/>
                <w:color w:val="0D0D0D" w:themeColor="text1" w:themeTint="F2"/>
                <w:spacing w:val="-4"/>
              </w:rPr>
              <w:t>a </w:t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t>obuvnický průmysl – setrval v dlouhodobém útlumu</w:t>
            </w:r>
            <w:r w:rsidRPr="009110F7">
              <w:rPr>
                <w:rStyle w:val="Znakapoznpodarou"/>
                <w:color w:val="0D0D0D" w:themeColor="text1" w:themeTint="F2"/>
                <w:spacing w:val="-4"/>
              </w:rPr>
              <w:footnoteReference w:id="6"/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t xml:space="preserve">. </w:t>
            </w:r>
            <w:r w:rsidR="00341F05" w:rsidRPr="009110F7">
              <w:rPr>
                <w:rFonts w:cs="Arial"/>
                <w:color w:val="0D0D0D" w:themeColor="text1" w:themeTint="F2"/>
                <w:spacing w:val="-4"/>
              </w:rPr>
              <w:t>Mimo zpracovatelský prů</w:t>
            </w:r>
            <w:r w:rsidR="00017B01" w:rsidRPr="009110F7">
              <w:rPr>
                <w:rFonts w:cs="Arial"/>
                <w:color w:val="0D0D0D" w:themeColor="text1" w:themeTint="F2"/>
                <w:spacing w:val="-4"/>
              </w:rPr>
              <w:t>mysl pokračoval dlouhodobý útlum</w:t>
            </w:r>
            <w:r w:rsidR="00341F05" w:rsidRPr="009110F7">
              <w:rPr>
                <w:rFonts w:cs="Arial"/>
                <w:color w:val="0D0D0D" w:themeColor="text1" w:themeTint="F2"/>
                <w:spacing w:val="-4"/>
              </w:rPr>
              <w:t xml:space="preserve"> v těžbě </w:t>
            </w:r>
            <w:r w:rsidR="00716F48" w:rsidRPr="009110F7">
              <w:rPr>
                <w:rFonts w:cs="Arial"/>
                <w:color w:val="0D0D0D" w:themeColor="text1" w:themeTint="F2"/>
                <w:spacing w:val="-4"/>
              </w:rPr>
              <w:t>a </w:t>
            </w:r>
            <w:r w:rsidR="00341F05" w:rsidRPr="009110F7">
              <w:rPr>
                <w:rFonts w:cs="Arial"/>
                <w:color w:val="0D0D0D" w:themeColor="text1" w:themeTint="F2"/>
                <w:spacing w:val="-4"/>
              </w:rPr>
              <w:t>dobývání (</w:t>
            </w:r>
            <w:r w:rsidR="00CA37FF">
              <w:rPr>
                <w:rFonts w:cs="Arial"/>
                <w:color w:val="0D0D0D" w:themeColor="text1" w:themeTint="F2"/>
                <w:spacing w:val="-4"/>
              </w:rPr>
              <w:t>-</w:t>
            </w:r>
            <w:r w:rsidR="00341F05" w:rsidRPr="009110F7">
              <w:rPr>
                <w:rFonts w:cs="Arial"/>
                <w:color w:val="0D0D0D" w:themeColor="text1" w:themeTint="F2"/>
                <w:spacing w:val="-4"/>
              </w:rPr>
              <w:t>6,</w:t>
            </w:r>
            <w:r w:rsidR="00167CB9" w:rsidRPr="009110F7">
              <w:rPr>
                <w:rFonts w:cs="Arial"/>
                <w:color w:val="0D0D0D" w:themeColor="text1" w:themeTint="F2"/>
                <w:spacing w:val="-4"/>
              </w:rPr>
              <w:t>6 </w:t>
            </w:r>
            <w:r w:rsidR="00341F05" w:rsidRPr="009110F7">
              <w:rPr>
                <w:rFonts w:cs="Arial"/>
                <w:color w:val="0D0D0D" w:themeColor="text1" w:themeTint="F2"/>
                <w:spacing w:val="-4"/>
              </w:rPr>
              <w:t xml:space="preserve">%, za deset let klesla produkce </w:t>
            </w:r>
            <w:r w:rsidR="00716F48" w:rsidRPr="009110F7">
              <w:rPr>
                <w:rFonts w:cs="Arial"/>
                <w:color w:val="0D0D0D" w:themeColor="text1" w:themeTint="F2"/>
                <w:spacing w:val="-4"/>
              </w:rPr>
              <w:t>o </w:t>
            </w:r>
            <w:r w:rsidR="00341F05" w:rsidRPr="009110F7">
              <w:rPr>
                <w:rFonts w:cs="Arial"/>
                <w:color w:val="0D0D0D" w:themeColor="text1" w:themeTint="F2"/>
                <w:spacing w:val="-4"/>
              </w:rPr>
              <w:t>třetinu)</w:t>
            </w:r>
            <w:r w:rsidR="00537571" w:rsidRPr="009110F7">
              <w:rPr>
                <w:rStyle w:val="Znakapoznpodarou"/>
                <w:color w:val="0D0D0D" w:themeColor="text1" w:themeTint="F2"/>
                <w:spacing w:val="-4"/>
              </w:rPr>
              <w:footnoteReference w:id="7"/>
            </w:r>
            <w:r w:rsidR="00341F05" w:rsidRPr="009110F7">
              <w:rPr>
                <w:rFonts w:cs="Arial"/>
                <w:color w:val="0D0D0D" w:themeColor="text1" w:themeTint="F2"/>
                <w:spacing w:val="-4"/>
              </w:rPr>
              <w:t>.</w:t>
            </w:r>
            <w:r w:rsidR="009F4982" w:rsidRPr="009110F7">
              <w:rPr>
                <w:rFonts w:cs="Arial"/>
                <w:color w:val="0D0D0D" w:themeColor="text1" w:themeTint="F2"/>
                <w:spacing w:val="-4"/>
              </w:rPr>
              <w:t xml:space="preserve"> </w:t>
            </w:r>
            <w:r w:rsidR="009F4982" w:rsidRPr="009110F7">
              <w:rPr>
                <w:rFonts w:cs="Arial"/>
                <w:color w:val="0D0D0D" w:themeColor="text1" w:themeTint="F2"/>
                <w:spacing w:val="-6"/>
              </w:rPr>
              <w:t>Mírnější zima se odrazila na výkonech energetiky (</w:t>
            </w:r>
            <w:r w:rsidR="00CA37FF">
              <w:rPr>
                <w:rFonts w:cs="Arial"/>
                <w:color w:val="0D0D0D" w:themeColor="text1" w:themeTint="F2"/>
                <w:spacing w:val="-6"/>
              </w:rPr>
              <w:t>-</w:t>
            </w:r>
            <w:r w:rsidR="009F4982" w:rsidRPr="009110F7">
              <w:rPr>
                <w:rFonts w:cs="Arial"/>
                <w:color w:val="0D0D0D" w:themeColor="text1" w:themeTint="F2"/>
                <w:spacing w:val="-6"/>
              </w:rPr>
              <w:t>3,</w:t>
            </w:r>
            <w:r w:rsidR="00167CB9" w:rsidRPr="009110F7">
              <w:rPr>
                <w:rFonts w:cs="Arial"/>
                <w:color w:val="0D0D0D" w:themeColor="text1" w:themeTint="F2"/>
                <w:spacing w:val="-6"/>
              </w:rPr>
              <w:t>5 </w:t>
            </w:r>
            <w:r w:rsidR="009F4982" w:rsidRPr="009110F7">
              <w:rPr>
                <w:rFonts w:cs="Arial"/>
                <w:color w:val="0D0D0D" w:themeColor="text1" w:themeTint="F2"/>
                <w:spacing w:val="-6"/>
              </w:rPr>
              <w:t>%, v </w:t>
            </w:r>
            <w:r w:rsidR="00716F48" w:rsidRPr="009110F7">
              <w:rPr>
                <w:rFonts w:cs="Arial"/>
                <w:color w:val="0D0D0D" w:themeColor="text1" w:themeTint="F2"/>
                <w:spacing w:val="-6"/>
              </w:rPr>
              <w:t>1. </w:t>
            </w:r>
            <w:r w:rsidR="009F4982" w:rsidRPr="009110F7">
              <w:rPr>
                <w:rFonts w:cs="Arial"/>
                <w:color w:val="0D0D0D" w:themeColor="text1" w:themeTint="F2"/>
                <w:spacing w:val="-6"/>
              </w:rPr>
              <w:t>loňském čtvrtletí +5,</w:t>
            </w:r>
            <w:r w:rsidR="00167CB9" w:rsidRPr="009110F7">
              <w:rPr>
                <w:rFonts w:cs="Arial"/>
                <w:color w:val="0D0D0D" w:themeColor="text1" w:themeTint="F2"/>
                <w:spacing w:val="-6"/>
              </w:rPr>
              <w:t>2 </w:t>
            </w:r>
            <w:r w:rsidR="009F4982" w:rsidRPr="009110F7">
              <w:rPr>
                <w:rFonts w:cs="Arial"/>
                <w:color w:val="0D0D0D" w:themeColor="text1" w:themeTint="F2"/>
                <w:spacing w:val="-6"/>
              </w:rPr>
              <w:t>%)</w:t>
            </w:r>
            <w:r w:rsidR="003927F6" w:rsidRPr="009110F7">
              <w:rPr>
                <w:rStyle w:val="Znakapoznpodarou"/>
                <w:color w:val="0D0D0D" w:themeColor="text1" w:themeTint="F2"/>
                <w:spacing w:val="-6"/>
              </w:rPr>
              <w:footnoteReference w:id="8"/>
            </w:r>
            <w:r w:rsidR="009F4982" w:rsidRPr="009110F7">
              <w:rPr>
                <w:rFonts w:cs="Arial"/>
                <w:color w:val="0D0D0D" w:themeColor="text1" w:themeTint="F2"/>
                <w:spacing w:val="-6"/>
              </w:rPr>
              <w:t xml:space="preserve">. </w:t>
            </w:r>
          </w:p>
        </w:tc>
      </w:tr>
      <w:tr w:rsidR="00B56B6F" w:rsidRPr="009110F7" w:rsidTr="009B3764">
        <w:trPr>
          <w:trHeight w:val="145"/>
        </w:trPr>
        <w:tc>
          <w:tcPr>
            <w:tcW w:w="1879" w:type="dxa"/>
            <w:gridSpan w:val="2"/>
            <w:shd w:val="clear" w:color="auto" w:fill="auto"/>
            <w:tcMar>
              <w:left w:w="0" w:type="dxa"/>
            </w:tcMar>
          </w:tcPr>
          <w:p w:rsidR="00B56B6F" w:rsidRPr="009110F7" w:rsidRDefault="00B56B6F" w:rsidP="0026291D">
            <w:pPr>
              <w:pStyle w:val="Marginlie"/>
            </w:pPr>
          </w:p>
        </w:tc>
        <w:tc>
          <w:tcPr>
            <w:tcW w:w="247" w:type="dxa"/>
            <w:gridSpan w:val="2"/>
            <w:shd w:val="clear" w:color="auto" w:fill="auto"/>
            <w:tcMar>
              <w:left w:w="0" w:type="dxa"/>
            </w:tcMar>
          </w:tcPr>
          <w:p w:rsidR="00B56B6F" w:rsidRPr="009110F7" w:rsidRDefault="00B56B6F" w:rsidP="0026291D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18" w:type="dxa"/>
            <w:shd w:val="clear" w:color="auto" w:fill="auto"/>
            <w:tcMar>
              <w:left w:w="0" w:type="dxa"/>
            </w:tcMar>
          </w:tcPr>
          <w:p w:rsidR="00B56B6F" w:rsidRPr="009110F7" w:rsidRDefault="00B56B6F" w:rsidP="00053713">
            <w:pPr>
              <w:spacing w:after="0" w:line="240" w:lineRule="auto"/>
              <w:rPr>
                <w:rFonts w:cs="Arial"/>
                <w:color w:val="0D0D0D" w:themeColor="text1" w:themeTint="F2"/>
                <w:spacing w:val="-4"/>
              </w:rPr>
            </w:pPr>
            <w:r w:rsidRPr="009110F7">
              <w:rPr>
                <w:rFonts w:cs="Arial"/>
                <w:b/>
                <w:bCs/>
                <w:color w:val="000000"/>
                <w:szCs w:val="20"/>
              </w:rPr>
              <w:t>Graf</w:t>
            </w:r>
            <w:r w:rsidR="00B8561A">
              <w:rPr>
                <w:rFonts w:cs="Arial"/>
                <w:b/>
                <w:bCs/>
                <w:color w:val="000000"/>
                <w:szCs w:val="20"/>
              </w:rPr>
              <w:t> </w:t>
            </w:r>
            <w:proofErr w:type="gramStart"/>
            <w:r w:rsidR="00167CB9" w:rsidRPr="009110F7">
              <w:rPr>
                <w:rFonts w:cs="Arial"/>
                <w:b/>
                <w:bCs/>
                <w:color w:val="000000"/>
                <w:szCs w:val="20"/>
              </w:rPr>
              <w:t>č. </w:t>
            </w:r>
            <w:r w:rsidR="00716F48" w:rsidRPr="009110F7">
              <w:rPr>
                <w:rFonts w:cs="Arial"/>
                <w:b/>
                <w:bCs/>
                <w:color w:val="000000"/>
                <w:szCs w:val="20"/>
              </w:rPr>
              <w:t>5</w:t>
            </w:r>
            <w:r w:rsidR="00053713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="007E1788">
              <w:rPr>
                <w:b/>
                <w:color w:val="000000"/>
              </w:rPr>
              <w:t xml:space="preserve"> </w:t>
            </w:r>
            <w:r w:rsidRPr="009110F7">
              <w:rPr>
                <w:b/>
              </w:rPr>
              <w:t>Produkce</w:t>
            </w:r>
            <w:proofErr w:type="gramEnd"/>
            <w:r w:rsidRPr="009110F7">
              <w:rPr>
                <w:b/>
              </w:rPr>
              <w:t xml:space="preserve"> v průmyslu </w:t>
            </w:r>
            <w:r w:rsidR="00716F48" w:rsidRPr="009110F7">
              <w:rPr>
                <w:b/>
              </w:rPr>
              <w:t>a </w:t>
            </w:r>
            <w:r w:rsidRPr="009110F7">
              <w:rPr>
                <w:b/>
              </w:rPr>
              <w:t xml:space="preserve">ve vybraných zpracovatelských odvětvích </w:t>
            </w:r>
            <w:r w:rsidRPr="009110F7">
              <w:t xml:space="preserve">(reálně, očištěno </w:t>
            </w:r>
            <w:r w:rsidR="00716F48" w:rsidRPr="009110F7">
              <w:t>o </w:t>
            </w:r>
            <w:r w:rsidRPr="009110F7">
              <w:t>kalendářní vlivy, meziročně v</w:t>
            </w:r>
            <w:r w:rsidR="00167CB9" w:rsidRPr="009110F7">
              <w:t> %</w:t>
            </w:r>
            <w:r w:rsidRPr="009110F7">
              <w:t>)</w:t>
            </w:r>
          </w:p>
        </w:tc>
      </w:tr>
      <w:tr w:rsidR="00B56B6F" w:rsidRPr="009110F7" w:rsidTr="009B3764">
        <w:trPr>
          <w:trHeight w:val="145"/>
        </w:trPr>
        <w:tc>
          <w:tcPr>
            <w:tcW w:w="1879" w:type="dxa"/>
            <w:gridSpan w:val="2"/>
            <w:shd w:val="clear" w:color="auto" w:fill="auto"/>
            <w:tcMar>
              <w:left w:w="0" w:type="dxa"/>
            </w:tcMar>
          </w:tcPr>
          <w:p w:rsidR="00B56B6F" w:rsidRPr="009110F7" w:rsidRDefault="00B56B6F" w:rsidP="0026291D">
            <w:pPr>
              <w:pStyle w:val="Marginlie"/>
            </w:pPr>
          </w:p>
        </w:tc>
        <w:tc>
          <w:tcPr>
            <w:tcW w:w="247" w:type="dxa"/>
            <w:gridSpan w:val="2"/>
            <w:shd w:val="clear" w:color="auto" w:fill="auto"/>
            <w:tcMar>
              <w:left w:w="0" w:type="dxa"/>
            </w:tcMar>
          </w:tcPr>
          <w:p w:rsidR="00B56B6F" w:rsidRPr="009110F7" w:rsidRDefault="00B56B6F" w:rsidP="0026291D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18" w:type="dxa"/>
            <w:shd w:val="clear" w:color="auto" w:fill="auto"/>
            <w:tcMar>
              <w:left w:w="0" w:type="dxa"/>
            </w:tcMar>
          </w:tcPr>
          <w:p w:rsidR="00B56B6F" w:rsidRPr="009110F7" w:rsidRDefault="00B56B6F" w:rsidP="00B56B6F">
            <w:pPr>
              <w:spacing w:after="220"/>
              <w:rPr>
                <w:rFonts w:cs="Arial"/>
                <w:color w:val="0D0D0D" w:themeColor="text1" w:themeTint="F2"/>
                <w:spacing w:val="-4"/>
              </w:rPr>
            </w:pPr>
            <w:r w:rsidRPr="009110F7">
              <w:rPr>
                <w:rFonts w:cs="Arial"/>
                <w:noProof/>
                <w:color w:val="0D0D0D" w:themeColor="text1" w:themeTint="F2"/>
                <w:spacing w:val="-4"/>
              </w:rPr>
              <w:drawing>
                <wp:inline distT="0" distB="0" distL="0" distR="0">
                  <wp:extent cx="4769902" cy="3553200"/>
                  <wp:effectExtent l="0" t="0" r="0" b="0"/>
                  <wp:docPr id="25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B56B6F" w:rsidRPr="009110F7" w:rsidTr="009B3764">
        <w:trPr>
          <w:trHeight w:val="145"/>
        </w:trPr>
        <w:tc>
          <w:tcPr>
            <w:tcW w:w="1879" w:type="dxa"/>
            <w:gridSpan w:val="2"/>
            <w:shd w:val="clear" w:color="auto" w:fill="auto"/>
            <w:tcMar>
              <w:left w:w="0" w:type="dxa"/>
            </w:tcMar>
          </w:tcPr>
          <w:p w:rsidR="00B56B6F" w:rsidRPr="009110F7" w:rsidRDefault="00B56B6F" w:rsidP="0026291D">
            <w:pPr>
              <w:pStyle w:val="Marginlie"/>
            </w:pPr>
          </w:p>
        </w:tc>
        <w:tc>
          <w:tcPr>
            <w:tcW w:w="247" w:type="dxa"/>
            <w:gridSpan w:val="2"/>
            <w:shd w:val="clear" w:color="auto" w:fill="auto"/>
            <w:tcMar>
              <w:left w:w="0" w:type="dxa"/>
            </w:tcMar>
          </w:tcPr>
          <w:p w:rsidR="00B56B6F" w:rsidRPr="009110F7" w:rsidRDefault="00B56B6F" w:rsidP="0026291D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18" w:type="dxa"/>
            <w:shd w:val="clear" w:color="auto" w:fill="auto"/>
            <w:tcMar>
              <w:left w:w="0" w:type="dxa"/>
            </w:tcMar>
          </w:tcPr>
          <w:p w:rsidR="00B56B6F" w:rsidRPr="009110F7" w:rsidRDefault="00B56B6F" w:rsidP="00B56B6F">
            <w:pPr>
              <w:spacing w:after="220"/>
              <w:rPr>
                <w:rFonts w:cs="Arial"/>
                <w:color w:val="0D0D0D" w:themeColor="text1" w:themeTint="F2"/>
                <w:spacing w:val="-4"/>
                <w:sz w:val="16"/>
                <w:szCs w:val="16"/>
              </w:rPr>
            </w:pPr>
            <w:r w:rsidRPr="009110F7">
              <w:rPr>
                <w:rFonts w:cs="Arial"/>
                <w:color w:val="0D0D0D" w:themeColor="text1" w:themeTint="F2"/>
                <w:spacing w:val="-4"/>
                <w:sz w:val="16"/>
                <w:szCs w:val="16"/>
              </w:rPr>
              <w:t>Zdroj: ČSÚ</w:t>
            </w:r>
          </w:p>
        </w:tc>
      </w:tr>
      <w:tr w:rsidR="00BF02C8" w:rsidRPr="009110F7" w:rsidTr="009B3764">
        <w:trPr>
          <w:trHeight w:val="145"/>
        </w:trPr>
        <w:tc>
          <w:tcPr>
            <w:tcW w:w="1879" w:type="dxa"/>
            <w:gridSpan w:val="2"/>
            <w:shd w:val="clear" w:color="auto" w:fill="auto"/>
            <w:tcMar>
              <w:left w:w="0" w:type="dxa"/>
            </w:tcMar>
          </w:tcPr>
          <w:p w:rsidR="00167CB9" w:rsidRPr="009110F7" w:rsidRDefault="00275DEF" w:rsidP="008417B5">
            <w:pPr>
              <w:pStyle w:val="Marginlie"/>
            </w:pPr>
            <w:r w:rsidRPr="009110F7">
              <w:t>Růst tržeb průmyslových podniků se na počátku roku zastavil. Tempo růstu tržeb v tuzemsku převyšovalo dynamiku tržeb z přímého vývozu.</w:t>
            </w:r>
          </w:p>
          <w:p w:rsidR="00275DEF" w:rsidRPr="009110F7" w:rsidRDefault="00275DEF" w:rsidP="008417B5">
            <w:pPr>
              <w:pStyle w:val="Marginlie"/>
            </w:pPr>
          </w:p>
          <w:p w:rsidR="00275DEF" w:rsidRPr="009110F7" w:rsidRDefault="00275DEF" w:rsidP="008417B5">
            <w:pPr>
              <w:pStyle w:val="Marginlie"/>
            </w:pPr>
          </w:p>
          <w:p w:rsidR="00275DEF" w:rsidRPr="009110F7" w:rsidRDefault="00275DEF" w:rsidP="008417B5">
            <w:pPr>
              <w:pStyle w:val="Marginlie"/>
            </w:pPr>
          </w:p>
          <w:p w:rsidR="00275DEF" w:rsidRPr="009110F7" w:rsidRDefault="00275DEF" w:rsidP="008417B5">
            <w:pPr>
              <w:pStyle w:val="Marginlie"/>
            </w:pPr>
          </w:p>
          <w:p w:rsidR="00275DEF" w:rsidRPr="009110F7" w:rsidRDefault="00275DEF" w:rsidP="008417B5">
            <w:pPr>
              <w:pStyle w:val="Marginlie"/>
            </w:pPr>
            <w:r w:rsidRPr="009110F7">
              <w:lastRenderedPageBreak/>
              <w:t>Růst nových průmyslových zakázek zvolnil pod 2</w:t>
            </w:r>
            <w:r w:rsidR="00167CB9" w:rsidRPr="009110F7">
              <w:t> %</w:t>
            </w:r>
            <w:r w:rsidRPr="009110F7">
              <w:t xml:space="preserve">, v automobilovém průmyslu již čtvrté čtvrtletí v řadě </w:t>
            </w:r>
            <w:r w:rsidR="005F36CC" w:rsidRPr="009110F7">
              <w:t>spíše</w:t>
            </w:r>
            <w:r w:rsidRPr="009110F7">
              <w:t xml:space="preserve"> stagnoval.</w:t>
            </w:r>
          </w:p>
          <w:p w:rsidR="00DA7114" w:rsidRPr="009110F7" w:rsidRDefault="00DA7114" w:rsidP="008417B5">
            <w:pPr>
              <w:pStyle w:val="Marginlie"/>
            </w:pPr>
          </w:p>
          <w:p w:rsidR="00DA7114" w:rsidRPr="009110F7" w:rsidRDefault="00DA7114" w:rsidP="008417B5">
            <w:pPr>
              <w:pStyle w:val="Marginlie"/>
            </w:pPr>
          </w:p>
          <w:p w:rsidR="00CD1129" w:rsidRPr="009110F7" w:rsidRDefault="00CD1129" w:rsidP="008417B5">
            <w:pPr>
              <w:pStyle w:val="Marginlie"/>
            </w:pPr>
          </w:p>
          <w:p w:rsidR="00DA7114" w:rsidRPr="009110F7" w:rsidRDefault="00DA7114" w:rsidP="008417B5">
            <w:pPr>
              <w:pStyle w:val="Marginlie"/>
            </w:pPr>
          </w:p>
          <w:p w:rsidR="00167CB9" w:rsidRPr="009110F7" w:rsidRDefault="00CD1129" w:rsidP="008417B5">
            <w:pPr>
              <w:pStyle w:val="Marginlie"/>
            </w:pPr>
            <w:r w:rsidRPr="009110F7">
              <w:t>Jako hlavní bariéra růstu průmyslových podniků již téměř rok přetrvává nedostatek zaměstnanců.</w:t>
            </w:r>
          </w:p>
          <w:p w:rsidR="00DA7114" w:rsidRPr="009110F7" w:rsidRDefault="00DA7114" w:rsidP="008417B5">
            <w:pPr>
              <w:pStyle w:val="Marginlie"/>
            </w:pPr>
          </w:p>
        </w:tc>
        <w:tc>
          <w:tcPr>
            <w:tcW w:w="247" w:type="dxa"/>
            <w:gridSpan w:val="2"/>
            <w:shd w:val="clear" w:color="auto" w:fill="auto"/>
            <w:tcMar>
              <w:left w:w="0" w:type="dxa"/>
            </w:tcMar>
          </w:tcPr>
          <w:p w:rsidR="00BF02C8" w:rsidRPr="009110F7" w:rsidRDefault="00BF02C8" w:rsidP="008417B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18" w:type="dxa"/>
            <w:shd w:val="clear" w:color="auto" w:fill="auto"/>
            <w:tcMar>
              <w:left w:w="0" w:type="dxa"/>
            </w:tcMar>
          </w:tcPr>
          <w:p w:rsidR="00BF02C8" w:rsidRPr="009110F7" w:rsidRDefault="00C21430" w:rsidP="00053713">
            <w:pPr>
              <w:spacing w:after="220"/>
              <w:rPr>
                <w:rFonts w:cs="Arial"/>
                <w:color w:val="0D0D0D" w:themeColor="text1" w:themeTint="F2"/>
                <w:spacing w:val="-4"/>
              </w:rPr>
            </w:pPr>
            <w:r w:rsidRPr="009110F7">
              <w:rPr>
                <w:rFonts w:cs="Arial"/>
                <w:color w:val="0D0D0D" w:themeColor="text1" w:themeTint="F2"/>
                <w:spacing w:val="-4"/>
              </w:rPr>
              <w:t>Nominální tržby průmyslových podniků na počátku roku stagnovaly (po růstu 7,2</w:t>
            </w:r>
            <w:r w:rsidR="00167CB9" w:rsidRPr="009110F7">
              <w:rPr>
                <w:rFonts w:cs="Arial"/>
                <w:color w:val="0D0D0D" w:themeColor="text1" w:themeTint="F2"/>
                <w:spacing w:val="-4"/>
              </w:rPr>
              <w:t> %</w:t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t xml:space="preserve"> za celý rok 2017). Již páté čtvrtletí v řadě dosahovaly vyššího meziročního tempa domácí tržby (</w:t>
            </w:r>
            <w:r w:rsidR="00716F48" w:rsidRPr="009110F7">
              <w:rPr>
                <w:rFonts w:cs="Arial"/>
                <w:color w:val="0D0D0D" w:themeColor="text1" w:themeTint="F2"/>
                <w:spacing w:val="-4"/>
              </w:rPr>
              <w:t>v 1. </w:t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t>čtvrtletí +1,2</w:t>
            </w:r>
            <w:r w:rsidR="00167CB9" w:rsidRPr="009110F7">
              <w:rPr>
                <w:rFonts w:cs="Arial"/>
                <w:color w:val="0D0D0D" w:themeColor="text1" w:themeTint="F2"/>
                <w:spacing w:val="-4"/>
              </w:rPr>
              <w:t> %</w:t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t>) nežli tržby z přímého vývozu (</w:t>
            </w:r>
            <w:r w:rsidR="00CA37FF">
              <w:rPr>
                <w:rFonts w:cs="Arial"/>
                <w:color w:val="0D0D0D" w:themeColor="text1" w:themeTint="F2"/>
                <w:spacing w:val="-4"/>
              </w:rPr>
              <w:t>-</w:t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t>1,0</w:t>
            </w:r>
            <w:r w:rsidR="00167CB9" w:rsidRPr="009110F7">
              <w:rPr>
                <w:rFonts w:cs="Arial"/>
                <w:color w:val="0D0D0D" w:themeColor="text1" w:themeTint="F2"/>
                <w:spacing w:val="-4"/>
              </w:rPr>
              <w:t> %</w:t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t xml:space="preserve">). Ve směru poklesu tržeb působila kurzová </w:t>
            </w:r>
            <w:proofErr w:type="spellStart"/>
            <w:r w:rsidRPr="009110F7">
              <w:rPr>
                <w:rFonts w:cs="Arial"/>
                <w:color w:val="0D0D0D" w:themeColor="text1" w:themeTint="F2"/>
                <w:spacing w:val="-4"/>
              </w:rPr>
              <w:t>apreciace</w:t>
            </w:r>
            <w:proofErr w:type="spellEnd"/>
            <w:r w:rsidRPr="009110F7">
              <w:rPr>
                <w:rFonts w:cs="Arial"/>
                <w:color w:val="0D0D0D" w:themeColor="text1" w:themeTint="F2"/>
                <w:spacing w:val="-4"/>
              </w:rPr>
              <w:t xml:space="preserve"> koruny </w:t>
            </w:r>
            <w:r w:rsidR="00716F48" w:rsidRPr="009110F7">
              <w:rPr>
                <w:rFonts w:cs="Arial"/>
                <w:color w:val="0D0D0D" w:themeColor="text1" w:themeTint="F2"/>
                <w:spacing w:val="-4"/>
              </w:rPr>
              <w:t>a </w:t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t>v </w:t>
            </w:r>
            <w:r w:rsidR="00716F48" w:rsidRPr="009110F7">
              <w:rPr>
                <w:rFonts w:cs="Arial"/>
                <w:color w:val="0D0D0D" w:themeColor="text1" w:themeTint="F2"/>
                <w:spacing w:val="-4"/>
              </w:rPr>
              <w:t>1. </w:t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t xml:space="preserve">čtvrtletí </w:t>
            </w:r>
            <w:r w:rsidR="00716F48" w:rsidRPr="009110F7">
              <w:rPr>
                <w:rFonts w:cs="Arial"/>
                <w:color w:val="0D0D0D" w:themeColor="text1" w:themeTint="F2"/>
                <w:spacing w:val="-4"/>
              </w:rPr>
              <w:t>i </w:t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t>nižší počet pracovních dní.</w:t>
            </w:r>
            <w:r w:rsidR="001C31A2" w:rsidRPr="009110F7">
              <w:rPr>
                <w:rFonts w:cs="Arial"/>
                <w:color w:val="0D0D0D" w:themeColor="text1" w:themeTint="F2"/>
                <w:spacing w:val="-4"/>
              </w:rPr>
              <w:t xml:space="preserve"> </w:t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t>Výrazněji letos rostly tržby jen</w:t>
            </w:r>
            <w:r w:rsidR="00A2628E" w:rsidRPr="009110F7">
              <w:rPr>
                <w:rFonts w:cs="Arial"/>
                <w:color w:val="0D0D0D" w:themeColor="text1" w:themeTint="F2"/>
                <w:spacing w:val="-4"/>
              </w:rPr>
              <w:t xml:space="preserve"> </w:t>
            </w:r>
            <w:r w:rsidR="00716F48" w:rsidRPr="009110F7">
              <w:rPr>
                <w:rFonts w:cs="Arial"/>
                <w:color w:val="0D0D0D" w:themeColor="text1" w:themeTint="F2"/>
                <w:spacing w:val="-4"/>
              </w:rPr>
              <w:t>v </w:t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t>hutnictví (+10</w:t>
            </w:r>
            <w:r w:rsidR="00167CB9" w:rsidRPr="009110F7">
              <w:rPr>
                <w:rFonts w:cs="Arial"/>
                <w:color w:val="0D0D0D" w:themeColor="text1" w:themeTint="F2"/>
                <w:spacing w:val="-4"/>
              </w:rPr>
              <w:t> %</w:t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t xml:space="preserve">) </w:t>
            </w:r>
            <w:r w:rsidR="00716F48" w:rsidRPr="009110F7">
              <w:rPr>
                <w:rFonts w:cs="Arial"/>
                <w:color w:val="0D0D0D" w:themeColor="text1" w:themeTint="F2"/>
                <w:spacing w:val="-4"/>
              </w:rPr>
              <w:t>a </w:t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t xml:space="preserve">také ve farmacii </w:t>
            </w:r>
            <w:r w:rsidR="00716F48" w:rsidRPr="009110F7">
              <w:rPr>
                <w:rFonts w:cs="Arial"/>
                <w:color w:val="0D0D0D" w:themeColor="text1" w:themeTint="F2"/>
                <w:spacing w:val="-4"/>
              </w:rPr>
              <w:t>a </w:t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t xml:space="preserve">výrobě počítačů, elektronických </w:t>
            </w:r>
            <w:r w:rsidR="00716F48" w:rsidRPr="009110F7">
              <w:rPr>
                <w:rFonts w:cs="Arial"/>
                <w:color w:val="0D0D0D" w:themeColor="text1" w:themeTint="F2"/>
                <w:spacing w:val="-4"/>
              </w:rPr>
              <w:t>a </w:t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t>optických přístrojů, v automobilovém průmyslu se naopak poprvé po osmnácti čtvrtletích snížily (</w:t>
            </w:r>
            <w:r w:rsidR="00716F48" w:rsidRPr="009110F7">
              <w:rPr>
                <w:rFonts w:cs="Arial"/>
                <w:color w:val="0D0D0D" w:themeColor="text1" w:themeTint="F2"/>
                <w:spacing w:val="-4"/>
              </w:rPr>
              <w:t>o </w:t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t>5</w:t>
            </w:r>
            <w:r w:rsidR="00167CB9" w:rsidRPr="009110F7">
              <w:rPr>
                <w:rFonts w:cs="Arial"/>
                <w:color w:val="0D0D0D" w:themeColor="text1" w:themeTint="F2"/>
                <w:spacing w:val="-4"/>
              </w:rPr>
              <w:t> %</w:t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t>). Tempo růstu nových zakázek na počátku roku zvolnilo pod 2</w:t>
            </w:r>
            <w:r w:rsidR="00167CB9" w:rsidRPr="009110F7">
              <w:rPr>
                <w:rFonts w:cs="Arial"/>
                <w:color w:val="0D0D0D" w:themeColor="text1" w:themeTint="F2"/>
                <w:spacing w:val="-4"/>
              </w:rPr>
              <w:t> %</w:t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t xml:space="preserve">. Z dvanácti sledovaných průmyslových oborů signalizovaly silnější růst </w:t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lastRenderedPageBreak/>
              <w:t xml:space="preserve">poptávky jen hutnictví, kovovýroba </w:t>
            </w:r>
            <w:r w:rsidR="00716F48" w:rsidRPr="009110F7">
              <w:rPr>
                <w:rFonts w:cs="Arial"/>
                <w:color w:val="0D0D0D" w:themeColor="text1" w:themeTint="F2"/>
                <w:spacing w:val="-4"/>
              </w:rPr>
              <w:t>a </w:t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t>farmacie (všechny v pásmu 8</w:t>
            </w:r>
            <w:r w:rsidR="00A655D3">
              <w:rPr>
                <w:rFonts w:cs="Arial"/>
                <w:color w:val="0D0D0D" w:themeColor="text1" w:themeTint="F2"/>
                <w:spacing w:val="-4"/>
              </w:rPr>
              <w:t>–</w:t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t>10</w:t>
            </w:r>
            <w:r w:rsidR="00167CB9" w:rsidRPr="009110F7">
              <w:rPr>
                <w:rFonts w:cs="Arial"/>
                <w:color w:val="0D0D0D" w:themeColor="text1" w:themeTint="F2"/>
                <w:spacing w:val="-4"/>
              </w:rPr>
              <w:t> %</w:t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t>). V automobilovém průmyslu ob</w:t>
            </w:r>
            <w:r w:rsidR="00A2628E" w:rsidRPr="009110F7">
              <w:rPr>
                <w:rFonts w:cs="Arial"/>
                <w:color w:val="0D0D0D" w:themeColor="text1" w:themeTint="F2"/>
                <w:spacing w:val="-4"/>
              </w:rPr>
              <w:t>jem zakázek meziročně stagnoval</w:t>
            </w:r>
            <w:r w:rsidR="00A91E71">
              <w:rPr>
                <w:rFonts w:cs="Arial"/>
                <w:color w:val="0D0D0D" w:themeColor="text1" w:themeTint="F2"/>
                <w:spacing w:val="-4"/>
              </w:rPr>
              <w:t>,</w:t>
            </w:r>
            <w:r w:rsidR="007A775D">
              <w:rPr>
                <w:rFonts w:cs="Arial"/>
                <w:color w:val="0D0D0D" w:themeColor="text1" w:themeTint="F2"/>
                <w:spacing w:val="-4"/>
              </w:rPr>
              <w:t xml:space="preserve"> shod</w:t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t xml:space="preserve">ně jako ve </w:t>
            </w:r>
            <w:r w:rsidRPr="007A775D">
              <w:rPr>
                <w:rFonts w:cs="Arial"/>
                <w:color w:val="0D0D0D" w:themeColor="text1" w:themeTint="F2"/>
                <w:spacing w:val="-5"/>
              </w:rPr>
              <w:t>strojírenství (po téměř 10</w:t>
            </w:r>
            <w:r w:rsidR="00A91E71" w:rsidRPr="007A775D">
              <w:rPr>
                <w:rFonts w:cs="Arial"/>
                <w:color w:val="0D0D0D" w:themeColor="text1" w:themeTint="F2"/>
                <w:spacing w:val="-5"/>
              </w:rPr>
              <w:t> </w:t>
            </w:r>
            <w:r w:rsidRPr="007A775D">
              <w:rPr>
                <w:rFonts w:cs="Arial"/>
                <w:color w:val="0D0D0D" w:themeColor="text1" w:themeTint="F2"/>
                <w:spacing w:val="-5"/>
              </w:rPr>
              <w:t xml:space="preserve">% </w:t>
            </w:r>
            <w:r w:rsidR="007A775D" w:rsidRPr="007A775D">
              <w:rPr>
                <w:rFonts w:cs="Arial"/>
                <w:color w:val="0D0D0D" w:themeColor="text1" w:themeTint="F2"/>
                <w:spacing w:val="-5"/>
              </w:rPr>
              <w:t xml:space="preserve">růstu </w:t>
            </w:r>
            <w:r w:rsidRPr="007A775D">
              <w:rPr>
                <w:rFonts w:cs="Arial"/>
                <w:color w:val="0D0D0D" w:themeColor="text1" w:themeTint="F2"/>
                <w:spacing w:val="-5"/>
              </w:rPr>
              <w:t>v předchozím roce). Sezónně očištěné saldo indikátorů</w:t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t xml:space="preserve"> dle hodnocení manažerů průmyslových podniků od poloviny loňského roku stagn</w:t>
            </w:r>
            <w:r w:rsidR="00053713">
              <w:rPr>
                <w:rFonts w:cs="Arial"/>
                <w:color w:val="0D0D0D" w:themeColor="text1" w:themeTint="F2"/>
                <w:spacing w:val="-4"/>
              </w:rPr>
              <w:t>ovalo</w:t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t>, udrž</w:t>
            </w:r>
            <w:r w:rsidR="00053713">
              <w:rPr>
                <w:rFonts w:cs="Arial"/>
                <w:color w:val="0D0D0D" w:themeColor="text1" w:themeTint="F2"/>
                <w:spacing w:val="-4"/>
              </w:rPr>
              <w:t>elo</w:t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t xml:space="preserve"> se však stále v mírně pozitivním pásmu (</w:t>
            </w:r>
            <w:r w:rsidR="00716F48" w:rsidRPr="009110F7">
              <w:rPr>
                <w:rFonts w:cs="Arial"/>
                <w:color w:val="0D0D0D" w:themeColor="text1" w:themeTint="F2"/>
                <w:spacing w:val="-4"/>
              </w:rPr>
              <w:t>v </w:t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t>dubnu +4,</w:t>
            </w:r>
            <w:r w:rsidR="00167CB9" w:rsidRPr="009110F7">
              <w:rPr>
                <w:rFonts w:cs="Arial"/>
                <w:color w:val="0D0D0D" w:themeColor="text1" w:themeTint="F2"/>
                <w:spacing w:val="-4"/>
              </w:rPr>
              <w:t>3 </w:t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t>bodu). Dle dubnových ú</w:t>
            </w:r>
            <w:r w:rsidR="00A2628E" w:rsidRPr="009110F7">
              <w:rPr>
                <w:rFonts w:cs="Arial"/>
                <w:color w:val="0D0D0D" w:themeColor="text1" w:themeTint="F2"/>
                <w:spacing w:val="-4"/>
              </w:rPr>
              <w:t>dajů očekávaly</w:t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t xml:space="preserve"> průmyslové podniky v roce 2018 růst investic </w:t>
            </w:r>
            <w:r w:rsidR="00716F48" w:rsidRPr="009110F7">
              <w:rPr>
                <w:rFonts w:cs="Arial"/>
                <w:color w:val="0D0D0D" w:themeColor="text1" w:themeTint="F2"/>
                <w:spacing w:val="-4"/>
              </w:rPr>
              <w:t>o </w:t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t>5</w:t>
            </w:r>
            <w:r w:rsidR="00167CB9" w:rsidRPr="009110F7">
              <w:rPr>
                <w:rFonts w:cs="Arial"/>
                <w:color w:val="0D0D0D" w:themeColor="text1" w:themeTint="F2"/>
                <w:spacing w:val="-4"/>
              </w:rPr>
              <w:t> %</w:t>
            </w:r>
            <w:r w:rsidRPr="009110F7">
              <w:rPr>
                <w:rStyle w:val="Znakapoznpodarou"/>
                <w:color w:val="0D0D0D" w:themeColor="text1" w:themeTint="F2"/>
                <w:spacing w:val="-4"/>
              </w:rPr>
              <w:footnoteReference w:id="9"/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t xml:space="preserve"> (</w:t>
            </w:r>
            <w:r w:rsidR="00716F48" w:rsidRPr="009110F7">
              <w:rPr>
                <w:rFonts w:cs="Arial"/>
                <w:color w:val="0D0D0D" w:themeColor="text1" w:themeTint="F2"/>
                <w:spacing w:val="-4"/>
              </w:rPr>
              <w:t>v </w:t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t>listopadu 2017 bylo očekávání pro letošní rok +3</w:t>
            </w:r>
            <w:r w:rsidR="00167CB9" w:rsidRPr="009110F7">
              <w:rPr>
                <w:rFonts w:cs="Arial"/>
                <w:color w:val="0D0D0D" w:themeColor="text1" w:themeTint="F2"/>
                <w:spacing w:val="-4"/>
              </w:rPr>
              <w:t> %</w:t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t xml:space="preserve">). Hlavní bariérou růstu průmyslu zůstává již od poloviny loňského roku nedostatek zaměstnanců (na počátku </w:t>
            </w:r>
            <w:r w:rsidR="00716F48" w:rsidRPr="009110F7">
              <w:rPr>
                <w:rFonts w:cs="Arial"/>
                <w:color w:val="0D0D0D" w:themeColor="text1" w:themeTint="F2"/>
                <w:spacing w:val="-4"/>
              </w:rPr>
              <w:t>2. </w:t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t xml:space="preserve">čtvrtletí 2018 ho </w:t>
            </w:r>
            <w:r w:rsidRPr="00086AC1">
              <w:rPr>
                <w:rFonts w:cs="Arial"/>
                <w:color w:val="0D0D0D" w:themeColor="text1" w:themeTint="F2"/>
                <w:spacing w:val="-5"/>
              </w:rPr>
              <w:t>zmiňovalo 44</w:t>
            </w:r>
            <w:r w:rsidR="00167CB9" w:rsidRPr="00086AC1">
              <w:rPr>
                <w:rFonts w:cs="Arial"/>
                <w:color w:val="0D0D0D" w:themeColor="text1" w:themeTint="F2"/>
                <w:spacing w:val="-5"/>
              </w:rPr>
              <w:t> %</w:t>
            </w:r>
            <w:r w:rsidRPr="00086AC1">
              <w:rPr>
                <w:rFonts w:cs="Arial"/>
                <w:color w:val="0D0D0D" w:themeColor="text1" w:themeTint="F2"/>
                <w:spacing w:val="-5"/>
              </w:rPr>
              <w:t xml:space="preserve"> podniků)</w:t>
            </w:r>
            <w:r w:rsidRPr="00086AC1">
              <w:rPr>
                <w:rStyle w:val="Znakapoznpodarou"/>
                <w:color w:val="0D0D0D" w:themeColor="text1" w:themeTint="F2"/>
                <w:spacing w:val="-5"/>
              </w:rPr>
              <w:footnoteReference w:id="10"/>
            </w:r>
            <w:r w:rsidR="00086AC1" w:rsidRPr="00086AC1">
              <w:rPr>
                <w:rFonts w:cs="Arial"/>
                <w:color w:val="0D0D0D" w:themeColor="text1" w:themeTint="F2"/>
                <w:spacing w:val="-5"/>
              </w:rPr>
              <w:t xml:space="preserve">. Nedostatečná poptávka </w:t>
            </w:r>
            <w:r w:rsidR="00086AC1">
              <w:rPr>
                <w:rFonts w:cs="Arial"/>
                <w:color w:val="0D0D0D" w:themeColor="text1" w:themeTint="F2"/>
                <w:spacing w:val="-5"/>
              </w:rPr>
              <w:t>sužovala</w:t>
            </w:r>
            <w:r w:rsidRPr="00086AC1">
              <w:rPr>
                <w:rFonts w:cs="Arial"/>
                <w:color w:val="0D0D0D" w:themeColor="text1" w:themeTint="F2"/>
                <w:spacing w:val="-5"/>
              </w:rPr>
              <w:t xml:space="preserve"> 36</w:t>
            </w:r>
            <w:r w:rsidR="00167CB9" w:rsidRPr="00086AC1">
              <w:rPr>
                <w:rFonts w:cs="Arial"/>
                <w:color w:val="0D0D0D" w:themeColor="text1" w:themeTint="F2"/>
                <w:spacing w:val="-5"/>
              </w:rPr>
              <w:t> %</w:t>
            </w:r>
            <w:r w:rsidRPr="00086AC1">
              <w:rPr>
                <w:rFonts w:cs="Arial"/>
                <w:color w:val="0D0D0D" w:themeColor="text1" w:themeTint="F2"/>
                <w:spacing w:val="-5"/>
              </w:rPr>
              <w:t xml:space="preserve"> podniků (za poslední</w:t>
            </w:r>
            <w:r w:rsidRPr="009110F7">
              <w:rPr>
                <w:rFonts w:cs="Arial"/>
                <w:color w:val="0D0D0D" w:themeColor="text1" w:themeTint="F2"/>
                <w:spacing w:val="-4"/>
              </w:rPr>
              <w:t xml:space="preserve"> tři čtvrtletí její role stagnovala). </w:t>
            </w:r>
            <w:r w:rsidR="005B6CA1" w:rsidRPr="009110F7">
              <w:rPr>
                <w:rFonts w:cs="Arial"/>
                <w:color w:val="0D0D0D" w:themeColor="text1" w:themeTint="F2"/>
                <w:spacing w:val="-4"/>
              </w:rPr>
              <w:t>Zaměstnanost v průmyslu posílila stejně jako po celý rok 2017 téměř 2% tempem. K navýšením přispěl</w:t>
            </w:r>
            <w:r w:rsidR="00A91E71">
              <w:rPr>
                <w:rFonts w:cs="Arial"/>
                <w:color w:val="0D0D0D" w:themeColor="text1" w:themeTint="F2"/>
                <w:spacing w:val="-4"/>
              </w:rPr>
              <w:t>i</w:t>
            </w:r>
            <w:r w:rsidR="005B6CA1" w:rsidRPr="009110F7">
              <w:rPr>
                <w:rFonts w:cs="Arial"/>
                <w:color w:val="0D0D0D" w:themeColor="text1" w:themeTint="F2"/>
                <w:spacing w:val="-4"/>
              </w:rPr>
              <w:t xml:space="preserve"> hlavně výrobci motorových vozidel (růst v odvětví +4,1</w:t>
            </w:r>
            <w:r w:rsidR="00167CB9" w:rsidRPr="009110F7">
              <w:rPr>
                <w:rFonts w:cs="Arial"/>
                <w:color w:val="0D0D0D" w:themeColor="text1" w:themeTint="F2"/>
                <w:spacing w:val="-4"/>
              </w:rPr>
              <w:t> %</w:t>
            </w:r>
            <w:r w:rsidR="005B6CA1" w:rsidRPr="009110F7">
              <w:rPr>
                <w:rFonts w:cs="Arial"/>
                <w:color w:val="0D0D0D" w:themeColor="text1" w:themeTint="F2"/>
                <w:spacing w:val="-4"/>
              </w:rPr>
              <w:t>), jejich subdodavatelská odvětví, energetika (+10</w:t>
            </w:r>
            <w:r w:rsidR="00167CB9" w:rsidRPr="009110F7">
              <w:rPr>
                <w:rFonts w:cs="Arial"/>
                <w:color w:val="0D0D0D" w:themeColor="text1" w:themeTint="F2"/>
                <w:spacing w:val="-4"/>
              </w:rPr>
              <w:t> %</w:t>
            </w:r>
            <w:r w:rsidR="005B6CA1" w:rsidRPr="009110F7">
              <w:rPr>
                <w:rFonts w:cs="Arial"/>
                <w:color w:val="0D0D0D" w:themeColor="text1" w:themeTint="F2"/>
                <w:spacing w:val="-4"/>
              </w:rPr>
              <w:t xml:space="preserve">), kovovýroba </w:t>
            </w:r>
            <w:r w:rsidR="00716F48" w:rsidRPr="009110F7">
              <w:rPr>
                <w:rFonts w:cs="Arial"/>
                <w:color w:val="0D0D0D" w:themeColor="text1" w:themeTint="F2"/>
                <w:spacing w:val="-4"/>
              </w:rPr>
              <w:t>i </w:t>
            </w:r>
            <w:r w:rsidR="005B6CA1" w:rsidRPr="009110F7">
              <w:rPr>
                <w:rFonts w:cs="Arial"/>
                <w:color w:val="0D0D0D" w:themeColor="text1" w:themeTint="F2"/>
                <w:spacing w:val="-4"/>
              </w:rPr>
              <w:t>chemický průmysl, naopak v těžbě uhlí desetina pracovníků meziročně ubyla.</w:t>
            </w:r>
          </w:p>
        </w:tc>
      </w:tr>
      <w:tr w:rsidR="008C7569" w:rsidRPr="009110F7" w:rsidTr="009B3764">
        <w:trPr>
          <w:trHeight w:val="145"/>
        </w:trPr>
        <w:tc>
          <w:tcPr>
            <w:tcW w:w="1849" w:type="dxa"/>
            <w:shd w:val="clear" w:color="auto" w:fill="auto"/>
            <w:tcMar>
              <w:left w:w="0" w:type="dxa"/>
            </w:tcMar>
          </w:tcPr>
          <w:p w:rsidR="008C7569" w:rsidRPr="009110F7" w:rsidRDefault="008C7569" w:rsidP="008417B5">
            <w:pPr>
              <w:pStyle w:val="Marginlie"/>
            </w:pPr>
          </w:p>
        </w:tc>
        <w:tc>
          <w:tcPr>
            <w:tcW w:w="243" w:type="dxa"/>
            <w:gridSpan w:val="2"/>
            <w:shd w:val="clear" w:color="auto" w:fill="auto"/>
            <w:tcMar>
              <w:left w:w="0" w:type="dxa"/>
            </w:tcMar>
          </w:tcPr>
          <w:p w:rsidR="008C7569" w:rsidRPr="009110F7" w:rsidRDefault="008C7569" w:rsidP="008417B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52" w:type="dxa"/>
            <w:gridSpan w:val="2"/>
            <w:shd w:val="clear" w:color="auto" w:fill="auto"/>
            <w:tcMar>
              <w:left w:w="0" w:type="dxa"/>
            </w:tcMar>
          </w:tcPr>
          <w:p w:rsidR="00167CB9" w:rsidRPr="009110F7" w:rsidRDefault="00B8561A" w:rsidP="008417B5">
            <w:pPr>
              <w:pStyle w:val="Textpoznpodarou"/>
              <w:rPr>
                <w:b/>
                <w:spacing w:val="-2"/>
              </w:rPr>
            </w:pPr>
            <w:r>
              <w:rPr>
                <w:b/>
              </w:rPr>
              <w:t>Graf </w:t>
            </w:r>
            <w:proofErr w:type="gramStart"/>
            <w:r w:rsidR="00167CB9" w:rsidRPr="009110F7">
              <w:rPr>
                <w:b/>
              </w:rPr>
              <w:t>č. </w:t>
            </w:r>
            <w:r w:rsidR="00716F48" w:rsidRPr="009110F7">
              <w:rPr>
                <w:b/>
              </w:rPr>
              <w:t>6</w:t>
            </w:r>
            <w:r w:rsidR="00053713">
              <w:rPr>
                <w:b/>
              </w:rPr>
              <w:t xml:space="preserve">  </w:t>
            </w:r>
            <w:r w:rsidR="008C7569" w:rsidRPr="009110F7">
              <w:rPr>
                <w:b/>
                <w:spacing w:val="-2"/>
              </w:rPr>
              <w:t>Nové</w:t>
            </w:r>
            <w:proofErr w:type="gramEnd"/>
            <w:r w:rsidR="008C7569" w:rsidRPr="009110F7">
              <w:rPr>
                <w:b/>
                <w:spacing w:val="-2"/>
              </w:rPr>
              <w:t xml:space="preserve"> zakázky v automobilovém průmyslu, v průmyslu celkem</w:t>
            </w:r>
          </w:p>
          <w:p w:rsidR="008C7569" w:rsidRPr="009110F7" w:rsidRDefault="008C7569" w:rsidP="008417B5">
            <w:pPr>
              <w:pStyle w:val="Textpoznpodarou"/>
            </w:pPr>
            <w:r w:rsidRPr="009110F7">
              <w:rPr>
                <w:bCs/>
                <w:spacing w:val="-2"/>
              </w:rPr>
              <w:t>(</w:t>
            </w:r>
            <w:r w:rsidR="00716F48" w:rsidRPr="009110F7">
              <w:rPr>
                <w:bCs/>
                <w:spacing w:val="-2"/>
              </w:rPr>
              <w:t>v </w:t>
            </w:r>
            <w:r w:rsidRPr="009110F7">
              <w:rPr>
                <w:bCs/>
                <w:spacing w:val="-2"/>
              </w:rPr>
              <w:t xml:space="preserve">běžných cenách, </w:t>
            </w:r>
            <w:r w:rsidRPr="009110F7">
              <w:rPr>
                <w:spacing w:val="-2"/>
              </w:rPr>
              <w:t>meziročně</w:t>
            </w:r>
            <w:r w:rsidRPr="009110F7">
              <w:rPr>
                <w:bCs/>
                <w:spacing w:val="-2"/>
              </w:rPr>
              <w:t xml:space="preserve"> v</w:t>
            </w:r>
            <w:r w:rsidR="00167CB9" w:rsidRPr="009110F7">
              <w:rPr>
                <w:bCs/>
                <w:spacing w:val="-2"/>
              </w:rPr>
              <w:t> %</w:t>
            </w:r>
            <w:r w:rsidRPr="009110F7">
              <w:rPr>
                <w:bCs/>
                <w:spacing w:val="-2"/>
              </w:rPr>
              <w:t xml:space="preserve">) </w:t>
            </w:r>
            <w:r w:rsidR="00716F48" w:rsidRPr="009110F7">
              <w:rPr>
                <w:b/>
                <w:spacing w:val="-2"/>
              </w:rPr>
              <w:t>a </w:t>
            </w:r>
            <w:r w:rsidRPr="009110F7">
              <w:rPr>
                <w:b/>
                <w:spacing w:val="-2"/>
              </w:rPr>
              <w:t>saldo indikátoru důvěry v průmyslu</w:t>
            </w:r>
          </w:p>
        </w:tc>
      </w:tr>
      <w:tr w:rsidR="008C7569" w:rsidRPr="009110F7" w:rsidTr="009B3764">
        <w:trPr>
          <w:trHeight w:val="145"/>
        </w:trPr>
        <w:tc>
          <w:tcPr>
            <w:tcW w:w="1849" w:type="dxa"/>
            <w:shd w:val="clear" w:color="auto" w:fill="auto"/>
            <w:tcMar>
              <w:left w:w="0" w:type="dxa"/>
            </w:tcMar>
          </w:tcPr>
          <w:p w:rsidR="008C7569" w:rsidRPr="009110F7" w:rsidRDefault="008C7569" w:rsidP="008417B5">
            <w:pPr>
              <w:pStyle w:val="Marginlie"/>
            </w:pPr>
          </w:p>
        </w:tc>
        <w:tc>
          <w:tcPr>
            <w:tcW w:w="243" w:type="dxa"/>
            <w:gridSpan w:val="2"/>
            <w:shd w:val="clear" w:color="auto" w:fill="auto"/>
            <w:tcMar>
              <w:left w:w="0" w:type="dxa"/>
            </w:tcMar>
          </w:tcPr>
          <w:p w:rsidR="008C7569" w:rsidRPr="009110F7" w:rsidRDefault="008C7569" w:rsidP="008417B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52" w:type="dxa"/>
            <w:gridSpan w:val="2"/>
            <w:shd w:val="clear" w:color="auto" w:fill="auto"/>
            <w:tcMar>
              <w:left w:w="0" w:type="dxa"/>
            </w:tcMar>
          </w:tcPr>
          <w:p w:rsidR="008C7569" w:rsidRPr="009110F7" w:rsidRDefault="00D72076" w:rsidP="008417B5">
            <w:pPr>
              <w:spacing w:after="0" w:line="240" w:lineRule="auto"/>
              <w:rPr>
                <w:spacing w:val="-2"/>
                <w:szCs w:val="20"/>
              </w:rPr>
            </w:pPr>
            <w:r w:rsidRPr="00D72076">
              <w:rPr>
                <w:noProof/>
                <w:spacing w:val="-2"/>
                <w:szCs w:val="20"/>
              </w:rPr>
              <w:drawing>
                <wp:inline distT="0" distB="0" distL="0" distR="0">
                  <wp:extent cx="4772801" cy="3553200"/>
                  <wp:effectExtent l="19050" t="0" r="0" b="0"/>
                  <wp:docPr id="7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094A84" w:rsidRPr="009110F7" w:rsidTr="009B3764">
        <w:trPr>
          <w:trHeight w:val="130"/>
        </w:trPr>
        <w:tc>
          <w:tcPr>
            <w:tcW w:w="1849" w:type="dxa"/>
            <w:shd w:val="clear" w:color="auto" w:fill="auto"/>
            <w:tcMar>
              <w:left w:w="0" w:type="dxa"/>
            </w:tcMar>
          </w:tcPr>
          <w:p w:rsidR="00094A84" w:rsidRPr="009110F7" w:rsidRDefault="00094A84" w:rsidP="008417B5">
            <w:pPr>
              <w:pStyle w:val="Marginlie"/>
            </w:pPr>
          </w:p>
        </w:tc>
        <w:tc>
          <w:tcPr>
            <w:tcW w:w="243" w:type="dxa"/>
            <w:gridSpan w:val="2"/>
            <w:shd w:val="clear" w:color="auto" w:fill="auto"/>
            <w:tcMar>
              <w:left w:w="0" w:type="dxa"/>
            </w:tcMar>
          </w:tcPr>
          <w:p w:rsidR="00094A84" w:rsidRPr="009110F7" w:rsidRDefault="00094A84" w:rsidP="008417B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52" w:type="dxa"/>
            <w:gridSpan w:val="2"/>
            <w:shd w:val="clear" w:color="auto" w:fill="auto"/>
            <w:tcMar>
              <w:left w:w="0" w:type="dxa"/>
            </w:tcMar>
          </w:tcPr>
          <w:p w:rsidR="00094A84" w:rsidRPr="009110F7" w:rsidRDefault="00094A84" w:rsidP="005D5AA9">
            <w:pPr>
              <w:spacing w:after="200"/>
              <w:jc w:val="left"/>
              <w:rPr>
                <w:spacing w:val="-2"/>
                <w:szCs w:val="20"/>
              </w:rPr>
            </w:pPr>
            <w:r w:rsidRPr="009110F7">
              <w:rPr>
                <w:rFonts w:cs="Arial"/>
                <w:sz w:val="14"/>
                <w:szCs w:val="14"/>
              </w:rPr>
              <w:t>Zdroj: ČSÚ</w:t>
            </w:r>
          </w:p>
        </w:tc>
      </w:tr>
      <w:tr w:rsidR="00094A84" w:rsidRPr="009110F7" w:rsidTr="009B3764">
        <w:trPr>
          <w:trHeight w:val="130"/>
        </w:trPr>
        <w:tc>
          <w:tcPr>
            <w:tcW w:w="1849" w:type="dxa"/>
            <w:shd w:val="clear" w:color="auto" w:fill="auto"/>
            <w:tcMar>
              <w:left w:w="0" w:type="dxa"/>
            </w:tcMar>
          </w:tcPr>
          <w:p w:rsidR="00094A84" w:rsidRPr="009110F7" w:rsidRDefault="00716F48" w:rsidP="008417B5">
            <w:pPr>
              <w:pStyle w:val="Marginlie"/>
            </w:pPr>
            <w:r w:rsidRPr="009110F7">
              <w:t>I </w:t>
            </w:r>
            <w:r w:rsidR="00EA513E" w:rsidRPr="009110F7">
              <w:t xml:space="preserve">přes zpomalení rostla </w:t>
            </w:r>
            <w:r w:rsidR="005A2C09" w:rsidRPr="009110F7">
              <w:t xml:space="preserve">letos </w:t>
            </w:r>
            <w:r w:rsidR="00EA513E" w:rsidRPr="009110F7">
              <w:t xml:space="preserve">průmyslová produkce v Česku vyšším tempem než </w:t>
            </w:r>
            <w:r w:rsidR="00DD32DD">
              <w:t>v </w:t>
            </w:r>
            <w:r w:rsidR="00EA513E" w:rsidRPr="009110F7">
              <w:t>EU.</w:t>
            </w:r>
          </w:p>
          <w:p w:rsidR="005A2C09" w:rsidRPr="009110F7" w:rsidRDefault="005A2C09" w:rsidP="008417B5">
            <w:pPr>
              <w:pStyle w:val="Marginlie"/>
            </w:pPr>
          </w:p>
          <w:p w:rsidR="005A2C09" w:rsidRPr="009110F7" w:rsidRDefault="005A2C09" w:rsidP="008417B5">
            <w:pPr>
              <w:pStyle w:val="Marginlie"/>
            </w:pPr>
          </w:p>
          <w:p w:rsidR="00B85016" w:rsidRPr="009110F7" w:rsidRDefault="00B85016" w:rsidP="008417B5">
            <w:pPr>
              <w:pStyle w:val="Marginlie"/>
            </w:pPr>
          </w:p>
          <w:p w:rsidR="00B85016" w:rsidRPr="009110F7" w:rsidRDefault="00B85016" w:rsidP="008417B5">
            <w:pPr>
              <w:pStyle w:val="Marginlie"/>
            </w:pPr>
          </w:p>
          <w:p w:rsidR="005A2C09" w:rsidRPr="009110F7" w:rsidRDefault="005A2C09" w:rsidP="008417B5">
            <w:pPr>
              <w:pStyle w:val="Marginlie"/>
            </w:pPr>
            <w:r w:rsidRPr="009110F7">
              <w:t xml:space="preserve">Za posledních pět let posílil průmysl nejvíce ve Slovinsku </w:t>
            </w:r>
            <w:r w:rsidR="00716F48" w:rsidRPr="009110F7">
              <w:t>a </w:t>
            </w:r>
            <w:r w:rsidRPr="009110F7">
              <w:t>Rumunsku.</w:t>
            </w:r>
          </w:p>
        </w:tc>
        <w:tc>
          <w:tcPr>
            <w:tcW w:w="243" w:type="dxa"/>
            <w:gridSpan w:val="2"/>
            <w:shd w:val="clear" w:color="auto" w:fill="auto"/>
            <w:tcMar>
              <w:left w:w="0" w:type="dxa"/>
            </w:tcMar>
          </w:tcPr>
          <w:p w:rsidR="00094A84" w:rsidRPr="009110F7" w:rsidRDefault="00094A84" w:rsidP="008417B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52" w:type="dxa"/>
            <w:gridSpan w:val="2"/>
            <w:shd w:val="clear" w:color="auto" w:fill="auto"/>
            <w:tcMar>
              <w:left w:w="0" w:type="dxa"/>
            </w:tcMar>
          </w:tcPr>
          <w:p w:rsidR="00094A84" w:rsidRPr="009110F7" w:rsidRDefault="00A83150" w:rsidP="000403A7">
            <w:pPr>
              <w:spacing w:after="200"/>
              <w:rPr>
                <w:rFonts w:cs="Arial"/>
                <w:szCs w:val="20"/>
              </w:rPr>
            </w:pPr>
            <w:r w:rsidRPr="009110F7">
              <w:rPr>
                <w:rFonts w:cs="Arial"/>
                <w:szCs w:val="20"/>
              </w:rPr>
              <w:t xml:space="preserve">Tempo </w:t>
            </w:r>
            <w:r w:rsidR="00DD32DD">
              <w:rPr>
                <w:rFonts w:cs="Arial"/>
                <w:szCs w:val="20"/>
              </w:rPr>
              <w:t xml:space="preserve">růstu </w:t>
            </w:r>
            <w:r w:rsidRPr="009110F7">
              <w:rPr>
                <w:rFonts w:cs="Arial"/>
                <w:szCs w:val="20"/>
              </w:rPr>
              <w:t>p</w:t>
            </w:r>
            <w:r w:rsidR="000913B1" w:rsidRPr="009110F7">
              <w:rPr>
                <w:rFonts w:cs="Arial"/>
                <w:szCs w:val="20"/>
              </w:rPr>
              <w:t>růmyslov</w:t>
            </w:r>
            <w:r w:rsidRPr="009110F7">
              <w:rPr>
                <w:rFonts w:cs="Arial"/>
                <w:szCs w:val="20"/>
              </w:rPr>
              <w:t>é</w:t>
            </w:r>
            <w:r w:rsidR="000913B1" w:rsidRPr="009110F7">
              <w:rPr>
                <w:rFonts w:cs="Arial"/>
                <w:szCs w:val="20"/>
              </w:rPr>
              <w:t xml:space="preserve"> produkce </w:t>
            </w:r>
            <w:r w:rsidRPr="009110F7">
              <w:rPr>
                <w:rFonts w:cs="Arial"/>
                <w:szCs w:val="20"/>
              </w:rPr>
              <w:t>v Česku převyšovalo v 1</w:t>
            </w:r>
            <w:r w:rsidR="00716F48" w:rsidRPr="009110F7">
              <w:rPr>
                <w:rFonts w:cs="Arial"/>
                <w:szCs w:val="20"/>
              </w:rPr>
              <w:t>. čtvrt</w:t>
            </w:r>
            <w:r w:rsidRPr="009110F7">
              <w:rPr>
                <w:rFonts w:cs="Arial"/>
                <w:szCs w:val="20"/>
              </w:rPr>
              <w:t xml:space="preserve">letí hodnotu v EU (+3,2 %) </w:t>
            </w:r>
            <w:r w:rsidR="00716F48" w:rsidRPr="009110F7">
              <w:rPr>
                <w:rFonts w:cs="Arial"/>
                <w:szCs w:val="20"/>
              </w:rPr>
              <w:t>a </w:t>
            </w:r>
            <w:r w:rsidRPr="009110F7">
              <w:rPr>
                <w:rFonts w:cs="Arial"/>
                <w:szCs w:val="20"/>
              </w:rPr>
              <w:t>dosahovalo obdobné výše jako v Německu (+4,0</w:t>
            </w:r>
            <w:r w:rsidR="00167CB9" w:rsidRPr="009110F7">
              <w:rPr>
                <w:rFonts w:cs="Arial"/>
                <w:szCs w:val="20"/>
              </w:rPr>
              <w:t> %</w:t>
            </w:r>
            <w:r w:rsidRPr="009110F7">
              <w:rPr>
                <w:rFonts w:cs="Arial"/>
                <w:szCs w:val="20"/>
              </w:rPr>
              <w:t xml:space="preserve">). </w:t>
            </w:r>
            <w:r w:rsidR="00591273" w:rsidRPr="009110F7">
              <w:rPr>
                <w:rFonts w:cs="Arial"/>
                <w:szCs w:val="20"/>
              </w:rPr>
              <w:t>Nejvyšší dynamiku vykaz</w:t>
            </w:r>
            <w:r w:rsidR="00E43A9E" w:rsidRPr="009110F7">
              <w:rPr>
                <w:rFonts w:cs="Arial"/>
                <w:szCs w:val="20"/>
              </w:rPr>
              <w:t xml:space="preserve">ovaly státy střední </w:t>
            </w:r>
            <w:r w:rsidR="00716F48" w:rsidRPr="009110F7">
              <w:rPr>
                <w:rFonts w:cs="Arial"/>
                <w:szCs w:val="20"/>
              </w:rPr>
              <w:t>a </w:t>
            </w:r>
            <w:r w:rsidR="00E43A9E" w:rsidRPr="009110F7">
              <w:rPr>
                <w:rFonts w:cs="Arial"/>
                <w:szCs w:val="20"/>
              </w:rPr>
              <w:t>východní E</w:t>
            </w:r>
            <w:r w:rsidR="00591273" w:rsidRPr="009110F7">
              <w:rPr>
                <w:rFonts w:cs="Arial"/>
                <w:szCs w:val="20"/>
              </w:rPr>
              <w:t>vropy (př</w:t>
            </w:r>
            <w:r w:rsidR="00203D8F" w:rsidRPr="009110F7">
              <w:rPr>
                <w:rFonts w:cs="Arial"/>
                <w:szCs w:val="20"/>
              </w:rPr>
              <w:t>edevším Slovinsko +8</w:t>
            </w:r>
            <w:r w:rsidR="00DD32DD">
              <w:rPr>
                <w:rFonts w:cs="Arial"/>
                <w:szCs w:val="20"/>
              </w:rPr>
              <w:t> </w:t>
            </w:r>
            <w:r w:rsidR="00203D8F" w:rsidRPr="009110F7">
              <w:rPr>
                <w:rFonts w:cs="Arial"/>
                <w:szCs w:val="20"/>
              </w:rPr>
              <w:t>%, Polsko</w:t>
            </w:r>
            <w:r w:rsidR="00591273" w:rsidRPr="009110F7">
              <w:rPr>
                <w:rFonts w:cs="Arial"/>
                <w:szCs w:val="20"/>
              </w:rPr>
              <w:t xml:space="preserve"> a Litva shodně +6</w:t>
            </w:r>
            <w:r w:rsidR="00167CB9" w:rsidRPr="009110F7">
              <w:rPr>
                <w:rFonts w:cs="Arial"/>
                <w:szCs w:val="20"/>
              </w:rPr>
              <w:t> %</w:t>
            </w:r>
            <w:r w:rsidR="00591273" w:rsidRPr="009110F7">
              <w:rPr>
                <w:rFonts w:cs="Arial"/>
                <w:szCs w:val="20"/>
              </w:rPr>
              <w:t>). Zatímco v EU se nejvíce dařilo odvětvím produkujícím výrobky investiční povahy (např</w:t>
            </w:r>
            <w:r w:rsidR="00DD32DD">
              <w:rPr>
                <w:rFonts w:cs="Arial"/>
                <w:szCs w:val="20"/>
              </w:rPr>
              <w:t>íklad</w:t>
            </w:r>
            <w:r w:rsidR="00591273" w:rsidRPr="009110F7">
              <w:rPr>
                <w:rFonts w:cs="Arial"/>
                <w:szCs w:val="20"/>
              </w:rPr>
              <w:t xml:space="preserve"> dopravní prostředky, stroje), v ČR to byly letos obory vyrábějící předměty dlouhodobé spotřeby.</w:t>
            </w:r>
            <w:r w:rsidR="00203D8F" w:rsidRPr="009110F7">
              <w:rPr>
                <w:rFonts w:cs="Arial"/>
                <w:szCs w:val="20"/>
              </w:rPr>
              <w:t xml:space="preserve"> O</w:t>
            </w:r>
            <w:r w:rsidR="00591273" w:rsidRPr="009110F7">
              <w:rPr>
                <w:rFonts w:cs="Arial"/>
                <w:szCs w:val="20"/>
              </w:rPr>
              <w:t>d</w:t>
            </w:r>
            <w:r w:rsidR="00203D8F" w:rsidRPr="009110F7">
              <w:rPr>
                <w:rFonts w:cs="Arial"/>
                <w:szCs w:val="20"/>
              </w:rPr>
              <w:t xml:space="preserve"> </w:t>
            </w:r>
            <w:r w:rsidR="00591273" w:rsidRPr="009110F7">
              <w:rPr>
                <w:rFonts w:cs="Arial"/>
                <w:szCs w:val="20"/>
              </w:rPr>
              <w:t xml:space="preserve">konce poslední recese </w:t>
            </w:r>
            <w:r w:rsidR="005A2C09" w:rsidRPr="009110F7">
              <w:rPr>
                <w:rFonts w:cs="Arial"/>
                <w:szCs w:val="20"/>
              </w:rPr>
              <w:t>(1. </w:t>
            </w:r>
            <w:r w:rsidR="00203D8F" w:rsidRPr="009110F7">
              <w:rPr>
                <w:rFonts w:cs="Arial"/>
                <w:szCs w:val="20"/>
              </w:rPr>
              <w:t>čtvrtletí 2013) posílila</w:t>
            </w:r>
            <w:r w:rsidR="00591273" w:rsidRPr="009110F7">
              <w:rPr>
                <w:rFonts w:cs="Arial"/>
                <w:szCs w:val="20"/>
              </w:rPr>
              <w:t xml:space="preserve"> v </w:t>
            </w:r>
            <w:r w:rsidR="00203D8F" w:rsidRPr="009110F7">
              <w:rPr>
                <w:rFonts w:cs="Arial"/>
                <w:szCs w:val="20"/>
              </w:rPr>
              <w:t>Česku</w:t>
            </w:r>
            <w:r w:rsidR="00591273" w:rsidRPr="009110F7">
              <w:rPr>
                <w:rFonts w:cs="Arial"/>
                <w:szCs w:val="20"/>
              </w:rPr>
              <w:t xml:space="preserve"> průmyslová produkce v úhrnu </w:t>
            </w:r>
            <w:r w:rsidR="00716F48" w:rsidRPr="009110F7">
              <w:rPr>
                <w:rFonts w:cs="Arial"/>
                <w:szCs w:val="20"/>
              </w:rPr>
              <w:t>o </w:t>
            </w:r>
            <w:r w:rsidR="00591273" w:rsidRPr="009110F7">
              <w:rPr>
                <w:rFonts w:cs="Arial"/>
                <w:szCs w:val="20"/>
              </w:rPr>
              <w:t>27</w:t>
            </w:r>
            <w:r w:rsidR="00167CB9" w:rsidRPr="009110F7">
              <w:rPr>
                <w:rFonts w:cs="Arial"/>
                <w:szCs w:val="20"/>
              </w:rPr>
              <w:t> %</w:t>
            </w:r>
            <w:r w:rsidR="00591273" w:rsidRPr="009110F7">
              <w:rPr>
                <w:rFonts w:cs="Arial"/>
                <w:szCs w:val="20"/>
              </w:rPr>
              <w:t xml:space="preserve"> (sedmým nejvyšším tempem v EU). </w:t>
            </w:r>
            <w:r w:rsidR="000403A7" w:rsidRPr="009110F7">
              <w:rPr>
                <w:rFonts w:cs="Arial"/>
                <w:szCs w:val="20"/>
              </w:rPr>
              <w:t xml:space="preserve">Silnější tempa signalizovaly Slovinsko, </w:t>
            </w:r>
            <w:r w:rsidR="00591273" w:rsidRPr="009110F7">
              <w:rPr>
                <w:rFonts w:cs="Arial"/>
                <w:szCs w:val="20"/>
              </w:rPr>
              <w:t>Rumunsko (</w:t>
            </w:r>
            <w:r w:rsidR="000403A7" w:rsidRPr="009110F7">
              <w:rPr>
                <w:rFonts w:cs="Arial"/>
                <w:szCs w:val="20"/>
              </w:rPr>
              <w:t>shodně +31</w:t>
            </w:r>
            <w:r w:rsidR="00167CB9" w:rsidRPr="009110F7">
              <w:rPr>
                <w:rFonts w:cs="Arial"/>
                <w:szCs w:val="20"/>
              </w:rPr>
              <w:t> %</w:t>
            </w:r>
            <w:r w:rsidR="00591273" w:rsidRPr="009110F7">
              <w:rPr>
                <w:rFonts w:cs="Arial"/>
                <w:szCs w:val="20"/>
              </w:rPr>
              <w:t>)</w:t>
            </w:r>
            <w:r w:rsidR="000403A7" w:rsidRPr="009110F7">
              <w:rPr>
                <w:rFonts w:cs="Arial"/>
                <w:szCs w:val="20"/>
              </w:rPr>
              <w:t>, Maďarsko a Polsko. V EU činil růst 11</w:t>
            </w:r>
            <w:r w:rsidR="00167CB9" w:rsidRPr="009110F7">
              <w:rPr>
                <w:rFonts w:cs="Arial"/>
                <w:szCs w:val="20"/>
              </w:rPr>
              <w:t> %</w:t>
            </w:r>
            <w:r w:rsidR="000403A7" w:rsidRPr="009110F7">
              <w:rPr>
                <w:rFonts w:cs="Arial"/>
                <w:szCs w:val="20"/>
              </w:rPr>
              <w:t xml:space="preserve">, </w:t>
            </w:r>
            <w:r w:rsidR="00716F48" w:rsidRPr="009110F7">
              <w:rPr>
                <w:rFonts w:cs="Arial"/>
                <w:szCs w:val="20"/>
              </w:rPr>
              <w:t>v </w:t>
            </w:r>
            <w:r w:rsidR="000403A7" w:rsidRPr="009110F7">
              <w:rPr>
                <w:rFonts w:cs="Arial"/>
                <w:szCs w:val="20"/>
              </w:rPr>
              <w:t>Německu 10</w:t>
            </w:r>
            <w:r w:rsidR="00167CB9" w:rsidRPr="009110F7">
              <w:rPr>
                <w:rFonts w:cs="Arial"/>
                <w:szCs w:val="20"/>
              </w:rPr>
              <w:t> %</w:t>
            </w:r>
            <w:r w:rsidR="000403A7" w:rsidRPr="009110F7">
              <w:rPr>
                <w:rFonts w:cs="Arial"/>
                <w:szCs w:val="20"/>
              </w:rPr>
              <w:t xml:space="preserve">, </w:t>
            </w:r>
            <w:r w:rsidR="00716F48" w:rsidRPr="009110F7">
              <w:rPr>
                <w:rFonts w:cs="Arial"/>
                <w:szCs w:val="20"/>
              </w:rPr>
              <w:t>v </w:t>
            </w:r>
            <w:r w:rsidR="00203D8F" w:rsidRPr="009110F7">
              <w:rPr>
                <w:rFonts w:cs="Arial"/>
                <w:szCs w:val="20"/>
              </w:rPr>
              <w:t>Rakousku 16 % </w:t>
            </w:r>
            <w:r w:rsidR="00716F48" w:rsidRPr="009110F7">
              <w:rPr>
                <w:rFonts w:cs="Arial"/>
                <w:szCs w:val="20"/>
              </w:rPr>
              <w:t>a </w:t>
            </w:r>
            <w:r w:rsidR="00203D8F" w:rsidRPr="009110F7">
              <w:rPr>
                <w:rFonts w:cs="Arial"/>
                <w:szCs w:val="20"/>
              </w:rPr>
              <w:t xml:space="preserve">ve </w:t>
            </w:r>
            <w:r w:rsidR="000403A7" w:rsidRPr="009110F7">
              <w:rPr>
                <w:rFonts w:cs="Arial"/>
                <w:szCs w:val="20"/>
              </w:rPr>
              <w:t>F</w:t>
            </w:r>
            <w:r w:rsidR="00A96C0F" w:rsidRPr="009110F7">
              <w:rPr>
                <w:rFonts w:cs="Arial"/>
                <w:szCs w:val="20"/>
              </w:rPr>
              <w:t>rancii</w:t>
            </w:r>
            <w:r w:rsidR="000403A7" w:rsidRPr="009110F7">
              <w:rPr>
                <w:rFonts w:cs="Arial"/>
                <w:szCs w:val="20"/>
              </w:rPr>
              <w:t xml:space="preserve"> 5</w:t>
            </w:r>
            <w:r w:rsidR="00167CB9" w:rsidRPr="009110F7">
              <w:rPr>
                <w:rFonts w:cs="Arial"/>
                <w:szCs w:val="20"/>
              </w:rPr>
              <w:t> %</w:t>
            </w:r>
            <w:r w:rsidR="000403A7" w:rsidRPr="009110F7">
              <w:rPr>
                <w:rFonts w:cs="Arial"/>
                <w:szCs w:val="20"/>
              </w:rPr>
              <w:t>.</w:t>
            </w:r>
          </w:p>
        </w:tc>
      </w:tr>
      <w:tr w:rsidR="008C7569" w:rsidRPr="009110F7" w:rsidTr="009B3764">
        <w:trPr>
          <w:trHeight w:val="145"/>
        </w:trPr>
        <w:tc>
          <w:tcPr>
            <w:tcW w:w="1849" w:type="dxa"/>
            <w:shd w:val="clear" w:color="auto" w:fill="auto"/>
            <w:tcMar>
              <w:left w:w="0" w:type="dxa"/>
            </w:tcMar>
          </w:tcPr>
          <w:p w:rsidR="008C7569" w:rsidRPr="009110F7" w:rsidRDefault="00C832F3" w:rsidP="00C832F3">
            <w:pPr>
              <w:pStyle w:val="Marginlie"/>
            </w:pPr>
            <w:r w:rsidRPr="009110F7">
              <w:lastRenderedPageBreak/>
              <w:t>Růst i</w:t>
            </w:r>
            <w:r w:rsidR="007D4458" w:rsidRPr="009110F7">
              <w:t>n</w:t>
            </w:r>
            <w:r w:rsidRPr="009110F7">
              <w:t>vestiční aktivity umocněn</w:t>
            </w:r>
            <w:r w:rsidR="007D4458" w:rsidRPr="009110F7">
              <w:t>ý příznivým vývojem počasí vedl</w:t>
            </w:r>
            <w:r w:rsidRPr="009110F7">
              <w:t xml:space="preserve"> na počátku roku k akceleraci </w:t>
            </w:r>
            <w:r w:rsidR="007D4458" w:rsidRPr="009110F7">
              <w:t>stavebnictví</w:t>
            </w:r>
            <w:r w:rsidRPr="009110F7">
              <w:t>.</w:t>
            </w:r>
          </w:p>
        </w:tc>
        <w:tc>
          <w:tcPr>
            <w:tcW w:w="243" w:type="dxa"/>
            <w:gridSpan w:val="2"/>
            <w:shd w:val="clear" w:color="auto" w:fill="auto"/>
            <w:tcMar>
              <w:left w:w="0" w:type="dxa"/>
            </w:tcMar>
          </w:tcPr>
          <w:p w:rsidR="008C7569" w:rsidRPr="009110F7" w:rsidRDefault="008C7569" w:rsidP="008417B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52" w:type="dxa"/>
            <w:gridSpan w:val="2"/>
            <w:shd w:val="clear" w:color="auto" w:fill="auto"/>
            <w:tcMar>
              <w:left w:w="0" w:type="dxa"/>
            </w:tcMar>
          </w:tcPr>
          <w:p w:rsidR="008C7569" w:rsidRPr="009110F7" w:rsidRDefault="00512461" w:rsidP="00094A84">
            <w:pPr>
              <w:rPr>
                <w:rFonts w:cs="Arial"/>
                <w:szCs w:val="20"/>
              </w:rPr>
            </w:pPr>
            <w:r w:rsidRPr="009110F7">
              <w:rPr>
                <w:rFonts w:cs="Arial"/>
                <w:szCs w:val="20"/>
              </w:rPr>
              <w:t>Stavebnictví</w:t>
            </w:r>
            <w:r w:rsidR="00DD32DD">
              <w:rPr>
                <w:rFonts w:cs="Arial"/>
                <w:szCs w:val="20"/>
              </w:rPr>
              <w:t>,</w:t>
            </w:r>
            <w:r w:rsidRPr="009110F7">
              <w:rPr>
                <w:rFonts w:cs="Arial"/>
                <w:szCs w:val="20"/>
              </w:rPr>
              <w:t xml:space="preserve"> podpořené mírným růstem objemu veřejných investic </w:t>
            </w:r>
            <w:r w:rsidR="00716F48" w:rsidRPr="009110F7">
              <w:rPr>
                <w:rFonts w:cs="Arial"/>
                <w:szCs w:val="20"/>
              </w:rPr>
              <w:t>i </w:t>
            </w:r>
            <w:r w:rsidRPr="009110F7">
              <w:rPr>
                <w:rFonts w:cs="Arial"/>
                <w:szCs w:val="20"/>
              </w:rPr>
              <w:t>příznivým počasím na počátku roku</w:t>
            </w:r>
            <w:r w:rsidR="00DD32DD">
              <w:rPr>
                <w:rFonts w:cs="Arial"/>
                <w:szCs w:val="20"/>
              </w:rPr>
              <w:t>,</w:t>
            </w:r>
            <w:r w:rsidRPr="009110F7">
              <w:rPr>
                <w:rFonts w:cs="Arial"/>
                <w:szCs w:val="20"/>
              </w:rPr>
              <w:t xml:space="preserve"> pokračovalo v loňském oživení. </w:t>
            </w:r>
            <w:r w:rsidRPr="009110F7">
              <w:rPr>
                <w:spacing w:val="-4"/>
              </w:rPr>
              <w:t>Stavební produkce</w:t>
            </w:r>
            <w:r w:rsidRPr="009110F7">
              <w:rPr>
                <w:rStyle w:val="Znakapoznpodarou"/>
                <w:spacing w:val="-4"/>
              </w:rPr>
              <w:footnoteReference w:id="11"/>
            </w:r>
            <w:r w:rsidRPr="009110F7">
              <w:rPr>
                <w:spacing w:val="-4"/>
              </w:rPr>
              <w:t xml:space="preserve"> </w:t>
            </w:r>
            <w:proofErr w:type="spellStart"/>
            <w:r w:rsidRPr="009110F7">
              <w:rPr>
                <w:spacing w:val="-4"/>
              </w:rPr>
              <w:t>mezičtvrtletně</w:t>
            </w:r>
            <w:proofErr w:type="spellEnd"/>
            <w:r w:rsidRPr="009110F7">
              <w:rPr>
                <w:spacing w:val="-4"/>
              </w:rPr>
              <w:t xml:space="preserve"> posílila </w:t>
            </w:r>
            <w:r w:rsidR="00716F48" w:rsidRPr="009110F7">
              <w:rPr>
                <w:spacing w:val="-4"/>
              </w:rPr>
              <w:t>o </w:t>
            </w:r>
            <w:r w:rsidRPr="009110F7">
              <w:rPr>
                <w:spacing w:val="-4"/>
              </w:rPr>
              <w:t>1,5</w:t>
            </w:r>
            <w:r w:rsidR="00167CB9" w:rsidRPr="009110F7">
              <w:rPr>
                <w:spacing w:val="-4"/>
              </w:rPr>
              <w:t> %</w:t>
            </w:r>
            <w:r w:rsidRPr="009110F7">
              <w:rPr>
                <w:spacing w:val="-4"/>
              </w:rPr>
              <w:t xml:space="preserve">, </w:t>
            </w:r>
            <w:r w:rsidR="00716F48" w:rsidRPr="009110F7">
              <w:rPr>
                <w:spacing w:val="-4"/>
              </w:rPr>
              <w:t>a </w:t>
            </w:r>
            <w:r w:rsidRPr="009110F7">
              <w:rPr>
                <w:spacing w:val="-4"/>
              </w:rPr>
              <w:t>to výhradně zásluhou váhově převažujícího pozemního stavitelství (+3,1</w:t>
            </w:r>
            <w:r w:rsidR="00167CB9" w:rsidRPr="009110F7">
              <w:rPr>
                <w:spacing w:val="-4"/>
              </w:rPr>
              <w:t> %</w:t>
            </w:r>
            <w:r w:rsidRPr="009110F7">
              <w:rPr>
                <w:spacing w:val="-4"/>
              </w:rPr>
              <w:t xml:space="preserve">). </w:t>
            </w:r>
            <w:r w:rsidR="002A1E4F" w:rsidRPr="009110F7">
              <w:rPr>
                <w:spacing w:val="-4"/>
              </w:rPr>
              <w:t xml:space="preserve">Meziročně vzrostlo letos stavebnictví </w:t>
            </w:r>
            <w:r w:rsidR="00716F48" w:rsidRPr="009110F7">
              <w:rPr>
                <w:spacing w:val="-4"/>
              </w:rPr>
              <w:t>o </w:t>
            </w:r>
            <w:r w:rsidR="002A1E4F" w:rsidRPr="009110F7">
              <w:rPr>
                <w:spacing w:val="-4"/>
              </w:rPr>
              <w:t>výrazných 13,1</w:t>
            </w:r>
            <w:r w:rsidR="00167CB9" w:rsidRPr="009110F7">
              <w:rPr>
                <w:spacing w:val="-4"/>
              </w:rPr>
              <w:t> %</w:t>
            </w:r>
            <w:r w:rsidR="002A1E4F" w:rsidRPr="009110F7">
              <w:rPr>
                <w:spacing w:val="-4"/>
              </w:rPr>
              <w:t xml:space="preserve"> (ve stejném období loňského roku stagnovalo)</w:t>
            </w:r>
            <w:r w:rsidR="00F25040">
              <w:rPr>
                <w:spacing w:val="-4"/>
              </w:rPr>
              <w:t>,</w:t>
            </w:r>
            <w:r w:rsidR="002A1E4F" w:rsidRPr="009110F7">
              <w:rPr>
                <w:spacing w:val="-4"/>
              </w:rPr>
              <w:t xml:space="preserve"> </w:t>
            </w:r>
            <w:r w:rsidR="00716F48" w:rsidRPr="009110F7">
              <w:rPr>
                <w:spacing w:val="-4"/>
              </w:rPr>
              <w:t>a </w:t>
            </w:r>
            <w:r w:rsidR="002A1E4F" w:rsidRPr="009110F7">
              <w:rPr>
                <w:spacing w:val="-4"/>
              </w:rPr>
              <w:t xml:space="preserve">překonalo dokonce </w:t>
            </w:r>
            <w:r w:rsidR="00716F48" w:rsidRPr="009110F7">
              <w:rPr>
                <w:spacing w:val="-4"/>
              </w:rPr>
              <w:t>i </w:t>
            </w:r>
            <w:r w:rsidR="002A1E4F" w:rsidRPr="009110F7">
              <w:rPr>
                <w:spacing w:val="-4"/>
              </w:rPr>
              <w:t>tempa z let 2014 a</w:t>
            </w:r>
            <w:r w:rsidR="002A1E4F" w:rsidRPr="009110F7">
              <w:rPr>
                <w:rFonts w:cs="Arial"/>
                <w:szCs w:val="20"/>
              </w:rPr>
              <w:t> </w:t>
            </w:r>
            <w:r w:rsidR="002A1E4F" w:rsidRPr="009110F7">
              <w:rPr>
                <w:spacing w:val="-4"/>
              </w:rPr>
              <w:t>2015, kdy růstový impul</w:t>
            </w:r>
            <w:r w:rsidR="00F25040">
              <w:rPr>
                <w:spacing w:val="-4"/>
              </w:rPr>
              <w:t>z</w:t>
            </w:r>
            <w:r w:rsidR="002A1E4F" w:rsidRPr="009110F7">
              <w:rPr>
                <w:spacing w:val="-4"/>
              </w:rPr>
              <w:t xml:space="preserve"> celému odvětví poskytlo dočerpávání prostředků z rozpočtu EU na konci programového období. </w:t>
            </w:r>
            <w:r w:rsidR="002A532A" w:rsidRPr="009110F7">
              <w:rPr>
                <w:spacing w:val="-4"/>
              </w:rPr>
              <w:t xml:space="preserve">Za </w:t>
            </w:r>
            <w:r w:rsidR="00DA096C" w:rsidRPr="009110F7">
              <w:rPr>
                <w:spacing w:val="-4"/>
              </w:rPr>
              <w:t xml:space="preserve">letošní </w:t>
            </w:r>
            <w:r w:rsidR="002A532A" w:rsidRPr="009110F7">
              <w:rPr>
                <w:spacing w:val="-4"/>
              </w:rPr>
              <w:t xml:space="preserve">akcelerací stálo primárně pozemní stavitelství, </w:t>
            </w:r>
            <w:r w:rsidR="00DA096C" w:rsidRPr="009110F7">
              <w:rPr>
                <w:spacing w:val="-4"/>
              </w:rPr>
              <w:t>z des</w:t>
            </w:r>
            <w:r w:rsidR="006F440B" w:rsidRPr="009110F7">
              <w:rPr>
                <w:spacing w:val="-4"/>
              </w:rPr>
              <w:t>e</w:t>
            </w:r>
            <w:r w:rsidR="00DA096C" w:rsidRPr="009110F7">
              <w:rPr>
                <w:spacing w:val="-4"/>
              </w:rPr>
              <w:t xml:space="preserve">tiny k ní přispělo </w:t>
            </w:r>
            <w:r w:rsidR="00716F48" w:rsidRPr="009110F7">
              <w:rPr>
                <w:spacing w:val="-4"/>
              </w:rPr>
              <w:t>i </w:t>
            </w:r>
            <w:r w:rsidR="00DA096C" w:rsidRPr="009110F7">
              <w:rPr>
                <w:spacing w:val="-4"/>
              </w:rPr>
              <w:t xml:space="preserve">inženýrské stavitelství, </w:t>
            </w:r>
            <w:r w:rsidR="008B7EF9">
              <w:rPr>
                <w:spacing w:val="-4"/>
              </w:rPr>
              <w:t xml:space="preserve">na </w:t>
            </w:r>
            <w:r w:rsidR="00DA096C" w:rsidRPr="009110F7">
              <w:rPr>
                <w:spacing w:val="-4"/>
              </w:rPr>
              <w:t>jehož růst (+6,7</w:t>
            </w:r>
            <w:r w:rsidR="00167CB9" w:rsidRPr="009110F7">
              <w:rPr>
                <w:spacing w:val="-4"/>
              </w:rPr>
              <w:t> %</w:t>
            </w:r>
            <w:r w:rsidR="008B7EF9">
              <w:rPr>
                <w:spacing w:val="-4"/>
              </w:rPr>
              <w:t>) je třeba nahlížet</w:t>
            </w:r>
            <w:r w:rsidR="00DA096C" w:rsidRPr="009110F7">
              <w:rPr>
                <w:spacing w:val="-4"/>
              </w:rPr>
              <w:t xml:space="preserve"> v kontextu </w:t>
            </w:r>
            <w:r w:rsidR="00406C2E" w:rsidRPr="009110F7">
              <w:rPr>
                <w:spacing w:val="-4"/>
              </w:rPr>
              <w:t>velmi níz</w:t>
            </w:r>
            <w:r w:rsidR="00DA096C" w:rsidRPr="009110F7">
              <w:rPr>
                <w:spacing w:val="-4"/>
              </w:rPr>
              <w:t>ké srovnávací základny. Proti 1</w:t>
            </w:r>
            <w:r w:rsidR="00716F48" w:rsidRPr="009110F7">
              <w:rPr>
                <w:spacing w:val="-4"/>
              </w:rPr>
              <w:t>. čtvrt</w:t>
            </w:r>
            <w:r w:rsidR="00DA096C" w:rsidRPr="009110F7">
              <w:rPr>
                <w:spacing w:val="-4"/>
              </w:rPr>
              <w:t xml:space="preserve">letí konjunkturního </w:t>
            </w:r>
            <w:r w:rsidR="00DA096C" w:rsidRPr="008B7EF9">
              <w:rPr>
                <w:spacing w:val="-5"/>
              </w:rPr>
              <w:t xml:space="preserve">roku 2008 </w:t>
            </w:r>
            <w:r w:rsidR="002837AE" w:rsidRPr="008B7EF9">
              <w:rPr>
                <w:spacing w:val="-5"/>
              </w:rPr>
              <w:t xml:space="preserve">byl letošní výkon inženýrského stavitelství slabší </w:t>
            </w:r>
            <w:r w:rsidR="00716F48" w:rsidRPr="008B7EF9">
              <w:rPr>
                <w:spacing w:val="-5"/>
              </w:rPr>
              <w:t>o </w:t>
            </w:r>
            <w:r w:rsidR="002837AE" w:rsidRPr="008B7EF9">
              <w:rPr>
                <w:spacing w:val="-5"/>
              </w:rPr>
              <w:t>28</w:t>
            </w:r>
            <w:r w:rsidR="00167CB9" w:rsidRPr="008B7EF9">
              <w:rPr>
                <w:spacing w:val="-5"/>
              </w:rPr>
              <w:t> %</w:t>
            </w:r>
            <w:r w:rsidR="002837AE" w:rsidRPr="008B7EF9">
              <w:rPr>
                <w:spacing w:val="-5"/>
              </w:rPr>
              <w:t xml:space="preserve">, </w:t>
            </w:r>
            <w:r w:rsidR="00716F48" w:rsidRPr="008B7EF9">
              <w:rPr>
                <w:spacing w:val="-5"/>
              </w:rPr>
              <w:t>u </w:t>
            </w:r>
            <w:r w:rsidR="002837AE" w:rsidRPr="008B7EF9">
              <w:rPr>
                <w:spacing w:val="-5"/>
              </w:rPr>
              <w:t xml:space="preserve">pozemního </w:t>
            </w:r>
            <w:r w:rsidR="00716F48" w:rsidRPr="008B7EF9">
              <w:rPr>
                <w:spacing w:val="-5"/>
              </w:rPr>
              <w:t>o </w:t>
            </w:r>
            <w:r w:rsidR="002837AE" w:rsidRPr="008B7EF9">
              <w:rPr>
                <w:spacing w:val="-5"/>
              </w:rPr>
              <w:t>19</w:t>
            </w:r>
            <w:r w:rsidR="00167CB9" w:rsidRPr="008B7EF9">
              <w:rPr>
                <w:spacing w:val="-5"/>
              </w:rPr>
              <w:t> %</w:t>
            </w:r>
            <w:r w:rsidR="002837AE" w:rsidRPr="008B7EF9">
              <w:rPr>
                <w:spacing w:val="-5"/>
              </w:rPr>
              <w:t>.</w:t>
            </w:r>
            <w:r w:rsidR="00DA096C" w:rsidRPr="009110F7">
              <w:rPr>
                <w:spacing w:val="-4"/>
              </w:rPr>
              <w:t xml:space="preserve"> </w:t>
            </w:r>
          </w:p>
        </w:tc>
      </w:tr>
      <w:tr w:rsidR="008C7569" w:rsidRPr="009110F7" w:rsidTr="009B3764">
        <w:trPr>
          <w:trHeight w:val="145"/>
        </w:trPr>
        <w:tc>
          <w:tcPr>
            <w:tcW w:w="1879" w:type="dxa"/>
            <w:gridSpan w:val="2"/>
            <w:shd w:val="clear" w:color="auto" w:fill="auto"/>
            <w:tcMar>
              <w:left w:w="0" w:type="dxa"/>
            </w:tcMar>
          </w:tcPr>
          <w:p w:rsidR="008C7569" w:rsidRPr="009110F7" w:rsidRDefault="008C7569" w:rsidP="008417B5">
            <w:pPr>
              <w:pStyle w:val="Marginlie"/>
            </w:pPr>
          </w:p>
        </w:tc>
        <w:tc>
          <w:tcPr>
            <w:tcW w:w="247" w:type="dxa"/>
            <w:gridSpan w:val="2"/>
            <w:shd w:val="clear" w:color="auto" w:fill="auto"/>
            <w:tcMar>
              <w:left w:w="0" w:type="dxa"/>
            </w:tcMar>
          </w:tcPr>
          <w:p w:rsidR="008C7569" w:rsidRPr="009110F7" w:rsidRDefault="008C7569" w:rsidP="008417B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18" w:type="dxa"/>
            <w:shd w:val="clear" w:color="auto" w:fill="auto"/>
            <w:tcMar>
              <w:left w:w="0" w:type="dxa"/>
            </w:tcMar>
          </w:tcPr>
          <w:p w:rsidR="00167CB9" w:rsidRPr="009110F7" w:rsidRDefault="00B8561A" w:rsidP="008417B5">
            <w:pPr>
              <w:pStyle w:val="Textpoznpodarou"/>
              <w:rPr>
                <w:bCs/>
              </w:rPr>
            </w:pPr>
            <w:r>
              <w:rPr>
                <w:b/>
              </w:rPr>
              <w:t>Graf </w:t>
            </w:r>
            <w:proofErr w:type="gramStart"/>
            <w:r w:rsidR="00167CB9" w:rsidRPr="009110F7">
              <w:rPr>
                <w:b/>
              </w:rPr>
              <w:t>č. </w:t>
            </w:r>
            <w:r w:rsidR="00716F48" w:rsidRPr="009110F7">
              <w:rPr>
                <w:b/>
              </w:rPr>
              <w:t>7</w:t>
            </w:r>
            <w:r w:rsidR="00053713">
              <w:rPr>
                <w:b/>
              </w:rPr>
              <w:t xml:space="preserve">  </w:t>
            </w:r>
            <w:r w:rsidR="008C7569" w:rsidRPr="009110F7">
              <w:rPr>
                <w:b/>
              </w:rPr>
              <w:t>Stavební</w:t>
            </w:r>
            <w:proofErr w:type="gramEnd"/>
            <w:r w:rsidR="008C7569" w:rsidRPr="009110F7">
              <w:rPr>
                <w:b/>
              </w:rPr>
              <w:t xml:space="preserve"> produkce*, hodnota nových zakázek </w:t>
            </w:r>
            <w:r w:rsidR="008C7569" w:rsidRPr="009110F7">
              <w:rPr>
                <w:bCs/>
              </w:rPr>
              <w:t>(</w:t>
            </w:r>
            <w:r w:rsidR="008C7569" w:rsidRPr="009110F7">
              <w:rPr>
                <w:spacing w:val="-2"/>
              </w:rPr>
              <w:t>meziročně</w:t>
            </w:r>
            <w:r w:rsidR="008C7569" w:rsidRPr="009110F7">
              <w:rPr>
                <w:bCs/>
                <w:spacing w:val="-2"/>
              </w:rPr>
              <w:t xml:space="preserve"> v</w:t>
            </w:r>
            <w:r w:rsidR="00167CB9" w:rsidRPr="009110F7">
              <w:rPr>
                <w:bCs/>
                <w:spacing w:val="-2"/>
              </w:rPr>
              <w:t> %</w:t>
            </w:r>
            <w:r w:rsidR="008C7569" w:rsidRPr="009110F7">
              <w:rPr>
                <w:bCs/>
                <w:spacing w:val="-2"/>
              </w:rPr>
              <w:t>)</w:t>
            </w:r>
          </w:p>
          <w:p w:rsidR="008C7569" w:rsidRPr="009110F7" w:rsidRDefault="00716F48" w:rsidP="008417B5">
            <w:pPr>
              <w:pStyle w:val="Textpoznpodarou"/>
            </w:pPr>
            <w:r w:rsidRPr="009110F7">
              <w:rPr>
                <w:b/>
              </w:rPr>
              <w:t>a </w:t>
            </w:r>
            <w:r w:rsidR="008C7569" w:rsidRPr="009110F7">
              <w:rPr>
                <w:b/>
              </w:rPr>
              <w:t>saldo indikátoru důvěry ve stavebnictví</w:t>
            </w:r>
          </w:p>
        </w:tc>
      </w:tr>
      <w:tr w:rsidR="008C7569" w:rsidRPr="009110F7" w:rsidTr="009B3764">
        <w:trPr>
          <w:trHeight w:val="145"/>
        </w:trPr>
        <w:tc>
          <w:tcPr>
            <w:tcW w:w="1879" w:type="dxa"/>
            <w:gridSpan w:val="2"/>
            <w:shd w:val="clear" w:color="auto" w:fill="auto"/>
            <w:tcMar>
              <w:left w:w="0" w:type="dxa"/>
            </w:tcMar>
          </w:tcPr>
          <w:p w:rsidR="008C7569" w:rsidRPr="009110F7" w:rsidRDefault="008C7569" w:rsidP="008417B5">
            <w:pPr>
              <w:pStyle w:val="Marginlie"/>
            </w:pPr>
          </w:p>
        </w:tc>
        <w:tc>
          <w:tcPr>
            <w:tcW w:w="247" w:type="dxa"/>
            <w:gridSpan w:val="2"/>
            <w:shd w:val="clear" w:color="auto" w:fill="auto"/>
            <w:tcMar>
              <w:left w:w="0" w:type="dxa"/>
            </w:tcMar>
          </w:tcPr>
          <w:p w:rsidR="008C7569" w:rsidRPr="009110F7" w:rsidRDefault="008C7569" w:rsidP="008417B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18" w:type="dxa"/>
            <w:shd w:val="clear" w:color="auto" w:fill="auto"/>
            <w:tcMar>
              <w:left w:w="0" w:type="dxa"/>
            </w:tcMar>
          </w:tcPr>
          <w:p w:rsidR="008C7569" w:rsidRPr="009110F7" w:rsidRDefault="008C7569" w:rsidP="008417B5">
            <w:pPr>
              <w:spacing w:after="0" w:line="240" w:lineRule="auto"/>
              <w:rPr>
                <w:spacing w:val="-2"/>
                <w:szCs w:val="20"/>
              </w:rPr>
            </w:pPr>
            <w:r w:rsidRPr="009110F7">
              <w:rPr>
                <w:noProof/>
                <w:spacing w:val="-2"/>
                <w:szCs w:val="20"/>
              </w:rPr>
              <w:drawing>
                <wp:inline distT="0" distB="0" distL="0" distR="0">
                  <wp:extent cx="4749196" cy="3548230"/>
                  <wp:effectExtent l="0" t="0" r="0" b="0"/>
                  <wp:docPr id="22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8C7569" w:rsidRPr="009110F7" w:rsidTr="009B3764">
        <w:trPr>
          <w:trHeight w:val="145"/>
        </w:trPr>
        <w:tc>
          <w:tcPr>
            <w:tcW w:w="1879" w:type="dxa"/>
            <w:gridSpan w:val="2"/>
            <w:shd w:val="clear" w:color="auto" w:fill="auto"/>
            <w:tcMar>
              <w:left w:w="0" w:type="dxa"/>
            </w:tcMar>
          </w:tcPr>
          <w:p w:rsidR="008C7569" w:rsidRPr="009110F7" w:rsidRDefault="008C7569" w:rsidP="008417B5">
            <w:pPr>
              <w:pStyle w:val="Marginlie"/>
            </w:pPr>
          </w:p>
        </w:tc>
        <w:tc>
          <w:tcPr>
            <w:tcW w:w="247" w:type="dxa"/>
            <w:gridSpan w:val="2"/>
            <w:shd w:val="clear" w:color="auto" w:fill="auto"/>
            <w:tcMar>
              <w:left w:w="0" w:type="dxa"/>
            </w:tcMar>
          </w:tcPr>
          <w:p w:rsidR="008C7569" w:rsidRPr="009110F7" w:rsidRDefault="008C7569" w:rsidP="008417B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18" w:type="dxa"/>
            <w:shd w:val="clear" w:color="auto" w:fill="auto"/>
            <w:tcMar>
              <w:left w:w="0" w:type="dxa"/>
            </w:tcMar>
          </w:tcPr>
          <w:p w:rsidR="008C7569" w:rsidRPr="009110F7" w:rsidRDefault="00D72076" w:rsidP="005D5AA9">
            <w:pPr>
              <w:spacing w:after="200"/>
              <w:jc w:val="left"/>
              <w:rPr>
                <w:spacing w:val="-2"/>
                <w:szCs w:val="20"/>
              </w:rPr>
            </w:pPr>
            <w:r>
              <w:rPr>
                <w:rFonts w:cs="Arial"/>
                <w:sz w:val="14"/>
                <w:szCs w:val="14"/>
              </w:rPr>
              <w:t>*O</w:t>
            </w:r>
            <w:r w:rsidRPr="00540CB3">
              <w:rPr>
                <w:rFonts w:cs="Arial"/>
                <w:sz w:val="14"/>
                <w:szCs w:val="14"/>
              </w:rPr>
              <w:t xml:space="preserve">čištěno od vlivu počtu pracovních </w:t>
            </w:r>
            <w:r>
              <w:rPr>
                <w:rFonts w:cs="Arial"/>
                <w:sz w:val="14"/>
                <w:szCs w:val="14"/>
              </w:rPr>
              <w:t>dnů.</w:t>
            </w:r>
            <w:r w:rsidRPr="00540CB3">
              <w:rPr>
                <w:rFonts w:cs="Arial"/>
                <w:sz w:val="14"/>
                <w:szCs w:val="14"/>
              </w:rPr>
              <w:t xml:space="preserve">                                                           </w:t>
            </w:r>
            <w:r>
              <w:rPr>
                <w:rFonts w:cs="Arial"/>
                <w:sz w:val="14"/>
                <w:szCs w:val="14"/>
              </w:rPr>
              <w:t xml:space="preserve">                                         </w:t>
            </w:r>
            <w:r w:rsidRPr="00540CB3">
              <w:rPr>
                <w:rFonts w:cs="Arial"/>
                <w:sz w:val="14"/>
                <w:szCs w:val="14"/>
              </w:rPr>
              <w:t xml:space="preserve">      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="008C7569" w:rsidRPr="009110F7">
              <w:rPr>
                <w:rFonts w:cs="Arial"/>
                <w:sz w:val="14"/>
                <w:szCs w:val="14"/>
              </w:rPr>
              <w:t>Zdroj: ČSÚ</w:t>
            </w:r>
          </w:p>
        </w:tc>
      </w:tr>
      <w:tr w:rsidR="008C7569" w:rsidRPr="009110F7" w:rsidTr="009B3764">
        <w:trPr>
          <w:trHeight w:val="145"/>
        </w:trPr>
        <w:tc>
          <w:tcPr>
            <w:tcW w:w="1879" w:type="dxa"/>
            <w:gridSpan w:val="2"/>
            <w:shd w:val="clear" w:color="auto" w:fill="auto"/>
            <w:tcMar>
              <w:left w:w="0" w:type="dxa"/>
            </w:tcMar>
          </w:tcPr>
          <w:p w:rsidR="007D4458" w:rsidRPr="009110F7" w:rsidRDefault="007D4458" w:rsidP="007D4458">
            <w:pPr>
              <w:pStyle w:val="Marginlie"/>
            </w:pPr>
            <w:r w:rsidRPr="009110F7">
              <w:t>Zahajovaných i dokončených bytů meziročně v Česku přibylo. Nízká intenzita zahajované bytové výstavby v Praze přetrvávala.</w:t>
            </w:r>
          </w:p>
          <w:p w:rsidR="008C7569" w:rsidRPr="009110F7" w:rsidRDefault="008C7569" w:rsidP="008417B5">
            <w:pPr>
              <w:pStyle w:val="Marginlie"/>
            </w:pPr>
          </w:p>
        </w:tc>
        <w:tc>
          <w:tcPr>
            <w:tcW w:w="247" w:type="dxa"/>
            <w:gridSpan w:val="2"/>
            <w:shd w:val="clear" w:color="auto" w:fill="auto"/>
            <w:tcMar>
              <w:left w:w="0" w:type="dxa"/>
            </w:tcMar>
          </w:tcPr>
          <w:p w:rsidR="008C7569" w:rsidRPr="009110F7" w:rsidRDefault="008C7569" w:rsidP="008417B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18" w:type="dxa"/>
            <w:shd w:val="clear" w:color="auto" w:fill="auto"/>
            <w:tcMar>
              <w:left w:w="0" w:type="dxa"/>
            </w:tcMar>
          </w:tcPr>
          <w:p w:rsidR="008C7569" w:rsidRPr="009110F7" w:rsidRDefault="009637AE" w:rsidP="008417B5">
            <w:pPr>
              <w:spacing w:after="200"/>
              <w:rPr>
                <w:rFonts w:cs="Arial"/>
                <w:szCs w:val="20"/>
              </w:rPr>
            </w:pPr>
            <w:r w:rsidRPr="009110F7">
              <w:rPr>
                <w:rFonts w:cs="Arial"/>
                <w:szCs w:val="20"/>
              </w:rPr>
              <w:t xml:space="preserve">Pozemnímu stavitelství pomáhá </w:t>
            </w:r>
            <w:r w:rsidR="00716F48" w:rsidRPr="009110F7">
              <w:rPr>
                <w:rFonts w:cs="Arial"/>
                <w:szCs w:val="20"/>
              </w:rPr>
              <w:t>i </w:t>
            </w:r>
            <w:r w:rsidRPr="009110F7">
              <w:rPr>
                <w:rFonts w:cs="Arial"/>
                <w:szCs w:val="20"/>
              </w:rPr>
              <w:t xml:space="preserve">postupný rozvoj bytové výstavby, byť jde z pohledu celého odvětví </w:t>
            </w:r>
            <w:r w:rsidR="00716F48" w:rsidRPr="009110F7">
              <w:rPr>
                <w:rFonts w:cs="Arial"/>
                <w:szCs w:val="20"/>
              </w:rPr>
              <w:t>o </w:t>
            </w:r>
            <w:r w:rsidRPr="009110F7">
              <w:rPr>
                <w:rFonts w:cs="Arial"/>
                <w:szCs w:val="20"/>
              </w:rPr>
              <w:t xml:space="preserve">relativně okrajový segment. </w:t>
            </w:r>
            <w:r w:rsidR="00E5076C" w:rsidRPr="009110F7">
              <w:rPr>
                <w:rFonts w:cs="Arial"/>
                <w:szCs w:val="20"/>
              </w:rPr>
              <w:t xml:space="preserve">Zahájených bytů bylo meziročně o šestinu více, jejich četnost </w:t>
            </w:r>
            <w:r w:rsidR="00BF1D12" w:rsidRPr="009110F7">
              <w:rPr>
                <w:rFonts w:cs="Arial"/>
                <w:szCs w:val="20"/>
              </w:rPr>
              <w:t>(7,</w:t>
            </w:r>
            <w:r w:rsidR="00167CB9" w:rsidRPr="009110F7">
              <w:rPr>
                <w:rFonts w:cs="Arial"/>
                <w:szCs w:val="20"/>
              </w:rPr>
              <w:t>6 </w:t>
            </w:r>
            <w:r w:rsidR="00BF1D12" w:rsidRPr="009110F7">
              <w:rPr>
                <w:rFonts w:cs="Arial"/>
                <w:szCs w:val="20"/>
              </w:rPr>
              <w:t xml:space="preserve">tis.) </w:t>
            </w:r>
            <w:r w:rsidR="00E5076C" w:rsidRPr="009110F7">
              <w:rPr>
                <w:rFonts w:cs="Arial"/>
                <w:szCs w:val="20"/>
              </w:rPr>
              <w:t>se v rámci 1</w:t>
            </w:r>
            <w:r w:rsidR="00716F48" w:rsidRPr="009110F7">
              <w:rPr>
                <w:rFonts w:cs="Arial"/>
                <w:szCs w:val="20"/>
              </w:rPr>
              <w:t>. čtvrt</w:t>
            </w:r>
            <w:r w:rsidR="00E5076C" w:rsidRPr="009110F7">
              <w:rPr>
                <w:rFonts w:cs="Arial"/>
                <w:szCs w:val="20"/>
              </w:rPr>
              <w:t xml:space="preserve">letí navyšovala již potřetí v řadě. Více bytů </w:t>
            </w:r>
            <w:r w:rsidR="008117CC">
              <w:rPr>
                <w:rFonts w:cs="Arial"/>
                <w:szCs w:val="20"/>
              </w:rPr>
              <w:t>vzniklo</w:t>
            </w:r>
            <w:r w:rsidR="008117CC" w:rsidRPr="009110F7">
              <w:rPr>
                <w:rFonts w:cs="Arial"/>
                <w:szCs w:val="20"/>
              </w:rPr>
              <w:t xml:space="preserve"> </w:t>
            </w:r>
            <w:r w:rsidR="00E5076C" w:rsidRPr="009110F7">
              <w:rPr>
                <w:rFonts w:cs="Arial"/>
                <w:szCs w:val="20"/>
              </w:rPr>
              <w:t xml:space="preserve">letos netradičně hlavně zásluhou růstu v kategorii stavebně upravené nebytové prostory (ve Středočeském </w:t>
            </w:r>
            <w:r w:rsidR="00716F48" w:rsidRPr="009110F7">
              <w:rPr>
                <w:rFonts w:cs="Arial"/>
                <w:szCs w:val="20"/>
              </w:rPr>
              <w:t>a </w:t>
            </w:r>
            <w:r w:rsidR="00E5076C" w:rsidRPr="009110F7">
              <w:rPr>
                <w:rFonts w:cs="Arial"/>
                <w:szCs w:val="20"/>
              </w:rPr>
              <w:t xml:space="preserve">Ústeckém kraji), přibylo však </w:t>
            </w:r>
            <w:r w:rsidR="00716F48" w:rsidRPr="009110F7">
              <w:rPr>
                <w:rFonts w:cs="Arial"/>
                <w:szCs w:val="20"/>
              </w:rPr>
              <w:t>i </w:t>
            </w:r>
            <w:r w:rsidR="00E5076C" w:rsidRPr="009110F7">
              <w:rPr>
                <w:rFonts w:cs="Arial"/>
                <w:szCs w:val="20"/>
              </w:rPr>
              <w:t xml:space="preserve">bytů v rodinných </w:t>
            </w:r>
            <w:r w:rsidR="00BF1D12" w:rsidRPr="009110F7">
              <w:rPr>
                <w:rFonts w:cs="Arial"/>
                <w:szCs w:val="20"/>
              </w:rPr>
              <w:t>č</w:t>
            </w:r>
            <w:r w:rsidR="00E5076C" w:rsidRPr="009110F7">
              <w:rPr>
                <w:rFonts w:cs="Arial"/>
                <w:szCs w:val="20"/>
              </w:rPr>
              <w:t>i bytových domech.</w:t>
            </w:r>
            <w:r w:rsidR="00D97D00" w:rsidRPr="009110F7">
              <w:rPr>
                <w:rFonts w:cs="Arial"/>
                <w:szCs w:val="20"/>
              </w:rPr>
              <w:t xml:space="preserve"> Přetrvával problém slabé bytové výstavby v Praze, jejíž objem výrazně pokulhával za růstem pra</w:t>
            </w:r>
            <w:r w:rsidR="00882911" w:rsidRPr="009110F7">
              <w:rPr>
                <w:rFonts w:cs="Arial"/>
                <w:szCs w:val="20"/>
              </w:rPr>
              <w:t>covních míst</w:t>
            </w:r>
            <w:r w:rsidR="00D97D00" w:rsidRPr="009110F7">
              <w:rPr>
                <w:rFonts w:cs="Arial"/>
                <w:szCs w:val="20"/>
              </w:rPr>
              <w:t>, resp. počtem nově příchozích obyvatel</w:t>
            </w:r>
            <w:r w:rsidR="00D97D00" w:rsidRPr="009110F7">
              <w:rPr>
                <w:rStyle w:val="Znakapoznpodarou"/>
                <w:szCs w:val="20"/>
              </w:rPr>
              <w:footnoteReference w:id="12"/>
            </w:r>
            <w:r w:rsidR="00BF1D12" w:rsidRPr="009110F7">
              <w:rPr>
                <w:rFonts w:cs="Arial"/>
                <w:szCs w:val="20"/>
              </w:rPr>
              <w:t xml:space="preserve"> </w:t>
            </w:r>
            <w:r w:rsidR="00716F48" w:rsidRPr="009110F7">
              <w:rPr>
                <w:rFonts w:cs="Arial"/>
                <w:szCs w:val="20"/>
              </w:rPr>
              <w:t>a </w:t>
            </w:r>
            <w:r w:rsidR="00BF1D12" w:rsidRPr="009110F7">
              <w:rPr>
                <w:rFonts w:cs="Arial"/>
                <w:szCs w:val="20"/>
              </w:rPr>
              <w:t xml:space="preserve">přispíval k rostoucímu </w:t>
            </w:r>
            <w:r w:rsidR="006F440B" w:rsidRPr="009110F7">
              <w:rPr>
                <w:rFonts w:cs="Arial"/>
                <w:szCs w:val="20"/>
              </w:rPr>
              <w:t>napětí na rezi</w:t>
            </w:r>
            <w:r w:rsidR="00BF1D12" w:rsidRPr="009110F7">
              <w:rPr>
                <w:rFonts w:cs="Arial"/>
                <w:szCs w:val="20"/>
              </w:rPr>
              <w:t>de</w:t>
            </w:r>
            <w:r w:rsidR="008117CC">
              <w:rPr>
                <w:rFonts w:cs="Arial"/>
                <w:szCs w:val="20"/>
              </w:rPr>
              <w:t>n</w:t>
            </w:r>
            <w:r w:rsidR="00BF1D12" w:rsidRPr="009110F7">
              <w:rPr>
                <w:rFonts w:cs="Arial"/>
                <w:szCs w:val="20"/>
              </w:rPr>
              <w:t xml:space="preserve">čním trhu. </w:t>
            </w:r>
          </w:p>
        </w:tc>
      </w:tr>
      <w:tr w:rsidR="008C7569" w:rsidRPr="009110F7" w:rsidTr="009B3764">
        <w:trPr>
          <w:trHeight w:val="145"/>
        </w:trPr>
        <w:tc>
          <w:tcPr>
            <w:tcW w:w="1879" w:type="dxa"/>
            <w:gridSpan w:val="2"/>
            <w:shd w:val="clear" w:color="auto" w:fill="auto"/>
            <w:tcMar>
              <w:left w:w="0" w:type="dxa"/>
            </w:tcMar>
          </w:tcPr>
          <w:p w:rsidR="008C7569" w:rsidRPr="009110F7" w:rsidRDefault="00535018" w:rsidP="008417B5">
            <w:pPr>
              <w:pStyle w:val="Marginlie"/>
            </w:pPr>
            <w:r w:rsidRPr="009110F7">
              <w:t xml:space="preserve">Hodnota nových stavebních zakázek vzrostla meziročně o čtvrtinu </w:t>
            </w:r>
            <w:r w:rsidR="00716F48" w:rsidRPr="009110F7">
              <w:t>a </w:t>
            </w:r>
            <w:r w:rsidRPr="009110F7">
              <w:t>sílila již druhým rokem v řadě.</w:t>
            </w:r>
          </w:p>
          <w:p w:rsidR="00535018" w:rsidRPr="009110F7" w:rsidRDefault="00535018" w:rsidP="008417B5">
            <w:pPr>
              <w:pStyle w:val="Marginlie"/>
            </w:pPr>
          </w:p>
          <w:p w:rsidR="00535018" w:rsidRPr="009110F7" w:rsidRDefault="00535018" w:rsidP="008417B5">
            <w:pPr>
              <w:pStyle w:val="Marginlie"/>
            </w:pPr>
          </w:p>
          <w:p w:rsidR="00535018" w:rsidRPr="009110F7" w:rsidRDefault="00535018" w:rsidP="008417B5">
            <w:pPr>
              <w:pStyle w:val="Marginlie"/>
            </w:pPr>
            <w:r w:rsidRPr="009110F7">
              <w:lastRenderedPageBreak/>
              <w:t>Nálada podnikatelů ve stavebnictví se výrazně zlepšila. Saldo důvěry však zůstává stále v mírně negativním pásmu.</w:t>
            </w:r>
          </w:p>
          <w:p w:rsidR="00535018" w:rsidRPr="009110F7" w:rsidRDefault="00535018" w:rsidP="008417B5">
            <w:pPr>
              <w:pStyle w:val="Marginlie"/>
            </w:pPr>
          </w:p>
          <w:p w:rsidR="00535018" w:rsidRPr="009110F7" w:rsidRDefault="00535018" w:rsidP="008417B5">
            <w:pPr>
              <w:pStyle w:val="Marginlie"/>
            </w:pPr>
          </w:p>
          <w:p w:rsidR="00535018" w:rsidRPr="009110F7" w:rsidRDefault="00535018" w:rsidP="008417B5">
            <w:pPr>
              <w:pStyle w:val="Marginlie"/>
            </w:pPr>
          </w:p>
          <w:p w:rsidR="00535018" w:rsidRPr="009110F7" w:rsidRDefault="00535018" w:rsidP="008417B5">
            <w:pPr>
              <w:pStyle w:val="Marginlie"/>
            </w:pPr>
          </w:p>
          <w:p w:rsidR="00535018" w:rsidRPr="009110F7" w:rsidRDefault="00535018" w:rsidP="008417B5">
            <w:pPr>
              <w:pStyle w:val="Marginlie"/>
            </w:pPr>
            <w:r w:rsidRPr="009110F7">
              <w:t>Role nedostatečné poptávky jako bariéry růstu ve stavebnictví za poslední rok částečně ustoupila do pozadí.</w:t>
            </w:r>
          </w:p>
        </w:tc>
        <w:tc>
          <w:tcPr>
            <w:tcW w:w="247" w:type="dxa"/>
            <w:gridSpan w:val="2"/>
            <w:shd w:val="clear" w:color="auto" w:fill="auto"/>
            <w:tcMar>
              <w:left w:w="0" w:type="dxa"/>
            </w:tcMar>
          </w:tcPr>
          <w:p w:rsidR="008C7569" w:rsidRPr="009110F7" w:rsidRDefault="008C7569" w:rsidP="008417B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18" w:type="dxa"/>
            <w:shd w:val="clear" w:color="auto" w:fill="auto"/>
            <w:tcMar>
              <w:left w:w="0" w:type="dxa"/>
            </w:tcMar>
          </w:tcPr>
          <w:p w:rsidR="005D4B73" w:rsidRPr="009110F7" w:rsidRDefault="001459BC" w:rsidP="003D242B">
            <w:pPr>
              <w:spacing w:after="200"/>
              <w:rPr>
                <w:rFonts w:cs="Arial"/>
                <w:color w:val="0D0D0D" w:themeColor="text1" w:themeTint="F2"/>
                <w:spacing w:val="-4"/>
              </w:rPr>
            </w:pPr>
            <w:r w:rsidRPr="009110F7">
              <w:rPr>
                <w:rFonts w:cs="Arial"/>
                <w:szCs w:val="20"/>
              </w:rPr>
              <w:t>Hodnota nových zakázek v tuzemsku</w:t>
            </w:r>
            <w:r w:rsidRPr="009110F7">
              <w:rPr>
                <w:rStyle w:val="Znakapoznpodarou"/>
                <w:szCs w:val="20"/>
              </w:rPr>
              <w:footnoteReference w:id="13"/>
            </w:r>
            <w:r w:rsidRPr="009110F7">
              <w:rPr>
                <w:rFonts w:cs="Arial"/>
                <w:szCs w:val="20"/>
              </w:rPr>
              <w:t xml:space="preserve"> sílila již druhým rokem v řadě. </w:t>
            </w:r>
            <w:r w:rsidR="002C27A6" w:rsidRPr="009110F7">
              <w:rPr>
                <w:rFonts w:cs="Arial"/>
                <w:szCs w:val="20"/>
              </w:rPr>
              <w:t>V 1</w:t>
            </w:r>
            <w:r w:rsidR="00716F48" w:rsidRPr="009110F7">
              <w:rPr>
                <w:rFonts w:cs="Arial"/>
                <w:szCs w:val="20"/>
              </w:rPr>
              <w:t>. čtvrt</w:t>
            </w:r>
            <w:r w:rsidR="002C27A6" w:rsidRPr="009110F7">
              <w:rPr>
                <w:rFonts w:cs="Arial"/>
                <w:szCs w:val="20"/>
              </w:rPr>
              <w:t xml:space="preserve">letí vzrostla meziročně </w:t>
            </w:r>
            <w:r w:rsidR="00716F48" w:rsidRPr="009110F7">
              <w:rPr>
                <w:rFonts w:cs="Arial"/>
                <w:szCs w:val="20"/>
              </w:rPr>
              <w:t>o </w:t>
            </w:r>
            <w:r w:rsidR="002C27A6" w:rsidRPr="009110F7">
              <w:rPr>
                <w:rFonts w:cs="Arial"/>
                <w:szCs w:val="20"/>
              </w:rPr>
              <w:t>více než čtvrtinu, k navýšení přisp</w:t>
            </w:r>
            <w:r w:rsidR="006F440B" w:rsidRPr="009110F7">
              <w:rPr>
                <w:rFonts w:cs="Arial"/>
                <w:szCs w:val="20"/>
              </w:rPr>
              <w:t>ělo především inženýrské</w:t>
            </w:r>
            <w:r w:rsidR="002C27A6" w:rsidRPr="009110F7">
              <w:rPr>
                <w:rFonts w:cs="Arial"/>
                <w:szCs w:val="20"/>
              </w:rPr>
              <w:t xml:space="preserve"> stavitelství. </w:t>
            </w:r>
            <w:r w:rsidR="006F440B" w:rsidRPr="009110F7">
              <w:rPr>
                <w:rFonts w:cs="Arial"/>
                <w:szCs w:val="20"/>
              </w:rPr>
              <w:t>Je příz</w:t>
            </w:r>
            <w:r w:rsidR="004E1A40" w:rsidRPr="009110F7">
              <w:rPr>
                <w:rFonts w:cs="Arial"/>
                <w:szCs w:val="20"/>
              </w:rPr>
              <w:t>n</w:t>
            </w:r>
            <w:r w:rsidR="006F440B" w:rsidRPr="009110F7">
              <w:rPr>
                <w:rFonts w:cs="Arial"/>
                <w:szCs w:val="20"/>
              </w:rPr>
              <w:t>i</w:t>
            </w:r>
            <w:r w:rsidR="004E1A40" w:rsidRPr="009110F7">
              <w:rPr>
                <w:rFonts w:cs="Arial"/>
                <w:szCs w:val="20"/>
              </w:rPr>
              <w:t xml:space="preserve">vé, že postupně roste </w:t>
            </w:r>
            <w:r w:rsidR="008B7EF9">
              <w:rPr>
                <w:rFonts w:cs="Arial"/>
                <w:szCs w:val="20"/>
              </w:rPr>
              <w:t xml:space="preserve">i </w:t>
            </w:r>
            <w:r w:rsidR="00A2628E" w:rsidRPr="009110F7">
              <w:rPr>
                <w:rFonts w:cs="Arial"/>
                <w:szCs w:val="20"/>
              </w:rPr>
              <w:t>průměrná</w:t>
            </w:r>
            <w:r w:rsidR="004E1A40" w:rsidRPr="009110F7">
              <w:rPr>
                <w:rFonts w:cs="Arial"/>
                <w:szCs w:val="20"/>
              </w:rPr>
              <w:t xml:space="preserve"> velikost nově uzavřené zakázky. Zatímco ta v roce 2016 </w:t>
            </w:r>
            <w:r w:rsidR="00716F48" w:rsidRPr="009110F7">
              <w:rPr>
                <w:rFonts w:cs="Arial"/>
                <w:szCs w:val="20"/>
              </w:rPr>
              <w:t>a </w:t>
            </w:r>
            <w:r w:rsidR="004E1A40" w:rsidRPr="009110F7">
              <w:rPr>
                <w:rFonts w:cs="Arial"/>
                <w:szCs w:val="20"/>
              </w:rPr>
              <w:t>v prv</w:t>
            </w:r>
            <w:r w:rsidR="00E80CA3" w:rsidRPr="009110F7">
              <w:rPr>
                <w:rFonts w:cs="Arial"/>
                <w:szCs w:val="20"/>
              </w:rPr>
              <w:t>ní polovině roku 2017 oscilovala</w:t>
            </w:r>
            <w:r w:rsidR="004E1A40" w:rsidRPr="009110F7">
              <w:rPr>
                <w:rFonts w:cs="Arial"/>
                <w:szCs w:val="20"/>
              </w:rPr>
              <w:t xml:space="preserve"> kolem </w:t>
            </w:r>
            <w:r w:rsidR="00167CB9" w:rsidRPr="009110F7">
              <w:rPr>
                <w:rFonts w:cs="Arial"/>
                <w:szCs w:val="20"/>
              </w:rPr>
              <w:t>3 </w:t>
            </w:r>
            <w:r w:rsidR="004E1A40" w:rsidRPr="009110F7">
              <w:rPr>
                <w:rFonts w:cs="Arial"/>
                <w:szCs w:val="20"/>
              </w:rPr>
              <w:t>mil. korun, na konc</w:t>
            </w:r>
            <w:r w:rsidR="006F440B" w:rsidRPr="009110F7">
              <w:rPr>
                <w:rFonts w:cs="Arial"/>
                <w:szCs w:val="20"/>
              </w:rPr>
              <w:t>i roku 2017 dos</w:t>
            </w:r>
            <w:r w:rsidR="004E1A40" w:rsidRPr="009110F7">
              <w:rPr>
                <w:rFonts w:cs="Arial"/>
                <w:szCs w:val="20"/>
              </w:rPr>
              <w:t>á</w:t>
            </w:r>
            <w:r w:rsidR="006F440B" w:rsidRPr="009110F7">
              <w:rPr>
                <w:rFonts w:cs="Arial"/>
                <w:szCs w:val="20"/>
              </w:rPr>
              <w:t>h</w:t>
            </w:r>
            <w:r w:rsidR="004E1A40" w:rsidRPr="009110F7">
              <w:rPr>
                <w:rFonts w:cs="Arial"/>
                <w:szCs w:val="20"/>
              </w:rPr>
              <w:t>la 3,</w:t>
            </w:r>
            <w:r w:rsidR="00167CB9" w:rsidRPr="009110F7">
              <w:rPr>
                <w:rFonts w:cs="Arial"/>
                <w:szCs w:val="20"/>
              </w:rPr>
              <w:t>7 </w:t>
            </w:r>
            <w:r w:rsidR="004E1A40" w:rsidRPr="009110F7">
              <w:rPr>
                <w:rFonts w:cs="Arial"/>
                <w:szCs w:val="20"/>
              </w:rPr>
              <w:t xml:space="preserve">mil. </w:t>
            </w:r>
            <w:r w:rsidR="00716F48" w:rsidRPr="009110F7">
              <w:rPr>
                <w:rFonts w:cs="Arial"/>
                <w:szCs w:val="20"/>
              </w:rPr>
              <w:t>a </w:t>
            </w:r>
            <w:r w:rsidR="004E1A40" w:rsidRPr="009110F7">
              <w:rPr>
                <w:rFonts w:cs="Arial"/>
                <w:szCs w:val="20"/>
              </w:rPr>
              <w:t>v následujícím čtvrtletí již 4,</w:t>
            </w:r>
            <w:r w:rsidR="00167CB9" w:rsidRPr="009110F7">
              <w:rPr>
                <w:rFonts w:cs="Arial"/>
                <w:szCs w:val="20"/>
              </w:rPr>
              <w:t>5 </w:t>
            </w:r>
            <w:r w:rsidR="004E1A40" w:rsidRPr="009110F7">
              <w:rPr>
                <w:rFonts w:cs="Arial"/>
                <w:szCs w:val="20"/>
              </w:rPr>
              <w:t>mil</w:t>
            </w:r>
            <w:r w:rsidR="0029237E">
              <w:rPr>
                <w:rFonts w:cs="Arial"/>
                <w:szCs w:val="20"/>
              </w:rPr>
              <w:t>.</w:t>
            </w:r>
            <w:r w:rsidR="0007474E">
              <w:rPr>
                <w:rFonts w:cs="Arial"/>
                <w:szCs w:val="20"/>
              </w:rPr>
              <w:t xml:space="preserve"> korun</w:t>
            </w:r>
            <w:r w:rsidR="004E1A40" w:rsidRPr="009110F7">
              <w:rPr>
                <w:rFonts w:cs="Arial"/>
                <w:szCs w:val="20"/>
              </w:rPr>
              <w:t xml:space="preserve">. </w:t>
            </w:r>
            <w:r w:rsidR="00535018" w:rsidRPr="009110F7">
              <w:rPr>
                <w:rFonts w:cs="Arial"/>
                <w:szCs w:val="20"/>
              </w:rPr>
              <w:t>L</w:t>
            </w:r>
            <w:r w:rsidR="006F440B" w:rsidRPr="009110F7">
              <w:rPr>
                <w:rFonts w:cs="Arial"/>
                <w:szCs w:val="20"/>
              </w:rPr>
              <w:t>e</w:t>
            </w:r>
            <w:r w:rsidR="001705AD" w:rsidRPr="009110F7">
              <w:rPr>
                <w:rFonts w:cs="Arial"/>
                <w:szCs w:val="20"/>
              </w:rPr>
              <w:t>t</w:t>
            </w:r>
            <w:r w:rsidR="006F440B" w:rsidRPr="009110F7">
              <w:rPr>
                <w:rFonts w:cs="Arial"/>
                <w:szCs w:val="20"/>
              </w:rPr>
              <w:t>o</w:t>
            </w:r>
            <w:r w:rsidR="001705AD" w:rsidRPr="009110F7">
              <w:rPr>
                <w:rFonts w:cs="Arial"/>
                <w:szCs w:val="20"/>
              </w:rPr>
              <w:t xml:space="preserve">s se navýšila </w:t>
            </w:r>
            <w:r w:rsidR="007A3CAF">
              <w:rPr>
                <w:rFonts w:cs="Arial"/>
                <w:szCs w:val="20"/>
              </w:rPr>
              <w:t xml:space="preserve">rovněž </w:t>
            </w:r>
            <w:r w:rsidR="001705AD" w:rsidRPr="009110F7">
              <w:rPr>
                <w:rFonts w:cs="Arial"/>
                <w:szCs w:val="20"/>
              </w:rPr>
              <w:t xml:space="preserve">celková zásoba práce, neboť objem všech dosud </w:t>
            </w:r>
            <w:r w:rsidR="001705AD" w:rsidRPr="009110F7">
              <w:rPr>
                <w:rFonts w:cs="Arial"/>
                <w:szCs w:val="20"/>
              </w:rPr>
              <w:lastRenderedPageBreak/>
              <w:t xml:space="preserve">nerealizovaných stavebních zakázek meziročně vzrostl </w:t>
            </w:r>
            <w:r w:rsidR="00716F48" w:rsidRPr="009110F7">
              <w:rPr>
                <w:rFonts w:cs="Arial"/>
                <w:szCs w:val="20"/>
              </w:rPr>
              <w:t>o </w:t>
            </w:r>
            <w:r w:rsidR="00E2009B" w:rsidRPr="009110F7">
              <w:rPr>
                <w:rFonts w:cs="Arial"/>
                <w:szCs w:val="20"/>
              </w:rPr>
              <w:t>osminu (na 15</w:t>
            </w:r>
            <w:r w:rsidR="00167CB9" w:rsidRPr="009110F7">
              <w:rPr>
                <w:rFonts w:cs="Arial"/>
                <w:szCs w:val="20"/>
              </w:rPr>
              <w:t>3 </w:t>
            </w:r>
            <w:r w:rsidR="00E2009B" w:rsidRPr="009110F7">
              <w:rPr>
                <w:rFonts w:cs="Arial"/>
                <w:szCs w:val="20"/>
              </w:rPr>
              <w:t xml:space="preserve">mld. korun), </w:t>
            </w:r>
            <w:r w:rsidR="00716F48" w:rsidRPr="009110F7">
              <w:rPr>
                <w:rFonts w:cs="Arial"/>
                <w:szCs w:val="20"/>
              </w:rPr>
              <w:t>o </w:t>
            </w:r>
            <w:r w:rsidR="00E2009B" w:rsidRPr="009110F7">
              <w:rPr>
                <w:rFonts w:cs="Arial"/>
                <w:szCs w:val="20"/>
              </w:rPr>
              <w:t>což se zasloužily hlavně veřejné zakázky (+18</w:t>
            </w:r>
            <w:r w:rsidR="00167CB9" w:rsidRPr="009110F7">
              <w:rPr>
                <w:rFonts w:cs="Arial"/>
                <w:szCs w:val="20"/>
              </w:rPr>
              <w:t> %</w:t>
            </w:r>
            <w:r w:rsidR="00E2009B" w:rsidRPr="009110F7">
              <w:rPr>
                <w:rFonts w:cs="Arial"/>
                <w:szCs w:val="20"/>
              </w:rPr>
              <w:t>).</w:t>
            </w:r>
            <w:r w:rsidR="00094A84" w:rsidRPr="009110F7">
              <w:rPr>
                <w:rFonts w:cs="Arial"/>
                <w:szCs w:val="20"/>
              </w:rPr>
              <w:t xml:space="preserve"> </w:t>
            </w:r>
            <w:r w:rsidR="00E2009B" w:rsidRPr="009110F7">
              <w:rPr>
                <w:rFonts w:cs="Arial"/>
                <w:szCs w:val="20"/>
              </w:rPr>
              <w:t xml:space="preserve">Naopak stále okrajovější roli </w:t>
            </w:r>
            <w:r w:rsidR="0007474E">
              <w:rPr>
                <w:rFonts w:cs="Arial"/>
                <w:szCs w:val="20"/>
              </w:rPr>
              <w:t>v</w:t>
            </w:r>
            <w:r w:rsidR="00E2009B" w:rsidRPr="009110F7">
              <w:rPr>
                <w:rFonts w:cs="Arial"/>
                <w:szCs w:val="20"/>
              </w:rPr>
              <w:t xml:space="preserve"> rezervoáru práce </w:t>
            </w:r>
            <w:r w:rsidR="0007474E" w:rsidRPr="009110F7">
              <w:rPr>
                <w:rFonts w:cs="Arial"/>
                <w:szCs w:val="20"/>
              </w:rPr>
              <w:t xml:space="preserve">hrají </w:t>
            </w:r>
            <w:r w:rsidR="00E2009B" w:rsidRPr="009110F7">
              <w:rPr>
                <w:rFonts w:cs="Arial"/>
                <w:szCs w:val="20"/>
              </w:rPr>
              <w:t>stavební zakázky v zahraničí</w:t>
            </w:r>
            <w:r w:rsidR="006F440B" w:rsidRPr="009110F7">
              <w:rPr>
                <w:rStyle w:val="Znakapoznpodarou"/>
                <w:szCs w:val="20"/>
              </w:rPr>
              <w:footnoteReference w:id="14"/>
            </w:r>
            <w:r w:rsidR="006F440B" w:rsidRPr="009110F7">
              <w:rPr>
                <w:rFonts w:cs="Arial"/>
                <w:szCs w:val="20"/>
              </w:rPr>
              <w:t>.</w:t>
            </w:r>
            <w:r w:rsidR="00E2009B" w:rsidRPr="009110F7">
              <w:rPr>
                <w:rFonts w:cs="Arial"/>
                <w:szCs w:val="20"/>
              </w:rPr>
              <w:t xml:space="preserve"> </w:t>
            </w:r>
            <w:r w:rsidR="0094416B" w:rsidRPr="009110F7">
              <w:rPr>
                <w:rFonts w:cs="Arial"/>
                <w:szCs w:val="20"/>
              </w:rPr>
              <w:t xml:space="preserve">Vcelku příznivě vyznívá </w:t>
            </w:r>
            <w:r w:rsidR="00716F48" w:rsidRPr="009110F7">
              <w:rPr>
                <w:rFonts w:cs="Arial"/>
                <w:szCs w:val="20"/>
              </w:rPr>
              <w:t>i </w:t>
            </w:r>
            <w:r w:rsidR="0094416B" w:rsidRPr="009110F7">
              <w:rPr>
                <w:rFonts w:cs="Arial"/>
                <w:szCs w:val="20"/>
              </w:rPr>
              <w:t xml:space="preserve">jiný předstihový ukazatel – hodnota </w:t>
            </w:r>
            <w:r w:rsidR="003D242B" w:rsidRPr="009110F7">
              <w:rPr>
                <w:rFonts w:cs="Arial"/>
                <w:szCs w:val="20"/>
              </w:rPr>
              <w:t>uzavřených</w:t>
            </w:r>
            <w:r w:rsidR="0094416B" w:rsidRPr="009110F7">
              <w:rPr>
                <w:rFonts w:cs="Arial"/>
                <w:szCs w:val="20"/>
              </w:rPr>
              <w:t xml:space="preserve"> stave</w:t>
            </w:r>
            <w:r w:rsidR="003D242B" w:rsidRPr="009110F7">
              <w:rPr>
                <w:rFonts w:cs="Arial"/>
                <w:szCs w:val="20"/>
              </w:rPr>
              <w:t>b</w:t>
            </w:r>
            <w:r w:rsidR="0094416B" w:rsidRPr="009110F7">
              <w:rPr>
                <w:rFonts w:cs="Arial"/>
                <w:szCs w:val="20"/>
              </w:rPr>
              <w:t>ních povolení. Její mírný meziroční pokles (</w:t>
            </w:r>
            <w:r w:rsidR="00CA37FF">
              <w:rPr>
                <w:rFonts w:cs="Arial"/>
                <w:szCs w:val="20"/>
              </w:rPr>
              <w:t>-</w:t>
            </w:r>
            <w:r w:rsidR="0094416B" w:rsidRPr="009110F7">
              <w:rPr>
                <w:rFonts w:cs="Arial"/>
                <w:szCs w:val="20"/>
              </w:rPr>
              <w:t>2,8</w:t>
            </w:r>
            <w:r w:rsidR="00167CB9" w:rsidRPr="009110F7">
              <w:rPr>
                <w:rFonts w:cs="Arial"/>
                <w:szCs w:val="20"/>
              </w:rPr>
              <w:t> %</w:t>
            </w:r>
            <w:r w:rsidR="0094416B" w:rsidRPr="009110F7">
              <w:rPr>
                <w:rFonts w:cs="Arial"/>
                <w:szCs w:val="20"/>
              </w:rPr>
              <w:t>) byl způsoben nestandardně vysokou loňskou základnou u nebytových budov</w:t>
            </w:r>
            <w:r w:rsidR="0094416B" w:rsidRPr="009110F7">
              <w:rPr>
                <w:rStyle w:val="Znakapoznpodarou"/>
                <w:szCs w:val="20"/>
              </w:rPr>
              <w:footnoteReference w:id="15"/>
            </w:r>
            <w:r w:rsidR="0094416B" w:rsidRPr="009110F7">
              <w:rPr>
                <w:rFonts w:cs="Arial"/>
                <w:szCs w:val="20"/>
              </w:rPr>
              <w:t>.</w:t>
            </w:r>
            <w:r w:rsidR="003D242B" w:rsidRPr="009110F7">
              <w:rPr>
                <w:rFonts w:cs="Arial"/>
                <w:szCs w:val="20"/>
              </w:rPr>
              <w:t xml:space="preserve"> V ostatních kategoriích již byla hodnota povolených staveb meziročně vyšší. </w:t>
            </w:r>
            <w:r w:rsidR="003D242B" w:rsidRPr="009110F7">
              <w:rPr>
                <w:rFonts w:cs="Arial"/>
                <w:color w:val="0D0D0D" w:themeColor="text1" w:themeTint="F2"/>
                <w:spacing w:val="-4"/>
              </w:rPr>
              <w:t xml:space="preserve">Sezónně očištěné saldo indikátoru důvěry signalizované stavebními podniky setrvalo </w:t>
            </w:r>
            <w:r w:rsidR="00716F48" w:rsidRPr="009110F7">
              <w:rPr>
                <w:rFonts w:cs="Arial"/>
                <w:color w:val="0D0D0D" w:themeColor="text1" w:themeTint="F2"/>
                <w:spacing w:val="-4"/>
              </w:rPr>
              <w:t>i </w:t>
            </w:r>
            <w:r w:rsidR="003D242B" w:rsidRPr="009110F7">
              <w:rPr>
                <w:rFonts w:cs="Arial"/>
                <w:color w:val="0D0D0D" w:themeColor="text1" w:themeTint="F2"/>
                <w:spacing w:val="-4"/>
              </w:rPr>
              <w:t>v dubnu v záporném pásmu (</w:t>
            </w:r>
            <w:r w:rsidR="00CA37FF">
              <w:rPr>
                <w:rFonts w:cs="Arial"/>
                <w:color w:val="0D0D0D" w:themeColor="text1" w:themeTint="F2"/>
                <w:spacing w:val="-4"/>
              </w:rPr>
              <w:t>-</w:t>
            </w:r>
            <w:r w:rsidR="003D242B" w:rsidRPr="009110F7">
              <w:rPr>
                <w:rFonts w:cs="Arial"/>
                <w:color w:val="0D0D0D" w:themeColor="text1" w:themeTint="F2"/>
                <w:spacing w:val="-4"/>
              </w:rPr>
              <w:t>5,</w:t>
            </w:r>
            <w:r w:rsidR="00167CB9" w:rsidRPr="009110F7">
              <w:rPr>
                <w:rFonts w:cs="Arial"/>
                <w:color w:val="0D0D0D" w:themeColor="text1" w:themeTint="F2"/>
                <w:spacing w:val="-4"/>
              </w:rPr>
              <w:t>5 </w:t>
            </w:r>
            <w:r w:rsidR="003D242B" w:rsidRPr="009110F7">
              <w:rPr>
                <w:rFonts w:cs="Arial"/>
                <w:color w:val="0D0D0D" w:themeColor="text1" w:themeTint="F2"/>
                <w:spacing w:val="-4"/>
              </w:rPr>
              <w:t xml:space="preserve">bodu), již rok </w:t>
            </w:r>
            <w:r w:rsidR="00716F48" w:rsidRPr="009110F7">
              <w:rPr>
                <w:rFonts w:cs="Arial"/>
                <w:color w:val="0D0D0D" w:themeColor="text1" w:themeTint="F2"/>
                <w:spacing w:val="-4"/>
              </w:rPr>
              <w:t>a </w:t>
            </w:r>
            <w:r w:rsidR="003D242B" w:rsidRPr="009110F7">
              <w:rPr>
                <w:rFonts w:cs="Arial"/>
                <w:color w:val="0D0D0D" w:themeColor="text1" w:themeTint="F2"/>
                <w:spacing w:val="-4"/>
              </w:rPr>
              <w:t xml:space="preserve">půl ale pokračoval trend postupného zlepšování. Letošní hodnota salda byla nejlepší od konce roku 2008. Tomu odpovídal </w:t>
            </w:r>
            <w:r w:rsidR="00716F48" w:rsidRPr="009110F7">
              <w:rPr>
                <w:rFonts w:cs="Arial"/>
                <w:color w:val="0D0D0D" w:themeColor="text1" w:themeTint="F2"/>
                <w:spacing w:val="-4"/>
              </w:rPr>
              <w:t>i </w:t>
            </w:r>
            <w:r w:rsidR="003D242B" w:rsidRPr="009110F7">
              <w:rPr>
                <w:rFonts w:cs="Arial"/>
                <w:color w:val="0D0D0D" w:themeColor="text1" w:themeTint="F2"/>
                <w:spacing w:val="-4"/>
              </w:rPr>
              <w:t>pokles podílu podniků považujících nedostatečnou poptávku za bariéru růstu (38</w:t>
            </w:r>
            <w:r w:rsidR="00167CB9" w:rsidRPr="009110F7">
              <w:rPr>
                <w:rFonts w:cs="Arial"/>
                <w:color w:val="0D0D0D" w:themeColor="text1" w:themeTint="F2"/>
                <w:spacing w:val="-4"/>
              </w:rPr>
              <w:t> %</w:t>
            </w:r>
            <w:r w:rsidR="003D242B" w:rsidRPr="009110F7">
              <w:rPr>
                <w:rFonts w:cs="Arial"/>
                <w:color w:val="0D0D0D" w:themeColor="text1" w:themeTint="F2"/>
                <w:spacing w:val="-4"/>
              </w:rPr>
              <w:t xml:space="preserve"> na počátku 2</w:t>
            </w:r>
            <w:r w:rsidR="00716F48" w:rsidRPr="009110F7">
              <w:rPr>
                <w:rFonts w:cs="Arial"/>
                <w:color w:val="0D0D0D" w:themeColor="text1" w:themeTint="F2"/>
                <w:spacing w:val="-4"/>
              </w:rPr>
              <w:t>. čtvrt</w:t>
            </w:r>
            <w:r w:rsidR="003D242B" w:rsidRPr="009110F7">
              <w:rPr>
                <w:rFonts w:cs="Arial"/>
                <w:color w:val="0D0D0D" w:themeColor="text1" w:themeTint="F2"/>
                <w:spacing w:val="-4"/>
              </w:rPr>
              <w:t xml:space="preserve">letí 2018, </w:t>
            </w:r>
            <w:r w:rsidR="00716F48" w:rsidRPr="009110F7">
              <w:rPr>
                <w:rFonts w:cs="Arial"/>
                <w:color w:val="0D0D0D" w:themeColor="text1" w:themeTint="F2"/>
                <w:spacing w:val="-4"/>
              </w:rPr>
              <w:t>o </w:t>
            </w:r>
            <w:r w:rsidR="003D242B" w:rsidRPr="009110F7">
              <w:rPr>
                <w:rFonts w:cs="Arial"/>
                <w:color w:val="0D0D0D" w:themeColor="text1" w:themeTint="F2"/>
                <w:spacing w:val="-4"/>
              </w:rPr>
              <w:t>rok dříve 54</w:t>
            </w:r>
            <w:r w:rsidR="00167CB9" w:rsidRPr="009110F7">
              <w:rPr>
                <w:rFonts w:cs="Arial"/>
                <w:color w:val="0D0D0D" w:themeColor="text1" w:themeTint="F2"/>
                <w:spacing w:val="-4"/>
              </w:rPr>
              <w:t> %</w:t>
            </w:r>
            <w:r w:rsidR="003D242B" w:rsidRPr="009110F7">
              <w:rPr>
                <w:rFonts w:cs="Arial"/>
                <w:color w:val="0D0D0D" w:themeColor="text1" w:themeTint="F2"/>
                <w:spacing w:val="-4"/>
              </w:rPr>
              <w:t xml:space="preserve">). Za stejné období se naopak téměř zdvojnásobil podíl podniků, jež trápí nedostatek pracovní síly (až na 28 %). Celková zaměstnanost ve stavebnictví se po </w:t>
            </w:r>
            <w:r w:rsidR="00760391" w:rsidRPr="009110F7">
              <w:rPr>
                <w:rFonts w:cs="Arial"/>
                <w:color w:val="0D0D0D" w:themeColor="text1" w:themeTint="F2"/>
                <w:spacing w:val="-4"/>
              </w:rPr>
              <w:t>útlumových letech stabilizovala</w:t>
            </w:r>
            <w:r w:rsidR="003D242B" w:rsidRPr="009110F7">
              <w:rPr>
                <w:rFonts w:cs="Arial"/>
                <w:color w:val="0D0D0D" w:themeColor="text1" w:themeTint="F2"/>
                <w:spacing w:val="-4"/>
              </w:rPr>
              <w:t>.</w:t>
            </w:r>
          </w:p>
        </w:tc>
      </w:tr>
      <w:tr w:rsidR="008C7569" w:rsidRPr="009110F7" w:rsidTr="009B3764">
        <w:trPr>
          <w:trHeight w:val="145"/>
        </w:trPr>
        <w:tc>
          <w:tcPr>
            <w:tcW w:w="1879" w:type="dxa"/>
            <w:gridSpan w:val="2"/>
            <w:shd w:val="clear" w:color="auto" w:fill="auto"/>
            <w:tcMar>
              <w:left w:w="0" w:type="dxa"/>
            </w:tcMar>
          </w:tcPr>
          <w:p w:rsidR="008C7569" w:rsidRPr="009110F7" w:rsidRDefault="009B3764" w:rsidP="008417B5">
            <w:pPr>
              <w:pStyle w:val="Marginlie"/>
            </w:pPr>
            <w:r w:rsidRPr="009110F7">
              <w:lastRenderedPageBreak/>
              <w:t>Stavební produkce v </w:t>
            </w:r>
            <w:r w:rsidR="0007474E">
              <w:t>Č</w:t>
            </w:r>
            <w:r w:rsidRPr="009110F7">
              <w:t xml:space="preserve">esku rostla letos výrazně rychleji než </w:t>
            </w:r>
            <w:r w:rsidR="0007474E">
              <w:t>v </w:t>
            </w:r>
            <w:r w:rsidRPr="009110F7">
              <w:t xml:space="preserve">EU. V letech 2016 i 2017 tomu bylo naopak. </w:t>
            </w:r>
          </w:p>
        </w:tc>
        <w:tc>
          <w:tcPr>
            <w:tcW w:w="247" w:type="dxa"/>
            <w:gridSpan w:val="2"/>
            <w:shd w:val="clear" w:color="auto" w:fill="auto"/>
            <w:tcMar>
              <w:left w:w="0" w:type="dxa"/>
            </w:tcMar>
          </w:tcPr>
          <w:p w:rsidR="008C7569" w:rsidRPr="009110F7" w:rsidRDefault="008C7569" w:rsidP="008417B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18" w:type="dxa"/>
            <w:shd w:val="clear" w:color="auto" w:fill="auto"/>
            <w:tcMar>
              <w:left w:w="0" w:type="dxa"/>
            </w:tcMar>
          </w:tcPr>
          <w:p w:rsidR="008C7569" w:rsidRPr="009110F7" w:rsidRDefault="009651C7" w:rsidP="00292997">
            <w:pPr>
              <w:spacing w:after="200"/>
              <w:rPr>
                <w:rFonts w:cs="Arial"/>
                <w:szCs w:val="20"/>
              </w:rPr>
            </w:pPr>
            <w:r w:rsidRPr="009110F7">
              <w:rPr>
                <w:rFonts w:cs="Arial"/>
                <w:szCs w:val="20"/>
              </w:rPr>
              <w:t>Stavební produkce v EU vzrostla v 1</w:t>
            </w:r>
            <w:r w:rsidR="00716F48" w:rsidRPr="009110F7">
              <w:rPr>
                <w:rFonts w:cs="Arial"/>
                <w:szCs w:val="20"/>
              </w:rPr>
              <w:t>. čtvrt</w:t>
            </w:r>
            <w:r w:rsidRPr="009110F7">
              <w:rPr>
                <w:rFonts w:cs="Arial"/>
                <w:szCs w:val="20"/>
              </w:rPr>
              <w:t xml:space="preserve">letí meziročně </w:t>
            </w:r>
            <w:r w:rsidR="00716F48" w:rsidRPr="009110F7">
              <w:rPr>
                <w:rFonts w:cs="Arial"/>
                <w:szCs w:val="20"/>
              </w:rPr>
              <w:t>o </w:t>
            </w:r>
            <w:r w:rsidRPr="009110F7">
              <w:rPr>
                <w:rFonts w:cs="Arial"/>
                <w:szCs w:val="20"/>
              </w:rPr>
              <w:t>1,2</w:t>
            </w:r>
            <w:r w:rsidR="00167CB9" w:rsidRPr="009110F7">
              <w:rPr>
                <w:rFonts w:cs="Arial"/>
                <w:szCs w:val="20"/>
              </w:rPr>
              <w:t> %</w:t>
            </w:r>
            <w:r w:rsidRPr="009110F7">
              <w:rPr>
                <w:rFonts w:cs="Arial"/>
                <w:szCs w:val="20"/>
              </w:rPr>
              <w:t xml:space="preserve">. </w:t>
            </w:r>
            <w:r w:rsidR="00A722F9" w:rsidRPr="009110F7">
              <w:rPr>
                <w:rFonts w:cs="Arial"/>
                <w:szCs w:val="20"/>
              </w:rPr>
              <w:t>Navzdory silnému</w:t>
            </w:r>
            <w:r w:rsidRPr="009110F7">
              <w:rPr>
                <w:rFonts w:cs="Arial"/>
                <w:szCs w:val="20"/>
              </w:rPr>
              <w:t xml:space="preserve"> tempu</w:t>
            </w:r>
            <w:r w:rsidR="00A722F9" w:rsidRPr="009110F7">
              <w:rPr>
                <w:rFonts w:cs="Arial"/>
                <w:szCs w:val="20"/>
              </w:rPr>
              <w:t xml:space="preserve"> produkce v Česku dosáhla většina novějších členských států EU ještě vyšší dynamiky. </w:t>
            </w:r>
            <w:r w:rsidRPr="009110F7">
              <w:rPr>
                <w:rFonts w:cs="Arial"/>
                <w:szCs w:val="20"/>
              </w:rPr>
              <w:t xml:space="preserve">Výkony stavebnictví v zemích střední </w:t>
            </w:r>
            <w:r w:rsidR="00716F48" w:rsidRPr="009110F7">
              <w:rPr>
                <w:rFonts w:cs="Arial"/>
                <w:szCs w:val="20"/>
              </w:rPr>
              <w:t>a </w:t>
            </w:r>
            <w:r w:rsidRPr="009110F7">
              <w:rPr>
                <w:rFonts w:cs="Arial"/>
                <w:szCs w:val="20"/>
              </w:rPr>
              <w:t>východní Evropy</w:t>
            </w:r>
            <w:r w:rsidR="00292997" w:rsidRPr="009110F7">
              <w:rPr>
                <w:rFonts w:cs="Arial"/>
                <w:szCs w:val="20"/>
              </w:rPr>
              <w:t xml:space="preserve"> se vyznačují </w:t>
            </w:r>
            <w:r w:rsidRPr="009110F7">
              <w:rPr>
                <w:rFonts w:cs="Arial"/>
                <w:szCs w:val="20"/>
              </w:rPr>
              <w:t xml:space="preserve">rozkolísaností vlivem nepravidelností v čerpání </w:t>
            </w:r>
            <w:r w:rsidR="00292997" w:rsidRPr="009110F7">
              <w:rPr>
                <w:rFonts w:cs="Arial"/>
                <w:szCs w:val="20"/>
              </w:rPr>
              <w:t>u</w:t>
            </w:r>
            <w:r w:rsidRPr="009110F7">
              <w:rPr>
                <w:rFonts w:cs="Arial"/>
                <w:szCs w:val="20"/>
              </w:rPr>
              <w:t xml:space="preserve">nijních prostředků na infrastrukturní projekty. </w:t>
            </w:r>
            <w:r w:rsidR="002E196A" w:rsidRPr="009110F7">
              <w:rPr>
                <w:rFonts w:cs="Arial"/>
                <w:szCs w:val="20"/>
              </w:rPr>
              <w:t xml:space="preserve">V letech </w:t>
            </w:r>
            <w:r w:rsidR="00292997" w:rsidRPr="009110F7">
              <w:rPr>
                <w:rFonts w:cs="Arial"/>
                <w:szCs w:val="20"/>
              </w:rPr>
              <w:t xml:space="preserve">2016 </w:t>
            </w:r>
            <w:r w:rsidR="00716F48" w:rsidRPr="009110F7">
              <w:rPr>
                <w:rFonts w:cs="Arial"/>
                <w:szCs w:val="20"/>
              </w:rPr>
              <w:t>i </w:t>
            </w:r>
            <w:r w:rsidR="00292997" w:rsidRPr="009110F7">
              <w:rPr>
                <w:rFonts w:cs="Arial"/>
                <w:szCs w:val="20"/>
              </w:rPr>
              <w:t xml:space="preserve">2017 </w:t>
            </w:r>
            <w:r w:rsidR="0029237E">
              <w:rPr>
                <w:rFonts w:cs="Arial"/>
                <w:szCs w:val="20"/>
              </w:rPr>
              <w:t xml:space="preserve">ale </w:t>
            </w:r>
            <w:r w:rsidR="00292997" w:rsidRPr="009110F7">
              <w:rPr>
                <w:rFonts w:cs="Arial"/>
                <w:szCs w:val="20"/>
              </w:rPr>
              <w:t>stavebn</w:t>
            </w:r>
            <w:r w:rsidR="002E196A" w:rsidRPr="009110F7">
              <w:rPr>
                <w:rFonts w:cs="Arial"/>
                <w:szCs w:val="20"/>
              </w:rPr>
              <w:t xml:space="preserve">í </w:t>
            </w:r>
            <w:r w:rsidR="00292997" w:rsidRPr="009110F7">
              <w:rPr>
                <w:rFonts w:cs="Arial"/>
                <w:szCs w:val="20"/>
              </w:rPr>
              <w:t xml:space="preserve">produkce </w:t>
            </w:r>
            <w:r w:rsidR="002E196A" w:rsidRPr="009110F7">
              <w:rPr>
                <w:rFonts w:cs="Arial"/>
                <w:szCs w:val="20"/>
              </w:rPr>
              <w:t>v ČR, podobně jako v mnohých ekonomicky slabších členských zemí</w:t>
            </w:r>
            <w:r w:rsidR="0007474E">
              <w:rPr>
                <w:rFonts w:cs="Arial"/>
                <w:szCs w:val="20"/>
              </w:rPr>
              <w:t>ch</w:t>
            </w:r>
            <w:r w:rsidR="002E196A" w:rsidRPr="009110F7">
              <w:rPr>
                <w:rFonts w:cs="Arial"/>
                <w:szCs w:val="20"/>
              </w:rPr>
              <w:t xml:space="preserve"> Unie</w:t>
            </w:r>
            <w:r w:rsidR="00292997" w:rsidRPr="009110F7">
              <w:rPr>
                <w:rFonts w:cs="Arial"/>
                <w:szCs w:val="20"/>
              </w:rPr>
              <w:t>,</w:t>
            </w:r>
            <w:r w:rsidR="002E196A" w:rsidRPr="009110F7">
              <w:rPr>
                <w:rFonts w:cs="Arial"/>
                <w:szCs w:val="20"/>
              </w:rPr>
              <w:t xml:space="preserve"> za růstovými tempy</w:t>
            </w:r>
            <w:r w:rsidR="00292997" w:rsidRPr="009110F7">
              <w:rPr>
                <w:rFonts w:cs="Arial"/>
                <w:szCs w:val="20"/>
              </w:rPr>
              <w:t xml:space="preserve"> EU zaostala</w:t>
            </w:r>
            <w:r w:rsidR="002E196A" w:rsidRPr="009110F7">
              <w:rPr>
                <w:rFonts w:cs="Arial"/>
                <w:szCs w:val="20"/>
              </w:rPr>
              <w:t>.</w:t>
            </w:r>
          </w:p>
        </w:tc>
      </w:tr>
      <w:tr w:rsidR="00E930A1" w:rsidRPr="009110F7" w:rsidTr="009B3764">
        <w:trPr>
          <w:trHeight w:val="145"/>
        </w:trPr>
        <w:tc>
          <w:tcPr>
            <w:tcW w:w="1879" w:type="dxa"/>
            <w:gridSpan w:val="2"/>
            <w:shd w:val="clear" w:color="auto" w:fill="auto"/>
            <w:tcMar>
              <w:left w:w="0" w:type="dxa"/>
            </w:tcMar>
          </w:tcPr>
          <w:p w:rsidR="00E930A1" w:rsidRPr="009110F7" w:rsidRDefault="00E930A1" w:rsidP="00EA513E">
            <w:pPr>
              <w:pStyle w:val="Marginlie"/>
            </w:pPr>
          </w:p>
        </w:tc>
        <w:tc>
          <w:tcPr>
            <w:tcW w:w="247" w:type="dxa"/>
            <w:gridSpan w:val="2"/>
            <w:shd w:val="clear" w:color="auto" w:fill="auto"/>
            <w:tcMar>
              <w:left w:w="0" w:type="dxa"/>
            </w:tcMar>
          </w:tcPr>
          <w:p w:rsidR="00E930A1" w:rsidRPr="009110F7" w:rsidRDefault="00E930A1" w:rsidP="00EA513E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18" w:type="dxa"/>
            <w:shd w:val="clear" w:color="auto" w:fill="auto"/>
            <w:tcMar>
              <w:left w:w="0" w:type="dxa"/>
            </w:tcMar>
          </w:tcPr>
          <w:p w:rsidR="002E3BEE" w:rsidRPr="009110F7" w:rsidRDefault="00B8561A" w:rsidP="002E3BEE">
            <w:pPr>
              <w:pStyle w:val="Textpoznpodarou"/>
              <w:rPr>
                <w:b/>
                <w:spacing w:val="-2"/>
              </w:rPr>
            </w:pPr>
            <w:r>
              <w:rPr>
                <w:b/>
              </w:rPr>
              <w:t>Graf </w:t>
            </w:r>
            <w:proofErr w:type="gramStart"/>
            <w:r w:rsidR="00167CB9" w:rsidRPr="009110F7">
              <w:rPr>
                <w:b/>
              </w:rPr>
              <w:t>č. </w:t>
            </w:r>
            <w:r w:rsidR="00716F48" w:rsidRPr="009110F7">
              <w:rPr>
                <w:b/>
              </w:rPr>
              <w:t>8</w:t>
            </w:r>
            <w:r w:rsidR="00053713">
              <w:rPr>
                <w:b/>
              </w:rPr>
              <w:t xml:space="preserve">  </w:t>
            </w:r>
            <w:r w:rsidR="002E3BEE" w:rsidRPr="009110F7">
              <w:rPr>
                <w:b/>
                <w:spacing w:val="-2"/>
              </w:rPr>
              <w:t>Tržby</w:t>
            </w:r>
            <w:proofErr w:type="gramEnd"/>
            <w:r w:rsidR="002E3BEE" w:rsidRPr="009110F7">
              <w:rPr>
                <w:b/>
                <w:spacing w:val="-2"/>
              </w:rPr>
              <w:t xml:space="preserve"> za maloobchod </w:t>
            </w:r>
            <w:r w:rsidR="00716F48" w:rsidRPr="009110F7">
              <w:rPr>
                <w:b/>
                <w:spacing w:val="-2"/>
              </w:rPr>
              <w:t>a </w:t>
            </w:r>
            <w:r w:rsidR="002E3BEE" w:rsidRPr="009110F7">
              <w:rPr>
                <w:b/>
                <w:spacing w:val="-2"/>
              </w:rPr>
              <w:t xml:space="preserve">prodej </w:t>
            </w:r>
            <w:r w:rsidR="00716F48" w:rsidRPr="009110F7">
              <w:rPr>
                <w:b/>
                <w:spacing w:val="-2"/>
              </w:rPr>
              <w:t>a </w:t>
            </w:r>
            <w:r w:rsidR="002E3BEE" w:rsidRPr="009110F7">
              <w:rPr>
                <w:b/>
                <w:spacing w:val="-2"/>
              </w:rPr>
              <w:t>opravy motorových vozidel</w:t>
            </w:r>
          </w:p>
          <w:p w:rsidR="00E930A1" w:rsidRPr="009110F7" w:rsidRDefault="002E3BEE" w:rsidP="002E3BEE">
            <w:pPr>
              <w:pStyle w:val="Textpoznpodarou"/>
            </w:pPr>
            <w:r w:rsidRPr="009110F7">
              <w:rPr>
                <w:bCs/>
                <w:spacing w:val="-2"/>
              </w:rPr>
              <w:t xml:space="preserve">(reálně, </w:t>
            </w:r>
            <w:r w:rsidRPr="009110F7">
              <w:rPr>
                <w:rFonts w:cs="Arial"/>
                <w:spacing w:val="-2"/>
              </w:rPr>
              <w:t xml:space="preserve">očištěno od vlivu počtu pracovních dnů, </w:t>
            </w:r>
            <w:r w:rsidRPr="009110F7">
              <w:rPr>
                <w:spacing w:val="-2"/>
              </w:rPr>
              <w:t>meziročně</w:t>
            </w:r>
            <w:r w:rsidRPr="009110F7">
              <w:rPr>
                <w:bCs/>
                <w:spacing w:val="-2"/>
              </w:rPr>
              <w:t xml:space="preserve"> v</w:t>
            </w:r>
            <w:r w:rsidR="00167CB9" w:rsidRPr="009110F7">
              <w:rPr>
                <w:bCs/>
                <w:spacing w:val="-2"/>
              </w:rPr>
              <w:t> %</w:t>
            </w:r>
            <w:r w:rsidRPr="009110F7">
              <w:rPr>
                <w:bCs/>
                <w:spacing w:val="-2"/>
              </w:rPr>
              <w:t>)</w:t>
            </w:r>
          </w:p>
        </w:tc>
      </w:tr>
      <w:tr w:rsidR="00E930A1" w:rsidRPr="009110F7" w:rsidTr="009B3764">
        <w:trPr>
          <w:trHeight w:val="145"/>
        </w:trPr>
        <w:tc>
          <w:tcPr>
            <w:tcW w:w="1879" w:type="dxa"/>
            <w:gridSpan w:val="2"/>
            <w:shd w:val="clear" w:color="auto" w:fill="auto"/>
            <w:tcMar>
              <w:left w:w="0" w:type="dxa"/>
            </w:tcMar>
          </w:tcPr>
          <w:p w:rsidR="00E930A1" w:rsidRPr="009110F7" w:rsidRDefault="00E930A1" w:rsidP="00EA513E">
            <w:pPr>
              <w:pStyle w:val="Marginlie"/>
            </w:pPr>
          </w:p>
        </w:tc>
        <w:tc>
          <w:tcPr>
            <w:tcW w:w="247" w:type="dxa"/>
            <w:gridSpan w:val="2"/>
            <w:shd w:val="clear" w:color="auto" w:fill="auto"/>
            <w:tcMar>
              <w:left w:w="0" w:type="dxa"/>
            </w:tcMar>
          </w:tcPr>
          <w:p w:rsidR="00E930A1" w:rsidRPr="009110F7" w:rsidRDefault="00E930A1" w:rsidP="00EA513E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18" w:type="dxa"/>
            <w:shd w:val="clear" w:color="auto" w:fill="auto"/>
            <w:tcMar>
              <w:left w:w="0" w:type="dxa"/>
            </w:tcMar>
          </w:tcPr>
          <w:p w:rsidR="00E930A1" w:rsidRPr="009110F7" w:rsidRDefault="002E3BEE" w:rsidP="00EA513E">
            <w:pPr>
              <w:spacing w:after="0" w:line="240" w:lineRule="auto"/>
              <w:rPr>
                <w:spacing w:val="-2"/>
                <w:szCs w:val="20"/>
              </w:rPr>
            </w:pPr>
            <w:r w:rsidRPr="009110F7">
              <w:rPr>
                <w:noProof/>
                <w:spacing w:val="-2"/>
                <w:szCs w:val="20"/>
              </w:rPr>
              <w:drawing>
                <wp:inline distT="0" distB="0" distL="0" distR="0">
                  <wp:extent cx="4736399" cy="3514299"/>
                  <wp:effectExtent l="19050" t="0" r="7051" b="0"/>
                  <wp:docPr id="29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E930A1" w:rsidRPr="009110F7" w:rsidTr="00203CD5">
        <w:trPr>
          <w:trHeight w:val="145"/>
        </w:trPr>
        <w:tc>
          <w:tcPr>
            <w:tcW w:w="1879" w:type="dxa"/>
            <w:gridSpan w:val="2"/>
            <w:shd w:val="clear" w:color="auto" w:fill="auto"/>
            <w:tcMar>
              <w:left w:w="0" w:type="dxa"/>
            </w:tcMar>
          </w:tcPr>
          <w:p w:rsidR="00E930A1" w:rsidRPr="009110F7" w:rsidRDefault="00E930A1" w:rsidP="00EA513E">
            <w:pPr>
              <w:pStyle w:val="Marginlie"/>
            </w:pPr>
          </w:p>
        </w:tc>
        <w:tc>
          <w:tcPr>
            <w:tcW w:w="247" w:type="dxa"/>
            <w:gridSpan w:val="2"/>
            <w:shd w:val="clear" w:color="auto" w:fill="auto"/>
            <w:tcMar>
              <w:left w:w="0" w:type="dxa"/>
            </w:tcMar>
          </w:tcPr>
          <w:p w:rsidR="00E930A1" w:rsidRPr="009110F7" w:rsidRDefault="00E930A1" w:rsidP="00EA513E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18" w:type="dxa"/>
            <w:shd w:val="clear" w:color="auto" w:fill="auto"/>
            <w:tcMar>
              <w:left w:w="0" w:type="dxa"/>
            </w:tcMar>
          </w:tcPr>
          <w:p w:rsidR="00E930A1" w:rsidRPr="009110F7" w:rsidRDefault="00E930A1" w:rsidP="00EA513E">
            <w:pPr>
              <w:spacing w:after="200"/>
              <w:jc w:val="left"/>
              <w:rPr>
                <w:spacing w:val="-2"/>
                <w:szCs w:val="20"/>
              </w:rPr>
            </w:pPr>
            <w:r w:rsidRPr="009110F7">
              <w:rPr>
                <w:rFonts w:cs="Arial"/>
                <w:sz w:val="14"/>
                <w:szCs w:val="14"/>
              </w:rPr>
              <w:t>Zdroj: ČSÚ</w:t>
            </w:r>
          </w:p>
        </w:tc>
      </w:tr>
      <w:tr w:rsidR="008C7569" w:rsidRPr="009110F7" w:rsidTr="00203CD5">
        <w:trPr>
          <w:trHeight w:val="145"/>
        </w:trPr>
        <w:tc>
          <w:tcPr>
            <w:tcW w:w="1879" w:type="dxa"/>
            <w:gridSpan w:val="2"/>
            <w:shd w:val="clear" w:color="auto" w:fill="auto"/>
            <w:tcMar>
              <w:left w:w="0" w:type="dxa"/>
            </w:tcMar>
          </w:tcPr>
          <w:p w:rsidR="008C7569" w:rsidRPr="009110F7" w:rsidRDefault="00B47089" w:rsidP="008417B5">
            <w:pPr>
              <w:pStyle w:val="Marginlie"/>
            </w:pPr>
            <w:r w:rsidRPr="009110F7">
              <w:t xml:space="preserve">Svižný růst služeb započatý v loňském roce </w:t>
            </w:r>
            <w:r w:rsidRPr="009110F7">
              <w:lastRenderedPageBreak/>
              <w:t>v 1</w:t>
            </w:r>
            <w:r w:rsidR="00716F48" w:rsidRPr="009110F7">
              <w:t>. čtvrt</w:t>
            </w:r>
            <w:r w:rsidRPr="009110F7">
              <w:t>letí pokračoval.</w:t>
            </w:r>
          </w:p>
          <w:p w:rsidR="00B47089" w:rsidRPr="009110F7" w:rsidRDefault="007B2011" w:rsidP="008417B5">
            <w:pPr>
              <w:pStyle w:val="Marginlie"/>
            </w:pPr>
            <w:r w:rsidRPr="009110F7">
              <w:t>K posílení</w:t>
            </w:r>
            <w:r w:rsidR="00B47089" w:rsidRPr="009110F7">
              <w:t xml:space="preserve"> služeb přispěly nejvíce doprava </w:t>
            </w:r>
            <w:r w:rsidR="00716F48" w:rsidRPr="009110F7">
              <w:t>a </w:t>
            </w:r>
            <w:r w:rsidR="00B47089" w:rsidRPr="009110F7">
              <w:t xml:space="preserve">skladování </w:t>
            </w:r>
            <w:r w:rsidR="00716F48" w:rsidRPr="009110F7">
              <w:t>a </w:t>
            </w:r>
            <w:r w:rsidR="00B47089" w:rsidRPr="009110F7">
              <w:t xml:space="preserve">též informační </w:t>
            </w:r>
            <w:r w:rsidR="00716F48" w:rsidRPr="009110F7">
              <w:t>a </w:t>
            </w:r>
            <w:r w:rsidR="00B47089" w:rsidRPr="009110F7">
              <w:t>komunikační činnosti.</w:t>
            </w:r>
          </w:p>
        </w:tc>
        <w:tc>
          <w:tcPr>
            <w:tcW w:w="247" w:type="dxa"/>
            <w:gridSpan w:val="2"/>
            <w:shd w:val="clear" w:color="auto" w:fill="auto"/>
            <w:tcMar>
              <w:left w:w="0" w:type="dxa"/>
            </w:tcMar>
          </w:tcPr>
          <w:p w:rsidR="008C7569" w:rsidRPr="009110F7" w:rsidRDefault="008C7569" w:rsidP="008417B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18" w:type="dxa"/>
            <w:shd w:val="clear" w:color="auto" w:fill="auto"/>
            <w:tcMar>
              <w:left w:w="0" w:type="dxa"/>
            </w:tcMar>
          </w:tcPr>
          <w:p w:rsidR="008C7569" w:rsidRPr="009110F7" w:rsidRDefault="00FC7D98" w:rsidP="00C55402">
            <w:pPr>
              <w:pStyle w:val="Textpoznpodarou"/>
              <w:spacing w:after="200" w:line="276" w:lineRule="auto"/>
              <w:jc w:val="both"/>
            </w:pPr>
            <w:r w:rsidRPr="009110F7">
              <w:t xml:space="preserve">Také terciárnímu sektoru ekonomiky se na počátku roku dařilo. </w:t>
            </w:r>
            <w:r w:rsidR="00492879" w:rsidRPr="009110F7">
              <w:rPr>
                <w:spacing w:val="-4"/>
              </w:rPr>
              <w:t xml:space="preserve">Tržby </w:t>
            </w:r>
            <w:r w:rsidR="00492879" w:rsidRPr="009110F7">
              <w:rPr>
                <w:color w:val="0D0D0D" w:themeColor="text1" w:themeTint="F2"/>
                <w:spacing w:val="-4"/>
              </w:rPr>
              <w:t>ve vybraných službách</w:t>
            </w:r>
            <w:r w:rsidR="00492879" w:rsidRPr="009110F7">
              <w:rPr>
                <w:color w:val="0D0D0D" w:themeColor="text1" w:themeTint="F2"/>
                <w:spacing w:val="-4"/>
                <w:vertAlign w:val="superscript"/>
              </w:rPr>
              <w:footnoteReference w:id="16"/>
            </w:r>
            <w:r w:rsidR="007B2011" w:rsidRPr="009110F7">
              <w:rPr>
                <w:color w:val="0D0D0D" w:themeColor="text1" w:themeTint="F2"/>
                <w:spacing w:val="-4"/>
              </w:rPr>
              <w:t xml:space="preserve"> posílily</w:t>
            </w:r>
            <w:r w:rsidR="00492879" w:rsidRPr="009110F7">
              <w:rPr>
                <w:color w:val="0D0D0D" w:themeColor="text1" w:themeTint="F2"/>
                <w:spacing w:val="-4"/>
              </w:rPr>
              <w:t xml:space="preserve"> proti poslednímu loňskému čtvrtletí </w:t>
            </w:r>
            <w:r w:rsidR="00716F48" w:rsidRPr="009110F7">
              <w:rPr>
                <w:color w:val="0D0D0D" w:themeColor="text1" w:themeTint="F2"/>
                <w:spacing w:val="-4"/>
              </w:rPr>
              <w:t>o </w:t>
            </w:r>
            <w:r w:rsidR="00492879" w:rsidRPr="009110F7">
              <w:rPr>
                <w:color w:val="0D0D0D" w:themeColor="text1" w:themeTint="F2"/>
                <w:spacing w:val="-4"/>
              </w:rPr>
              <w:t>významná 2,3</w:t>
            </w:r>
            <w:r w:rsidR="00167CB9" w:rsidRPr="009110F7">
              <w:rPr>
                <w:color w:val="0D0D0D" w:themeColor="text1" w:themeTint="F2"/>
                <w:spacing w:val="-4"/>
              </w:rPr>
              <w:t> %</w:t>
            </w:r>
            <w:r w:rsidR="00492879" w:rsidRPr="009110F7">
              <w:rPr>
                <w:color w:val="0D0D0D" w:themeColor="text1" w:themeTint="F2"/>
                <w:spacing w:val="-4"/>
              </w:rPr>
              <w:t xml:space="preserve">, v meziročním </w:t>
            </w:r>
            <w:r w:rsidR="00492879" w:rsidRPr="009110F7">
              <w:rPr>
                <w:color w:val="0D0D0D" w:themeColor="text1" w:themeTint="F2"/>
                <w:spacing w:val="-2"/>
              </w:rPr>
              <w:lastRenderedPageBreak/>
              <w:t xml:space="preserve">vyjádření pak </w:t>
            </w:r>
            <w:r w:rsidR="00716F48" w:rsidRPr="009110F7">
              <w:rPr>
                <w:color w:val="0D0D0D" w:themeColor="text1" w:themeTint="F2"/>
                <w:spacing w:val="-2"/>
              </w:rPr>
              <w:t>o </w:t>
            </w:r>
            <w:r w:rsidR="00492879" w:rsidRPr="009110F7">
              <w:rPr>
                <w:color w:val="0D0D0D" w:themeColor="text1" w:themeTint="F2"/>
                <w:spacing w:val="-2"/>
              </w:rPr>
              <w:t>4,2</w:t>
            </w:r>
            <w:r w:rsidR="00167CB9" w:rsidRPr="009110F7">
              <w:rPr>
                <w:color w:val="0D0D0D" w:themeColor="text1" w:themeTint="F2"/>
                <w:spacing w:val="-2"/>
              </w:rPr>
              <w:t> %</w:t>
            </w:r>
            <w:r w:rsidR="00492879" w:rsidRPr="009110F7">
              <w:rPr>
                <w:color w:val="0D0D0D" w:themeColor="text1" w:themeTint="F2"/>
                <w:spacing w:val="-2"/>
              </w:rPr>
              <w:t xml:space="preserve"> (s</w:t>
            </w:r>
            <w:r w:rsidR="007B2011" w:rsidRPr="009110F7">
              <w:rPr>
                <w:color w:val="0D0D0D" w:themeColor="text1" w:themeTint="F2"/>
                <w:spacing w:val="-2"/>
              </w:rPr>
              <w:t>vižné růstové tempo si služby u</w:t>
            </w:r>
            <w:r w:rsidR="00492879" w:rsidRPr="009110F7">
              <w:rPr>
                <w:color w:val="0D0D0D" w:themeColor="text1" w:themeTint="F2"/>
                <w:spacing w:val="-2"/>
              </w:rPr>
              <w:t>d</w:t>
            </w:r>
            <w:r w:rsidR="007B2011" w:rsidRPr="009110F7">
              <w:rPr>
                <w:color w:val="0D0D0D" w:themeColor="text1" w:themeTint="F2"/>
                <w:spacing w:val="-2"/>
              </w:rPr>
              <w:t>r</w:t>
            </w:r>
            <w:r w:rsidR="00492879" w:rsidRPr="009110F7">
              <w:rPr>
                <w:color w:val="0D0D0D" w:themeColor="text1" w:themeTint="F2"/>
                <w:spacing w:val="-2"/>
              </w:rPr>
              <w:t xml:space="preserve">žovaly </w:t>
            </w:r>
            <w:r w:rsidR="00716F48" w:rsidRPr="009110F7">
              <w:rPr>
                <w:color w:val="0D0D0D" w:themeColor="text1" w:themeTint="F2"/>
                <w:spacing w:val="-2"/>
              </w:rPr>
              <w:t>i </w:t>
            </w:r>
            <w:r w:rsidR="00492879" w:rsidRPr="009110F7">
              <w:rPr>
                <w:color w:val="0D0D0D" w:themeColor="text1" w:themeTint="F2"/>
                <w:spacing w:val="-2"/>
              </w:rPr>
              <w:t>po většinu roku 2017).</w:t>
            </w:r>
            <w:r w:rsidR="00271022" w:rsidRPr="009110F7">
              <w:rPr>
                <w:color w:val="0D0D0D" w:themeColor="text1" w:themeTint="F2"/>
                <w:spacing w:val="-2"/>
              </w:rPr>
              <w:t xml:space="preserve"> </w:t>
            </w:r>
            <w:r w:rsidR="00716F48" w:rsidRPr="009110F7">
              <w:rPr>
                <w:color w:val="0D0D0D" w:themeColor="text1" w:themeTint="F2"/>
                <w:spacing w:val="-2"/>
              </w:rPr>
              <w:t>I </w:t>
            </w:r>
            <w:r w:rsidR="00271022" w:rsidRPr="009110F7">
              <w:rPr>
                <w:color w:val="0D0D0D" w:themeColor="text1" w:themeTint="F2"/>
                <w:spacing w:val="-2"/>
              </w:rPr>
              <w:t>přes značnou různorodost služeb probíhal rů</w:t>
            </w:r>
            <w:r w:rsidR="00FC05F8" w:rsidRPr="009110F7">
              <w:rPr>
                <w:color w:val="0D0D0D" w:themeColor="text1" w:themeTint="F2"/>
                <w:spacing w:val="-2"/>
              </w:rPr>
              <w:t>st napříč</w:t>
            </w:r>
            <w:r w:rsidR="00271022" w:rsidRPr="009110F7">
              <w:rPr>
                <w:color w:val="0D0D0D" w:themeColor="text1" w:themeTint="F2"/>
                <w:spacing w:val="-2"/>
              </w:rPr>
              <w:t xml:space="preserve"> všemi hlavními odvětvími</w:t>
            </w:r>
            <w:r w:rsidR="00271022" w:rsidRPr="009110F7">
              <w:rPr>
                <w:rStyle w:val="Znakapoznpodarou"/>
                <w:color w:val="0D0D0D" w:themeColor="text1" w:themeTint="F2"/>
                <w:spacing w:val="-2"/>
              </w:rPr>
              <w:footnoteReference w:id="17"/>
            </w:r>
            <w:r w:rsidR="00271022" w:rsidRPr="009110F7">
              <w:rPr>
                <w:color w:val="0D0D0D" w:themeColor="text1" w:themeTint="F2"/>
                <w:spacing w:val="-2"/>
              </w:rPr>
              <w:t>.</w:t>
            </w:r>
            <w:r w:rsidR="006F624B" w:rsidRPr="009110F7">
              <w:rPr>
                <w:color w:val="0D0D0D" w:themeColor="text1" w:themeTint="F2"/>
                <w:spacing w:val="-2"/>
              </w:rPr>
              <w:t xml:space="preserve"> Výjimkou by</w:t>
            </w:r>
            <w:r w:rsidR="00271022" w:rsidRPr="009110F7">
              <w:rPr>
                <w:color w:val="0D0D0D" w:themeColor="text1" w:themeTint="F2"/>
                <w:spacing w:val="-2"/>
              </w:rPr>
              <w:t>ly jen činnost</w:t>
            </w:r>
            <w:r w:rsidR="00BB5ABF">
              <w:rPr>
                <w:color w:val="0D0D0D" w:themeColor="text1" w:themeTint="F2"/>
                <w:spacing w:val="-2"/>
              </w:rPr>
              <w:t>i</w:t>
            </w:r>
            <w:r w:rsidR="00271022" w:rsidRPr="009110F7">
              <w:rPr>
                <w:color w:val="0D0D0D" w:themeColor="text1" w:themeTint="F2"/>
                <w:spacing w:val="-2"/>
              </w:rPr>
              <w:t xml:space="preserve"> v oblasti nemovitostí, kde však m</w:t>
            </w:r>
            <w:r w:rsidR="00656CFB" w:rsidRPr="009110F7">
              <w:rPr>
                <w:color w:val="0D0D0D" w:themeColor="text1" w:themeTint="F2"/>
                <w:spacing w:val="-2"/>
              </w:rPr>
              <w:t>írný pokles výkonů</w:t>
            </w:r>
            <w:r w:rsidR="00FC05F8" w:rsidRPr="009110F7">
              <w:rPr>
                <w:color w:val="0D0D0D" w:themeColor="text1" w:themeTint="F2"/>
                <w:spacing w:val="-2"/>
              </w:rPr>
              <w:t xml:space="preserve"> (</w:t>
            </w:r>
            <w:r w:rsidR="00CA37FF">
              <w:rPr>
                <w:color w:val="0D0D0D" w:themeColor="text1" w:themeTint="F2"/>
                <w:spacing w:val="-2"/>
              </w:rPr>
              <w:t>-</w:t>
            </w:r>
            <w:r w:rsidR="00FC05F8" w:rsidRPr="009110F7">
              <w:rPr>
                <w:color w:val="0D0D0D" w:themeColor="text1" w:themeTint="F2"/>
                <w:spacing w:val="-2"/>
              </w:rPr>
              <w:t>0,8</w:t>
            </w:r>
            <w:r w:rsidR="00167CB9" w:rsidRPr="009110F7">
              <w:rPr>
                <w:color w:val="0D0D0D" w:themeColor="text1" w:themeTint="F2"/>
                <w:spacing w:val="-2"/>
              </w:rPr>
              <w:t> %</w:t>
            </w:r>
            <w:r w:rsidR="00FC05F8" w:rsidRPr="009110F7">
              <w:rPr>
                <w:color w:val="0D0D0D" w:themeColor="text1" w:themeTint="F2"/>
                <w:spacing w:val="-2"/>
              </w:rPr>
              <w:t xml:space="preserve">) </w:t>
            </w:r>
            <w:r w:rsidR="006F624B" w:rsidRPr="009110F7">
              <w:rPr>
                <w:color w:val="0D0D0D" w:themeColor="text1" w:themeTint="F2"/>
                <w:spacing w:val="-2"/>
              </w:rPr>
              <w:t>přímo</w:t>
            </w:r>
            <w:r w:rsidR="00271022" w:rsidRPr="009110F7">
              <w:rPr>
                <w:color w:val="0D0D0D" w:themeColor="text1" w:themeTint="F2"/>
                <w:spacing w:val="-2"/>
              </w:rPr>
              <w:t xml:space="preserve"> nesouvisel s celkovou situací na realitním trhu.</w:t>
            </w:r>
            <w:r w:rsidR="00FC05F8" w:rsidRPr="009110F7">
              <w:rPr>
                <w:color w:val="0D0D0D" w:themeColor="text1" w:themeTint="F2"/>
                <w:spacing w:val="-2"/>
              </w:rPr>
              <w:t xml:space="preserve"> </w:t>
            </w:r>
            <w:r w:rsidR="004707FE" w:rsidRPr="009110F7">
              <w:rPr>
                <w:color w:val="0D0D0D" w:themeColor="text1" w:themeTint="F2"/>
                <w:spacing w:val="-2"/>
              </w:rPr>
              <w:t xml:space="preserve">Obdobně jako po většinu loňského roku táhlo </w:t>
            </w:r>
            <w:r w:rsidR="00716F48" w:rsidRPr="009110F7">
              <w:rPr>
                <w:color w:val="0D0D0D" w:themeColor="text1" w:themeTint="F2"/>
                <w:spacing w:val="-2"/>
              </w:rPr>
              <w:t>i </w:t>
            </w:r>
            <w:r w:rsidR="004707FE" w:rsidRPr="009110F7">
              <w:rPr>
                <w:color w:val="0D0D0D" w:themeColor="text1" w:themeTint="F2"/>
                <w:spacing w:val="-2"/>
              </w:rPr>
              <w:t>letos růst služeb nejvíce váhově</w:t>
            </w:r>
            <w:r w:rsidR="0012799C" w:rsidRPr="009110F7">
              <w:rPr>
                <w:color w:val="0D0D0D" w:themeColor="text1" w:themeTint="F2"/>
                <w:spacing w:val="-2"/>
              </w:rPr>
              <w:t xml:space="preserve"> dominantní odvět</w:t>
            </w:r>
            <w:r w:rsidR="004707FE" w:rsidRPr="009110F7">
              <w:rPr>
                <w:color w:val="0D0D0D" w:themeColor="text1" w:themeTint="F2"/>
                <w:spacing w:val="-2"/>
              </w:rPr>
              <w:t>v</w:t>
            </w:r>
            <w:r w:rsidR="0012799C" w:rsidRPr="009110F7">
              <w:rPr>
                <w:color w:val="0D0D0D" w:themeColor="text1" w:themeTint="F2"/>
                <w:spacing w:val="-2"/>
              </w:rPr>
              <w:t>í</w:t>
            </w:r>
            <w:r w:rsidR="004707FE" w:rsidRPr="009110F7">
              <w:rPr>
                <w:color w:val="0D0D0D" w:themeColor="text1" w:themeTint="F2"/>
                <w:spacing w:val="-2"/>
              </w:rPr>
              <w:t xml:space="preserve"> dopravy a skladování.</w:t>
            </w:r>
            <w:r w:rsidR="0012799C" w:rsidRPr="009110F7">
              <w:rPr>
                <w:color w:val="0D0D0D" w:themeColor="text1" w:themeTint="F2"/>
                <w:spacing w:val="-2"/>
              </w:rPr>
              <w:t xml:space="preserve"> Významná byla však </w:t>
            </w:r>
            <w:r w:rsidR="00716F48" w:rsidRPr="009110F7">
              <w:rPr>
                <w:color w:val="0D0D0D" w:themeColor="text1" w:themeTint="F2"/>
                <w:spacing w:val="-2"/>
              </w:rPr>
              <w:t>i </w:t>
            </w:r>
            <w:r w:rsidR="0012799C" w:rsidRPr="009110F7">
              <w:rPr>
                <w:color w:val="0D0D0D" w:themeColor="text1" w:themeTint="F2"/>
                <w:spacing w:val="-2"/>
              </w:rPr>
              <w:t xml:space="preserve">role </w:t>
            </w:r>
            <w:r w:rsidR="006F624B" w:rsidRPr="009110F7">
              <w:rPr>
                <w:color w:val="0D0D0D" w:themeColor="text1" w:themeTint="F2"/>
                <w:spacing w:val="-2"/>
              </w:rPr>
              <w:t>dynamicky</w:t>
            </w:r>
            <w:r w:rsidR="0012799C" w:rsidRPr="009110F7">
              <w:rPr>
                <w:color w:val="0D0D0D" w:themeColor="text1" w:themeTint="F2"/>
                <w:spacing w:val="-2"/>
              </w:rPr>
              <w:t xml:space="preserve"> rostoucích informačních </w:t>
            </w:r>
            <w:r w:rsidR="00716F48" w:rsidRPr="009110F7">
              <w:rPr>
                <w:color w:val="0D0D0D" w:themeColor="text1" w:themeTint="F2"/>
                <w:spacing w:val="-2"/>
              </w:rPr>
              <w:t>a </w:t>
            </w:r>
            <w:r w:rsidR="0012799C" w:rsidRPr="009110F7">
              <w:rPr>
                <w:color w:val="0D0D0D" w:themeColor="text1" w:themeTint="F2"/>
                <w:spacing w:val="-2"/>
              </w:rPr>
              <w:t xml:space="preserve">komunikačních činností, které se na růstu služeb podílely </w:t>
            </w:r>
            <w:r w:rsidR="00656CFB" w:rsidRPr="009110F7">
              <w:rPr>
                <w:color w:val="0D0D0D" w:themeColor="text1" w:themeTint="F2"/>
                <w:spacing w:val="-2"/>
              </w:rPr>
              <w:t>celou</w:t>
            </w:r>
            <w:r w:rsidR="0012799C" w:rsidRPr="009110F7">
              <w:rPr>
                <w:color w:val="0D0D0D" w:themeColor="text1" w:themeTint="F2"/>
                <w:spacing w:val="-2"/>
              </w:rPr>
              <w:t xml:space="preserve"> třetinou.</w:t>
            </w:r>
          </w:p>
        </w:tc>
      </w:tr>
      <w:tr w:rsidR="008C7569" w:rsidRPr="009110F7" w:rsidTr="00203CD5">
        <w:trPr>
          <w:trHeight w:val="145"/>
        </w:trPr>
        <w:tc>
          <w:tcPr>
            <w:tcW w:w="1879" w:type="dxa"/>
            <w:gridSpan w:val="2"/>
            <w:shd w:val="clear" w:color="auto" w:fill="auto"/>
            <w:tcMar>
              <w:left w:w="0" w:type="dxa"/>
            </w:tcMar>
          </w:tcPr>
          <w:p w:rsidR="00977C3D" w:rsidRPr="009110F7" w:rsidRDefault="00977C3D" w:rsidP="008417B5">
            <w:pPr>
              <w:pStyle w:val="Marginlie"/>
            </w:pPr>
            <w:r w:rsidRPr="009110F7">
              <w:lastRenderedPageBreak/>
              <w:t xml:space="preserve">Dobré výsledky průmyslu </w:t>
            </w:r>
            <w:r w:rsidR="00716F48" w:rsidRPr="009110F7">
              <w:t>i </w:t>
            </w:r>
            <w:r w:rsidRPr="009110F7">
              <w:t>obchodu udržovaly dynamický růst skladování (+8,5</w:t>
            </w:r>
            <w:r w:rsidR="00167CB9" w:rsidRPr="009110F7">
              <w:t> %</w:t>
            </w:r>
            <w:r w:rsidRPr="009110F7">
              <w:t xml:space="preserve">), tempo v pozemní </w:t>
            </w:r>
            <w:r w:rsidR="00716F48" w:rsidRPr="009110F7">
              <w:t>a </w:t>
            </w:r>
            <w:r w:rsidRPr="009110F7">
              <w:t>pot</w:t>
            </w:r>
            <w:r w:rsidR="007B2011" w:rsidRPr="009110F7">
              <w:t>rubní dopravě bylo nej</w:t>
            </w:r>
            <w:r w:rsidR="00B16EB8">
              <w:t>vyš</w:t>
            </w:r>
            <w:r w:rsidR="007B2011" w:rsidRPr="009110F7">
              <w:t>ší z</w:t>
            </w:r>
            <w:r w:rsidRPr="009110F7">
              <w:t>a posledních deset čtvrtletí.</w:t>
            </w:r>
          </w:p>
          <w:p w:rsidR="00977C3D" w:rsidRPr="009110F7" w:rsidRDefault="00977C3D" w:rsidP="008417B5">
            <w:pPr>
              <w:pStyle w:val="Marginlie"/>
            </w:pPr>
          </w:p>
          <w:p w:rsidR="00977C3D" w:rsidRPr="009110F7" w:rsidRDefault="00977C3D" w:rsidP="008417B5">
            <w:pPr>
              <w:pStyle w:val="Marginlie"/>
            </w:pPr>
          </w:p>
          <w:p w:rsidR="00977C3D" w:rsidRPr="009110F7" w:rsidRDefault="00977C3D" w:rsidP="008417B5">
            <w:pPr>
              <w:pStyle w:val="Marginlie"/>
            </w:pPr>
          </w:p>
          <w:p w:rsidR="00977C3D" w:rsidRPr="009110F7" w:rsidRDefault="00977C3D" w:rsidP="008417B5">
            <w:pPr>
              <w:pStyle w:val="Marginlie"/>
            </w:pPr>
          </w:p>
          <w:p w:rsidR="007B2011" w:rsidRPr="009110F7" w:rsidRDefault="007B2011" w:rsidP="008417B5">
            <w:pPr>
              <w:pStyle w:val="Marginlie"/>
            </w:pPr>
          </w:p>
          <w:p w:rsidR="007B2011" w:rsidRPr="009110F7" w:rsidRDefault="007B2011" w:rsidP="008417B5">
            <w:pPr>
              <w:pStyle w:val="Marginlie"/>
            </w:pPr>
          </w:p>
          <w:p w:rsidR="007B2011" w:rsidRPr="009110F7" w:rsidRDefault="007B2011" w:rsidP="008417B5">
            <w:pPr>
              <w:pStyle w:val="Marginlie"/>
            </w:pPr>
          </w:p>
          <w:p w:rsidR="007B2011" w:rsidRPr="009110F7" w:rsidRDefault="007B2011" w:rsidP="008417B5">
            <w:pPr>
              <w:pStyle w:val="Marginlie"/>
            </w:pPr>
          </w:p>
          <w:p w:rsidR="007B2011" w:rsidRPr="009110F7" w:rsidRDefault="007B2011" w:rsidP="008417B5">
            <w:pPr>
              <w:pStyle w:val="Marginlie"/>
            </w:pPr>
          </w:p>
          <w:p w:rsidR="007B2011" w:rsidRPr="009110F7" w:rsidRDefault="007B2011" w:rsidP="008417B5">
            <w:pPr>
              <w:pStyle w:val="Marginlie"/>
            </w:pPr>
          </w:p>
          <w:p w:rsidR="008C7569" w:rsidRPr="009110F7" w:rsidRDefault="007B2011" w:rsidP="008417B5">
            <w:pPr>
              <w:pStyle w:val="Marginlie"/>
            </w:pPr>
            <w:r w:rsidRPr="009110F7">
              <w:t xml:space="preserve">Přetrvávající vysoká dynamika příjezdového cestovního ruchu se promítla v tržbách cestovních agentur </w:t>
            </w:r>
            <w:r w:rsidR="00716F48" w:rsidRPr="009110F7">
              <w:t>a </w:t>
            </w:r>
            <w:r w:rsidRPr="009110F7">
              <w:t>kanceláří.</w:t>
            </w:r>
            <w:r w:rsidR="00977C3D" w:rsidRPr="009110F7">
              <w:t xml:space="preserve"> </w:t>
            </w:r>
          </w:p>
        </w:tc>
        <w:tc>
          <w:tcPr>
            <w:tcW w:w="247" w:type="dxa"/>
            <w:gridSpan w:val="2"/>
            <w:shd w:val="clear" w:color="auto" w:fill="auto"/>
            <w:tcMar>
              <w:left w:w="0" w:type="dxa"/>
            </w:tcMar>
          </w:tcPr>
          <w:p w:rsidR="008C7569" w:rsidRPr="009110F7" w:rsidRDefault="008C7569" w:rsidP="008417B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18" w:type="dxa"/>
            <w:shd w:val="clear" w:color="auto" w:fill="auto"/>
            <w:tcMar>
              <w:left w:w="0" w:type="dxa"/>
            </w:tcMar>
          </w:tcPr>
          <w:p w:rsidR="008C7569" w:rsidRPr="009110F7" w:rsidRDefault="00B81D70" w:rsidP="00AC2960">
            <w:pPr>
              <w:spacing w:after="200"/>
              <w:rPr>
                <w:spacing w:val="-2"/>
                <w:szCs w:val="20"/>
              </w:rPr>
            </w:pPr>
            <w:r w:rsidRPr="009110F7">
              <w:rPr>
                <w:color w:val="000000" w:themeColor="text1"/>
                <w:spacing w:val="-2"/>
              </w:rPr>
              <w:t xml:space="preserve">K růstu tržeb v dopravě </w:t>
            </w:r>
            <w:r w:rsidR="00716F48" w:rsidRPr="009110F7">
              <w:rPr>
                <w:color w:val="000000" w:themeColor="text1"/>
                <w:spacing w:val="-2"/>
              </w:rPr>
              <w:t>a </w:t>
            </w:r>
            <w:r w:rsidRPr="009110F7">
              <w:rPr>
                <w:color w:val="000000" w:themeColor="text1"/>
                <w:spacing w:val="-2"/>
              </w:rPr>
              <w:t>skladování (+5,4</w:t>
            </w:r>
            <w:r w:rsidR="00167CB9" w:rsidRPr="009110F7">
              <w:rPr>
                <w:color w:val="000000" w:themeColor="text1"/>
                <w:spacing w:val="-2"/>
              </w:rPr>
              <w:t> %</w:t>
            </w:r>
            <w:r w:rsidRPr="009110F7">
              <w:rPr>
                <w:color w:val="000000" w:themeColor="text1"/>
                <w:spacing w:val="-2"/>
              </w:rPr>
              <w:t>) přispěly v 1</w:t>
            </w:r>
            <w:r w:rsidR="00716F48" w:rsidRPr="009110F7">
              <w:rPr>
                <w:color w:val="000000" w:themeColor="text1"/>
                <w:spacing w:val="-2"/>
              </w:rPr>
              <w:t>. čtvrt</w:t>
            </w:r>
            <w:r w:rsidRPr="009110F7">
              <w:rPr>
                <w:color w:val="000000" w:themeColor="text1"/>
                <w:spacing w:val="-2"/>
              </w:rPr>
              <w:t>letí</w:t>
            </w:r>
            <w:r w:rsidR="006F624B" w:rsidRPr="009110F7">
              <w:rPr>
                <w:color w:val="000000" w:themeColor="text1"/>
                <w:spacing w:val="-2"/>
              </w:rPr>
              <w:t xml:space="preserve"> nejvíce skladování a </w:t>
            </w:r>
            <w:r w:rsidRPr="009110F7">
              <w:rPr>
                <w:color w:val="000000" w:themeColor="text1"/>
                <w:spacing w:val="-2"/>
              </w:rPr>
              <w:t xml:space="preserve">vedlejší činnosti v dopravě, jež profitovaly </w:t>
            </w:r>
            <w:r w:rsidR="00544BE5">
              <w:rPr>
                <w:color w:val="000000" w:themeColor="text1"/>
                <w:spacing w:val="-2"/>
              </w:rPr>
              <w:t>z </w:t>
            </w:r>
            <w:r w:rsidR="005E4BC9" w:rsidRPr="009110F7">
              <w:rPr>
                <w:color w:val="000000" w:themeColor="text1"/>
                <w:spacing w:val="-2"/>
              </w:rPr>
              <w:t>dynamického vývoje v průmyslu i </w:t>
            </w:r>
            <w:r w:rsidRPr="009110F7">
              <w:rPr>
                <w:color w:val="000000" w:themeColor="text1"/>
                <w:spacing w:val="-2"/>
              </w:rPr>
              <w:t>obchodu. Dobré výsledky zaznamenaly všechny hlavní druhy dopravy, vyjma letecké, jejíž výkon se po výrazném oživení v loňském ro</w:t>
            </w:r>
            <w:r w:rsidR="007B2011" w:rsidRPr="009110F7">
              <w:rPr>
                <w:color w:val="000000" w:themeColor="text1"/>
                <w:spacing w:val="-2"/>
              </w:rPr>
              <w:t>ce letos opět snížil. Tempo trž</w:t>
            </w:r>
            <w:r w:rsidRPr="009110F7">
              <w:rPr>
                <w:color w:val="000000" w:themeColor="text1"/>
                <w:spacing w:val="-2"/>
              </w:rPr>
              <w:t xml:space="preserve">eb ve váhově nejvýznamnější pozemní </w:t>
            </w:r>
            <w:r w:rsidR="00716F48" w:rsidRPr="009110F7">
              <w:rPr>
                <w:color w:val="000000" w:themeColor="text1"/>
                <w:spacing w:val="-2"/>
              </w:rPr>
              <w:t>a </w:t>
            </w:r>
            <w:r w:rsidRPr="009110F7">
              <w:rPr>
                <w:color w:val="000000" w:themeColor="text1"/>
                <w:spacing w:val="-2"/>
              </w:rPr>
              <w:t>potrubní dopravě vystoupalo na +4,3</w:t>
            </w:r>
            <w:r w:rsidR="00167CB9" w:rsidRPr="009110F7">
              <w:rPr>
                <w:color w:val="000000" w:themeColor="text1"/>
                <w:spacing w:val="-2"/>
              </w:rPr>
              <w:t> %</w:t>
            </w:r>
            <w:r w:rsidRPr="009110F7">
              <w:rPr>
                <w:color w:val="000000" w:themeColor="text1"/>
                <w:spacing w:val="-2"/>
              </w:rPr>
              <w:t xml:space="preserve">, nejvíce za posledních deset čtvrtletí. </w:t>
            </w:r>
            <w:r w:rsidR="00F767A8" w:rsidRPr="009110F7">
              <w:rPr>
                <w:color w:val="000000" w:themeColor="text1"/>
                <w:spacing w:val="-2"/>
              </w:rPr>
              <w:t xml:space="preserve">Dařilo se především silniční nákladní dopravě, odvětví ale pomáhal </w:t>
            </w:r>
            <w:r w:rsidR="00716F48" w:rsidRPr="009110F7">
              <w:rPr>
                <w:color w:val="000000" w:themeColor="text1"/>
                <w:spacing w:val="-2"/>
              </w:rPr>
              <w:t>i </w:t>
            </w:r>
            <w:r w:rsidR="00F767A8" w:rsidRPr="009110F7">
              <w:rPr>
                <w:color w:val="000000" w:themeColor="text1"/>
                <w:spacing w:val="-2"/>
              </w:rPr>
              <w:t xml:space="preserve">rozvoj cestovního ruchu. </w:t>
            </w:r>
            <w:r w:rsidR="006F624B" w:rsidRPr="009110F7">
              <w:rPr>
                <w:color w:val="000000" w:themeColor="text1"/>
                <w:spacing w:val="-2"/>
              </w:rPr>
              <w:t xml:space="preserve">Patrně se </w:t>
            </w:r>
            <w:r w:rsidR="00F767A8" w:rsidRPr="009110F7">
              <w:rPr>
                <w:color w:val="000000" w:themeColor="text1"/>
                <w:spacing w:val="-2"/>
              </w:rPr>
              <w:t>projevi</w:t>
            </w:r>
            <w:r w:rsidR="006F624B" w:rsidRPr="009110F7">
              <w:rPr>
                <w:color w:val="000000" w:themeColor="text1"/>
                <w:spacing w:val="-2"/>
              </w:rPr>
              <w:t>la</w:t>
            </w:r>
            <w:r w:rsidR="00F767A8" w:rsidRPr="009110F7">
              <w:rPr>
                <w:color w:val="000000" w:themeColor="text1"/>
                <w:spacing w:val="-2"/>
              </w:rPr>
              <w:t xml:space="preserve"> </w:t>
            </w:r>
            <w:r w:rsidR="00894C5D">
              <w:rPr>
                <w:color w:val="000000" w:themeColor="text1"/>
                <w:spacing w:val="-2"/>
              </w:rPr>
              <w:t xml:space="preserve">také </w:t>
            </w:r>
            <w:r w:rsidR="00F767A8" w:rsidRPr="009110F7">
              <w:rPr>
                <w:color w:val="000000" w:themeColor="text1"/>
                <w:spacing w:val="-2"/>
              </w:rPr>
              <w:t xml:space="preserve">vyšší dojížďka za prací ve vazbě na rekordní počet zaměstnaných. </w:t>
            </w:r>
            <w:r w:rsidR="00D133B4" w:rsidRPr="009110F7">
              <w:rPr>
                <w:color w:val="000000" w:themeColor="text1"/>
                <w:spacing w:val="-2"/>
              </w:rPr>
              <w:t xml:space="preserve">V růstu tržeb v odvětví </w:t>
            </w:r>
            <w:r w:rsidR="00D133B4" w:rsidRPr="009110F7">
              <w:rPr>
                <w:color w:val="0D0D0D" w:themeColor="text1" w:themeTint="F2"/>
                <w:spacing w:val="-2"/>
              </w:rPr>
              <w:t>informa</w:t>
            </w:r>
            <w:r w:rsidR="005F04A7" w:rsidRPr="009110F7">
              <w:rPr>
                <w:color w:val="0D0D0D" w:themeColor="text1" w:themeTint="F2"/>
                <w:spacing w:val="-2"/>
              </w:rPr>
              <w:t>čních a </w:t>
            </w:r>
            <w:r w:rsidR="00D133B4" w:rsidRPr="009110F7">
              <w:rPr>
                <w:color w:val="0D0D0D" w:themeColor="text1" w:themeTint="F2"/>
                <w:spacing w:val="-2"/>
              </w:rPr>
              <w:t>komunikačních činností (+6,5</w:t>
            </w:r>
            <w:r w:rsidR="00167CB9" w:rsidRPr="009110F7">
              <w:rPr>
                <w:color w:val="0D0D0D" w:themeColor="text1" w:themeTint="F2"/>
                <w:spacing w:val="-2"/>
              </w:rPr>
              <w:t> %</w:t>
            </w:r>
            <w:r w:rsidR="00D133B4" w:rsidRPr="009110F7">
              <w:rPr>
                <w:color w:val="0D0D0D" w:themeColor="text1" w:themeTint="F2"/>
                <w:spacing w:val="-2"/>
              </w:rPr>
              <w:t>) se nejv</w:t>
            </w:r>
            <w:r w:rsidR="006F624B" w:rsidRPr="009110F7">
              <w:rPr>
                <w:color w:val="0D0D0D" w:themeColor="text1" w:themeTint="F2"/>
                <w:spacing w:val="-2"/>
              </w:rPr>
              <w:t>íce uplatni</w:t>
            </w:r>
            <w:r w:rsidR="00D133B4" w:rsidRPr="009110F7">
              <w:rPr>
                <w:color w:val="0D0D0D" w:themeColor="text1" w:themeTint="F2"/>
                <w:spacing w:val="-2"/>
              </w:rPr>
              <w:t xml:space="preserve">l vliv činností v oblasti IT </w:t>
            </w:r>
            <w:r w:rsidR="005F04A7" w:rsidRPr="009110F7">
              <w:rPr>
                <w:color w:val="0D0D0D" w:themeColor="text1" w:themeTint="F2"/>
                <w:spacing w:val="-2"/>
              </w:rPr>
              <w:t>(</w:t>
            </w:r>
            <w:r w:rsidR="007B11FA" w:rsidRPr="009110F7">
              <w:rPr>
                <w:color w:val="0D0D0D" w:themeColor="text1" w:themeTint="F2"/>
                <w:spacing w:val="-2"/>
              </w:rPr>
              <w:t>programování, správa počítačového vybavení), vyšší výkony ale letos zaznamenaly všechny odvětvové oddíly (v</w:t>
            </w:r>
            <w:r w:rsidR="00167CB9" w:rsidRPr="009110F7">
              <w:rPr>
                <w:color w:val="0D0D0D" w:themeColor="text1" w:themeTint="F2"/>
                <w:spacing w:val="-2"/>
              </w:rPr>
              <w:t>č.</w:t>
            </w:r>
            <w:r w:rsidR="00B16EB8">
              <w:rPr>
                <w:color w:val="0D0D0D" w:themeColor="text1" w:themeTint="F2"/>
                <w:spacing w:val="-2"/>
              </w:rPr>
              <w:t> </w:t>
            </w:r>
            <w:r w:rsidR="007B11FA" w:rsidRPr="009110F7">
              <w:rPr>
                <w:color w:val="0D0D0D" w:themeColor="text1" w:themeTint="F2"/>
                <w:spacing w:val="-2"/>
              </w:rPr>
              <w:t xml:space="preserve">nejdynamičtěji rostoucího oboru informačních činností). </w:t>
            </w:r>
            <w:r w:rsidR="00716F48" w:rsidRPr="009110F7">
              <w:rPr>
                <w:color w:val="0D0D0D" w:themeColor="text1" w:themeTint="F2"/>
                <w:spacing w:val="-2"/>
              </w:rPr>
              <w:t>V </w:t>
            </w:r>
            <w:r w:rsidR="007B11FA" w:rsidRPr="009110F7">
              <w:rPr>
                <w:color w:val="0D0D0D" w:themeColor="text1" w:themeTint="F2"/>
                <w:spacing w:val="-2"/>
              </w:rPr>
              <w:t xml:space="preserve">ubytování, stravování </w:t>
            </w:r>
            <w:r w:rsidR="00716F48" w:rsidRPr="009110F7">
              <w:rPr>
                <w:color w:val="0D0D0D" w:themeColor="text1" w:themeTint="F2"/>
                <w:spacing w:val="-2"/>
              </w:rPr>
              <w:t>a </w:t>
            </w:r>
            <w:r w:rsidR="007B11FA" w:rsidRPr="009110F7">
              <w:rPr>
                <w:color w:val="0D0D0D" w:themeColor="text1" w:themeTint="F2"/>
                <w:spacing w:val="-2"/>
              </w:rPr>
              <w:t xml:space="preserve">pohostinství </w:t>
            </w:r>
            <w:r w:rsidR="002A016B" w:rsidRPr="009110F7">
              <w:rPr>
                <w:color w:val="0D0D0D" w:themeColor="text1" w:themeTint="F2"/>
                <w:spacing w:val="-2"/>
              </w:rPr>
              <w:t xml:space="preserve">posílily tržby </w:t>
            </w:r>
            <w:r w:rsidR="00634CE7" w:rsidRPr="009110F7">
              <w:rPr>
                <w:color w:val="0D0D0D" w:themeColor="text1" w:themeTint="F2"/>
                <w:spacing w:val="-2"/>
              </w:rPr>
              <w:t>navzdory silnému rozvoji cestovního ruchu</w:t>
            </w:r>
            <w:r w:rsidR="00634CE7" w:rsidRPr="009110F7">
              <w:rPr>
                <w:rStyle w:val="Znakapoznpodarou"/>
                <w:color w:val="0D0D0D" w:themeColor="text1" w:themeTint="F2"/>
                <w:spacing w:val="-2"/>
              </w:rPr>
              <w:footnoteReference w:id="18"/>
            </w:r>
            <w:r w:rsidR="002A016B" w:rsidRPr="009110F7">
              <w:rPr>
                <w:color w:val="0D0D0D" w:themeColor="text1" w:themeTint="F2"/>
                <w:spacing w:val="-2"/>
              </w:rPr>
              <w:t xml:space="preserve"> jen </w:t>
            </w:r>
            <w:r w:rsidR="00716F48" w:rsidRPr="009110F7">
              <w:rPr>
                <w:color w:val="0D0D0D" w:themeColor="text1" w:themeTint="F2"/>
                <w:spacing w:val="-2"/>
              </w:rPr>
              <w:t>o </w:t>
            </w:r>
            <w:r w:rsidR="002A016B" w:rsidRPr="009110F7">
              <w:rPr>
                <w:color w:val="0D0D0D" w:themeColor="text1" w:themeTint="F2"/>
                <w:spacing w:val="-2"/>
              </w:rPr>
              <w:t>2,7</w:t>
            </w:r>
            <w:r w:rsidR="00167CB9" w:rsidRPr="009110F7">
              <w:rPr>
                <w:color w:val="0D0D0D" w:themeColor="text1" w:themeTint="F2"/>
                <w:spacing w:val="-2"/>
              </w:rPr>
              <w:t> %</w:t>
            </w:r>
            <w:r w:rsidR="002A016B" w:rsidRPr="009110F7">
              <w:rPr>
                <w:color w:val="0D0D0D" w:themeColor="text1" w:themeTint="F2"/>
                <w:spacing w:val="-2"/>
              </w:rPr>
              <w:t xml:space="preserve">. Projevil se efekt vysoké srovnávací základny ovlivněné </w:t>
            </w:r>
            <w:r w:rsidR="00716F48" w:rsidRPr="009110F7">
              <w:rPr>
                <w:color w:val="0D0D0D" w:themeColor="text1" w:themeTint="F2"/>
                <w:spacing w:val="-2"/>
              </w:rPr>
              <w:t>i </w:t>
            </w:r>
            <w:r w:rsidR="002A016B" w:rsidRPr="009110F7">
              <w:rPr>
                <w:color w:val="0D0D0D" w:themeColor="text1" w:themeTint="F2"/>
                <w:spacing w:val="-2"/>
              </w:rPr>
              <w:t>legislativními vlivy</w:t>
            </w:r>
            <w:r w:rsidR="00AF5179" w:rsidRPr="009110F7">
              <w:rPr>
                <w:color w:val="0D0D0D" w:themeColor="text1" w:themeTint="F2"/>
                <w:spacing w:val="-2"/>
              </w:rPr>
              <w:t xml:space="preserve"> související</w:t>
            </w:r>
            <w:r w:rsidR="00A81652" w:rsidRPr="009110F7">
              <w:rPr>
                <w:color w:val="0D0D0D" w:themeColor="text1" w:themeTint="F2"/>
                <w:spacing w:val="-2"/>
              </w:rPr>
              <w:t>mi</w:t>
            </w:r>
            <w:r w:rsidR="00AF5179" w:rsidRPr="009110F7">
              <w:rPr>
                <w:color w:val="0D0D0D" w:themeColor="text1" w:themeTint="F2"/>
                <w:spacing w:val="-2"/>
              </w:rPr>
              <w:t xml:space="preserve"> s výběrem daně. </w:t>
            </w:r>
            <w:r w:rsidR="00DC56FE">
              <w:rPr>
                <w:color w:val="0D0D0D" w:themeColor="text1" w:themeTint="F2"/>
                <w:spacing w:val="-2"/>
              </w:rPr>
              <w:t>K</w:t>
            </w:r>
            <w:r w:rsidR="00AC2960">
              <w:rPr>
                <w:color w:val="0D0D0D" w:themeColor="text1" w:themeTint="F2"/>
                <w:spacing w:val="-2"/>
              </w:rPr>
              <w:t> růstu p</w:t>
            </w:r>
            <w:r w:rsidR="006F624B" w:rsidRPr="009110F7">
              <w:rPr>
                <w:color w:val="0D0D0D" w:themeColor="text1" w:themeTint="F2"/>
                <w:spacing w:val="-2"/>
              </w:rPr>
              <w:t>rofesní</w:t>
            </w:r>
            <w:r w:rsidR="00AC2960">
              <w:rPr>
                <w:color w:val="0D0D0D" w:themeColor="text1" w:themeTint="F2"/>
                <w:spacing w:val="-2"/>
              </w:rPr>
              <w:t>ch, vědeckých</w:t>
            </w:r>
            <w:r w:rsidR="005F466B" w:rsidRPr="009110F7">
              <w:rPr>
                <w:color w:val="0D0D0D" w:themeColor="text1" w:themeTint="F2"/>
                <w:spacing w:val="-2"/>
              </w:rPr>
              <w:t xml:space="preserve"> a </w:t>
            </w:r>
            <w:r w:rsidR="00AC2960">
              <w:rPr>
                <w:color w:val="0D0D0D" w:themeColor="text1" w:themeTint="F2"/>
                <w:spacing w:val="-2"/>
              </w:rPr>
              <w:t>technických činností</w:t>
            </w:r>
            <w:r w:rsidR="00925429" w:rsidRPr="009110F7">
              <w:rPr>
                <w:color w:val="0D0D0D" w:themeColor="text1" w:themeTint="F2"/>
                <w:spacing w:val="-2"/>
              </w:rPr>
              <w:t xml:space="preserve"> </w:t>
            </w:r>
            <w:r w:rsidR="00057B1E" w:rsidRPr="009110F7">
              <w:rPr>
                <w:color w:val="0D0D0D" w:themeColor="text1" w:themeTint="F2"/>
                <w:spacing w:val="-2"/>
              </w:rPr>
              <w:t>(+3,6</w:t>
            </w:r>
            <w:r w:rsidR="00167CB9" w:rsidRPr="009110F7">
              <w:rPr>
                <w:color w:val="0D0D0D" w:themeColor="text1" w:themeTint="F2"/>
                <w:spacing w:val="-2"/>
              </w:rPr>
              <w:t> %</w:t>
            </w:r>
            <w:r w:rsidR="00057B1E" w:rsidRPr="009110F7">
              <w:rPr>
                <w:color w:val="0D0D0D" w:themeColor="text1" w:themeTint="F2"/>
                <w:spacing w:val="-2"/>
              </w:rPr>
              <w:t xml:space="preserve">) </w:t>
            </w:r>
            <w:r w:rsidR="00AC2960">
              <w:rPr>
                <w:color w:val="0D0D0D" w:themeColor="text1" w:themeTint="F2"/>
                <w:spacing w:val="-2"/>
              </w:rPr>
              <w:t xml:space="preserve">přispěla silnější poptávka po projektových činnostech (ve vazbě na růst </w:t>
            </w:r>
            <w:r w:rsidR="00057B1E" w:rsidRPr="009110F7">
              <w:rPr>
                <w:color w:val="0D0D0D" w:themeColor="text1" w:themeTint="F2"/>
                <w:spacing w:val="-2"/>
              </w:rPr>
              <w:t>stavebnictví</w:t>
            </w:r>
            <w:r w:rsidR="00AC2960">
              <w:rPr>
                <w:color w:val="0D0D0D" w:themeColor="text1" w:themeTint="F2"/>
                <w:spacing w:val="-2"/>
              </w:rPr>
              <w:t xml:space="preserve">), dařilo se i právním a účetnickým činnostem či </w:t>
            </w:r>
            <w:r w:rsidR="00C61F47" w:rsidRPr="00C61F47">
              <w:rPr>
                <w:color w:val="0D0D0D" w:themeColor="text1" w:themeTint="F2"/>
                <w:spacing w:val="-2"/>
              </w:rPr>
              <w:t>poradenství v oblasti řízení</w:t>
            </w:r>
            <w:r w:rsidR="00C61F47">
              <w:rPr>
                <w:color w:val="0D0D0D" w:themeColor="text1" w:themeTint="F2"/>
                <w:spacing w:val="-2"/>
              </w:rPr>
              <w:t xml:space="preserve">. </w:t>
            </w:r>
            <w:r w:rsidR="007B2011" w:rsidRPr="009110F7">
              <w:rPr>
                <w:color w:val="0D0D0D" w:themeColor="text1" w:themeTint="F2"/>
                <w:spacing w:val="-2"/>
              </w:rPr>
              <w:t>Méně naopak utržili</w:t>
            </w:r>
            <w:r w:rsidR="00057B1E" w:rsidRPr="009110F7">
              <w:rPr>
                <w:color w:val="0D0D0D" w:themeColor="text1" w:themeTint="F2"/>
                <w:spacing w:val="-2"/>
              </w:rPr>
              <w:t xml:space="preserve"> poskytovatelé reklamních činností. </w:t>
            </w:r>
            <w:r w:rsidR="005E4BC9" w:rsidRPr="009110F7">
              <w:rPr>
                <w:color w:val="0D0D0D" w:themeColor="text1" w:themeTint="F2"/>
                <w:spacing w:val="-2"/>
              </w:rPr>
              <w:t xml:space="preserve">V administrativních </w:t>
            </w:r>
            <w:r w:rsidR="00716F48" w:rsidRPr="009110F7">
              <w:rPr>
                <w:color w:val="0D0D0D" w:themeColor="text1" w:themeTint="F2"/>
                <w:spacing w:val="-2"/>
              </w:rPr>
              <w:t>a </w:t>
            </w:r>
            <w:r w:rsidR="005E4BC9" w:rsidRPr="009110F7">
              <w:rPr>
                <w:color w:val="0D0D0D" w:themeColor="text1" w:themeTint="F2"/>
                <w:spacing w:val="-2"/>
              </w:rPr>
              <w:t>podpůrných činnostech přispívaly k vyšším výkonům (+2,8</w:t>
            </w:r>
            <w:r w:rsidR="00167CB9" w:rsidRPr="009110F7">
              <w:rPr>
                <w:color w:val="0D0D0D" w:themeColor="text1" w:themeTint="F2"/>
                <w:spacing w:val="-2"/>
              </w:rPr>
              <w:t> %</w:t>
            </w:r>
            <w:r w:rsidR="005E4BC9" w:rsidRPr="009110F7">
              <w:rPr>
                <w:color w:val="0D0D0D" w:themeColor="text1" w:themeTint="F2"/>
                <w:spacing w:val="-2"/>
              </w:rPr>
              <w:t xml:space="preserve">) hlavně cestovní </w:t>
            </w:r>
            <w:r w:rsidR="007B2011" w:rsidRPr="009110F7">
              <w:rPr>
                <w:color w:val="0D0D0D" w:themeColor="text1" w:themeTint="F2"/>
                <w:spacing w:val="-2"/>
              </w:rPr>
              <w:t xml:space="preserve">agentury </w:t>
            </w:r>
            <w:r w:rsidR="00716F48" w:rsidRPr="009110F7">
              <w:rPr>
                <w:color w:val="0D0D0D" w:themeColor="text1" w:themeTint="F2"/>
                <w:spacing w:val="-2"/>
              </w:rPr>
              <w:t>a </w:t>
            </w:r>
            <w:r w:rsidR="007B2011" w:rsidRPr="009110F7">
              <w:rPr>
                <w:color w:val="0D0D0D" w:themeColor="text1" w:themeTint="F2"/>
                <w:spacing w:val="-2"/>
              </w:rPr>
              <w:t>kanceláře</w:t>
            </w:r>
            <w:r w:rsidR="005E4BC9" w:rsidRPr="009110F7">
              <w:rPr>
                <w:color w:val="0D0D0D" w:themeColor="text1" w:themeTint="F2"/>
                <w:spacing w:val="-2"/>
              </w:rPr>
              <w:t>, jejichž růst tržeb trval již sedmé čtvrtletí v řadě. Výrazné zvolnění dlouhodobě dynamicky rostoucích pracovních agentur souvisel</w:t>
            </w:r>
            <w:r w:rsidR="00B16EB8">
              <w:rPr>
                <w:color w:val="0D0D0D" w:themeColor="text1" w:themeTint="F2"/>
                <w:spacing w:val="-2"/>
              </w:rPr>
              <w:t>o</w:t>
            </w:r>
            <w:r w:rsidR="005E4BC9" w:rsidRPr="009110F7">
              <w:rPr>
                <w:color w:val="0D0D0D" w:themeColor="text1" w:themeTint="F2"/>
                <w:spacing w:val="-2"/>
              </w:rPr>
              <w:t xml:space="preserve"> s legislativními </w:t>
            </w:r>
            <w:r w:rsidR="00716F48" w:rsidRPr="009110F7">
              <w:rPr>
                <w:color w:val="0D0D0D" w:themeColor="text1" w:themeTint="F2"/>
                <w:spacing w:val="-2"/>
              </w:rPr>
              <w:t>i </w:t>
            </w:r>
            <w:r w:rsidR="005E4BC9" w:rsidRPr="009110F7">
              <w:rPr>
                <w:color w:val="0D0D0D" w:themeColor="text1" w:themeTint="F2"/>
                <w:spacing w:val="-2"/>
              </w:rPr>
              <w:t>cenovými vlivy (</w:t>
            </w:r>
            <w:r w:rsidR="00716F48" w:rsidRPr="009110F7">
              <w:rPr>
                <w:color w:val="0D0D0D" w:themeColor="text1" w:themeTint="F2"/>
                <w:spacing w:val="-2"/>
              </w:rPr>
              <w:t>v </w:t>
            </w:r>
            <w:r w:rsidR="005E4BC9" w:rsidRPr="009110F7">
              <w:rPr>
                <w:color w:val="0D0D0D" w:themeColor="text1" w:themeTint="F2"/>
                <w:spacing w:val="-2"/>
              </w:rPr>
              <w:t xml:space="preserve">běžných cenách dvojciferný růst tržeb pokračoval). </w:t>
            </w:r>
          </w:p>
        </w:tc>
      </w:tr>
      <w:tr w:rsidR="008C7569" w:rsidRPr="009110F7" w:rsidTr="00203CD5">
        <w:trPr>
          <w:trHeight w:val="145"/>
        </w:trPr>
        <w:tc>
          <w:tcPr>
            <w:tcW w:w="1879" w:type="dxa"/>
            <w:gridSpan w:val="2"/>
            <w:shd w:val="clear" w:color="auto" w:fill="auto"/>
            <w:tcMar>
              <w:left w:w="0" w:type="dxa"/>
            </w:tcMar>
          </w:tcPr>
          <w:p w:rsidR="00D8598C" w:rsidRPr="009110F7" w:rsidRDefault="00D8598C" w:rsidP="008417B5">
            <w:pPr>
              <w:pStyle w:val="Marginlie"/>
            </w:pPr>
            <w:r w:rsidRPr="009110F7">
              <w:t>Tržby v maloobchodu odrážely velmi optimistické naladění spotřebitelů. Meziročně vzrostly nejvíce za posledních jedenáct let.</w:t>
            </w:r>
          </w:p>
          <w:p w:rsidR="00D8598C" w:rsidRPr="009110F7" w:rsidRDefault="00D8598C" w:rsidP="008417B5">
            <w:pPr>
              <w:pStyle w:val="Marginlie"/>
            </w:pPr>
          </w:p>
          <w:p w:rsidR="00D8598C" w:rsidRPr="009110F7" w:rsidRDefault="00D8598C" w:rsidP="008417B5">
            <w:pPr>
              <w:pStyle w:val="Marginlie"/>
            </w:pPr>
          </w:p>
          <w:p w:rsidR="00D8598C" w:rsidRPr="009110F7" w:rsidRDefault="00D8598C" w:rsidP="008417B5">
            <w:pPr>
              <w:pStyle w:val="Marginlie"/>
            </w:pPr>
          </w:p>
          <w:p w:rsidR="00D8598C" w:rsidRPr="009110F7" w:rsidRDefault="00D8598C" w:rsidP="008417B5">
            <w:pPr>
              <w:pStyle w:val="Marginlie"/>
            </w:pPr>
          </w:p>
          <w:p w:rsidR="00D8598C" w:rsidRPr="009110F7" w:rsidRDefault="00D8598C" w:rsidP="008417B5">
            <w:pPr>
              <w:pStyle w:val="Marginlie"/>
            </w:pPr>
          </w:p>
          <w:p w:rsidR="00D8598C" w:rsidRPr="009110F7" w:rsidRDefault="00D8598C" w:rsidP="008417B5">
            <w:pPr>
              <w:pStyle w:val="Marginlie"/>
            </w:pPr>
          </w:p>
          <w:p w:rsidR="00D8598C" w:rsidRPr="009110F7" w:rsidRDefault="00D8598C" w:rsidP="008417B5">
            <w:pPr>
              <w:pStyle w:val="Marginlie"/>
            </w:pPr>
          </w:p>
          <w:p w:rsidR="00D8598C" w:rsidRPr="009110F7" w:rsidRDefault="00D8598C" w:rsidP="008417B5">
            <w:pPr>
              <w:pStyle w:val="Marginlie"/>
            </w:pPr>
          </w:p>
          <w:p w:rsidR="00D8598C" w:rsidRPr="009110F7" w:rsidRDefault="00D8598C" w:rsidP="008417B5">
            <w:pPr>
              <w:pStyle w:val="Marginlie"/>
            </w:pPr>
          </w:p>
          <w:p w:rsidR="00D8598C" w:rsidRPr="009110F7" w:rsidRDefault="00D8598C" w:rsidP="008417B5">
            <w:pPr>
              <w:pStyle w:val="Marginlie"/>
            </w:pPr>
          </w:p>
          <w:p w:rsidR="008C7569" w:rsidRPr="009110F7" w:rsidRDefault="00D8598C" w:rsidP="008417B5">
            <w:pPr>
              <w:pStyle w:val="Marginlie"/>
            </w:pPr>
            <w:r w:rsidRPr="009110F7">
              <w:t xml:space="preserve">Vyšší tempa maloobchodních tržeb než ČR vykázaly na počátku roku v EU jen Kypr, Maďarsko </w:t>
            </w:r>
            <w:r w:rsidR="00716F48" w:rsidRPr="009110F7">
              <w:t>a </w:t>
            </w:r>
            <w:r w:rsidRPr="009110F7">
              <w:t>Rumunsko.</w:t>
            </w:r>
            <w:r w:rsidR="00161553" w:rsidRPr="009110F7">
              <w:t xml:space="preserve"> </w:t>
            </w:r>
          </w:p>
        </w:tc>
        <w:tc>
          <w:tcPr>
            <w:tcW w:w="247" w:type="dxa"/>
            <w:gridSpan w:val="2"/>
            <w:shd w:val="clear" w:color="auto" w:fill="auto"/>
            <w:tcMar>
              <w:left w:w="0" w:type="dxa"/>
            </w:tcMar>
          </w:tcPr>
          <w:p w:rsidR="008C7569" w:rsidRPr="009110F7" w:rsidRDefault="008C7569" w:rsidP="008417B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18" w:type="dxa"/>
            <w:shd w:val="clear" w:color="auto" w:fill="auto"/>
            <w:tcMar>
              <w:left w:w="0" w:type="dxa"/>
            </w:tcMar>
          </w:tcPr>
          <w:p w:rsidR="008C7569" w:rsidRPr="009110F7" w:rsidRDefault="00097191" w:rsidP="00840293">
            <w:pPr>
              <w:spacing w:after="0"/>
              <w:rPr>
                <w:color w:val="0D0D0D" w:themeColor="text1" w:themeTint="F2"/>
                <w:spacing w:val="-4"/>
              </w:rPr>
            </w:pPr>
            <w:r w:rsidRPr="009110F7">
              <w:rPr>
                <w:color w:val="0D0D0D" w:themeColor="text1" w:themeTint="F2"/>
                <w:spacing w:val="-4"/>
              </w:rPr>
              <w:t>Tržby v maloobchodu</w:t>
            </w:r>
            <w:r w:rsidRPr="009110F7">
              <w:rPr>
                <w:rStyle w:val="Znakapoznpodarou"/>
                <w:color w:val="0D0D0D" w:themeColor="text1" w:themeTint="F2"/>
                <w:spacing w:val="-4"/>
              </w:rPr>
              <w:footnoteReference w:id="19"/>
            </w:r>
            <w:r w:rsidRPr="009110F7">
              <w:rPr>
                <w:color w:val="0D0D0D" w:themeColor="text1" w:themeTint="F2"/>
                <w:spacing w:val="-4"/>
              </w:rPr>
              <w:t xml:space="preserve"> nadále mírně sílily </w:t>
            </w:r>
            <w:r w:rsidR="00716F48" w:rsidRPr="009110F7">
              <w:rPr>
                <w:color w:val="0D0D0D" w:themeColor="text1" w:themeTint="F2"/>
                <w:spacing w:val="-4"/>
              </w:rPr>
              <w:t>a </w:t>
            </w:r>
            <w:r w:rsidRPr="009110F7">
              <w:rPr>
                <w:color w:val="0D0D0D" w:themeColor="text1" w:themeTint="F2"/>
                <w:spacing w:val="-4"/>
              </w:rPr>
              <w:t>v 1</w:t>
            </w:r>
            <w:r w:rsidR="00716F48" w:rsidRPr="009110F7">
              <w:rPr>
                <w:color w:val="0D0D0D" w:themeColor="text1" w:themeTint="F2"/>
                <w:spacing w:val="-4"/>
              </w:rPr>
              <w:t>. čtvrt</w:t>
            </w:r>
            <w:r w:rsidRPr="009110F7">
              <w:rPr>
                <w:color w:val="0D0D0D" w:themeColor="text1" w:themeTint="F2"/>
                <w:spacing w:val="-4"/>
              </w:rPr>
              <w:t>letí vzro</w:t>
            </w:r>
            <w:r w:rsidR="00FA17CC" w:rsidRPr="009110F7">
              <w:rPr>
                <w:color w:val="0D0D0D" w:themeColor="text1" w:themeTint="F2"/>
                <w:spacing w:val="-4"/>
              </w:rPr>
              <w:t>stl</w:t>
            </w:r>
            <w:r w:rsidRPr="009110F7">
              <w:rPr>
                <w:color w:val="0D0D0D" w:themeColor="text1" w:themeTint="F2"/>
                <w:spacing w:val="-4"/>
              </w:rPr>
              <w:t>y</w:t>
            </w:r>
            <w:r w:rsidR="00FA17CC" w:rsidRPr="009110F7">
              <w:rPr>
                <w:color w:val="0D0D0D" w:themeColor="text1" w:themeTint="F2"/>
                <w:spacing w:val="-4"/>
              </w:rPr>
              <w:t xml:space="preserve"> </w:t>
            </w:r>
            <w:r w:rsidRPr="009110F7">
              <w:rPr>
                <w:color w:val="0D0D0D" w:themeColor="text1" w:themeTint="F2"/>
                <w:spacing w:val="-4"/>
              </w:rPr>
              <w:t xml:space="preserve">meziročně </w:t>
            </w:r>
            <w:r w:rsidR="00716F48" w:rsidRPr="009110F7">
              <w:rPr>
                <w:color w:val="0D0D0D" w:themeColor="text1" w:themeTint="F2"/>
                <w:spacing w:val="-4"/>
              </w:rPr>
              <w:t>o </w:t>
            </w:r>
            <w:r w:rsidRPr="009110F7">
              <w:rPr>
                <w:color w:val="0D0D0D" w:themeColor="text1" w:themeTint="F2"/>
                <w:spacing w:val="-4"/>
              </w:rPr>
              <w:t>6,3</w:t>
            </w:r>
            <w:r w:rsidR="00167CB9" w:rsidRPr="009110F7">
              <w:rPr>
                <w:color w:val="0D0D0D" w:themeColor="text1" w:themeTint="F2"/>
                <w:spacing w:val="-4"/>
              </w:rPr>
              <w:t> %</w:t>
            </w:r>
            <w:r w:rsidRPr="009110F7">
              <w:rPr>
                <w:color w:val="0D0D0D" w:themeColor="text1" w:themeTint="F2"/>
                <w:spacing w:val="-4"/>
              </w:rPr>
              <w:t xml:space="preserve"> (nejvyšší</w:t>
            </w:r>
            <w:r w:rsidR="00FA17CC" w:rsidRPr="009110F7">
              <w:rPr>
                <w:color w:val="0D0D0D" w:themeColor="text1" w:themeTint="F2"/>
                <w:spacing w:val="-4"/>
              </w:rPr>
              <w:t>m tempem</w:t>
            </w:r>
            <w:r w:rsidR="00583E52">
              <w:rPr>
                <w:color w:val="0D0D0D" w:themeColor="text1" w:themeTint="F2"/>
                <w:spacing w:val="-4"/>
              </w:rPr>
              <w:t xml:space="preserve"> po</w:t>
            </w:r>
            <w:r w:rsidRPr="009110F7">
              <w:rPr>
                <w:color w:val="0D0D0D" w:themeColor="text1" w:themeTint="F2"/>
                <w:spacing w:val="-4"/>
              </w:rPr>
              <w:t xml:space="preserve"> 3</w:t>
            </w:r>
            <w:r w:rsidR="00716F48" w:rsidRPr="009110F7">
              <w:rPr>
                <w:color w:val="0D0D0D" w:themeColor="text1" w:themeTint="F2"/>
                <w:spacing w:val="-4"/>
              </w:rPr>
              <w:t>. čtvrt</w:t>
            </w:r>
            <w:r w:rsidRPr="009110F7">
              <w:rPr>
                <w:color w:val="0D0D0D" w:themeColor="text1" w:themeTint="F2"/>
                <w:spacing w:val="-4"/>
              </w:rPr>
              <w:t xml:space="preserve">letí 2007). </w:t>
            </w:r>
            <w:r w:rsidR="00FA17CC" w:rsidRPr="009110F7">
              <w:rPr>
                <w:color w:val="0D0D0D" w:themeColor="text1" w:themeTint="F2"/>
                <w:spacing w:val="-4"/>
              </w:rPr>
              <w:t xml:space="preserve">Plně </w:t>
            </w:r>
            <w:r w:rsidR="00197C0F" w:rsidRPr="009110F7">
              <w:rPr>
                <w:color w:val="0D0D0D" w:themeColor="text1" w:themeTint="F2"/>
                <w:spacing w:val="-4"/>
              </w:rPr>
              <w:t>se v nich odrážel</w:t>
            </w:r>
            <w:r w:rsidR="00FA17CC" w:rsidRPr="009110F7">
              <w:rPr>
                <w:color w:val="0D0D0D" w:themeColor="text1" w:themeTint="F2"/>
                <w:spacing w:val="-4"/>
              </w:rPr>
              <w:t xml:space="preserve"> trend indikátoru důvěry spotřebitelů ovlivněný rekordně nízkou nezaměstnaností </w:t>
            </w:r>
            <w:r w:rsidR="00716F48" w:rsidRPr="009110F7">
              <w:rPr>
                <w:color w:val="0D0D0D" w:themeColor="text1" w:themeTint="F2"/>
                <w:spacing w:val="-4"/>
              </w:rPr>
              <w:t>i </w:t>
            </w:r>
            <w:r w:rsidR="00FA17CC" w:rsidRPr="009110F7">
              <w:rPr>
                <w:color w:val="0D0D0D" w:themeColor="text1" w:themeTint="F2"/>
                <w:spacing w:val="-4"/>
              </w:rPr>
              <w:t>vysok</w:t>
            </w:r>
            <w:r w:rsidR="00197C0F" w:rsidRPr="009110F7">
              <w:rPr>
                <w:color w:val="0D0D0D" w:themeColor="text1" w:themeTint="F2"/>
                <w:spacing w:val="-4"/>
              </w:rPr>
              <w:t>ým</w:t>
            </w:r>
            <w:r w:rsidR="00FA17CC" w:rsidRPr="009110F7">
              <w:rPr>
                <w:color w:val="0D0D0D" w:themeColor="text1" w:themeTint="F2"/>
                <w:spacing w:val="-4"/>
              </w:rPr>
              <w:t xml:space="preserve"> temp</w:t>
            </w:r>
            <w:r w:rsidR="00197C0F" w:rsidRPr="009110F7">
              <w:rPr>
                <w:color w:val="0D0D0D" w:themeColor="text1" w:themeTint="F2"/>
                <w:spacing w:val="-4"/>
              </w:rPr>
              <w:t>em</w:t>
            </w:r>
            <w:r w:rsidR="00FA17CC" w:rsidRPr="009110F7">
              <w:rPr>
                <w:color w:val="0D0D0D" w:themeColor="text1" w:themeTint="F2"/>
                <w:spacing w:val="-4"/>
              </w:rPr>
              <w:t xml:space="preserve"> růstu objemu vyplacených mezd v ekonomice. </w:t>
            </w:r>
            <w:r w:rsidR="00817A17" w:rsidRPr="009110F7">
              <w:rPr>
                <w:color w:val="0D0D0D" w:themeColor="text1" w:themeTint="F2"/>
                <w:spacing w:val="-4"/>
              </w:rPr>
              <w:t xml:space="preserve">K růstu maloobchodu přispěl tradičně nejvíce </w:t>
            </w:r>
            <w:r w:rsidR="00E417BE" w:rsidRPr="009110F7">
              <w:rPr>
                <w:color w:val="0D0D0D" w:themeColor="text1" w:themeTint="F2"/>
                <w:spacing w:val="-4"/>
              </w:rPr>
              <w:t xml:space="preserve">prodej </w:t>
            </w:r>
            <w:proofErr w:type="spellStart"/>
            <w:r w:rsidR="00E417BE" w:rsidRPr="009110F7">
              <w:rPr>
                <w:color w:val="0D0D0D" w:themeColor="text1" w:themeTint="F2"/>
                <w:spacing w:val="-4"/>
              </w:rPr>
              <w:t>nepo</w:t>
            </w:r>
            <w:r w:rsidR="00817A17" w:rsidRPr="009110F7">
              <w:rPr>
                <w:color w:val="0D0D0D" w:themeColor="text1" w:themeTint="F2"/>
                <w:spacing w:val="-4"/>
              </w:rPr>
              <w:t>travinářského</w:t>
            </w:r>
            <w:proofErr w:type="spellEnd"/>
            <w:r w:rsidR="00817A17" w:rsidRPr="009110F7">
              <w:rPr>
                <w:color w:val="0D0D0D" w:themeColor="text1" w:themeTint="F2"/>
                <w:spacing w:val="-4"/>
              </w:rPr>
              <w:t xml:space="preserve"> zboží, jehož tempa převyšovala 8,5% hranici již páté čtvrtletí v řadě. V </w:t>
            </w:r>
            <w:r w:rsidR="00840293" w:rsidRPr="009110F7">
              <w:rPr>
                <w:color w:val="0D0D0D" w:themeColor="text1" w:themeTint="F2"/>
                <w:spacing w:val="-4"/>
              </w:rPr>
              <w:t>ČR</w:t>
            </w:r>
            <w:r w:rsidR="00583E52">
              <w:rPr>
                <w:color w:val="0D0D0D" w:themeColor="text1" w:themeTint="F2"/>
                <w:spacing w:val="-4"/>
              </w:rPr>
              <w:t xml:space="preserve"> (+22,3</w:t>
            </w:r>
            <w:r w:rsidR="00167CB9" w:rsidRPr="009110F7">
              <w:rPr>
                <w:color w:val="0D0D0D" w:themeColor="text1" w:themeTint="F2"/>
                <w:spacing w:val="-4"/>
              </w:rPr>
              <w:t> %</w:t>
            </w:r>
            <w:r w:rsidR="00817A17" w:rsidRPr="009110F7">
              <w:rPr>
                <w:color w:val="0D0D0D" w:themeColor="text1" w:themeTint="F2"/>
                <w:spacing w:val="-4"/>
              </w:rPr>
              <w:t>) stejně jako v EU (8,0</w:t>
            </w:r>
            <w:r w:rsidR="00167CB9" w:rsidRPr="009110F7">
              <w:rPr>
                <w:color w:val="0D0D0D" w:themeColor="text1" w:themeTint="F2"/>
                <w:spacing w:val="-4"/>
              </w:rPr>
              <w:t> %</w:t>
            </w:r>
            <w:r w:rsidR="00817A17" w:rsidRPr="009110F7">
              <w:rPr>
                <w:color w:val="0D0D0D" w:themeColor="text1" w:themeTint="F2"/>
                <w:spacing w:val="-4"/>
              </w:rPr>
              <w:t xml:space="preserve">) rostly </w:t>
            </w:r>
            <w:r w:rsidR="00716F48" w:rsidRPr="009110F7">
              <w:rPr>
                <w:color w:val="0D0D0D" w:themeColor="text1" w:themeTint="F2"/>
                <w:spacing w:val="-4"/>
              </w:rPr>
              <w:t>v </w:t>
            </w:r>
            <w:r w:rsidR="00817A17" w:rsidRPr="009110F7">
              <w:rPr>
                <w:color w:val="0D0D0D" w:themeColor="text1" w:themeTint="F2"/>
                <w:spacing w:val="-4"/>
              </w:rPr>
              <w:t>tomto segmentu maloobchodu nejvíce tržby internetovým prodejcům.</w:t>
            </w:r>
            <w:r w:rsidR="004A27F0" w:rsidRPr="009110F7">
              <w:rPr>
                <w:color w:val="0D0D0D" w:themeColor="text1" w:themeTint="F2"/>
                <w:spacing w:val="-4"/>
              </w:rPr>
              <w:t xml:space="preserve"> Mezi specializovanými prodejnami se v tuzemsku dařilo hlavně prodeji počítač</w:t>
            </w:r>
            <w:r w:rsidR="008A3CBA" w:rsidRPr="009110F7">
              <w:rPr>
                <w:color w:val="0D0D0D" w:themeColor="text1" w:themeTint="F2"/>
                <w:spacing w:val="-4"/>
              </w:rPr>
              <w:t xml:space="preserve">ových </w:t>
            </w:r>
            <w:r w:rsidR="00716F48" w:rsidRPr="009110F7">
              <w:rPr>
                <w:color w:val="0D0D0D" w:themeColor="text1" w:themeTint="F2"/>
                <w:spacing w:val="-4"/>
              </w:rPr>
              <w:t>i </w:t>
            </w:r>
            <w:r w:rsidR="008A3CBA" w:rsidRPr="009110F7">
              <w:rPr>
                <w:color w:val="0D0D0D" w:themeColor="text1" w:themeTint="F2"/>
                <w:spacing w:val="-4"/>
              </w:rPr>
              <w:t>komunikačních zařízení</w:t>
            </w:r>
            <w:r w:rsidR="004A27F0" w:rsidRPr="009110F7">
              <w:rPr>
                <w:color w:val="0D0D0D" w:themeColor="text1" w:themeTint="F2"/>
                <w:spacing w:val="-4"/>
              </w:rPr>
              <w:t xml:space="preserve">, kde poptávku stimuloval </w:t>
            </w:r>
            <w:r w:rsidR="00716F48" w:rsidRPr="009110F7">
              <w:rPr>
                <w:color w:val="0D0D0D" w:themeColor="text1" w:themeTint="F2"/>
                <w:spacing w:val="-4"/>
              </w:rPr>
              <w:t>i </w:t>
            </w:r>
            <w:r w:rsidR="004A27F0" w:rsidRPr="009110F7">
              <w:rPr>
                <w:color w:val="0D0D0D" w:themeColor="text1" w:themeTint="F2"/>
                <w:spacing w:val="-4"/>
              </w:rPr>
              <w:t xml:space="preserve">příznivý cenový vývoj. Silně rostly </w:t>
            </w:r>
            <w:r w:rsidR="00716F48" w:rsidRPr="009110F7">
              <w:rPr>
                <w:color w:val="0D0D0D" w:themeColor="text1" w:themeTint="F2"/>
                <w:spacing w:val="-4"/>
              </w:rPr>
              <w:t>i </w:t>
            </w:r>
            <w:r w:rsidR="004A27F0" w:rsidRPr="009110F7">
              <w:rPr>
                <w:color w:val="0D0D0D" w:themeColor="text1" w:themeTint="F2"/>
                <w:spacing w:val="-4"/>
              </w:rPr>
              <w:t>tržby za výrobky převážně pro domácnost, nao</w:t>
            </w:r>
            <w:r w:rsidR="00A2628E" w:rsidRPr="009110F7">
              <w:rPr>
                <w:color w:val="0D0D0D" w:themeColor="text1" w:themeTint="F2"/>
                <w:spacing w:val="-4"/>
              </w:rPr>
              <w:t>pak tempa za prodej oděvů, obuvi a koženého zboží</w:t>
            </w:r>
            <w:r w:rsidR="004A27F0" w:rsidRPr="009110F7">
              <w:rPr>
                <w:color w:val="0D0D0D" w:themeColor="text1" w:themeTint="F2"/>
                <w:spacing w:val="-4"/>
              </w:rPr>
              <w:t xml:space="preserve"> či výrobků pro kulturu a rekreaci nedosáhla </w:t>
            </w:r>
            <w:r w:rsidR="00885D40" w:rsidRPr="009110F7">
              <w:rPr>
                <w:color w:val="0D0D0D" w:themeColor="text1" w:themeTint="F2"/>
                <w:spacing w:val="-4"/>
              </w:rPr>
              <w:t>vinou</w:t>
            </w:r>
            <w:r w:rsidR="004A27F0" w:rsidRPr="009110F7">
              <w:rPr>
                <w:color w:val="0D0D0D" w:themeColor="text1" w:themeTint="F2"/>
                <w:spacing w:val="-4"/>
              </w:rPr>
              <w:t xml:space="preserve"> opožděného nástupu jarní sezóny ani 3</w:t>
            </w:r>
            <w:r w:rsidR="00167CB9" w:rsidRPr="009110F7">
              <w:rPr>
                <w:color w:val="0D0D0D" w:themeColor="text1" w:themeTint="F2"/>
                <w:spacing w:val="-4"/>
              </w:rPr>
              <w:t> %</w:t>
            </w:r>
            <w:r w:rsidR="004A27F0" w:rsidRPr="009110F7">
              <w:rPr>
                <w:color w:val="0D0D0D" w:themeColor="text1" w:themeTint="F2"/>
                <w:spacing w:val="-4"/>
              </w:rPr>
              <w:t xml:space="preserve">. </w:t>
            </w:r>
            <w:r w:rsidR="004A40D9" w:rsidRPr="009110F7">
              <w:rPr>
                <w:color w:val="0D0D0D" w:themeColor="text1" w:themeTint="F2"/>
                <w:spacing w:val="-4"/>
              </w:rPr>
              <w:t>Maloobchod s potravinami v</w:t>
            </w:r>
            <w:r w:rsidR="00891EDF" w:rsidRPr="009110F7">
              <w:rPr>
                <w:color w:val="0D0D0D" w:themeColor="text1" w:themeTint="F2"/>
                <w:spacing w:val="-4"/>
              </w:rPr>
              <w:t>zr</w:t>
            </w:r>
            <w:r w:rsidR="004A40D9" w:rsidRPr="009110F7">
              <w:rPr>
                <w:color w:val="0D0D0D" w:themeColor="text1" w:themeTint="F2"/>
                <w:spacing w:val="-4"/>
              </w:rPr>
              <w:t>o</w:t>
            </w:r>
            <w:r w:rsidR="00891EDF" w:rsidRPr="009110F7">
              <w:rPr>
                <w:color w:val="0D0D0D" w:themeColor="text1" w:themeTint="F2"/>
                <w:spacing w:val="-4"/>
              </w:rPr>
              <w:t>s</w:t>
            </w:r>
            <w:r w:rsidR="004A40D9" w:rsidRPr="009110F7">
              <w:rPr>
                <w:color w:val="0D0D0D" w:themeColor="text1" w:themeTint="F2"/>
                <w:spacing w:val="-4"/>
              </w:rPr>
              <w:t xml:space="preserve">tl </w:t>
            </w:r>
            <w:r w:rsidR="00716F48" w:rsidRPr="009110F7">
              <w:rPr>
                <w:color w:val="0D0D0D" w:themeColor="text1" w:themeTint="F2"/>
                <w:spacing w:val="-4"/>
              </w:rPr>
              <w:t>o </w:t>
            </w:r>
            <w:r w:rsidR="00FA5526" w:rsidRPr="009110F7">
              <w:rPr>
                <w:color w:val="0D0D0D" w:themeColor="text1" w:themeTint="F2"/>
                <w:spacing w:val="-4"/>
              </w:rPr>
              <w:t>3,4</w:t>
            </w:r>
            <w:r w:rsidR="00167CB9" w:rsidRPr="009110F7">
              <w:rPr>
                <w:color w:val="0D0D0D" w:themeColor="text1" w:themeTint="F2"/>
                <w:spacing w:val="-4"/>
              </w:rPr>
              <w:t> %</w:t>
            </w:r>
            <w:r w:rsidR="00FA5526" w:rsidRPr="009110F7">
              <w:rPr>
                <w:color w:val="0D0D0D" w:themeColor="text1" w:themeTint="F2"/>
                <w:spacing w:val="-4"/>
              </w:rPr>
              <w:t xml:space="preserve"> (</w:t>
            </w:r>
            <w:r w:rsidR="00891EDF" w:rsidRPr="009110F7">
              <w:rPr>
                <w:color w:val="0D0D0D" w:themeColor="text1" w:themeTint="F2"/>
                <w:spacing w:val="-4"/>
              </w:rPr>
              <w:t xml:space="preserve">za celý </w:t>
            </w:r>
            <w:r w:rsidR="00FA5526" w:rsidRPr="009110F7">
              <w:rPr>
                <w:color w:val="0D0D0D" w:themeColor="text1" w:themeTint="F2"/>
                <w:spacing w:val="-4"/>
              </w:rPr>
              <w:t xml:space="preserve">loňský </w:t>
            </w:r>
            <w:r w:rsidR="00891EDF" w:rsidRPr="009110F7">
              <w:rPr>
                <w:color w:val="0D0D0D" w:themeColor="text1" w:themeTint="F2"/>
                <w:spacing w:val="-4"/>
              </w:rPr>
              <w:t>rok</w:t>
            </w:r>
            <w:r w:rsidR="00FA5526" w:rsidRPr="009110F7">
              <w:rPr>
                <w:color w:val="0D0D0D" w:themeColor="text1" w:themeTint="F2"/>
                <w:spacing w:val="-4"/>
              </w:rPr>
              <w:t xml:space="preserve"> +2,8</w:t>
            </w:r>
            <w:r w:rsidR="00167CB9" w:rsidRPr="009110F7">
              <w:rPr>
                <w:color w:val="0D0D0D" w:themeColor="text1" w:themeTint="F2"/>
                <w:spacing w:val="-4"/>
              </w:rPr>
              <w:t> %</w:t>
            </w:r>
            <w:r w:rsidR="00FA5526" w:rsidRPr="009110F7">
              <w:rPr>
                <w:color w:val="0D0D0D" w:themeColor="text1" w:themeTint="F2"/>
                <w:spacing w:val="-4"/>
              </w:rPr>
              <w:t>)</w:t>
            </w:r>
            <w:r w:rsidR="00E417BE" w:rsidRPr="009110F7">
              <w:rPr>
                <w:color w:val="0D0D0D" w:themeColor="text1" w:themeTint="F2"/>
                <w:spacing w:val="-4"/>
              </w:rPr>
              <w:t>, byl pozitivně</w:t>
            </w:r>
            <w:r w:rsidR="00FA5526" w:rsidRPr="009110F7">
              <w:rPr>
                <w:color w:val="0D0D0D" w:themeColor="text1" w:themeTint="F2"/>
                <w:spacing w:val="-4"/>
              </w:rPr>
              <w:t xml:space="preserve"> ovlivněn „předsunutými“ Velikonocemi. </w:t>
            </w:r>
            <w:r w:rsidR="00840293" w:rsidRPr="009110F7">
              <w:rPr>
                <w:color w:val="0D0D0D" w:themeColor="text1" w:themeTint="F2"/>
                <w:spacing w:val="-4"/>
              </w:rPr>
              <w:t>P</w:t>
            </w:r>
            <w:r w:rsidR="00AC2960">
              <w:rPr>
                <w:color w:val="0D0D0D" w:themeColor="text1" w:themeTint="F2"/>
                <w:spacing w:val="-4"/>
              </w:rPr>
              <w:t>oměrně stabilní byl po roce 2014</w:t>
            </w:r>
            <w:r w:rsidR="00840293" w:rsidRPr="009110F7">
              <w:rPr>
                <w:color w:val="0D0D0D" w:themeColor="text1" w:themeTint="F2"/>
                <w:spacing w:val="-4"/>
              </w:rPr>
              <w:t xml:space="preserve"> vývoj tržeb za prodej pohonných hmot, v 1</w:t>
            </w:r>
            <w:r w:rsidR="00716F48" w:rsidRPr="009110F7">
              <w:rPr>
                <w:color w:val="0D0D0D" w:themeColor="text1" w:themeTint="F2"/>
                <w:spacing w:val="-4"/>
              </w:rPr>
              <w:t>. čtvrt</w:t>
            </w:r>
            <w:r w:rsidR="00840293" w:rsidRPr="009110F7">
              <w:rPr>
                <w:color w:val="0D0D0D" w:themeColor="text1" w:themeTint="F2"/>
                <w:spacing w:val="-4"/>
              </w:rPr>
              <w:t xml:space="preserve">letí 2018 </w:t>
            </w:r>
            <w:r w:rsidR="00B16EB8">
              <w:rPr>
                <w:color w:val="0D0D0D" w:themeColor="text1" w:themeTint="F2"/>
                <w:spacing w:val="-4"/>
              </w:rPr>
              <w:t>vzrostly o </w:t>
            </w:r>
            <w:r w:rsidR="00840293" w:rsidRPr="009110F7">
              <w:rPr>
                <w:color w:val="0D0D0D" w:themeColor="text1" w:themeTint="F2"/>
                <w:spacing w:val="-4"/>
              </w:rPr>
              <w:t>5,7</w:t>
            </w:r>
            <w:r w:rsidR="00167CB9" w:rsidRPr="009110F7">
              <w:rPr>
                <w:color w:val="0D0D0D" w:themeColor="text1" w:themeTint="F2"/>
                <w:spacing w:val="-4"/>
              </w:rPr>
              <w:t> %</w:t>
            </w:r>
            <w:r w:rsidR="00840293" w:rsidRPr="009110F7">
              <w:rPr>
                <w:color w:val="0D0D0D" w:themeColor="text1" w:themeTint="F2"/>
                <w:spacing w:val="-4"/>
              </w:rPr>
              <w:t>.</w:t>
            </w:r>
            <w:r w:rsidR="00FA5526" w:rsidRPr="009110F7">
              <w:rPr>
                <w:color w:val="0D0D0D" w:themeColor="text1" w:themeTint="F2"/>
                <w:spacing w:val="-4"/>
              </w:rPr>
              <w:t xml:space="preserve"> </w:t>
            </w:r>
            <w:r w:rsidR="004A62A0" w:rsidRPr="009110F7">
              <w:rPr>
                <w:color w:val="0D0D0D" w:themeColor="text1" w:themeTint="F2"/>
                <w:spacing w:val="-4"/>
              </w:rPr>
              <w:t xml:space="preserve">Naopak tržby za obchod </w:t>
            </w:r>
            <w:r w:rsidR="00716F48" w:rsidRPr="009110F7">
              <w:rPr>
                <w:color w:val="0D0D0D" w:themeColor="text1" w:themeTint="F2"/>
                <w:spacing w:val="-4"/>
              </w:rPr>
              <w:t>a </w:t>
            </w:r>
            <w:r w:rsidR="004A62A0" w:rsidRPr="009110F7">
              <w:rPr>
                <w:color w:val="0D0D0D" w:themeColor="text1" w:themeTint="F2"/>
                <w:spacing w:val="-4"/>
              </w:rPr>
              <w:t xml:space="preserve">opravy motorových vozidel </w:t>
            </w:r>
            <w:r w:rsidR="007B6F72" w:rsidRPr="009110F7">
              <w:rPr>
                <w:color w:val="0D0D0D" w:themeColor="text1" w:themeTint="F2"/>
                <w:spacing w:val="-4"/>
              </w:rPr>
              <w:t xml:space="preserve">již </w:t>
            </w:r>
            <w:r w:rsidR="004A62A0" w:rsidRPr="009110F7">
              <w:rPr>
                <w:color w:val="0D0D0D" w:themeColor="text1" w:themeTint="F2"/>
                <w:spacing w:val="-4"/>
              </w:rPr>
              <w:t>vykazovaly známky nasycení (</w:t>
            </w:r>
            <w:r w:rsidR="00CA37FF">
              <w:rPr>
                <w:color w:val="0D0D0D" w:themeColor="text1" w:themeTint="F2"/>
                <w:spacing w:val="-4"/>
              </w:rPr>
              <w:t>-</w:t>
            </w:r>
            <w:r w:rsidR="004A62A0" w:rsidRPr="009110F7">
              <w:rPr>
                <w:color w:val="0D0D0D" w:themeColor="text1" w:themeTint="F2"/>
                <w:spacing w:val="-4"/>
              </w:rPr>
              <w:t>1,3</w:t>
            </w:r>
            <w:r w:rsidR="00167CB9" w:rsidRPr="009110F7">
              <w:rPr>
                <w:color w:val="0D0D0D" w:themeColor="text1" w:themeTint="F2"/>
                <w:spacing w:val="-4"/>
              </w:rPr>
              <w:t> %</w:t>
            </w:r>
            <w:r w:rsidR="004A62A0" w:rsidRPr="009110F7">
              <w:rPr>
                <w:color w:val="0D0D0D" w:themeColor="text1" w:themeTint="F2"/>
                <w:spacing w:val="-4"/>
              </w:rPr>
              <w:t xml:space="preserve">). </w:t>
            </w:r>
            <w:r w:rsidR="00840293" w:rsidRPr="009110F7">
              <w:rPr>
                <w:color w:val="0D0D0D" w:themeColor="text1" w:themeTint="F2"/>
                <w:spacing w:val="-4"/>
              </w:rPr>
              <w:t xml:space="preserve">ČR </w:t>
            </w:r>
            <w:r w:rsidR="00FA5526" w:rsidRPr="009110F7">
              <w:rPr>
                <w:color w:val="0D0D0D" w:themeColor="text1" w:themeTint="F2"/>
                <w:spacing w:val="-4"/>
              </w:rPr>
              <w:t>se v posledn</w:t>
            </w:r>
            <w:r w:rsidR="00C922DE" w:rsidRPr="009110F7">
              <w:rPr>
                <w:color w:val="0D0D0D" w:themeColor="text1" w:themeTint="F2"/>
                <w:spacing w:val="-4"/>
              </w:rPr>
              <w:t>ích třech letech řadí k zemím s </w:t>
            </w:r>
            <w:r w:rsidR="00FA5526" w:rsidRPr="009110F7">
              <w:rPr>
                <w:color w:val="0D0D0D" w:themeColor="text1" w:themeTint="F2"/>
                <w:spacing w:val="-4"/>
              </w:rPr>
              <w:t>nejrychlejším růstem maloobch</w:t>
            </w:r>
            <w:r w:rsidR="00FA5526" w:rsidRPr="00C55402">
              <w:rPr>
                <w:color w:val="000000" w:themeColor="text1"/>
                <w:spacing w:val="-4"/>
              </w:rPr>
              <w:t xml:space="preserve">odních tržeb v EU. Hlavně zásluhou </w:t>
            </w:r>
            <w:proofErr w:type="spellStart"/>
            <w:r w:rsidR="00A2628E" w:rsidRPr="00C55402">
              <w:rPr>
                <w:color w:val="000000" w:themeColor="text1"/>
                <w:spacing w:val="-4"/>
              </w:rPr>
              <w:t>nepotravinářského</w:t>
            </w:r>
            <w:proofErr w:type="spellEnd"/>
            <w:r w:rsidR="00A2628E" w:rsidRPr="00C55402">
              <w:rPr>
                <w:color w:val="000000" w:themeColor="text1"/>
                <w:spacing w:val="-4"/>
              </w:rPr>
              <w:t xml:space="preserve"> </w:t>
            </w:r>
            <w:r w:rsidR="00A2628E" w:rsidRPr="009110F7">
              <w:rPr>
                <w:color w:val="0D0D0D" w:themeColor="text1" w:themeTint="F2"/>
                <w:spacing w:val="-4"/>
              </w:rPr>
              <w:t xml:space="preserve">zboží rostl </w:t>
            </w:r>
            <w:r w:rsidR="00FA5526" w:rsidRPr="009110F7">
              <w:rPr>
                <w:color w:val="0D0D0D" w:themeColor="text1" w:themeTint="F2"/>
                <w:spacing w:val="-4"/>
              </w:rPr>
              <w:t>celý maloobchod (bez motoristického segmentu) v ČR v 1</w:t>
            </w:r>
            <w:r w:rsidR="00716F48" w:rsidRPr="009110F7">
              <w:rPr>
                <w:color w:val="0D0D0D" w:themeColor="text1" w:themeTint="F2"/>
                <w:spacing w:val="-4"/>
              </w:rPr>
              <w:t>. čtvrt</w:t>
            </w:r>
            <w:r w:rsidR="00FA5526" w:rsidRPr="009110F7">
              <w:rPr>
                <w:color w:val="0D0D0D" w:themeColor="text1" w:themeTint="F2"/>
                <w:spacing w:val="-4"/>
              </w:rPr>
              <w:t xml:space="preserve">letí čtvrtým nejvyšším tempem v EU (za Kyprem, Maďarskem </w:t>
            </w:r>
            <w:r w:rsidR="00716F48" w:rsidRPr="009110F7">
              <w:rPr>
                <w:color w:val="0D0D0D" w:themeColor="text1" w:themeTint="F2"/>
                <w:spacing w:val="-4"/>
              </w:rPr>
              <w:t>a </w:t>
            </w:r>
            <w:r w:rsidR="00FA5526" w:rsidRPr="009110F7">
              <w:rPr>
                <w:color w:val="0D0D0D" w:themeColor="text1" w:themeTint="F2"/>
                <w:spacing w:val="-4"/>
              </w:rPr>
              <w:t xml:space="preserve">Rumunskem). </w:t>
            </w:r>
            <w:r w:rsidR="00C922DE" w:rsidRPr="009110F7">
              <w:rPr>
                <w:color w:val="0D0D0D" w:themeColor="text1" w:themeTint="F2"/>
                <w:spacing w:val="-4"/>
              </w:rPr>
              <w:t>V EU činil růst 2,1</w:t>
            </w:r>
            <w:r w:rsidR="00167CB9" w:rsidRPr="009110F7">
              <w:rPr>
                <w:color w:val="0D0D0D" w:themeColor="text1" w:themeTint="F2"/>
                <w:spacing w:val="-4"/>
              </w:rPr>
              <w:t> %</w:t>
            </w:r>
            <w:r w:rsidR="00C922DE" w:rsidRPr="009110F7">
              <w:rPr>
                <w:color w:val="0D0D0D" w:themeColor="text1" w:themeTint="F2"/>
                <w:spacing w:val="-4"/>
              </w:rPr>
              <w:t>, v Německu 0,9</w:t>
            </w:r>
            <w:r w:rsidR="00167CB9" w:rsidRPr="009110F7">
              <w:rPr>
                <w:color w:val="0D0D0D" w:themeColor="text1" w:themeTint="F2"/>
                <w:spacing w:val="-4"/>
              </w:rPr>
              <w:t> %</w:t>
            </w:r>
            <w:r w:rsidR="00C922DE" w:rsidRPr="009110F7">
              <w:rPr>
                <w:color w:val="0D0D0D" w:themeColor="text1" w:themeTint="F2"/>
                <w:spacing w:val="-4"/>
              </w:rPr>
              <w:t xml:space="preserve">. Tržby mírně klesly </w:t>
            </w:r>
            <w:r w:rsidR="00E417BE" w:rsidRPr="009110F7">
              <w:rPr>
                <w:color w:val="0D0D0D" w:themeColor="text1" w:themeTint="F2"/>
                <w:spacing w:val="-4"/>
              </w:rPr>
              <w:t xml:space="preserve">jen </w:t>
            </w:r>
            <w:r w:rsidR="00C922DE" w:rsidRPr="009110F7">
              <w:rPr>
                <w:color w:val="0D0D0D" w:themeColor="text1" w:themeTint="F2"/>
                <w:spacing w:val="-4"/>
              </w:rPr>
              <w:t>v Itálii (</w:t>
            </w:r>
            <w:r w:rsidR="00CA37FF">
              <w:rPr>
                <w:color w:val="0D0D0D" w:themeColor="text1" w:themeTint="F2"/>
                <w:spacing w:val="-4"/>
              </w:rPr>
              <w:t>-</w:t>
            </w:r>
            <w:r w:rsidR="00C922DE" w:rsidRPr="009110F7">
              <w:rPr>
                <w:color w:val="0D0D0D" w:themeColor="text1" w:themeTint="F2"/>
                <w:spacing w:val="-4"/>
              </w:rPr>
              <w:t>1,0</w:t>
            </w:r>
            <w:r w:rsidR="00167CB9" w:rsidRPr="009110F7">
              <w:rPr>
                <w:color w:val="0D0D0D" w:themeColor="text1" w:themeTint="F2"/>
                <w:spacing w:val="-4"/>
              </w:rPr>
              <w:t> %</w:t>
            </w:r>
            <w:r w:rsidR="00C922DE" w:rsidRPr="009110F7">
              <w:rPr>
                <w:color w:val="0D0D0D" w:themeColor="text1" w:themeTint="F2"/>
                <w:spacing w:val="-4"/>
              </w:rPr>
              <w:t xml:space="preserve">) </w:t>
            </w:r>
            <w:r w:rsidR="00716F48" w:rsidRPr="009110F7">
              <w:rPr>
                <w:color w:val="0D0D0D" w:themeColor="text1" w:themeTint="F2"/>
                <w:spacing w:val="-4"/>
              </w:rPr>
              <w:t>a </w:t>
            </w:r>
            <w:r w:rsidR="00C922DE" w:rsidRPr="009110F7">
              <w:rPr>
                <w:color w:val="0D0D0D" w:themeColor="text1" w:themeTint="F2"/>
                <w:spacing w:val="-4"/>
              </w:rPr>
              <w:t xml:space="preserve">také </w:t>
            </w:r>
            <w:r w:rsidR="00716F48" w:rsidRPr="009110F7">
              <w:rPr>
                <w:color w:val="0D0D0D" w:themeColor="text1" w:themeTint="F2"/>
                <w:spacing w:val="-4"/>
              </w:rPr>
              <w:t>v </w:t>
            </w:r>
            <w:r w:rsidR="00C922DE" w:rsidRPr="009110F7">
              <w:rPr>
                <w:color w:val="0D0D0D" w:themeColor="text1" w:themeTint="F2"/>
                <w:spacing w:val="-4"/>
              </w:rPr>
              <w:t xml:space="preserve">Belgii </w:t>
            </w:r>
            <w:r w:rsidR="00716F48" w:rsidRPr="009110F7">
              <w:rPr>
                <w:color w:val="0D0D0D" w:themeColor="text1" w:themeTint="F2"/>
                <w:spacing w:val="-4"/>
              </w:rPr>
              <w:t>i </w:t>
            </w:r>
            <w:r w:rsidR="00C922DE" w:rsidRPr="009110F7">
              <w:rPr>
                <w:color w:val="0D0D0D" w:themeColor="text1" w:themeTint="F2"/>
                <w:spacing w:val="-4"/>
              </w:rPr>
              <w:t>Slovinsku.</w:t>
            </w:r>
          </w:p>
        </w:tc>
      </w:tr>
    </w:tbl>
    <w:p w:rsidR="00A50D73" w:rsidRPr="009110F7" w:rsidRDefault="00A50D73" w:rsidP="00F87980">
      <w:pPr>
        <w:pStyle w:val="Nadpis11"/>
        <w:rPr>
          <w:sz w:val="2"/>
          <w:szCs w:val="2"/>
        </w:rPr>
      </w:pPr>
    </w:p>
    <w:sectPr w:rsidR="00A50D73" w:rsidRPr="009110F7" w:rsidSect="00F87980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1134" w:right="1134" w:bottom="1418" w:left="1134" w:header="680" w:footer="680" w:gutter="0"/>
      <w:pgNumType w:start="9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E9A2AB5" w15:done="0"/>
  <w15:commentEx w15:paraId="6B652B08" w15:done="0"/>
  <w15:commentEx w15:paraId="3F7CEACF" w15:done="0"/>
  <w15:commentEx w15:paraId="63CE648C" w15:done="0"/>
  <w15:commentEx w15:paraId="23A24FDD" w15:done="0"/>
  <w15:commentEx w15:paraId="50CD0878" w15:done="0"/>
  <w15:commentEx w15:paraId="52F35228" w15:done="0"/>
  <w15:commentEx w15:paraId="7A77491F" w15:done="0"/>
  <w15:commentEx w15:paraId="4E0D4B3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9A2AB5" w16cid:durableId="1ECFA4FD"/>
  <w16cid:commentId w16cid:paraId="6B652B08" w16cid:durableId="1ECFA85B"/>
  <w16cid:commentId w16cid:paraId="3F7CEACF" w16cid:durableId="1ED155AF"/>
  <w16cid:commentId w16cid:paraId="63CE648C" w16cid:durableId="1ED21B60"/>
  <w16cid:commentId w16cid:paraId="23A24FDD" w16cid:durableId="1ED22580"/>
  <w16cid:commentId w16cid:paraId="50CD0878" w16cid:durableId="1ED23FB5"/>
  <w16cid:commentId w16cid:paraId="52F35228" w16cid:durableId="1ED248CC"/>
  <w16cid:commentId w16cid:paraId="7A77491F" w16cid:durableId="1ED25A84"/>
  <w16cid:commentId w16cid:paraId="4E0D4B34" w16cid:durableId="1ED24E3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D5F" w:rsidRDefault="00F73D5F" w:rsidP="00E71A58">
      <w:r>
        <w:separator/>
      </w:r>
    </w:p>
  </w:endnote>
  <w:endnote w:type="continuationSeparator" w:id="0">
    <w:p w:rsidR="00F73D5F" w:rsidRDefault="00F73D5F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E52" w:rsidRPr="00932443" w:rsidRDefault="00583E52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5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95E8F"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="00D95E8F" w:rsidRPr="00932443">
      <w:rPr>
        <w:szCs w:val="16"/>
      </w:rPr>
      <w:fldChar w:fldCharType="separate"/>
    </w:r>
    <w:r w:rsidR="004215A1">
      <w:rPr>
        <w:szCs w:val="16"/>
      </w:rPr>
      <w:t>14</w:t>
    </w:r>
    <w:r w:rsidR="00D95E8F" w:rsidRPr="00932443">
      <w:rPr>
        <w:szCs w:val="16"/>
      </w:rPr>
      <w:fldChar w:fldCharType="end"/>
    </w:r>
    <w:r w:rsidRPr="00932443">
      <w:rPr>
        <w:szCs w:val="16"/>
      </w:rPr>
      <w:tab/>
    </w:r>
    <w:r>
      <w:t>1. čtvrtletí 2018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E52" w:rsidRPr="00932443" w:rsidRDefault="00583E52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6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tab/>
    </w:r>
    <w:r>
      <w:t>1. čtvrtletí 2018</w:t>
    </w:r>
    <w:r w:rsidRPr="00932443">
      <w:rPr>
        <w:szCs w:val="16"/>
      </w:rPr>
      <w:tab/>
    </w:r>
    <w:r w:rsidR="00D95E8F"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="00D95E8F" w:rsidRPr="00932443">
      <w:rPr>
        <w:rStyle w:val="ZpatChar"/>
        <w:szCs w:val="16"/>
      </w:rPr>
      <w:fldChar w:fldCharType="separate"/>
    </w:r>
    <w:r w:rsidR="004215A1">
      <w:rPr>
        <w:rStyle w:val="ZpatChar"/>
        <w:szCs w:val="16"/>
      </w:rPr>
      <w:t>13</w:t>
    </w:r>
    <w:r w:rsidR="00D95E8F"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D5F" w:rsidRDefault="00F73D5F" w:rsidP="00E71A58">
      <w:r>
        <w:separator/>
      </w:r>
    </w:p>
  </w:footnote>
  <w:footnote w:type="continuationSeparator" w:id="0">
    <w:p w:rsidR="00F73D5F" w:rsidRDefault="00F73D5F" w:rsidP="00E71A58">
      <w:r>
        <w:continuationSeparator/>
      </w:r>
    </w:p>
  </w:footnote>
  <w:footnote w:id="1">
    <w:p w:rsidR="00583E52" w:rsidRPr="0027583D" w:rsidRDefault="00583E52" w:rsidP="00C21430">
      <w:pPr>
        <w:pStyle w:val="Textpoznpodarou"/>
        <w:jc w:val="both"/>
        <w:rPr>
          <w:rFonts w:cs="Arial"/>
          <w:color w:val="0D0D0D" w:themeColor="text1" w:themeTint="F2"/>
          <w:spacing w:val="-2"/>
          <w:sz w:val="16"/>
          <w:szCs w:val="16"/>
        </w:rPr>
      </w:pPr>
      <w:r w:rsidRPr="0027583D">
        <w:rPr>
          <w:rStyle w:val="Znakapoznpodarou"/>
          <w:rFonts w:cs="Arial"/>
          <w:color w:val="0D0D0D" w:themeColor="text1" w:themeTint="F2"/>
          <w:spacing w:val="-2"/>
          <w:sz w:val="16"/>
          <w:szCs w:val="16"/>
        </w:rPr>
        <w:footnoteRef/>
      </w:r>
      <w:r w:rsidRPr="0027583D">
        <w:rPr>
          <w:rFonts w:cs="Arial"/>
          <w:color w:val="0D0D0D" w:themeColor="text1" w:themeTint="F2"/>
          <w:spacing w:val="-2"/>
          <w:sz w:val="16"/>
          <w:szCs w:val="16"/>
        </w:rPr>
        <w:t xml:space="preserve"> Údaje o</w:t>
      </w:r>
      <w:r>
        <w:rPr>
          <w:rFonts w:cs="Arial"/>
          <w:color w:val="0D0D0D" w:themeColor="text1" w:themeTint="F2"/>
          <w:spacing w:val="-2"/>
          <w:sz w:val="16"/>
          <w:szCs w:val="16"/>
        </w:rPr>
        <w:t> </w:t>
      </w:r>
      <w:r w:rsidRPr="0027583D">
        <w:rPr>
          <w:rFonts w:cs="Arial"/>
          <w:color w:val="0D0D0D" w:themeColor="text1" w:themeTint="F2"/>
          <w:spacing w:val="-2"/>
          <w:sz w:val="16"/>
          <w:szCs w:val="16"/>
        </w:rPr>
        <w:t>HPH jsou vyjádřeny ve stálých cenách a</w:t>
      </w:r>
      <w:r>
        <w:rPr>
          <w:rFonts w:cs="Arial"/>
          <w:color w:val="0D0D0D" w:themeColor="text1" w:themeTint="F2"/>
          <w:spacing w:val="-2"/>
          <w:sz w:val="16"/>
          <w:szCs w:val="16"/>
        </w:rPr>
        <w:t> </w:t>
      </w:r>
      <w:r w:rsidRPr="0027583D">
        <w:rPr>
          <w:rFonts w:cs="Arial"/>
          <w:color w:val="0D0D0D" w:themeColor="text1" w:themeTint="F2"/>
          <w:spacing w:val="-2"/>
          <w:sz w:val="16"/>
          <w:szCs w:val="16"/>
        </w:rPr>
        <w:t>v očištění o</w:t>
      </w:r>
      <w:r>
        <w:rPr>
          <w:rFonts w:cs="Arial"/>
          <w:color w:val="0D0D0D" w:themeColor="text1" w:themeTint="F2"/>
          <w:spacing w:val="-2"/>
          <w:sz w:val="16"/>
          <w:szCs w:val="16"/>
        </w:rPr>
        <w:t> </w:t>
      </w:r>
      <w:r w:rsidRPr="0027583D">
        <w:rPr>
          <w:rFonts w:cs="Arial"/>
          <w:color w:val="0D0D0D" w:themeColor="text1" w:themeTint="F2"/>
          <w:spacing w:val="-2"/>
          <w:sz w:val="16"/>
          <w:szCs w:val="16"/>
        </w:rPr>
        <w:t>sezónní a</w:t>
      </w:r>
      <w:r>
        <w:rPr>
          <w:rFonts w:cs="Arial"/>
          <w:color w:val="0D0D0D" w:themeColor="text1" w:themeTint="F2"/>
          <w:spacing w:val="-2"/>
          <w:sz w:val="16"/>
          <w:szCs w:val="16"/>
        </w:rPr>
        <w:t> </w:t>
      </w:r>
      <w:r w:rsidRPr="0027583D">
        <w:rPr>
          <w:rFonts w:cs="Arial"/>
          <w:color w:val="0D0D0D" w:themeColor="text1" w:themeTint="F2"/>
          <w:spacing w:val="-2"/>
          <w:sz w:val="16"/>
          <w:szCs w:val="16"/>
        </w:rPr>
        <w:t>kalendářní vlivy.</w:t>
      </w:r>
    </w:p>
  </w:footnote>
  <w:footnote w:id="2">
    <w:p w:rsidR="00583E52" w:rsidRPr="0027583D" w:rsidRDefault="00583E52" w:rsidP="00C21430">
      <w:pPr>
        <w:pStyle w:val="Textpoznpodarou"/>
        <w:jc w:val="both"/>
        <w:rPr>
          <w:rFonts w:cs="Arial"/>
          <w:color w:val="0D0D0D" w:themeColor="text1" w:themeTint="F2"/>
          <w:sz w:val="16"/>
          <w:szCs w:val="16"/>
        </w:rPr>
      </w:pPr>
      <w:r w:rsidRPr="0027583D">
        <w:rPr>
          <w:rStyle w:val="Znakapoznpodarou"/>
          <w:rFonts w:cs="Arial"/>
          <w:color w:val="0D0D0D" w:themeColor="text1" w:themeTint="F2"/>
          <w:sz w:val="16"/>
          <w:szCs w:val="16"/>
        </w:rPr>
        <w:footnoteRef/>
      </w:r>
      <w:r w:rsidRPr="0027583D">
        <w:rPr>
          <w:rFonts w:cs="Arial"/>
          <w:color w:val="0D0D0D" w:themeColor="text1" w:themeTint="F2"/>
          <w:sz w:val="16"/>
          <w:szCs w:val="16"/>
        </w:rPr>
        <w:t xml:space="preserve"> Zatímco v loňském roce činila dle údajů ČHMÚ průměrná lednová teplota v ČR </w:t>
      </w:r>
      <w:r w:rsidR="007A775D">
        <w:rPr>
          <w:rFonts w:cs="Arial"/>
          <w:color w:val="0D0D0D" w:themeColor="text1" w:themeTint="F2"/>
          <w:sz w:val="16"/>
          <w:szCs w:val="16"/>
        </w:rPr>
        <w:t>-</w:t>
      </w:r>
      <w:r w:rsidRPr="0027583D">
        <w:rPr>
          <w:rFonts w:cs="Arial"/>
          <w:color w:val="0D0D0D" w:themeColor="text1" w:themeTint="F2"/>
          <w:sz w:val="16"/>
          <w:szCs w:val="16"/>
        </w:rPr>
        <w:t>5,6</w:t>
      </w:r>
      <w:r>
        <w:rPr>
          <w:rFonts w:cs="Arial"/>
          <w:color w:val="0D0D0D" w:themeColor="text1" w:themeTint="F2"/>
          <w:sz w:val="16"/>
          <w:szCs w:val="16"/>
        </w:rPr>
        <w:t> </w:t>
      </w:r>
      <w:r w:rsidRPr="0027583D">
        <w:rPr>
          <w:rFonts w:cs="Arial"/>
          <w:color w:val="0D0D0D" w:themeColor="text1" w:themeTint="F2"/>
          <w:sz w:val="16"/>
          <w:szCs w:val="16"/>
        </w:rPr>
        <w:t>°C, v letošním lednu dosáhla +1,8</w:t>
      </w:r>
      <w:r>
        <w:rPr>
          <w:rFonts w:cs="Arial"/>
          <w:color w:val="0D0D0D" w:themeColor="text1" w:themeTint="F2"/>
          <w:sz w:val="16"/>
          <w:szCs w:val="16"/>
        </w:rPr>
        <w:t> </w:t>
      </w:r>
      <w:r w:rsidRPr="0027583D">
        <w:rPr>
          <w:rFonts w:cs="Arial"/>
          <w:color w:val="0D0D0D" w:themeColor="text1" w:themeTint="F2"/>
          <w:sz w:val="16"/>
          <w:szCs w:val="16"/>
        </w:rPr>
        <w:t>°C</w:t>
      </w:r>
      <w:r>
        <w:rPr>
          <w:rFonts w:cs="Arial"/>
          <w:color w:val="0D0D0D" w:themeColor="text1" w:themeTint="F2"/>
          <w:sz w:val="16"/>
          <w:szCs w:val="16"/>
        </w:rPr>
        <w:t> </w:t>
      </w:r>
      <w:r w:rsidRPr="0027583D">
        <w:rPr>
          <w:rFonts w:cs="Arial"/>
          <w:color w:val="0D0D0D" w:themeColor="text1" w:themeTint="F2"/>
          <w:sz w:val="16"/>
          <w:szCs w:val="16"/>
        </w:rPr>
        <w:t>a</w:t>
      </w:r>
      <w:r>
        <w:rPr>
          <w:rFonts w:cs="Arial"/>
          <w:color w:val="0D0D0D" w:themeColor="text1" w:themeTint="F2"/>
          <w:sz w:val="16"/>
          <w:szCs w:val="16"/>
        </w:rPr>
        <w:t> </w:t>
      </w:r>
      <w:r w:rsidRPr="0027583D">
        <w:rPr>
          <w:rFonts w:cs="Arial"/>
          <w:color w:val="0D0D0D" w:themeColor="text1" w:themeTint="F2"/>
          <w:sz w:val="16"/>
          <w:szCs w:val="16"/>
        </w:rPr>
        <w:t>tento měsíc se zároveň stal čtvrtým nejteplejším lednem od roku 1961, kdy se začaly v zemi zaznamenávat celkové průměry teplot</w:t>
      </w:r>
      <w:r w:rsidRPr="0027583D">
        <w:rPr>
          <w:rFonts w:cs="Arial"/>
          <w:color w:val="0D0D0D" w:themeColor="text1" w:themeTint="F2"/>
          <w:sz w:val="16"/>
          <w:szCs w:val="16"/>
          <w:vertAlign w:val="superscript"/>
        </w:rPr>
        <w:t xml:space="preserve">. </w:t>
      </w:r>
      <w:r w:rsidRPr="0027583D">
        <w:rPr>
          <w:rFonts w:cs="Arial"/>
          <w:color w:val="0D0D0D" w:themeColor="text1" w:themeTint="F2"/>
          <w:spacing w:val="-2"/>
          <w:sz w:val="16"/>
          <w:szCs w:val="16"/>
        </w:rPr>
        <w:t>Přestože v únoru a</w:t>
      </w:r>
      <w:r>
        <w:rPr>
          <w:rFonts w:cs="Arial"/>
          <w:color w:val="0D0D0D" w:themeColor="text1" w:themeTint="F2"/>
          <w:spacing w:val="-2"/>
          <w:sz w:val="16"/>
          <w:szCs w:val="16"/>
        </w:rPr>
        <w:t> </w:t>
      </w:r>
      <w:r w:rsidRPr="0027583D">
        <w:rPr>
          <w:rFonts w:cs="Arial"/>
          <w:color w:val="0D0D0D" w:themeColor="text1" w:themeTint="F2"/>
          <w:spacing w:val="-2"/>
          <w:sz w:val="16"/>
          <w:szCs w:val="16"/>
        </w:rPr>
        <w:t xml:space="preserve">březnu se teploty pohybovaly mírně pod dlouhodobým normálem, </w:t>
      </w:r>
      <w:r w:rsidRPr="0027583D">
        <w:rPr>
          <w:rFonts w:cs="Arial"/>
          <w:color w:val="0D0D0D" w:themeColor="text1" w:themeTint="F2"/>
          <w:sz w:val="16"/>
          <w:szCs w:val="16"/>
        </w:rPr>
        <w:t>provádění stavebních pr</w:t>
      </w:r>
      <w:r>
        <w:rPr>
          <w:rFonts w:cs="Arial"/>
          <w:color w:val="0D0D0D" w:themeColor="text1" w:themeTint="F2"/>
          <w:sz w:val="16"/>
          <w:szCs w:val="16"/>
        </w:rPr>
        <w:t>a</w:t>
      </w:r>
      <w:r w:rsidRPr="0027583D">
        <w:rPr>
          <w:rFonts w:cs="Arial"/>
          <w:color w:val="0D0D0D" w:themeColor="text1" w:themeTint="F2"/>
          <w:sz w:val="16"/>
          <w:szCs w:val="16"/>
        </w:rPr>
        <w:t>cí již výrazně neomezovaly.</w:t>
      </w:r>
    </w:p>
  </w:footnote>
  <w:footnote w:id="3">
    <w:p w:rsidR="00583E52" w:rsidRPr="0027583D" w:rsidRDefault="00583E52" w:rsidP="00C21430">
      <w:pPr>
        <w:pStyle w:val="Textpoznpodarou"/>
        <w:jc w:val="both"/>
        <w:rPr>
          <w:rFonts w:cs="Arial"/>
          <w:color w:val="0D0D0D" w:themeColor="text1" w:themeTint="F2"/>
          <w:spacing w:val="-2"/>
          <w:sz w:val="16"/>
          <w:szCs w:val="16"/>
        </w:rPr>
      </w:pPr>
      <w:r w:rsidRPr="0027583D">
        <w:rPr>
          <w:rStyle w:val="Znakapoznpodarou"/>
          <w:rFonts w:cs="Arial"/>
          <w:color w:val="0D0D0D" w:themeColor="text1" w:themeTint="F2"/>
          <w:spacing w:val="-2"/>
          <w:sz w:val="16"/>
          <w:szCs w:val="16"/>
        </w:rPr>
        <w:footnoteRef/>
      </w:r>
      <w:r w:rsidRPr="0027583D">
        <w:rPr>
          <w:rFonts w:cs="Arial"/>
          <w:color w:val="0D0D0D" w:themeColor="text1" w:themeTint="F2"/>
          <w:spacing w:val="-2"/>
          <w:sz w:val="16"/>
          <w:szCs w:val="16"/>
        </w:rPr>
        <w:t xml:space="preserve"> Zahrnutá odvětví: Těžba a dobývání, Zpracovatelský průmysl, Energetika. Všechna meziroční tempa produkce (na úrovni odvětvových sekcí i</w:t>
      </w:r>
      <w:r>
        <w:rPr>
          <w:rFonts w:cs="Arial"/>
          <w:color w:val="0D0D0D" w:themeColor="text1" w:themeTint="F2"/>
          <w:spacing w:val="-2"/>
          <w:sz w:val="16"/>
          <w:szCs w:val="16"/>
        </w:rPr>
        <w:t> </w:t>
      </w:r>
      <w:r w:rsidRPr="0027583D">
        <w:rPr>
          <w:rFonts w:cs="Arial"/>
          <w:color w:val="0D0D0D" w:themeColor="text1" w:themeTint="F2"/>
          <w:spacing w:val="-2"/>
          <w:sz w:val="16"/>
          <w:szCs w:val="16"/>
        </w:rPr>
        <w:t>oddílů) jsou očištěna o</w:t>
      </w:r>
      <w:r>
        <w:rPr>
          <w:rFonts w:cs="Arial"/>
          <w:color w:val="0D0D0D" w:themeColor="text1" w:themeTint="F2"/>
          <w:spacing w:val="-2"/>
          <w:sz w:val="16"/>
          <w:szCs w:val="16"/>
        </w:rPr>
        <w:t> </w:t>
      </w:r>
      <w:r w:rsidRPr="0027583D">
        <w:rPr>
          <w:rFonts w:cs="Arial"/>
          <w:color w:val="0D0D0D" w:themeColor="text1" w:themeTint="F2"/>
          <w:spacing w:val="-2"/>
          <w:sz w:val="16"/>
          <w:szCs w:val="16"/>
        </w:rPr>
        <w:t>kalendářní vlivy.</w:t>
      </w:r>
    </w:p>
  </w:footnote>
  <w:footnote w:id="4">
    <w:p w:rsidR="00583E52" w:rsidRPr="0027583D" w:rsidRDefault="00583E52" w:rsidP="00C21430">
      <w:pPr>
        <w:pStyle w:val="Textpoznpodarou"/>
        <w:jc w:val="both"/>
        <w:rPr>
          <w:rFonts w:cs="Arial"/>
          <w:color w:val="0D0D0D" w:themeColor="text1" w:themeTint="F2"/>
          <w:sz w:val="16"/>
          <w:szCs w:val="16"/>
        </w:rPr>
      </w:pPr>
      <w:r w:rsidRPr="0027583D">
        <w:rPr>
          <w:rStyle w:val="Znakapoznpodarou"/>
          <w:rFonts w:cs="Arial"/>
          <w:color w:val="0D0D0D" w:themeColor="text1" w:themeTint="F2"/>
          <w:sz w:val="16"/>
          <w:szCs w:val="16"/>
        </w:rPr>
        <w:footnoteRef/>
      </w:r>
      <w:r w:rsidRPr="0027583D">
        <w:rPr>
          <w:rFonts w:cs="Arial"/>
          <w:color w:val="0D0D0D" w:themeColor="text1" w:themeTint="F2"/>
          <w:sz w:val="16"/>
          <w:szCs w:val="16"/>
        </w:rPr>
        <w:t xml:space="preserve"> </w:t>
      </w:r>
      <w:r w:rsidRPr="0027583D">
        <w:rPr>
          <w:rFonts w:cs="Arial"/>
          <w:color w:val="0D0D0D" w:themeColor="text1" w:themeTint="F2"/>
          <w:spacing w:val="-3"/>
          <w:sz w:val="16"/>
          <w:szCs w:val="16"/>
        </w:rPr>
        <w:t>V 1. čtvrtletí 2018 bylo ve srovnání se stejným obdobím r</w:t>
      </w:r>
      <w:r>
        <w:rPr>
          <w:rFonts w:cs="Arial"/>
          <w:color w:val="0D0D0D" w:themeColor="text1" w:themeTint="F2"/>
          <w:spacing w:val="-3"/>
          <w:sz w:val="16"/>
          <w:szCs w:val="16"/>
        </w:rPr>
        <w:t>. </w:t>
      </w:r>
      <w:r w:rsidRPr="0027583D">
        <w:rPr>
          <w:rFonts w:cs="Arial"/>
          <w:color w:val="0D0D0D" w:themeColor="text1" w:themeTint="F2"/>
          <w:spacing w:val="-3"/>
          <w:sz w:val="16"/>
          <w:szCs w:val="16"/>
        </w:rPr>
        <w:t>2017 o dva pracovní dny méně. Bez očištění činil loni meziroční růst jen 1,9</w:t>
      </w:r>
      <w:r>
        <w:rPr>
          <w:rFonts w:cs="Arial"/>
          <w:color w:val="0D0D0D" w:themeColor="text1" w:themeTint="F2"/>
          <w:spacing w:val="-3"/>
          <w:sz w:val="16"/>
          <w:szCs w:val="16"/>
        </w:rPr>
        <w:t> %.</w:t>
      </w:r>
    </w:p>
  </w:footnote>
  <w:footnote w:id="5">
    <w:p w:rsidR="00583E52" w:rsidRDefault="00583E52" w:rsidP="00C21430">
      <w:pPr>
        <w:pStyle w:val="Textpoznpodarou"/>
        <w:jc w:val="both"/>
      </w:pPr>
      <w:r w:rsidRPr="0027583D">
        <w:rPr>
          <w:rStyle w:val="Znakapoznpodarou"/>
          <w:rFonts w:cs="Arial"/>
          <w:color w:val="0D0D0D" w:themeColor="text1" w:themeTint="F2"/>
          <w:sz w:val="16"/>
          <w:szCs w:val="16"/>
        </w:rPr>
        <w:footnoteRef/>
      </w:r>
      <w:r w:rsidRPr="0027583D">
        <w:rPr>
          <w:rFonts w:cs="Arial"/>
          <w:color w:val="0D0D0D" w:themeColor="text1" w:themeTint="F2"/>
          <w:sz w:val="16"/>
          <w:szCs w:val="16"/>
        </w:rPr>
        <w:t xml:space="preserve"> Dle údajů Sdružení automobilového průmyslu bylo v 1</w:t>
      </w:r>
      <w:r>
        <w:rPr>
          <w:rFonts w:cs="Arial"/>
          <w:color w:val="0D0D0D" w:themeColor="text1" w:themeTint="F2"/>
          <w:sz w:val="16"/>
          <w:szCs w:val="16"/>
        </w:rPr>
        <w:t>. čtvrt</w:t>
      </w:r>
      <w:r w:rsidRPr="0027583D">
        <w:rPr>
          <w:rFonts w:cs="Arial"/>
          <w:color w:val="0D0D0D" w:themeColor="text1" w:themeTint="F2"/>
          <w:sz w:val="16"/>
          <w:szCs w:val="16"/>
        </w:rPr>
        <w:t>letí 2018 v Česku vyrobeno 379</w:t>
      </w:r>
      <w:r>
        <w:rPr>
          <w:rFonts w:cs="Arial"/>
          <w:color w:val="0D0D0D" w:themeColor="text1" w:themeTint="F2"/>
          <w:sz w:val="16"/>
          <w:szCs w:val="16"/>
        </w:rPr>
        <w:t> </w:t>
      </w:r>
      <w:r w:rsidRPr="0027583D">
        <w:rPr>
          <w:rFonts w:cs="Arial"/>
          <w:color w:val="0D0D0D" w:themeColor="text1" w:themeTint="F2"/>
          <w:sz w:val="16"/>
          <w:szCs w:val="16"/>
        </w:rPr>
        <w:t>tis. motorových vozidel, meziročně o 2,6 % m</w:t>
      </w:r>
      <w:r>
        <w:rPr>
          <w:rFonts w:cs="Arial"/>
          <w:color w:val="0D0D0D" w:themeColor="text1" w:themeTint="F2"/>
          <w:sz w:val="16"/>
          <w:szCs w:val="16"/>
        </w:rPr>
        <w:t>é</w:t>
      </w:r>
      <w:r w:rsidRPr="0027583D">
        <w:rPr>
          <w:rFonts w:cs="Arial"/>
          <w:color w:val="0D0D0D" w:themeColor="text1" w:themeTint="F2"/>
          <w:sz w:val="16"/>
          <w:szCs w:val="16"/>
        </w:rPr>
        <w:t>ně (za celý loňský rok +5,2</w:t>
      </w:r>
      <w:r>
        <w:rPr>
          <w:rFonts w:cs="Arial"/>
          <w:color w:val="0D0D0D" w:themeColor="text1" w:themeTint="F2"/>
          <w:sz w:val="16"/>
          <w:szCs w:val="16"/>
        </w:rPr>
        <w:t> %</w:t>
      </w:r>
      <w:r w:rsidRPr="0027583D">
        <w:rPr>
          <w:rFonts w:cs="Arial"/>
          <w:color w:val="0D0D0D" w:themeColor="text1" w:themeTint="F2"/>
          <w:sz w:val="16"/>
          <w:szCs w:val="16"/>
        </w:rPr>
        <w:t>). Na poklesu se vedle osobních automobilů podílela i</w:t>
      </w:r>
      <w:r>
        <w:rPr>
          <w:rFonts w:cs="Arial"/>
          <w:color w:val="0D0D0D" w:themeColor="text1" w:themeTint="F2"/>
          <w:sz w:val="16"/>
          <w:szCs w:val="16"/>
        </w:rPr>
        <w:t> </w:t>
      </w:r>
      <w:r w:rsidRPr="0027583D">
        <w:rPr>
          <w:rFonts w:cs="Arial"/>
          <w:color w:val="0D0D0D" w:themeColor="text1" w:themeTint="F2"/>
          <w:sz w:val="16"/>
          <w:szCs w:val="16"/>
        </w:rPr>
        <w:t>většina zbývajících kategorií motorových vozidel. Více než 90</w:t>
      </w:r>
      <w:r>
        <w:rPr>
          <w:rFonts w:cs="Arial"/>
          <w:color w:val="0D0D0D" w:themeColor="text1" w:themeTint="F2"/>
          <w:sz w:val="16"/>
          <w:szCs w:val="16"/>
        </w:rPr>
        <w:t> %</w:t>
      </w:r>
      <w:r w:rsidRPr="0027583D">
        <w:rPr>
          <w:rFonts w:cs="Arial"/>
          <w:color w:val="0D0D0D" w:themeColor="text1" w:themeTint="F2"/>
          <w:sz w:val="16"/>
          <w:szCs w:val="16"/>
        </w:rPr>
        <w:t xml:space="preserve"> produkce směřovalo na export.</w:t>
      </w:r>
    </w:p>
  </w:footnote>
  <w:footnote w:id="6">
    <w:p w:rsidR="00583E52" w:rsidRPr="00715E4D" w:rsidRDefault="00583E52" w:rsidP="003927F6">
      <w:pPr>
        <w:pStyle w:val="Textpoznpodarou"/>
        <w:jc w:val="both"/>
        <w:rPr>
          <w:sz w:val="16"/>
          <w:szCs w:val="16"/>
        </w:rPr>
      </w:pPr>
      <w:r w:rsidRPr="00715E4D">
        <w:rPr>
          <w:rStyle w:val="Znakapoznpodarou"/>
          <w:sz w:val="16"/>
          <w:szCs w:val="16"/>
        </w:rPr>
        <w:footnoteRef/>
      </w:r>
      <w:r w:rsidRPr="00715E4D">
        <w:rPr>
          <w:sz w:val="16"/>
          <w:szCs w:val="16"/>
        </w:rPr>
        <w:t xml:space="preserve"> Meziročn</w:t>
      </w:r>
      <w:r>
        <w:rPr>
          <w:sz w:val="16"/>
          <w:szCs w:val="16"/>
        </w:rPr>
        <w:t>ě</w:t>
      </w:r>
      <w:r w:rsidRPr="00715E4D">
        <w:rPr>
          <w:sz w:val="16"/>
          <w:szCs w:val="16"/>
        </w:rPr>
        <w:t xml:space="preserve"> poklesla v tomto odvětví produkce o</w:t>
      </w:r>
      <w:r>
        <w:rPr>
          <w:sz w:val="16"/>
          <w:szCs w:val="16"/>
        </w:rPr>
        <w:t> </w:t>
      </w:r>
      <w:r w:rsidRPr="00715E4D">
        <w:rPr>
          <w:sz w:val="16"/>
          <w:szCs w:val="16"/>
        </w:rPr>
        <w:t>pětinu, za posledních deset let o</w:t>
      </w:r>
      <w:r>
        <w:rPr>
          <w:sz w:val="16"/>
          <w:szCs w:val="16"/>
        </w:rPr>
        <w:t> </w:t>
      </w:r>
      <w:r w:rsidRPr="00715E4D">
        <w:rPr>
          <w:sz w:val="16"/>
          <w:szCs w:val="16"/>
        </w:rPr>
        <w:t>38</w:t>
      </w:r>
      <w:r>
        <w:rPr>
          <w:sz w:val="16"/>
          <w:szCs w:val="16"/>
        </w:rPr>
        <w:t> %</w:t>
      </w:r>
      <w:r w:rsidRPr="00715E4D">
        <w:rPr>
          <w:sz w:val="16"/>
          <w:szCs w:val="16"/>
        </w:rPr>
        <w:t>.</w:t>
      </w:r>
    </w:p>
  </w:footnote>
  <w:footnote w:id="7">
    <w:p w:rsidR="00583E52" w:rsidRPr="00537571" w:rsidRDefault="00583E52" w:rsidP="003927F6">
      <w:pPr>
        <w:pStyle w:val="Textpoznpodarou"/>
        <w:jc w:val="both"/>
        <w:rPr>
          <w:sz w:val="16"/>
          <w:szCs w:val="16"/>
        </w:rPr>
      </w:pPr>
      <w:r w:rsidRPr="00537571">
        <w:rPr>
          <w:rStyle w:val="Znakapoznpodarou"/>
          <w:sz w:val="16"/>
          <w:szCs w:val="16"/>
        </w:rPr>
        <w:footnoteRef/>
      </w:r>
      <w:r w:rsidRPr="00537571">
        <w:rPr>
          <w:sz w:val="16"/>
          <w:szCs w:val="16"/>
        </w:rPr>
        <w:t xml:space="preserve"> Za poklesem stál především dlouhod</w:t>
      </w:r>
      <w:r>
        <w:rPr>
          <w:sz w:val="16"/>
          <w:szCs w:val="16"/>
        </w:rPr>
        <w:t>o</w:t>
      </w:r>
      <w:r w:rsidRPr="00537571">
        <w:rPr>
          <w:sz w:val="16"/>
          <w:szCs w:val="16"/>
        </w:rPr>
        <w:t>bý útlum těžby černé</w:t>
      </w:r>
      <w:r>
        <w:rPr>
          <w:sz w:val="16"/>
          <w:szCs w:val="16"/>
        </w:rPr>
        <w:t>ho</w:t>
      </w:r>
      <w:r w:rsidRPr="00537571">
        <w:rPr>
          <w:sz w:val="16"/>
          <w:szCs w:val="16"/>
        </w:rPr>
        <w:t xml:space="preserve"> </w:t>
      </w:r>
      <w:r>
        <w:rPr>
          <w:sz w:val="16"/>
          <w:szCs w:val="16"/>
        </w:rPr>
        <w:t>uhlí. Naopak ve váhově méně výz</w:t>
      </w:r>
      <w:r w:rsidRPr="00537571">
        <w:rPr>
          <w:sz w:val="16"/>
          <w:szCs w:val="16"/>
        </w:rPr>
        <w:t>n</w:t>
      </w:r>
      <w:r>
        <w:rPr>
          <w:sz w:val="16"/>
          <w:szCs w:val="16"/>
        </w:rPr>
        <w:t>amn</w:t>
      </w:r>
      <w:r w:rsidRPr="00537571">
        <w:rPr>
          <w:sz w:val="16"/>
          <w:szCs w:val="16"/>
        </w:rPr>
        <w:t>ém oddílu osta</w:t>
      </w:r>
      <w:r>
        <w:rPr>
          <w:sz w:val="16"/>
          <w:szCs w:val="16"/>
        </w:rPr>
        <w:t>tní těžba a dobývání (zahrnujícím</w:t>
      </w:r>
      <w:r w:rsidRPr="00537571">
        <w:rPr>
          <w:sz w:val="16"/>
          <w:szCs w:val="16"/>
        </w:rPr>
        <w:t xml:space="preserve"> těžbu stavebních materiálů – </w:t>
      </w:r>
      <w:r w:rsidR="007A775D">
        <w:rPr>
          <w:sz w:val="16"/>
          <w:szCs w:val="16"/>
        </w:rPr>
        <w:t>kamene, jílů, písků) produkce po 1</w:t>
      </w:r>
      <w:r>
        <w:rPr>
          <w:sz w:val="16"/>
          <w:szCs w:val="16"/>
        </w:rPr>
        <w:t>. čtvrt</w:t>
      </w:r>
      <w:r w:rsidRPr="00537571">
        <w:rPr>
          <w:sz w:val="16"/>
          <w:szCs w:val="16"/>
        </w:rPr>
        <w:t>letí 2017 rostla.</w:t>
      </w:r>
    </w:p>
  </w:footnote>
  <w:footnote w:id="8">
    <w:p w:rsidR="00583E52" w:rsidRPr="003927F6" w:rsidRDefault="00583E52" w:rsidP="003927F6">
      <w:pPr>
        <w:pStyle w:val="Textpoznpodarou"/>
        <w:jc w:val="both"/>
        <w:rPr>
          <w:sz w:val="16"/>
          <w:szCs w:val="16"/>
        </w:rPr>
      </w:pPr>
      <w:r w:rsidRPr="003927F6">
        <w:rPr>
          <w:rStyle w:val="Znakapoznpodarou"/>
          <w:sz w:val="16"/>
          <w:szCs w:val="16"/>
        </w:rPr>
        <w:footnoteRef/>
      </w:r>
      <w:r w:rsidRPr="003927F6">
        <w:rPr>
          <w:sz w:val="16"/>
          <w:szCs w:val="16"/>
        </w:rPr>
        <w:t xml:space="preserve"> V 1</w:t>
      </w:r>
      <w:r>
        <w:rPr>
          <w:sz w:val="16"/>
          <w:szCs w:val="16"/>
        </w:rPr>
        <w:t>. čtvrt</w:t>
      </w:r>
      <w:r w:rsidRPr="003927F6">
        <w:rPr>
          <w:sz w:val="16"/>
          <w:szCs w:val="16"/>
        </w:rPr>
        <w:t>letí 2018 činila hrubá výroba elektřiny 23</w:t>
      </w:r>
      <w:r>
        <w:rPr>
          <w:sz w:val="16"/>
          <w:szCs w:val="16"/>
        </w:rPr>
        <w:t> </w:t>
      </w:r>
      <w:proofErr w:type="spellStart"/>
      <w:r w:rsidRPr="003927F6">
        <w:rPr>
          <w:sz w:val="16"/>
          <w:szCs w:val="16"/>
        </w:rPr>
        <w:t>TWh</w:t>
      </w:r>
      <w:proofErr w:type="spellEnd"/>
      <w:r w:rsidRPr="003927F6">
        <w:rPr>
          <w:sz w:val="16"/>
          <w:szCs w:val="16"/>
        </w:rPr>
        <w:t>, meziročně o</w:t>
      </w:r>
      <w:r>
        <w:rPr>
          <w:sz w:val="16"/>
          <w:szCs w:val="16"/>
        </w:rPr>
        <w:t> </w:t>
      </w:r>
      <w:r w:rsidRPr="003927F6">
        <w:rPr>
          <w:sz w:val="16"/>
          <w:szCs w:val="16"/>
        </w:rPr>
        <w:t>4,1</w:t>
      </w:r>
      <w:r>
        <w:rPr>
          <w:sz w:val="16"/>
          <w:szCs w:val="16"/>
        </w:rPr>
        <w:t> %</w:t>
      </w:r>
      <w:r w:rsidRPr="003927F6">
        <w:rPr>
          <w:sz w:val="16"/>
          <w:szCs w:val="16"/>
        </w:rPr>
        <w:t xml:space="preserve"> méně. </w:t>
      </w:r>
      <w:r>
        <w:rPr>
          <w:sz w:val="16"/>
          <w:szCs w:val="16"/>
        </w:rPr>
        <w:t>Snížilo se i kladné saldo zahraničního obchodu s elektřinou.</w:t>
      </w:r>
    </w:p>
  </w:footnote>
  <w:footnote w:id="9">
    <w:p w:rsidR="00583E52" w:rsidRPr="009A2359" w:rsidRDefault="00583E52" w:rsidP="00C21430">
      <w:pPr>
        <w:pStyle w:val="Textpoznpodarou"/>
        <w:rPr>
          <w:sz w:val="16"/>
          <w:szCs w:val="16"/>
        </w:rPr>
      </w:pPr>
      <w:r w:rsidRPr="009A2359">
        <w:rPr>
          <w:rStyle w:val="Znakapoznpodarou"/>
          <w:sz w:val="16"/>
          <w:szCs w:val="16"/>
        </w:rPr>
        <w:footnoteRef/>
      </w:r>
      <w:r w:rsidRPr="009A2359">
        <w:rPr>
          <w:sz w:val="16"/>
          <w:szCs w:val="16"/>
        </w:rPr>
        <w:t xml:space="preserve"> </w:t>
      </w:r>
      <w:r w:rsidRPr="009A2359">
        <w:rPr>
          <w:rFonts w:cs="Arial"/>
          <w:color w:val="0D0D0D" w:themeColor="text1" w:themeTint="F2"/>
          <w:spacing w:val="-4"/>
          <w:sz w:val="16"/>
          <w:szCs w:val="16"/>
        </w:rPr>
        <w:t>Půjde přitom primárně</w:t>
      </w:r>
      <w:r w:rsidRPr="009A2359">
        <w:rPr>
          <w:rFonts w:eastAsia="Times New Roman" w:cs="Arial"/>
          <w:color w:val="0D0D0D" w:themeColor="text1" w:themeTint="F2"/>
          <w:spacing w:val="-4"/>
          <w:sz w:val="16"/>
          <w:szCs w:val="16"/>
        </w:rPr>
        <w:t xml:space="preserve"> o</w:t>
      </w:r>
      <w:r>
        <w:rPr>
          <w:rFonts w:eastAsia="Times New Roman" w:cs="Arial"/>
          <w:color w:val="0D0D0D" w:themeColor="text1" w:themeTint="F2"/>
          <w:spacing w:val="-4"/>
          <w:sz w:val="16"/>
          <w:szCs w:val="16"/>
        </w:rPr>
        <w:t> </w:t>
      </w:r>
      <w:r w:rsidRPr="009A2359">
        <w:rPr>
          <w:rFonts w:eastAsia="Times New Roman" w:cs="Arial"/>
          <w:color w:val="0D0D0D" w:themeColor="text1" w:themeTint="F2"/>
          <w:spacing w:val="-4"/>
          <w:sz w:val="16"/>
          <w:szCs w:val="16"/>
        </w:rPr>
        <w:t>obnovu stávajících výrobních zařízení, méně pak o</w:t>
      </w:r>
      <w:r>
        <w:rPr>
          <w:rFonts w:eastAsia="Times New Roman" w:cs="Arial"/>
          <w:color w:val="0D0D0D" w:themeColor="text1" w:themeTint="F2"/>
          <w:spacing w:val="-4"/>
          <w:sz w:val="16"/>
          <w:szCs w:val="16"/>
        </w:rPr>
        <w:t> </w:t>
      </w:r>
      <w:r w:rsidRPr="009A2359">
        <w:rPr>
          <w:rFonts w:eastAsia="Times New Roman" w:cs="Arial"/>
          <w:color w:val="0D0D0D" w:themeColor="text1" w:themeTint="F2"/>
          <w:spacing w:val="-4"/>
          <w:sz w:val="16"/>
          <w:szCs w:val="16"/>
        </w:rPr>
        <w:t>rozšíření výrobních kapacit a pořízení nových technologií.</w:t>
      </w:r>
    </w:p>
  </w:footnote>
  <w:footnote w:id="10">
    <w:p w:rsidR="00583E52" w:rsidRPr="00FA05A0" w:rsidRDefault="00583E52" w:rsidP="00C21430">
      <w:pPr>
        <w:pStyle w:val="Textpoznpodarou"/>
        <w:jc w:val="both"/>
        <w:rPr>
          <w:spacing w:val="-2"/>
          <w:sz w:val="16"/>
          <w:szCs w:val="16"/>
        </w:rPr>
      </w:pPr>
      <w:r w:rsidRPr="00FA05A0">
        <w:rPr>
          <w:rStyle w:val="Znakapoznpodarou"/>
          <w:spacing w:val="-2"/>
          <w:sz w:val="16"/>
          <w:szCs w:val="16"/>
        </w:rPr>
        <w:footnoteRef/>
      </w:r>
      <w:r w:rsidRPr="00FA05A0">
        <w:rPr>
          <w:spacing w:val="-2"/>
          <w:sz w:val="16"/>
          <w:szCs w:val="16"/>
        </w:rPr>
        <w:t xml:space="preserve"> </w:t>
      </w:r>
      <w:r w:rsidRPr="00FA05A0">
        <w:rPr>
          <w:color w:val="0D0D0D" w:themeColor="text1" w:themeTint="F2"/>
          <w:spacing w:val="-2"/>
          <w:sz w:val="16"/>
          <w:szCs w:val="16"/>
        </w:rPr>
        <w:t>Nedostatek zaměstnanců sužoval nejvíce silné exportní obory: automobilový průmysl (66</w:t>
      </w:r>
      <w:r>
        <w:rPr>
          <w:color w:val="0D0D0D" w:themeColor="text1" w:themeTint="F2"/>
          <w:spacing w:val="-2"/>
          <w:sz w:val="16"/>
          <w:szCs w:val="16"/>
        </w:rPr>
        <w:t> %</w:t>
      </w:r>
      <w:r w:rsidRPr="00FA05A0">
        <w:rPr>
          <w:color w:val="0D0D0D" w:themeColor="text1" w:themeTint="F2"/>
          <w:spacing w:val="-2"/>
          <w:sz w:val="16"/>
          <w:szCs w:val="16"/>
        </w:rPr>
        <w:t>), strojírenství (59</w:t>
      </w:r>
      <w:r>
        <w:rPr>
          <w:color w:val="0D0D0D" w:themeColor="text1" w:themeTint="F2"/>
          <w:spacing w:val="-2"/>
          <w:sz w:val="16"/>
          <w:szCs w:val="16"/>
        </w:rPr>
        <w:t> %</w:t>
      </w:r>
      <w:r w:rsidRPr="00FA05A0">
        <w:rPr>
          <w:color w:val="0D0D0D" w:themeColor="text1" w:themeTint="F2"/>
          <w:spacing w:val="-2"/>
          <w:sz w:val="16"/>
          <w:szCs w:val="16"/>
        </w:rPr>
        <w:t>), hlavní subdodavatele pro automobilový průmysl (kolem 50</w:t>
      </w:r>
      <w:r>
        <w:rPr>
          <w:color w:val="0D0D0D" w:themeColor="text1" w:themeTint="F2"/>
          <w:spacing w:val="-2"/>
          <w:sz w:val="16"/>
          <w:szCs w:val="16"/>
        </w:rPr>
        <w:t> %</w:t>
      </w:r>
      <w:r w:rsidRPr="00FA05A0">
        <w:rPr>
          <w:color w:val="0D0D0D" w:themeColor="text1" w:themeTint="F2"/>
          <w:spacing w:val="-2"/>
          <w:sz w:val="16"/>
          <w:szCs w:val="16"/>
        </w:rPr>
        <w:t>) a</w:t>
      </w:r>
      <w:r>
        <w:rPr>
          <w:color w:val="0D0D0D" w:themeColor="text1" w:themeTint="F2"/>
          <w:spacing w:val="-2"/>
          <w:sz w:val="16"/>
          <w:szCs w:val="16"/>
        </w:rPr>
        <w:t> </w:t>
      </w:r>
      <w:r w:rsidRPr="00FA05A0">
        <w:rPr>
          <w:color w:val="0D0D0D" w:themeColor="text1" w:themeTint="F2"/>
          <w:spacing w:val="-2"/>
          <w:sz w:val="16"/>
          <w:szCs w:val="16"/>
        </w:rPr>
        <w:t>kovodělný průmysl (47</w:t>
      </w:r>
      <w:r>
        <w:rPr>
          <w:color w:val="0D0D0D" w:themeColor="text1" w:themeTint="F2"/>
          <w:spacing w:val="-2"/>
          <w:sz w:val="16"/>
          <w:szCs w:val="16"/>
        </w:rPr>
        <w:t> %</w:t>
      </w:r>
      <w:r w:rsidRPr="00FA05A0">
        <w:rPr>
          <w:color w:val="0D0D0D" w:themeColor="text1" w:themeTint="F2"/>
          <w:spacing w:val="-2"/>
          <w:sz w:val="16"/>
          <w:szCs w:val="16"/>
        </w:rPr>
        <w:t>). Vysoký byl i</w:t>
      </w:r>
      <w:r>
        <w:rPr>
          <w:color w:val="0D0D0D" w:themeColor="text1" w:themeTint="F2"/>
          <w:spacing w:val="-2"/>
          <w:sz w:val="16"/>
          <w:szCs w:val="16"/>
        </w:rPr>
        <w:t> </w:t>
      </w:r>
      <w:r w:rsidRPr="00FA05A0">
        <w:rPr>
          <w:color w:val="0D0D0D" w:themeColor="text1" w:themeTint="F2"/>
          <w:spacing w:val="-2"/>
          <w:sz w:val="16"/>
          <w:szCs w:val="16"/>
        </w:rPr>
        <w:t>v</w:t>
      </w:r>
      <w:r>
        <w:rPr>
          <w:color w:val="0D0D0D" w:themeColor="text1" w:themeTint="F2"/>
          <w:spacing w:val="-2"/>
          <w:sz w:val="16"/>
          <w:szCs w:val="16"/>
        </w:rPr>
        <w:t> </w:t>
      </w:r>
      <w:r w:rsidRPr="00FA05A0">
        <w:rPr>
          <w:color w:val="0D0D0D" w:themeColor="text1" w:themeTint="F2"/>
          <w:spacing w:val="-2"/>
          <w:sz w:val="16"/>
          <w:szCs w:val="16"/>
        </w:rPr>
        <w:t>mnoh</w:t>
      </w:r>
      <w:r>
        <w:rPr>
          <w:color w:val="0D0D0D" w:themeColor="text1" w:themeTint="F2"/>
          <w:spacing w:val="-2"/>
          <w:sz w:val="16"/>
          <w:szCs w:val="16"/>
        </w:rPr>
        <w:t>a</w:t>
      </w:r>
      <w:r w:rsidRPr="00FA05A0">
        <w:rPr>
          <w:color w:val="0D0D0D" w:themeColor="text1" w:themeTint="F2"/>
          <w:spacing w:val="-2"/>
          <w:sz w:val="16"/>
          <w:szCs w:val="16"/>
        </w:rPr>
        <w:t xml:space="preserve"> malých oborech s nízkou mzdovou úrovní – průmysl kožedělný (79 %), textilní (51</w:t>
      </w:r>
      <w:r>
        <w:rPr>
          <w:color w:val="0D0D0D" w:themeColor="text1" w:themeTint="F2"/>
          <w:spacing w:val="-2"/>
          <w:sz w:val="16"/>
          <w:szCs w:val="16"/>
        </w:rPr>
        <w:t> %</w:t>
      </w:r>
      <w:r w:rsidRPr="00FA05A0">
        <w:rPr>
          <w:color w:val="0D0D0D" w:themeColor="text1" w:themeTint="F2"/>
          <w:spacing w:val="-2"/>
          <w:sz w:val="16"/>
          <w:szCs w:val="16"/>
        </w:rPr>
        <w:t>), oděvní (40</w:t>
      </w:r>
      <w:r>
        <w:rPr>
          <w:color w:val="0D0D0D" w:themeColor="text1" w:themeTint="F2"/>
          <w:spacing w:val="-2"/>
          <w:sz w:val="16"/>
          <w:szCs w:val="16"/>
        </w:rPr>
        <w:t> %</w:t>
      </w:r>
      <w:r w:rsidRPr="00FA05A0">
        <w:rPr>
          <w:color w:val="0D0D0D" w:themeColor="text1" w:themeTint="F2"/>
          <w:spacing w:val="-2"/>
          <w:sz w:val="16"/>
          <w:szCs w:val="16"/>
        </w:rPr>
        <w:t>). Nízký (do 15</w:t>
      </w:r>
      <w:r>
        <w:rPr>
          <w:color w:val="0D0D0D" w:themeColor="text1" w:themeTint="F2"/>
          <w:spacing w:val="-2"/>
          <w:sz w:val="16"/>
          <w:szCs w:val="16"/>
        </w:rPr>
        <w:t> %</w:t>
      </w:r>
      <w:r w:rsidRPr="00FA05A0">
        <w:rPr>
          <w:color w:val="0D0D0D" w:themeColor="text1" w:themeTint="F2"/>
          <w:spacing w:val="-2"/>
          <w:sz w:val="16"/>
          <w:szCs w:val="16"/>
        </w:rPr>
        <w:t>) pak v chemii, hutnictví, výrobě nápojů, těžbě a</w:t>
      </w:r>
      <w:r>
        <w:rPr>
          <w:color w:val="0D0D0D" w:themeColor="text1" w:themeTint="F2"/>
          <w:spacing w:val="-2"/>
          <w:sz w:val="16"/>
          <w:szCs w:val="16"/>
        </w:rPr>
        <w:t> </w:t>
      </w:r>
      <w:r w:rsidRPr="00FA05A0">
        <w:rPr>
          <w:color w:val="0D0D0D" w:themeColor="text1" w:themeTint="F2"/>
          <w:spacing w:val="-2"/>
          <w:sz w:val="16"/>
          <w:szCs w:val="16"/>
        </w:rPr>
        <w:t>energetice.</w:t>
      </w:r>
    </w:p>
  </w:footnote>
  <w:footnote w:id="11">
    <w:p w:rsidR="00583E52" w:rsidRPr="00D85B50" w:rsidRDefault="00583E52" w:rsidP="00512461">
      <w:pPr>
        <w:pStyle w:val="Textpoznpodarou"/>
        <w:jc w:val="both"/>
        <w:rPr>
          <w:spacing w:val="-4"/>
          <w:sz w:val="16"/>
          <w:szCs w:val="16"/>
        </w:rPr>
      </w:pPr>
      <w:r w:rsidRPr="00D85B50">
        <w:rPr>
          <w:rStyle w:val="Znakapoznpodarou"/>
          <w:color w:val="0D0D0D" w:themeColor="text1" w:themeTint="F2"/>
          <w:spacing w:val="-4"/>
          <w:sz w:val="16"/>
          <w:szCs w:val="16"/>
        </w:rPr>
        <w:footnoteRef/>
      </w:r>
      <w:r w:rsidRPr="00D85B50">
        <w:rPr>
          <w:color w:val="0D0D0D" w:themeColor="text1" w:themeTint="F2"/>
          <w:spacing w:val="-4"/>
          <w:sz w:val="16"/>
          <w:szCs w:val="16"/>
        </w:rPr>
        <w:t xml:space="preserve"> </w:t>
      </w:r>
      <w:r>
        <w:rPr>
          <w:color w:val="0D0D0D" w:themeColor="text1" w:themeTint="F2"/>
          <w:spacing w:val="-4"/>
          <w:sz w:val="16"/>
          <w:szCs w:val="16"/>
        </w:rPr>
        <w:t>Všechny m</w:t>
      </w:r>
      <w:r w:rsidRPr="00D85B50">
        <w:rPr>
          <w:color w:val="0D0D0D" w:themeColor="text1" w:themeTint="F2"/>
          <w:spacing w:val="-4"/>
          <w:sz w:val="16"/>
          <w:szCs w:val="16"/>
        </w:rPr>
        <w:t>eziroční údaje o</w:t>
      </w:r>
      <w:r>
        <w:rPr>
          <w:color w:val="0D0D0D" w:themeColor="text1" w:themeTint="F2"/>
          <w:spacing w:val="-4"/>
          <w:sz w:val="16"/>
          <w:szCs w:val="16"/>
        </w:rPr>
        <w:t> </w:t>
      </w:r>
      <w:r w:rsidRPr="00D85B50">
        <w:rPr>
          <w:color w:val="0D0D0D" w:themeColor="text1" w:themeTint="F2"/>
          <w:spacing w:val="-4"/>
          <w:sz w:val="16"/>
          <w:szCs w:val="16"/>
        </w:rPr>
        <w:t>s</w:t>
      </w:r>
      <w:r>
        <w:rPr>
          <w:color w:val="0D0D0D" w:themeColor="text1" w:themeTint="F2"/>
          <w:spacing w:val="-4"/>
          <w:sz w:val="16"/>
          <w:szCs w:val="16"/>
        </w:rPr>
        <w:t>tavební produkci jsou očištěny</w:t>
      </w:r>
      <w:r w:rsidRPr="00D85B50">
        <w:rPr>
          <w:color w:val="0D0D0D" w:themeColor="text1" w:themeTint="F2"/>
          <w:spacing w:val="-4"/>
          <w:sz w:val="16"/>
          <w:szCs w:val="16"/>
        </w:rPr>
        <w:t xml:space="preserve"> o</w:t>
      </w:r>
      <w:r>
        <w:rPr>
          <w:color w:val="0D0D0D" w:themeColor="text1" w:themeTint="F2"/>
          <w:spacing w:val="-4"/>
          <w:sz w:val="16"/>
          <w:szCs w:val="16"/>
        </w:rPr>
        <w:t> </w:t>
      </w:r>
      <w:r w:rsidRPr="00D85B50">
        <w:rPr>
          <w:color w:val="0D0D0D" w:themeColor="text1" w:themeTint="F2"/>
          <w:spacing w:val="-4"/>
          <w:sz w:val="16"/>
          <w:szCs w:val="16"/>
        </w:rPr>
        <w:t>kalendářní vlivy</w:t>
      </w:r>
      <w:r>
        <w:rPr>
          <w:color w:val="0D0D0D" w:themeColor="text1" w:themeTint="F2"/>
          <w:spacing w:val="-4"/>
          <w:sz w:val="16"/>
          <w:szCs w:val="16"/>
        </w:rPr>
        <w:t>.</w:t>
      </w:r>
    </w:p>
  </w:footnote>
  <w:footnote w:id="12">
    <w:p w:rsidR="00583E52" w:rsidRPr="00D97D00" w:rsidRDefault="00583E52">
      <w:pPr>
        <w:pStyle w:val="Textpoznpodarou"/>
        <w:rPr>
          <w:sz w:val="16"/>
          <w:szCs w:val="16"/>
        </w:rPr>
      </w:pPr>
      <w:r w:rsidRPr="00D97D00">
        <w:rPr>
          <w:rStyle w:val="Znakapoznpodarou"/>
          <w:sz w:val="16"/>
          <w:szCs w:val="16"/>
        </w:rPr>
        <w:footnoteRef/>
      </w:r>
      <w:r w:rsidRPr="00D97D00">
        <w:rPr>
          <w:sz w:val="16"/>
          <w:szCs w:val="16"/>
        </w:rPr>
        <w:t xml:space="preserve"> V Praze byla v prvn</w:t>
      </w:r>
      <w:r>
        <w:rPr>
          <w:sz w:val="16"/>
          <w:szCs w:val="16"/>
        </w:rPr>
        <w:t>í</w:t>
      </w:r>
      <w:r w:rsidRPr="00D97D00">
        <w:rPr>
          <w:sz w:val="16"/>
          <w:szCs w:val="16"/>
        </w:rPr>
        <w:t xml:space="preserve"> třetině roku 2018 zahájena výstavba 678 bytů. Na celorepubl</w:t>
      </w:r>
      <w:r>
        <w:rPr>
          <w:sz w:val="16"/>
          <w:szCs w:val="16"/>
        </w:rPr>
        <w:t xml:space="preserve">ikovém úhrnu se podílela 6,7 %. </w:t>
      </w:r>
    </w:p>
  </w:footnote>
  <w:footnote w:id="13">
    <w:p w:rsidR="00583E52" w:rsidRPr="001459BC" w:rsidRDefault="00583E52">
      <w:pPr>
        <w:pStyle w:val="Textpoznpodarou"/>
        <w:rPr>
          <w:sz w:val="16"/>
          <w:szCs w:val="16"/>
        </w:rPr>
      </w:pPr>
      <w:r w:rsidRPr="001459BC">
        <w:rPr>
          <w:rStyle w:val="Znakapoznpodarou"/>
          <w:sz w:val="16"/>
          <w:szCs w:val="16"/>
        </w:rPr>
        <w:footnoteRef/>
      </w:r>
      <w:r w:rsidRPr="001459BC">
        <w:rPr>
          <w:sz w:val="16"/>
          <w:szCs w:val="16"/>
        </w:rPr>
        <w:t xml:space="preserve"> Pokrývá pouze podniky s 50 a</w:t>
      </w:r>
      <w:r>
        <w:rPr>
          <w:sz w:val="16"/>
          <w:szCs w:val="16"/>
        </w:rPr>
        <w:t> </w:t>
      </w:r>
      <w:r w:rsidRPr="001459BC">
        <w:rPr>
          <w:sz w:val="16"/>
          <w:szCs w:val="16"/>
        </w:rPr>
        <w:t>více zaměstnanci.</w:t>
      </w:r>
    </w:p>
  </w:footnote>
  <w:footnote w:id="14">
    <w:p w:rsidR="00583E52" w:rsidRPr="006F440B" w:rsidRDefault="00583E52">
      <w:pPr>
        <w:pStyle w:val="Textpoznpodarou"/>
        <w:rPr>
          <w:sz w:val="16"/>
          <w:szCs w:val="16"/>
        </w:rPr>
      </w:pPr>
      <w:r w:rsidRPr="006F440B">
        <w:rPr>
          <w:rStyle w:val="Znakapoznpodarou"/>
          <w:sz w:val="16"/>
          <w:szCs w:val="16"/>
        </w:rPr>
        <w:footnoteRef/>
      </w:r>
      <w:r w:rsidRPr="006F440B">
        <w:rPr>
          <w:sz w:val="16"/>
          <w:szCs w:val="16"/>
        </w:rPr>
        <w:t xml:space="preserve"> </w:t>
      </w:r>
      <w:r>
        <w:rPr>
          <w:sz w:val="16"/>
          <w:szCs w:val="16"/>
        </w:rPr>
        <w:t>Jejich</w:t>
      </w:r>
      <w:r w:rsidRPr="006F440B">
        <w:rPr>
          <w:sz w:val="16"/>
          <w:szCs w:val="16"/>
        </w:rPr>
        <w:t xml:space="preserve"> objem poklesl za poslední čtyři roky o</w:t>
      </w:r>
      <w:r>
        <w:rPr>
          <w:sz w:val="16"/>
          <w:szCs w:val="16"/>
        </w:rPr>
        <w:t> </w:t>
      </w:r>
      <w:r w:rsidRPr="006F440B">
        <w:rPr>
          <w:sz w:val="16"/>
          <w:szCs w:val="16"/>
        </w:rPr>
        <w:t>polovinu (na 16</w:t>
      </w:r>
      <w:r>
        <w:rPr>
          <w:sz w:val="16"/>
          <w:szCs w:val="16"/>
        </w:rPr>
        <w:t> mld.</w:t>
      </w:r>
      <w:r w:rsidRPr="006F440B">
        <w:rPr>
          <w:sz w:val="16"/>
          <w:szCs w:val="16"/>
        </w:rPr>
        <w:t xml:space="preserve"> korun) a</w:t>
      </w:r>
      <w:r>
        <w:rPr>
          <w:sz w:val="16"/>
          <w:szCs w:val="16"/>
        </w:rPr>
        <w:t> </w:t>
      </w:r>
      <w:r w:rsidRPr="006F440B">
        <w:rPr>
          <w:sz w:val="16"/>
          <w:szCs w:val="16"/>
        </w:rPr>
        <w:t>na celkové zásobě práce stavebních podniků se v 1</w:t>
      </w:r>
      <w:r>
        <w:rPr>
          <w:sz w:val="16"/>
          <w:szCs w:val="16"/>
        </w:rPr>
        <w:t>. čtvrt</w:t>
      </w:r>
      <w:r w:rsidRPr="006F440B">
        <w:rPr>
          <w:sz w:val="16"/>
          <w:szCs w:val="16"/>
        </w:rPr>
        <w:t>letí 2018 podílely již jen desetinou.</w:t>
      </w:r>
    </w:p>
  </w:footnote>
  <w:footnote w:id="15">
    <w:p w:rsidR="00583E52" w:rsidRPr="0094416B" w:rsidRDefault="00583E52">
      <w:pPr>
        <w:pStyle w:val="Textpoznpodarou"/>
        <w:rPr>
          <w:sz w:val="16"/>
          <w:szCs w:val="16"/>
        </w:rPr>
      </w:pPr>
      <w:r w:rsidRPr="0094416B">
        <w:rPr>
          <w:rStyle w:val="Znakapoznpodarou"/>
          <w:sz w:val="16"/>
          <w:szCs w:val="16"/>
        </w:rPr>
        <w:footnoteRef/>
      </w:r>
      <w:r w:rsidRPr="0094416B">
        <w:rPr>
          <w:sz w:val="16"/>
          <w:szCs w:val="16"/>
        </w:rPr>
        <w:t xml:space="preserve"> Tato skutečnost souvisí se započetím realizace větší průmyslové stavby.</w:t>
      </w:r>
    </w:p>
  </w:footnote>
  <w:footnote w:id="16">
    <w:p w:rsidR="00583E52" w:rsidRPr="00DE38E6" w:rsidRDefault="00583E52" w:rsidP="00492879">
      <w:pPr>
        <w:spacing w:line="240" w:lineRule="auto"/>
      </w:pPr>
      <w:r w:rsidRPr="004A26AF">
        <w:rPr>
          <w:rStyle w:val="Znakapoznpodarou"/>
          <w:color w:val="0D0D0D" w:themeColor="text1" w:themeTint="F2"/>
          <w:sz w:val="16"/>
          <w:szCs w:val="16"/>
        </w:rPr>
        <w:footnoteRef/>
      </w:r>
      <w:r>
        <w:rPr>
          <w:color w:val="0D0D0D" w:themeColor="text1" w:themeTint="F2"/>
          <w:sz w:val="16"/>
          <w:szCs w:val="16"/>
        </w:rPr>
        <w:t xml:space="preserve"> B</w:t>
      </w:r>
      <w:r w:rsidRPr="004A26AF">
        <w:rPr>
          <w:color w:val="0D0D0D" w:themeColor="text1" w:themeTint="F2"/>
          <w:sz w:val="16"/>
          <w:szCs w:val="16"/>
        </w:rPr>
        <w:t>ez obchodu, peněžnictví, poji</w:t>
      </w:r>
      <w:r>
        <w:rPr>
          <w:color w:val="0D0D0D" w:themeColor="text1" w:themeTint="F2"/>
          <w:sz w:val="16"/>
          <w:szCs w:val="16"/>
        </w:rPr>
        <w:t>šťovnictví, vědy, výzkumu a veřejných</w:t>
      </w:r>
      <w:r w:rsidRPr="004A26AF">
        <w:rPr>
          <w:color w:val="0D0D0D" w:themeColor="text1" w:themeTint="F2"/>
          <w:sz w:val="16"/>
          <w:szCs w:val="16"/>
        </w:rPr>
        <w:t xml:space="preserve"> služeb. Všechny údaje za služby jsou </w:t>
      </w:r>
      <w:r>
        <w:rPr>
          <w:color w:val="0D0D0D" w:themeColor="text1" w:themeTint="F2"/>
          <w:sz w:val="16"/>
          <w:szCs w:val="16"/>
        </w:rPr>
        <w:t xml:space="preserve">ve stálých cenách, meziroční údaje jsou </w:t>
      </w:r>
      <w:r w:rsidRPr="004A26AF">
        <w:rPr>
          <w:color w:val="0D0D0D" w:themeColor="text1" w:themeTint="F2"/>
          <w:sz w:val="16"/>
          <w:szCs w:val="16"/>
        </w:rPr>
        <w:t>očištěny o</w:t>
      </w:r>
      <w:r>
        <w:rPr>
          <w:color w:val="0D0D0D" w:themeColor="text1" w:themeTint="F2"/>
          <w:sz w:val="16"/>
          <w:szCs w:val="16"/>
        </w:rPr>
        <w:t> </w:t>
      </w:r>
      <w:r w:rsidRPr="004A26AF">
        <w:rPr>
          <w:color w:val="0D0D0D" w:themeColor="text1" w:themeTint="F2"/>
          <w:sz w:val="16"/>
          <w:szCs w:val="16"/>
        </w:rPr>
        <w:t>kal</w:t>
      </w:r>
      <w:r>
        <w:rPr>
          <w:color w:val="0D0D0D" w:themeColor="text1" w:themeTint="F2"/>
          <w:sz w:val="16"/>
          <w:szCs w:val="16"/>
        </w:rPr>
        <w:t xml:space="preserve">endářní vlivy, </w:t>
      </w:r>
      <w:proofErr w:type="spellStart"/>
      <w:r>
        <w:rPr>
          <w:color w:val="0D0D0D" w:themeColor="text1" w:themeTint="F2"/>
          <w:sz w:val="16"/>
          <w:szCs w:val="16"/>
        </w:rPr>
        <w:t>mezičtvrtletní</w:t>
      </w:r>
      <w:proofErr w:type="spellEnd"/>
      <w:r>
        <w:rPr>
          <w:color w:val="0D0D0D" w:themeColor="text1" w:themeTint="F2"/>
          <w:sz w:val="16"/>
          <w:szCs w:val="16"/>
        </w:rPr>
        <w:t xml:space="preserve"> jsou očištěny o sezónní vlivy (včetně vlivu počtu pracovních dnů)</w:t>
      </w:r>
      <w:r w:rsidRPr="004A26AF">
        <w:rPr>
          <w:color w:val="0D0D0D" w:themeColor="text1" w:themeTint="F2"/>
          <w:sz w:val="16"/>
          <w:szCs w:val="16"/>
        </w:rPr>
        <w:t>.</w:t>
      </w:r>
    </w:p>
  </w:footnote>
  <w:footnote w:id="17">
    <w:p w:rsidR="00583E52" w:rsidRPr="004A62A0" w:rsidRDefault="00583E52" w:rsidP="00CC20FE">
      <w:pPr>
        <w:pStyle w:val="Textpoznpodarou"/>
        <w:jc w:val="both"/>
        <w:rPr>
          <w:sz w:val="16"/>
          <w:szCs w:val="16"/>
        </w:rPr>
      </w:pPr>
      <w:r w:rsidRPr="004A62A0">
        <w:rPr>
          <w:rStyle w:val="Znakapoznpodarou"/>
          <w:sz w:val="16"/>
          <w:szCs w:val="16"/>
        </w:rPr>
        <w:footnoteRef/>
      </w:r>
      <w:r w:rsidRPr="004A62A0">
        <w:rPr>
          <w:sz w:val="16"/>
          <w:szCs w:val="16"/>
        </w:rPr>
        <w:t xml:space="preserve"> Plošný charakter růstu byl letos patrný i</w:t>
      </w:r>
      <w:r>
        <w:rPr>
          <w:sz w:val="16"/>
          <w:szCs w:val="16"/>
        </w:rPr>
        <w:t> </w:t>
      </w:r>
      <w:r w:rsidRPr="004A62A0">
        <w:rPr>
          <w:sz w:val="16"/>
          <w:szCs w:val="16"/>
        </w:rPr>
        <w:t>na podrobnější úrovni. Z</w:t>
      </w:r>
      <w:r>
        <w:rPr>
          <w:sz w:val="16"/>
          <w:szCs w:val="16"/>
        </w:rPr>
        <w:t> </w:t>
      </w:r>
      <w:r w:rsidR="00DC56FE">
        <w:rPr>
          <w:sz w:val="16"/>
          <w:szCs w:val="16"/>
        </w:rPr>
        <w:t>25</w:t>
      </w:r>
      <w:r>
        <w:rPr>
          <w:sz w:val="16"/>
          <w:szCs w:val="16"/>
        </w:rPr>
        <w:t> </w:t>
      </w:r>
      <w:r w:rsidRPr="004A62A0">
        <w:rPr>
          <w:sz w:val="16"/>
          <w:szCs w:val="16"/>
        </w:rPr>
        <w:t xml:space="preserve">odvětvových oddílů služeb </w:t>
      </w:r>
      <w:r w:rsidR="00DC56FE">
        <w:rPr>
          <w:sz w:val="16"/>
          <w:szCs w:val="16"/>
        </w:rPr>
        <w:t xml:space="preserve">sledovaných v konjunkturální statistice, </w:t>
      </w:r>
      <w:r>
        <w:rPr>
          <w:sz w:val="16"/>
          <w:szCs w:val="16"/>
        </w:rPr>
        <w:t>jich</w:t>
      </w:r>
      <w:r w:rsidRPr="004A62A0">
        <w:rPr>
          <w:sz w:val="16"/>
          <w:szCs w:val="16"/>
        </w:rPr>
        <w:t xml:space="preserve"> meziroční snížení tržeb </w:t>
      </w:r>
      <w:r w:rsidR="004215A1">
        <w:rPr>
          <w:sz w:val="16"/>
          <w:szCs w:val="16"/>
        </w:rPr>
        <w:t>vykázalo</w:t>
      </w:r>
      <w:r w:rsidR="00DC56FE">
        <w:rPr>
          <w:sz w:val="16"/>
          <w:szCs w:val="16"/>
        </w:rPr>
        <w:t xml:space="preserve"> </w:t>
      </w:r>
      <w:r w:rsidRPr="004A62A0">
        <w:rPr>
          <w:sz w:val="16"/>
          <w:szCs w:val="16"/>
        </w:rPr>
        <w:t>je</w:t>
      </w:r>
      <w:r>
        <w:rPr>
          <w:sz w:val="16"/>
          <w:szCs w:val="16"/>
        </w:rPr>
        <w:t>n </w:t>
      </w:r>
      <w:r w:rsidR="000C4E34">
        <w:rPr>
          <w:sz w:val="16"/>
          <w:szCs w:val="16"/>
        </w:rPr>
        <w:t>5</w:t>
      </w:r>
      <w:r w:rsidRPr="004A62A0">
        <w:rPr>
          <w:sz w:val="16"/>
          <w:szCs w:val="16"/>
        </w:rPr>
        <w:t>. Vyjma letecké dopravy (</w:t>
      </w:r>
      <w:r w:rsidR="00AC2960">
        <w:rPr>
          <w:sz w:val="16"/>
          <w:szCs w:val="16"/>
        </w:rPr>
        <w:t>-</w:t>
      </w:r>
      <w:r w:rsidR="005570D6">
        <w:rPr>
          <w:sz w:val="16"/>
          <w:szCs w:val="16"/>
        </w:rPr>
        <w:t>7,2</w:t>
      </w:r>
      <w:r>
        <w:rPr>
          <w:sz w:val="16"/>
          <w:szCs w:val="16"/>
        </w:rPr>
        <w:t> %</w:t>
      </w:r>
      <w:r w:rsidRPr="004A62A0">
        <w:rPr>
          <w:sz w:val="16"/>
          <w:szCs w:val="16"/>
        </w:rPr>
        <w:t>) šlo přitom jen o</w:t>
      </w:r>
      <w:r>
        <w:rPr>
          <w:sz w:val="16"/>
          <w:szCs w:val="16"/>
        </w:rPr>
        <w:t> </w:t>
      </w:r>
      <w:r w:rsidRPr="004A62A0">
        <w:rPr>
          <w:sz w:val="16"/>
          <w:szCs w:val="16"/>
        </w:rPr>
        <w:t xml:space="preserve">mělčí poklesy. </w:t>
      </w:r>
    </w:p>
  </w:footnote>
  <w:footnote w:id="18">
    <w:p w:rsidR="00583E52" w:rsidRPr="004A62A0" w:rsidRDefault="00583E52" w:rsidP="00634CE7">
      <w:pPr>
        <w:pStyle w:val="Textpoznpodarou"/>
        <w:jc w:val="both"/>
        <w:rPr>
          <w:sz w:val="16"/>
          <w:szCs w:val="16"/>
        </w:rPr>
      </w:pPr>
      <w:r w:rsidRPr="004A62A0">
        <w:rPr>
          <w:rStyle w:val="Znakapoznpodarou"/>
          <w:sz w:val="16"/>
          <w:szCs w:val="16"/>
        </w:rPr>
        <w:footnoteRef/>
      </w:r>
      <w:r w:rsidRPr="004A62A0">
        <w:rPr>
          <w:sz w:val="16"/>
          <w:szCs w:val="16"/>
        </w:rPr>
        <w:t xml:space="preserve"> V 1</w:t>
      </w:r>
      <w:r>
        <w:rPr>
          <w:sz w:val="16"/>
          <w:szCs w:val="16"/>
        </w:rPr>
        <w:t>. čtvrt</w:t>
      </w:r>
      <w:r w:rsidRPr="004A62A0">
        <w:rPr>
          <w:sz w:val="16"/>
          <w:szCs w:val="16"/>
        </w:rPr>
        <w:t>letí stoupl počet přenocování zahraničních hostů v hromadných ubytovacích zařízeních v ČR meziročně o</w:t>
      </w:r>
      <w:r>
        <w:rPr>
          <w:sz w:val="16"/>
          <w:szCs w:val="16"/>
        </w:rPr>
        <w:t> </w:t>
      </w:r>
      <w:r w:rsidRPr="004A62A0">
        <w:rPr>
          <w:sz w:val="16"/>
          <w:szCs w:val="16"/>
        </w:rPr>
        <w:t>9,0</w:t>
      </w:r>
      <w:r>
        <w:rPr>
          <w:sz w:val="16"/>
          <w:szCs w:val="16"/>
        </w:rPr>
        <w:t> %</w:t>
      </w:r>
      <w:r w:rsidRPr="004A62A0">
        <w:rPr>
          <w:sz w:val="16"/>
          <w:szCs w:val="16"/>
        </w:rPr>
        <w:t>, u</w:t>
      </w:r>
      <w:r>
        <w:rPr>
          <w:sz w:val="16"/>
          <w:szCs w:val="16"/>
        </w:rPr>
        <w:t> </w:t>
      </w:r>
      <w:r w:rsidRPr="004A62A0">
        <w:rPr>
          <w:sz w:val="16"/>
          <w:szCs w:val="16"/>
        </w:rPr>
        <w:t>tuzemské klientely dokonce o</w:t>
      </w:r>
      <w:r>
        <w:rPr>
          <w:sz w:val="16"/>
          <w:szCs w:val="16"/>
        </w:rPr>
        <w:t> </w:t>
      </w:r>
      <w:r w:rsidRPr="004A62A0">
        <w:rPr>
          <w:sz w:val="16"/>
          <w:szCs w:val="16"/>
        </w:rPr>
        <w:t>9,5</w:t>
      </w:r>
      <w:r>
        <w:rPr>
          <w:sz w:val="16"/>
          <w:szCs w:val="16"/>
        </w:rPr>
        <w:t> %</w:t>
      </w:r>
      <w:r w:rsidRPr="004A62A0">
        <w:rPr>
          <w:sz w:val="16"/>
          <w:szCs w:val="16"/>
        </w:rPr>
        <w:t xml:space="preserve">. </w:t>
      </w:r>
    </w:p>
  </w:footnote>
  <w:footnote w:id="19">
    <w:p w:rsidR="00583E52" w:rsidRPr="00122994" w:rsidRDefault="00583E52" w:rsidP="00097191">
      <w:pPr>
        <w:pStyle w:val="Textpoznpodarou"/>
      </w:pPr>
      <w:r w:rsidRPr="004A62A0">
        <w:rPr>
          <w:rStyle w:val="Znakapoznpodarou"/>
          <w:sz w:val="16"/>
          <w:szCs w:val="16"/>
        </w:rPr>
        <w:footnoteRef/>
      </w:r>
      <w:r w:rsidRPr="004A62A0">
        <w:rPr>
          <w:sz w:val="16"/>
          <w:szCs w:val="16"/>
        </w:rPr>
        <w:t xml:space="preserve"> Data nezahrnují motoristický segment. Údaje o</w:t>
      </w:r>
      <w:r>
        <w:rPr>
          <w:sz w:val="16"/>
          <w:szCs w:val="16"/>
        </w:rPr>
        <w:t> </w:t>
      </w:r>
      <w:r w:rsidRPr="004A62A0">
        <w:rPr>
          <w:sz w:val="16"/>
          <w:szCs w:val="16"/>
        </w:rPr>
        <w:t>maloobchodu jsou vyjádřeny ve stálých cenách a</w:t>
      </w:r>
      <w:r>
        <w:rPr>
          <w:sz w:val="16"/>
          <w:szCs w:val="16"/>
        </w:rPr>
        <w:t> </w:t>
      </w:r>
      <w:r w:rsidRPr="004A62A0">
        <w:rPr>
          <w:sz w:val="16"/>
          <w:szCs w:val="16"/>
        </w:rPr>
        <w:t>očištěny o</w:t>
      </w:r>
      <w:r>
        <w:rPr>
          <w:sz w:val="16"/>
          <w:szCs w:val="16"/>
        </w:rPr>
        <w:t> </w:t>
      </w:r>
      <w:r w:rsidRPr="004A62A0">
        <w:rPr>
          <w:sz w:val="16"/>
          <w:szCs w:val="16"/>
        </w:rPr>
        <w:t>kalendářní vlivy.</w:t>
      </w:r>
      <w:r w:rsidRPr="00122994"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E52" w:rsidRPr="006F5416" w:rsidRDefault="00583E52" w:rsidP="00937AE2">
    <w:pPr>
      <w:pStyle w:val="Zhlav"/>
    </w:pPr>
    <w:r>
      <w:t xml:space="preserve">Vývoj ekonomiky České republiky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E52" w:rsidRPr="006F5416" w:rsidRDefault="00583E52" w:rsidP="00937AE2">
    <w:pPr>
      <w:pStyle w:val="Zhlav"/>
    </w:pPr>
    <w:r>
      <w:t xml:space="preserve">Vývoj ekonomiky České republiky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361065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21"/>
  </w:num>
  <w:num w:numId="14">
    <w:abstractNumId w:val="11"/>
  </w:num>
  <w:num w:numId="15">
    <w:abstractNumId w:val="17"/>
  </w:num>
  <w:num w:numId="16">
    <w:abstractNumId w:val="13"/>
  </w:num>
  <w:num w:numId="17">
    <w:abstractNumId w:val="22"/>
  </w:num>
  <w:num w:numId="18">
    <w:abstractNumId w:val="18"/>
  </w:num>
  <w:num w:numId="19">
    <w:abstractNumId w:val="23"/>
  </w:num>
  <w:num w:numId="20">
    <w:abstractNumId w:val="24"/>
  </w:num>
  <w:num w:numId="21">
    <w:abstractNumId w:val="20"/>
  </w:num>
  <w:num w:numId="22">
    <w:abstractNumId w:val="16"/>
  </w:num>
  <w:num w:numId="23">
    <w:abstractNumId w:val="14"/>
  </w:num>
  <w:num w:numId="24">
    <w:abstractNumId w:val="15"/>
  </w:num>
  <w:num w:numId="25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lada">
    <w15:presenceInfo w15:providerId="None" w15:userId="Vlad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4338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2828"/>
    <w:rsid w:val="0000209D"/>
    <w:rsid w:val="00003F5C"/>
    <w:rsid w:val="00004D5A"/>
    <w:rsid w:val="000056D5"/>
    <w:rsid w:val="000063D5"/>
    <w:rsid w:val="00006ABD"/>
    <w:rsid w:val="0000767A"/>
    <w:rsid w:val="00010256"/>
    <w:rsid w:val="00010702"/>
    <w:rsid w:val="00011912"/>
    <w:rsid w:val="00016420"/>
    <w:rsid w:val="00017B01"/>
    <w:rsid w:val="0002195D"/>
    <w:rsid w:val="000234D6"/>
    <w:rsid w:val="00023D29"/>
    <w:rsid w:val="00026389"/>
    <w:rsid w:val="00031AE0"/>
    <w:rsid w:val="000322EF"/>
    <w:rsid w:val="00033FCD"/>
    <w:rsid w:val="00034DF7"/>
    <w:rsid w:val="00036195"/>
    <w:rsid w:val="000403A7"/>
    <w:rsid w:val="00041CEC"/>
    <w:rsid w:val="00044183"/>
    <w:rsid w:val="0004694F"/>
    <w:rsid w:val="00047D54"/>
    <w:rsid w:val="000522E4"/>
    <w:rsid w:val="00053713"/>
    <w:rsid w:val="0005434E"/>
    <w:rsid w:val="00057B1E"/>
    <w:rsid w:val="000610E1"/>
    <w:rsid w:val="00062EC5"/>
    <w:rsid w:val="00062F22"/>
    <w:rsid w:val="00063975"/>
    <w:rsid w:val="0006533F"/>
    <w:rsid w:val="00065A75"/>
    <w:rsid w:val="00070A87"/>
    <w:rsid w:val="000712B3"/>
    <w:rsid w:val="0007474E"/>
    <w:rsid w:val="0008263E"/>
    <w:rsid w:val="00082C19"/>
    <w:rsid w:val="00085395"/>
    <w:rsid w:val="00086AC1"/>
    <w:rsid w:val="00087634"/>
    <w:rsid w:val="00087F2B"/>
    <w:rsid w:val="00090694"/>
    <w:rsid w:val="000913B1"/>
    <w:rsid w:val="00094A84"/>
    <w:rsid w:val="00095025"/>
    <w:rsid w:val="00095135"/>
    <w:rsid w:val="00097191"/>
    <w:rsid w:val="000974D1"/>
    <w:rsid w:val="0009799E"/>
    <w:rsid w:val="000A1183"/>
    <w:rsid w:val="000A256D"/>
    <w:rsid w:val="000A3A2C"/>
    <w:rsid w:val="000A4A54"/>
    <w:rsid w:val="000B03CC"/>
    <w:rsid w:val="000C0EA8"/>
    <w:rsid w:val="000C3408"/>
    <w:rsid w:val="000C4E34"/>
    <w:rsid w:val="000C6AFD"/>
    <w:rsid w:val="000D3058"/>
    <w:rsid w:val="000D5637"/>
    <w:rsid w:val="000E0E96"/>
    <w:rsid w:val="000E2C7D"/>
    <w:rsid w:val="000E6253"/>
    <w:rsid w:val="000E6FBD"/>
    <w:rsid w:val="00100F5C"/>
    <w:rsid w:val="00101CDA"/>
    <w:rsid w:val="00102037"/>
    <w:rsid w:val="00103DCB"/>
    <w:rsid w:val="00104C4C"/>
    <w:rsid w:val="00112CAB"/>
    <w:rsid w:val="00117623"/>
    <w:rsid w:val="0012192F"/>
    <w:rsid w:val="00122994"/>
    <w:rsid w:val="00124B46"/>
    <w:rsid w:val="00125D69"/>
    <w:rsid w:val="0012799C"/>
    <w:rsid w:val="00130ADC"/>
    <w:rsid w:val="00130D9F"/>
    <w:rsid w:val="001405FA"/>
    <w:rsid w:val="001425C3"/>
    <w:rsid w:val="0014262D"/>
    <w:rsid w:val="001459BC"/>
    <w:rsid w:val="001554C2"/>
    <w:rsid w:val="0015753D"/>
    <w:rsid w:val="001612F4"/>
    <w:rsid w:val="00161553"/>
    <w:rsid w:val="0016256B"/>
    <w:rsid w:val="00163793"/>
    <w:rsid w:val="00167CB9"/>
    <w:rsid w:val="001705AD"/>
    <w:rsid w:val="001706D6"/>
    <w:rsid w:val="001714F2"/>
    <w:rsid w:val="00175B9F"/>
    <w:rsid w:val="00181BBC"/>
    <w:rsid w:val="00184017"/>
    <w:rsid w:val="00184B08"/>
    <w:rsid w:val="00185010"/>
    <w:rsid w:val="00197A70"/>
    <w:rsid w:val="00197C0F"/>
    <w:rsid w:val="001A0487"/>
    <w:rsid w:val="001A552F"/>
    <w:rsid w:val="001B2CA9"/>
    <w:rsid w:val="001B3110"/>
    <w:rsid w:val="001B3E38"/>
    <w:rsid w:val="001B4729"/>
    <w:rsid w:val="001B4F0E"/>
    <w:rsid w:val="001B6310"/>
    <w:rsid w:val="001B6C09"/>
    <w:rsid w:val="001C05CD"/>
    <w:rsid w:val="001C1B66"/>
    <w:rsid w:val="001C31A2"/>
    <w:rsid w:val="001D22C2"/>
    <w:rsid w:val="001D5DF2"/>
    <w:rsid w:val="001D68B2"/>
    <w:rsid w:val="001E504C"/>
    <w:rsid w:val="001F4597"/>
    <w:rsid w:val="00200085"/>
    <w:rsid w:val="00203CD5"/>
    <w:rsid w:val="00203D8F"/>
    <w:rsid w:val="00203DA4"/>
    <w:rsid w:val="002071D5"/>
    <w:rsid w:val="002118B9"/>
    <w:rsid w:val="00217C5B"/>
    <w:rsid w:val="0022139E"/>
    <w:rsid w:val="00222729"/>
    <w:rsid w:val="0022441D"/>
    <w:rsid w:val="002252E0"/>
    <w:rsid w:val="002255F6"/>
    <w:rsid w:val="00227850"/>
    <w:rsid w:val="00227A53"/>
    <w:rsid w:val="00230C6E"/>
    <w:rsid w:val="00233603"/>
    <w:rsid w:val="00236443"/>
    <w:rsid w:val="00241B06"/>
    <w:rsid w:val="002436BA"/>
    <w:rsid w:val="00244A15"/>
    <w:rsid w:val="002452D9"/>
    <w:rsid w:val="00247319"/>
    <w:rsid w:val="0024799E"/>
    <w:rsid w:val="00253C0F"/>
    <w:rsid w:val="002558C1"/>
    <w:rsid w:val="00256207"/>
    <w:rsid w:val="002603E1"/>
    <w:rsid w:val="0026291D"/>
    <w:rsid w:val="00271022"/>
    <w:rsid w:val="00271465"/>
    <w:rsid w:val="00272DF4"/>
    <w:rsid w:val="0027583D"/>
    <w:rsid w:val="00275DEF"/>
    <w:rsid w:val="002812E3"/>
    <w:rsid w:val="002837AE"/>
    <w:rsid w:val="002853FA"/>
    <w:rsid w:val="00285412"/>
    <w:rsid w:val="00291640"/>
    <w:rsid w:val="0029237E"/>
    <w:rsid w:val="00292997"/>
    <w:rsid w:val="0029588F"/>
    <w:rsid w:val="00297D51"/>
    <w:rsid w:val="002A0122"/>
    <w:rsid w:val="002A016B"/>
    <w:rsid w:val="002A16D4"/>
    <w:rsid w:val="002A1E4F"/>
    <w:rsid w:val="002A230C"/>
    <w:rsid w:val="002A532A"/>
    <w:rsid w:val="002A5846"/>
    <w:rsid w:val="002A5D97"/>
    <w:rsid w:val="002B4845"/>
    <w:rsid w:val="002C27A6"/>
    <w:rsid w:val="002C43BD"/>
    <w:rsid w:val="002D0E59"/>
    <w:rsid w:val="002E02A1"/>
    <w:rsid w:val="002E196A"/>
    <w:rsid w:val="002E222E"/>
    <w:rsid w:val="002E37D1"/>
    <w:rsid w:val="002E3BEE"/>
    <w:rsid w:val="002E4E4C"/>
    <w:rsid w:val="002E5846"/>
    <w:rsid w:val="002F498A"/>
    <w:rsid w:val="00304771"/>
    <w:rsid w:val="003052D4"/>
    <w:rsid w:val="00306C5B"/>
    <w:rsid w:val="00307DB3"/>
    <w:rsid w:val="0031076D"/>
    <w:rsid w:val="00311C4D"/>
    <w:rsid w:val="003121AB"/>
    <w:rsid w:val="003153C8"/>
    <w:rsid w:val="003209D6"/>
    <w:rsid w:val="00321924"/>
    <w:rsid w:val="0032656E"/>
    <w:rsid w:val="00332190"/>
    <w:rsid w:val="00341F05"/>
    <w:rsid w:val="0034335E"/>
    <w:rsid w:val="00344668"/>
    <w:rsid w:val="003462D9"/>
    <w:rsid w:val="00360C86"/>
    <w:rsid w:val="00360FBC"/>
    <w:rsid w:val="00361537"/>
    <w:rsid w:val="0036242A"/>
    <w:rsid w:val="00362E90"/>
    <w:rsid w:val="00364FA0"/>
    <w:rsid w:val="003657F3"/>
    <w:rsid w:val="003738BD"/>
    <w:rsid w:val="00374E21"/>
    <w:rsid w:val="003818DC"/>
    <w:rsid w:val="00383388"/>
    <w:rsid w:val="003834F8"/>
    <w:rsid w:val="00384327"/>
    <w:rsid w:val="00385D98"/>
    <w:rsid w:val="003908A6"/>
    <w:rsid w:val="003927F6"/>
    <w:rsid w:val="003A04F6"/>
    <w:rsid w:val="003A2B4D"/>
    <w:rsid w:val="003A2D12"/>
    <w:rsid w:val="003A478C"/>
    <w:rsid w:val="003A5525"/>
    <w:rsid w:val="003A6B38"/>
    <w:rsid w:val="003A6B83"/>
    <w:rsid w:val="003B1F9D"/>
    <w:rsid w:val="003B461F"/>
    <w:rsid w:val="003B5A32"/>
    <w:rsid w:val="003C3490"/>
    <w:rsid w:val="003C6221"/>
    <w:rsid w:val="003C7E62"/>
    <w:rsid w:val="003D242B"/>
    <w:rsid w:val="003D2492"/>
    <w:rsid w:val="003D6920"/>
    <w:rsid w:val="003E4C91"/>
    <w:rsid w:val="003E52D8"/>
    <w:rsid w:val="003F313C"/>
    <w:rsid w:val="003F37FC"/>
    <w:rsid w:val="003F4B2C"/>
    <w:rsid w:val="003F551C"/>
    <w:rsid w:val="003F72ED"/>
    <w:rsid w:val="003F7D23"/>
    <w:rsid w:val="00400050"/>
    <w:rsid w:val="00400468"/>
    <w:rsid w:val="00402ADB"/>
    <w:rsid w:val="004059D2"/>
    <w:rsid w:val="00406C2E"/>
    <w:rsid w:val="00407C13"/>
    <w:rsid w:val="00410638"/>
    <w:rsid w:val="00412511"/>
    <w:rsid w:val="004125C2"/>
    <w:rsid w:val="00413465"/>
    <w:rsid w:val="0041501E"/>
    <w:rsid w:val="004159C3"/>
    <w:rsid w:val="00416DAC"/>
    <w:rsid w:val="004215A1"/>
    <w:rsid w:val="00432A58"/>
    <w:rsid w:val="00434617"/>
    <w:rsid w:val="00440900"/>
    <w:rsid w:val="00441BF6"/>
    <w:rsid w:val="004441A0"/>
    <w:rsid w:val="00446D44"/>
    <w:rsid w:val="0045078A"/>
    <w:rsid w:val="0045086D"/>
    <w:rsid w:val="00451EF1"/>
    <w:rsid w:val="00460FB3"/>
    <w:rsid w:val="004707FE"/>
    <w:rsid w:val="0047276D"/>
    <w:rsid w:val="00474A04"/>
    <w:rsid w:val="00476240"/>
    <w:rsid w:val="00476439"/>
    <w:rsid w:val="0047735C"/>
    <w:rsid w:val="004776BC"/>
    <w:rsid w:val="0048139F"/>
    <w:rsid w:val="00481E40"/>
    <w:rsid w:val="00482405"/>
    <w:rsid w:val="004826A7"/>
    <w:rsid w:val="0048368C"/>
    <w:rsid w:val="00484ECE"/>
    <w:rsid w:val="00486A4D"/>
    <w:rsid w:val="004915CB"/>
    <w:rsid w:val="004924DC"/>
    <w:rsid w:val="00492879"/>
    <w:rsid w:val="004A14E4"/>
    <w:rsid w:val="004A27F0"/>
    <w:rsid w:val="004A3212"/>
    <w:rsid w:val="004A40D9"/>
    <w:rsid w:val="004A5494"/>
    <w:rsid w:val="004A61C5"/>
    <w:rsid w:val="004A62A0"/>
    <w:rsid w:val="004A77DF"/>
    <w:rsid w:val="004B1417"/>
    <w:rsid w:val="004B55B7"/>
    <w:rsid w:val="004B6468"/>
    <w:rsid w:val="004B7125"/>
    <w:rsid w:val="004B756A"/>
    <w:rsid w:val="004B7FB1"/>
    <w:rsid w:val="004C384C"/>
    <w:rsid w:val="004C3867"/>
    <w:rsid w:val="004C3DB0"/>
    <w:rsid w:val="004C4CD0"/>
    <w:rsid w:val="004C5165"/>
    <w:rsid w:val="004C6E0E"/>
    <w:rsid w:val="004C70DC"/>
    <w:rsid w:val="004D0211"/>
    <w:rsid w:val="004D0794"/>
    <w:rsid w:val="004E1A40"/>
    <w:rsid w:val="004E200A"/>
    <w:rsid w:val="004E765E"/>
    <w:rsid w:val="004F06F5"/>
    <w:rsid w:val="004F12A4"/>
    <w:rsid w:val="004F253F"/>
    <w:rsid w:val="004F33A0"/>
    <w:rsid w:val="004F3BD2"/>
    <w:rsid w:val="0050689D"/>
    <w:rsid w:val="005108C0"/>
    <w:rsid w:val="00511873"/>
    <w:rsid w:val="00512461"/>
    <w:rsid w:val="00512A2F"/>
    <w:rsid w:val="00513B7E"/>
    <w:rsid w:val="00515BE9"/>
    <w:rsid w:val="00515C74"/>
    <w:rsid w:val="0052007E"/>
    <w:rsid w:val="0052337A"/>
    <w:rsid w:val="00525137"/>
    <w:rsid w:val="005251DD"/>
    <w:rsid w:val="00532CE7"/>
    <w:rsid w:val="0053324C"/>
    <w:rsid w:val="00534A28"/>
    <w:rsid w:val="00535018"/>
    <w:rsid w:val="00537571"/>
    <w:rsid w:val="00541508"/>
    <w:rsid w:val="00543498"/>
    <w:rsid w:val="00544BE5"/>
    <w:rsid w:val="00550160"/>
    <w:rsid w:val="00552F2C"/>
    <w:rsid w:val="005547EB"/>
    <w:rsid w:val="0055599F"/>
    <w:rsid w:val="00556D68"/>
    <w:rsid w:val="005570D6"/>
    <w:rsid w:val="00563EB8"/>
    <w:rsid w:val="005647BF"/>
    <w:rsid w:val="00564AF1"/>
    <w:rsid w:val="00572079"/>
    <w:rsid w:val="00573602"/>
    <w:rsid w:val="0057364B"/>
    <w:rsid w:val="00574773"/>
    <w:rsid w:val="00580DE7"/>
    <w:rsid w:val="00583E52"/>
    <w:rsid w:val="00583FFD"/>
    <w:rsid w:val="0058519A"/>
    <w:rsid w:val="0059112A"/>
    <w:rsid w:val="005911BE"/>
    <w:rsid w:val="00591273"/>
    <w:rsid w:val="00593152"/>
    <w:rsid w:val="005A10F2"/>
    <w:rsid w:val="005A21E0"/>
    <w:rsid w:val="005A28FF"/>
    <w:rsid w:val="005A2C09"/>
    <w:rsid w:val="005A3DF8"/>
    <w:rsid w:val="005A5549"/>
    <w:rsid w:val="005B121D"/>
    <w:rsid w:val="005B6CA1"/>
    <w:rsid w:val="005B770C"/>
    <w:rsid w:val="005C06ED"/>
    <w:rsid w:val="005C11B8"/>
    <w:rsid w:val="005C2609"/>
    <w:rsid w:val="005C45DD"/>
    <w:rsid w:val="005D3F06"/>
    <w:rsid w:val="005D4B73"/>
    <w:rsid w:val="005D5802"/>
    <w:rsid w:val="005D5AA9"/>
    <w:rsid w:val="005D7119"/>
    <w:rsid w:val="005D76C8"/>
    <w:rsid w:val="005D7890"/>
    <w:rsid w:val="005E4BC9"/>
    <w:rsid w:val="005E5314"/>
    <w:rsid w:val="005E7C78"/>
    <w:rsid w:val="005F04A7"/>
    <w:rsid w:val="005F18C5"/>
    <w:rsid w:val="005F36CC"/>
    <w:rsid w:val="005F3EB1"/>
    <w:rsid w:val="005F466B"/>
    <w:rsid w:val="005F46D8"/>
    <w:rsid w:val="005F5469"/>
    <w:rsid w:val="005F63F3"/>
    <w:rsid w:val="00604307"/>
    <w:rsid w:val="0060487F"/>
    <w:rsid w:val="00604EAD"/>
    <w:rsid w:val="006104FB"/>
    <w:rsid w:val="00612A2F"/>
    <w:rsid w:val="00612AAE"/>
    <w:rsid w:val="00616E05"/>
    <w:rsid w:val="00617985"/>
    <w:rsid w:val="00624093"/>
    <w:rsid w:val="00631698"/>
    <w:rsid w:val="00634CE7"/>
    <w:rsid w:val="006350D5"/>
    <w:rsid w:val="0063642C"/>
    <w:rsid w:val="006404A7"/>
    <w:rsid w:val="006451E4"/>
    <w:rsid w:val="00645B33"/>
    <w:rsid w:val="006516CB"/>
    <w:rsid w:val="00656CFB"/>
    <w:rsid w:val="00657E87"/>
    <w:rsid w:val="00662469"/>
    <w:rsid w:val="00664647"/>
    <w:rsid w:val="00664803"/>
    <w:rsid w:val="00665BA4"/>
    <w:rsid w:val="00667AF2"/>
    <w:rsid w:val="006710C9"/>
    <w:rsid w:val="006741CD"/>
    <w:rsid w:val="00674D89"/>
    <w:rsid w:val="00675E37"/>
    <w:rsid w:val="00676D76"/>
    <w:rsid w:val="00676F9F"/>
    <w:rsid w:val="00677594"/>
    <w:rsid w:val="0068032F"/>
    <w:rsid w:val="00680D37"/>
    <w:rsid w:val="0068174E"/>
    <w:rsid w:val="00681DCE"/>
    <w:rsid w:val="0068260E"/>
    <w:rsid w:val="00684E25"/>
    <w:rsid w:val="006858A4"/>
    <w:rsid w:val="00686718"/>
    <w:rsid w:val="00686BFA"/>
    <w:rsid w:val="00695BEF"/>
    <w:rsid w:val="006968C1"/>
    <w:rsid w:val="006977F6"/>
    <w:rsid w:val="00697A13"/>
    <w:rsid w:val="006A109C"/>
    <w:rsid w:val="006A7691"/>
    <w:rsid w:val="006A7EE2"/>
    <w:rsid w:val="006B0514"/>
    <w:rsid w:val="006B0F92"/>
    <w:rsid w:val="006B2785"/>
    <w:rsid w:val="006B344A"/>
    <w:rsid w:val="006B74AC"/>
    <w:rsid w:val="006B78D8"/>
    <w:rsid w:val="006C113F"/>
    <w:rsid w:val="006C123E"/>
    <w:rsid w:val="006C15A1"/>
    <w:rsid w:val="006C1752"/>
    <w:rsid w:val="006C28CA"/>
    <w:rsid w:val="006C4355"/>
    <w:rsid w:val="006C469D"/>
    <w:rsid w:val="006C56D4"/>
    <w:rsid w:val="006C6924"/>
    <w:rsid w:val="006C7CA6"/>
    <w:rsid w:val="006D3E8A"/>
    <w:rsid w:val="006D61F6"/>
    <w:rsid w:val="006E279A"/>
    <w:rsid w:val="006E313B"/>
    <w:rsid w:val="006E7227"/>
    <w:rsid w:val="006F0741"/>
    <w:rsid w:val="006F1C27"/>
    <w:rsid w:val="006F42BB"/>
    <w:rsid w:val="006F438E"/>
    <w:rsid w:val="006F440B"/>
    <w:rsid w:val="006F5416"/>
    <w:rsid w:val="006F624B"/>
    <w:rsid w:val="00705242"/>
    <w:rsid w:val="00706AD4"/>
    <w:rsid w:val="00707150"/>
    <w:rsid w:val="007140BE"/>
    <w:rsid w:val="00715E4D"/>
    <w:rsid w:val="00716F48"/>
    <w:rsid w:val="007211F5"/>
    <w:rsid w:val="007240E2"/>
    <w:rsid w:val="0072583E"/>
    <w:rsid w:val="00725BB5"/>
    <w:rsid w:val="00730AE8"/>
    <w:rsid w:val="00730F1B"/>
    <w:rsid w:val="00741493"/>
    <w:rsid w:val="007434E5"/>
    <w:rsid w:val="00752180"/>
    <w:rsid w:val="00752323"/>
    <w:rsid w:val="00753CAB"/>
    <w:rsid w:val="00754A70"/>
    <w:rsid w:val="00755202"/>
    <w:rsid w:val="00755D3A"/>
    <w:rsid w:val="0075751D"/>
    <w:rsid w:val="007578D3"/>
    <w:rsid w:val="00760391"/>
    <w:rsid w:val="007609C6"/>
    <w:rsid w:val="0076175D"/>
    <w:rsid w:val="00763B85"/>
    <w:rsid w:val="0076521E"/>
    <w:rsid w:val="007661E9"/>
    <w:rsid w:val="00776169"/>
    <w:rsid w:val="00776527"/>
    <w:rsid w:val="00777040"/>
    <w:rsid w:val="00780EF1"/>
    <w:rsid w:val="00786C87"/>
    <w:rsid w:val="007877C9"/>
    <w:rsid w:val="00790764"/>
    <w:rsid w:val="0079085F"/>
    <w:rsid w:val="0079453C"/>
    <w:rsid w:val="00794677"/>
    <w:rsid w:val="007A3CAF"/>
    <w:rsid w:val="007A516D"/>
    <w:rsid w:val="007A775D"/>
    <w:rsid w:val="007B0834"/>
    <w:rsid w:val="007B11FA"/>
    <w:rsid w:val="007B2011"/>
    <w:rsid w:val="007B2CFE"/>
    <w:rsid w:val="007B3DCB"/>
    <w:rsid w:val="007B6689"/>
    <w:rsid w:val="007B6F72"/>
    <w:rsid w:val="007C2D94"/>
    <w:rsid w:val="007C5F92"/>
    <w:rsid w:val="007C6227"/>
    <w:rsid w:val="007C6BBD"/>
    <w:rsid w:val="007D0382"/>
    <w:rsid w:val="007D1A1F"/>
    <w:rsid w:val="007D40DF"/>
    <w:rsid w:val="007D4458"/>
    <w:rsid w:val="007E1788"/>
    <w:rsid w:val="007E29B4"/>
    <w:rsid w:val="007E435A"/>
    <w:rsid w:val="007E49F7"/>
    <w:rsid w:val="007E7E61"/>
    <w:rsid w:val="007F0845"/>
    <w:rsid w:val="007F20F3"/>
    <w:rsid w:val="007F708D"/>
    <w:rsid w:val="00801E13"/>
    <w:rsid w:val="0080734C"/>
    <w:rsid w:val="00807C82"/>
    <w:rsid w:val="008117CC"/>
    <w:rsid w:val="00816905"/>
    <w:rsid w:val="00817A17"/>
    <w:rsid w:val="00817EC1"/>
    <w:rsid w:val="0082112D"/>
    <w:rsid w:val="00821FF6"/>
    <w:rsid w:val="00822574"/>
    <w:rsid w:val="00825C4D"/>
    <w:rsid w:val="00830E86"/>
    <w:rsid w:val="0083143E"/>
    <w:rsid w:val="00831CDE"/>
    <w:rsid w:val="00834304"/>
    <w:rsid w:val="00834FAA"/>
    <w:rsid w:val="008354FB"/>
    <w:rsid w:val="00836086"/>
    <w:rsid w:val="00836A06"/>
    <w:rsid w:val="008374BC"/>
    <w:rsid w:val="00840293"/>
    <w:rsid w:val="008417B5"/>
    <w:rsid w:val="00846121"/>
    <w:rsid w:val="0084708F"/>
    <w:rsid w:val="008477C8"/>
    <w:rsid w:val="0085114D"/>
    <w:rsid w:val="00852217"/>
    <w:rsid w:val="00855408"/>
    <w:rsid w:val="00856D65"/>
    <w:rsid w:val="00861B41"/>
    <w:rsid w:val="00861B9F"/>
    <w:rsid w:val="00861BE3"/>
    <w:rsid w:val="00863434"/>
    <w:rsid w:val="00865E4C"/>
    <w:rsid w:val="00867DAB"/>
    <w:rsid w:val="008701E4"/>
    <w:rsid w:val="00874FE8"/>
    <w:rsid w:val="00875A32"/>
    <w:rsid w:val="00876086"/>
    <w:rsid w:val="00876E83"/>
    <w:rsid w:val="008772BC"/>
    <w:rsid w:val="00882911"/>
    <w:rsid w:val="00885D40"/>
    <w:rsid w:val="008873D4"/>
    <w:rsid w:val="00891EDF"/>
    <w:rsid w:val="00892872"/>
    <w:rsid w:val="0089296D"/>
    <w:rsid w:val="00893E85"/>
    <w:rsid w:val="00894031"/>
    <w:rsid w:val="00894C5D"/>
    <w:rsid w:val="00895508"/>
    <w:rsid w:val="008A0ADD"/>
    <w:rsid w:val="008A3CBA"/>
    <w:rsid w:val="008A4B59"/>
    <w:rsid w:val="008B3F7B"/>
    <w:rsid w:val="008B6106"/>
    <w:rsid w:val="008B7C02"/>
    <w:rsid w:val="008B7D2B"/>
    <w:rsid w:val="008B7EF9"/>
    <w:rsid w:val="008C0049"/>
    <w:rsid w:val="008C0E88"/>
    <w:rsid w:val="008C4B50"/>
    <w:rsid w:val="008C7569"/>
    <w:rsid w:val="008D0DBD"/>
    <w:rsid w:val="008D127E"/>
    <w:rsid w:val="008D1E6A"/>
    <w:rsid w:val="008D2A16"/>
    <w:rsid w:val="008E2C57"/>
    <w:rsid w:val="008E31FF"/>
    <w:rsid w:val="008E6DCB"/>
    <w:rsid w:val="008E6F06"/>
    <w:rsid w:val="008E7B8E"/>
    <w:rsid w:val="008E7FC9"/>
    <w:rsid w:val="008F029B"/>
    <w:rsid w:val="008F2A5D"/>
    <w:rsid w:val="008F3636"/>
    <w:rsid w:val="008F3FC9"/>
    <w:rsid w:val="008F585B"/>
    <w:rsid w:val="009003A8"/>
    <w:rsid w:val="00902500"/>
    <w:rsid w:val="00902EFF"/>
    <w:rsid w:val="00904F96"/>
    <w:rsid w:val="009052A3"/>
    <w:rsid w:val="00905B8D"/>
    <w:rsid w:val="00906401"/>
    <w:rsid w:val="009110F7"/>
    <w:rsid w:val="0091155E"/>
    <w:rsid w:val="00912A92"/>
    <w:rsid w:val="00915D07"/>
    <w:rsid w:val="009162AE"/>
    <w:rsid w:val="00917251"/>
    <w:rsid w:val="0091728D"/>
    <w:rsid w:val="0092180B"/>
    <w:rsid w:val="00921F14"/>
    <w:rsid w:val="00923CB0"/>
    <w:rsid w:val="00924AC8"/>
    <w:rsid w:val="00925429"/>
    <w:rsid w:val="0092597A"/>
    <w:rsid w:val="00926520"/>
    <w:rsid w:val="0093033E"/>
    <w:rsid w:val="00930FB1"/>
    <w:rsid w:val="0093139F"/>
    <w:rsid w:val="00932443"/>
    <w:rsid w:val="00935BD4"/>
    <w:rsid w:val="009373B2"/>
    <w:rsid w:val="00937AE2"/>
    <w:rsid w:val="0094416B"/>
    <w:rsid w:val="0094427A"/>
    <w:rsid w:val="00944C7C"/>
    <w:rsid w:val="00945245"/>
    <w:rsid w:val="0095759C"/>
    <w:rsid w:val="009618EE"/>
    <w:rsid w:val="009624D2"/>
    <w:rsid w:val="009628D9"/>
    <w:rsid w:val="009637AE"/>
    <w:rsid w:val="00964A4E"/>
    <w:rsid w:val="009651C7"/>
    <w:rsid w:val="00965797"/>
    <w:rsid w:val="009674BE"/>
    <w:rsid w:val="00972FCD"/>
    <w:rsid w:val="009741FC"/>
    <w:rsid w:val="00974923"/>
    <w:rsid w:val="00977C3D"/>
    <w:rsid w:val="00980D3D"/>
    <w:rsid w:val="00983101"/>
    <w:rsid w:val="00983E41"/>
    <w:rsid w:val="00987A30"/>
    <w:rsid w:val="0099182E"/>
    <w:rsid w:val="00992CF3"/>
    <w:rsid w:val="00994868"/>
    <w:rsid w:val="009968D6"/>
    <w:rsid w:val="009A10A0"/>
    <w:rsid w:val="009A1CAB"/>
    <w:rsid w:val="009A2359"/>
    <w:rsid w:val="009A3579"/>
    <w:rsid w:val="009A4D57"/>
    <w:rsid w:val="009A60D1"/>
    <w:rsid w:val="009B3764"/>
    <w:rsid w:val="009B6FD3"/>
    <w:rsid w:val="009C1750"/>
    <w:rsid w:val="009C2E29"/>
    <w:rsid w:val="009C3E8F"/>
    <w:rsid w:val="009C554B"/>
    <w:rsid w:val="009C719E"/>
    <w:rsid w:val="009D3ACD"/>
    <w:rsid w:val="009E5273"/>
    <w:rsid w:val="009E5DDB"/>
    <w:rsid w:val="009F4982"/>
    <w:rsid w:val="009F4CA7"/>
    <w:rsid w:val="00A04616"/>
    <w:rsid w:val="00A04717"/>
    <w:rsid w:val="00A05EE4"/>
    <w:rsid w:val="00A10D66"/>
    <w:rsid w:val="00A14114"/>
    <w:rsid w:val="00A16413"/>
    <w:rsid w:val="00A16AED"/>
    <w:rsid w:val="00A16E1D"/>
    <w:rsid w:val="00A17A15"/>
    <w:rsid w:val="00A17D5B"/>
    <w:rsid w:val="00A23E43"/>
    <w:rsid w:val="00A25216"/>
    <w:rsid w:val="00A2628E"/>
    <w:rsid w:val="00A30F65"/>
    <w:rsid w:val="00A40EAC"/>
    <w:rsid w:val="00A418BC"/>
    <w:rsid w:val="00A44B0D"/>
    <w:rsid w:val="00A45087"/>
    <w:rsid w:val="00A45489"/>
    <w:rsid w:val="00A46DE0"/>
    <w:rsid w:val="00A50D73"/>
    <w:rsid w:val="00A52CAD"/>
    <w:rsid w:val="00A53FC7"/>
    <w:rsid w:val="00A626FF"/>
    <w:rsid w:val="00A62CE1"/>
    <w:rsid w:val="00A655D3"/>
    <w:rsid w:val="00A6741E"/>
    <w:rsid w:val="00A722F9"/>
    <w:rsid w:val="00A72D42"/>
    <w:rsid w:val="00A75E40"/>
    <w:rsid w:val="00A77D1D"/>
    <w:rsid w:val="00A81652"/>
    <w:rsid w:val="00A83150"/>
    <w:rsid w:val="00A83398"/>
    <w:rsid w:val="00A857C0"/>
    <w:rsid w:val="00A90FED"/>
    <w:rsid w:val="00A91E71"/>
    <w:rsid w:val="00A96116"/>
    <w:rsid w:val="00A9614E"/>
    <w:rsid w:val="00A96C0F"/>
    <w:rsid w:val="00AA2996"/>
    <w:rsid w:val="00AA52BF"/>
    <w:rsid w:val="00AA559A"/>
    <w:rsid w:val="00AA7CE8"/>
    <w:rsid w:val="00AB2AF1"/>
    <w:rsid w:val="00AB5A64"/>
    <w:rsid w:val="00AC044E"/>
    <w:rsid w:val="00AC2395"/>
    <w:rsid w:val="00AC2960"/>
    <w:rsid w:val="00AC2AC4"/>
    <w:rsid w:val="00AC4284"/>
    <w:rsid w:val="00AC45BD"/>
    <w:rsid w:val="00AD168E"/>
    <w:rsid w:val="00AD306C"/>
    <w:rsid w:val="00AD5AD2"/>
    <w:rsid w:val="00AD6462"/>
    <w:rsid w:val="00AD68C4"/>
    <w:rsid w:val="00AE09B3"/>
    <w:rsid w:val="00AE1A83"/>
    <w:rsid w:val="00AE7CE7"/>
    <w:rsid w:val="00AE7FAB"/>
    <w:rsid w:val="00AF436B"/>
    <w:rsid w:val="00AF5179"/>
    <w:rsid w:val="00B00913"/>
    <w:rsid w:val="00B01593"/>
    <w:rsid w:val="00B01FF9"/>
    <w:rsid w:val="00B023F2"/>
    <w:rsid w:val="00B10A4D"/>
    <w:rsid w:val="00B10C90"/>
    <w:rsid w:val="00B14BC1"/>
    <w:rsid w:val="00B16EB8"/>
    <w:rsid w:val="00B17E71"/>
    <w:rsid w:val="00B17FDE"/>
    <w:rsid w:val="00B20632"/>
    <w:rsid w:val="00B2379C"/>
    <w:rsid w:val="00B2687D"/>
    <w:rsid w:val="00B32964"/>
    <w:rsid w:val="00B32DDB"/>
    <w:rsid w:val="00B34528"/>
    <w:rsid w:val="00B34CC9"/>
    <w:rsid w:val="00B402FC"/>
    <w:rsid w:val="00B439DA"/>
    <w:rsid w:val="00B46604"/>
    <w:rsid w:val="00B47089"/>
    <w:rsid w:val="00B52151"/>
    <w:rsid w:val="00B530CD"/>
    <w:rsid w:val="00B55F5E"/>
    <w:rsid w:val="00B56B6F"/>
    <w:rsid w:val="00B5752E"/>
    <w:rsid w:val="00B63A11"/>
    <w:rsid w:val="00B64C24"/>
    <w:rsid w:val="00B6608F"/>
    <w:rsid w:val="00B679FB"/>
    <w:rsid w:val="00B76D1E"/>
    <w:rsid w:val="00B77543"/>
    <w:rsid w:val="00B8093C"/>
    <w:rsid w:val="00B80EC6"/>
    <w:rsid w:val="00B81D70"/>
    <w:rsid w:val="00B84CF6"/>
    <w:rsid w:val="00B85016"/>
    <w:rsid w:val="00B8561A"/>
    <w:rsid w:val="00B92D1D"/>
    <w:rsid w:val="00B938C5"/>
    <w:rsid w:val="00B95940"/>
    <w:rsid w:val="00B95ACA"/>
    <w:rsid w:val="00BA46E8"/>
    <w:rsid w:val="00BA6C2B"/>
    <w:rsid w:val="00BA7B64"/>
    <w:rsid w:val="00BB0351"/>
    <w:rsid w:val="00BB1AF4"/>
    <w:rsid w:val="00BB46F3"/>
    <w:rsid w:val="00BB4CB1"/>
    <w:rsid w:val="00BB4F98"/>
    <w:rsid w:val="00BB5ABF"/>
    <w:rsid w:val="00BB6EA2"/>
    <w:rsid w:val="00BC5C12"/>
    <w:rsid w:val="00BC7154"/>
    <w:rsid w:val="00BC731E"/>
    <w:rsid w:val="00BD25BB"/>
    <w:rsid w:val="00BD366B"/>
    <w:rsid w:val="00BD6D50"/>
    <w:rsid w:val="00BE18B9"/>
    <w:rsid w:val="00BE2495"/>
    <w:rsid w:val="00BF02C8"/>
    <w:rsid w:val="00BF1578"/>
    <w:rsid w:val="00BF1D12"/>
    <w:rsid w:val="00C06EE3"/>
    <w:rsid w:val="00C07749"/>
    <w:rsid w:val="00C21430"/>
    <w:rsid w:val="00C21E61"/>
    <w:rsid w:val="00C21F94"/>
    <w:rsid w:val="00C27913"/>
    <w:rsid w:val="00C33B68"/>
    <w:rsid w:val="00C36A79"/>
    <w:rsid w:val="00C401D2"/>
    <w:rsid w:val="00C405D4"/>
    <w:rsid w:val="00C419D5"/>
    <w:rsid w:val="00C4513B"/>
    <w:rsid w:val="00C5390B"/>
    <w:rsid w:val="00C54697"/>
    <w:rsid w:val="00C55402"/>
    <w:rsid w:val="00C5603B"/>
    <w:rsid w:val="00C61F47"/>
    <w:rsid w:val="00C62828"/>
    <w:rsid w:val="00C71D2F"/>
    <w:rsid w:val="00C73885"/>
    <w:rsid w:val="00C7435A"/>
    <w:rsid w:val="00C747B1"/>
    <w:rsid w:val="00C82191"/>
    <w:rsid w:val="00C83134"/>
    <w:rsid w:val="00C832F3"/>
    <w:rsid w:val="00C85545"/>
    <w:rsid w:val="00C90CF4"/>
    <w:rsid w:val="00C922DE"/>
    <w:rsid w:val="00C92843"/>
    <w:rsid w:val="00C92EB6"/>
    <w:rsid w:val="00C93389"/>
    <w:rsid w:val="00CA0346"/>
    <w:rsid w:val="00CA37FF"/>
    <w:rsid w:val="00CA6AB4"/>
    <w:rsid w:val="00CB2351"/>
    <w:rsid w:val="00CB4930"/>
    <w:rsid w:val="00CC20FE"/>
    <w:rsid w:val="00CC2E7D"/>
    <w:rsid w:val="00CC655F"/>
    <w:rsid w:val="00CC76BD"/>
    <w:rsid w:val="00CD10A5"/>
    <w:rsid w:val="00CD1129"/>
    <w:rsid w:val="00CD2076"/>
    <w:rsid w:val="00CD24CE"/>
    <w:rsid w:val="00CD29B5"/>
    <w:rsid w:val="00CD2B78"/>
    <w:rsid w:val="00CD5C3E"/>
    <w:rsid w:val="00CD6331"/>
    <w:rsid w:val="00CE62FA"/>
    <w:rsid w:val="00CE670B"/>
    <w:rsid w:val="00CF4908"/>
    <w:rsid w:val="00CF51EC"/>
    <w:rsid w:val="00CF545D"/>
    <w:rsid w:val="00CF5873"/>
    <w:rsid w:val="00CF73AE"/>
    <w:rsid w:val="00D03A72"/>
    <w:rsid w:val="00D040DD"/>
    <w:rsid w:val="00D075BE"/>
    <w:rsid w:val="00D12C25"/>
    <w:rsid w:val="00D133B4"/>
    <w:rsid w:val="00D13986"/>
    <w:rsid w:val="00D214EF"/>
    <w:rsid w:val="00D21D6D"/>
    <w:rsid w:val="00D21D83"/>
    <w:rsid w:val="00D235B7"/>
    <w:rsid w:val="00D25F28"/>
    <w:rsid w:val="00D26071"/>
    <w:rsid w:val="00D27973"/>
    <w:rsid w:val="00D31E1E"/>
    <w:rsid w:val="00D35BBB"/>
    <w:rsid w:val="00D35E1A"/>
    <w:rsid w:val="00D36E1C"/>
    <w:rsid w:val="00D373AF"/>
    <w:rsid w:val="00D40556"/>
    <w:rsid w:val="00D41F74"/>
    <w:rsid w:val="00D50F46"/>
    <w:rsid w:val="00D544E7"/>
    <w:rsid w:val="00D57677"/>
    <w:rsid w:val="00D63BE5"/>
    <w:rsid w:val="00D66223"/>
    <w:rsid w:val="00D72076"/>
    <w:rsid w:val="00D77252"/>
    <w:rsid w:val="00D8084C"/>
    <w:rsid w:val="00D8598C"/>
    <w:rsid w:val="00D915EA"/>
    <w:rsid w:val="00D95E8F"/>
    <w:rsid w:val="00D97D00"/>
    <w:rsid w:val="00DA096C"/>
    <w:rsid w:val="00DA6364"/>
    <w:rsid w:val="00DA7114"/>
    <w:rsid w:val="00DA7C0C"/>
    <w:rsid w:val="00DB08A9"/>
    <w:rsid w:val="00DB2EC8"/>
    <w:rsid w:val="00DC17D0"/>
    <w:rsid w:val="00DC56FE"/>
    <w:rsid w:val="00DC5B3B"/>
    <w:rsid w:val="00DC7B1A"/>
    <w:rsid w:val="00DD129F"/>
    <w:rsid w:val="00DD32DD"/>
    <w:rsid w:val="00DF42FF"/>
    <w:rsid w:val="00DF5D1E"/>
    <w:rsid w:val="00E01C0E"/>
    <w:rsid w:val="00E0368F"/>
    <w:rsid w:val="00E03D73"/>
    <w:rsid w:val="00E03F9A"/>
    <w:rsid w:val="00E04694"/>
    <w:rsid w:val="00E129E7"/>
    <w:rsid w:val="00E12B1E"/>
    <w:rsid w:val="00E1444C"/>
    <w:rsid w:val="00E17262"/>
    <w:rsid w:val="00E2009B"/>
    <w:rsid w:val="00E2251C"/>
    <w:rsid w:val="00E2363D"/>
    <w:rsid w:val="00E253A2"/>
    <w:rsid w:val="00E27233"/>
    <w:rsid w:val="00E31771"/>
    <w:rsid w:val="00E3309D"/>
    <w:rsid w:val="00E417BE"/>
    <w:rsid w:val="00E43A9E"/>
    <w:rsid w:val="00E453F9"/>
    <w:rsid w:val="00E45D7D"/>
    <w:rsid w:val="00E47EBA"/>
    <w:rsid w:val="00E50156"/>
    <w:rsid w:val="00E5076C"/>
    <w:rsid w:val="00E53470"/>
    <w:rsid w:val="00E539F6"/>
    <w:rsid w:val="00E578A2"/>
    <w:rsid w:val="00E61740"/>
    <w:rsid w:val="00E6519D"/>
    <w:rsid w:val="00E67696"/>
    <w:rsid w:val="00E71A58"/>
    <w:rsid w:val="00E72A26"/>
    <w:rsid w:val="00E72A7A"/>
    <w:rsid w:val="00E747DC"/>
    <w:rsid w:val="00E75C94"/>
    <w:rsid w:val="00E76E61"/>
    <w:rsid w:val="00E80CA3"/>
    <w:rsid w:val="00E82618"/>
    <w:rsid w:val="00E930A1"/>
    <w:rsid w:val="00E93820"/>
    <w:rsid w:val="00E94A86"/>
    <w:rsid w:val="00E96143"/>
    <w:rsid w:val="00EA0C68"/>
    <w:rsid w:val="00EA32BC"/>
    <w:rsid w:val="00EA35A7"/>
    <w:rsid w:val="00EA513E"/>
    <w:rsid w:val="00EB4511"/>
    <w:rsid w:val="00EB6FAC"/>
    <w:rsid w:val="00EC03D7"/>
    <w:rsid w:val="00EC13A7"/>
    <w:rsid w:val="00ED2EA1"/>
    <w:rsid w:val="00ED4D04"/>
    <w:rsid w:val="00ED62C6"/>
    <w:rsid w:val="00ED64C1"/>
    <w:rsid w:val="00EE3446"/>
    <w:rsid w:val="00EE3E78"/>
    <w:rsid w:val="00EE4B1B"/>
    <w:rsid w:val="00EF150D"/>
    <w:rsid w:val="00EF1F5A"/>
    <w:rsid w:val="00EF47BF"/>
    <w:rsid w:val="00EF5FF9"/>
    <w:rsid w:val="00F0160B"/>
    <w:rsid w:val="00F04811"/>
    <w:rsid w:val="00F0488C"/>
    <w:rsid w:val="00F073ED"/>
    <w:rsid w:val="00F10F11"/>
    <w:rsid w:val="00F15AAA"/>
    <w:rsid w:val="00F15BEF"/>
    <w:rsid w:val="00F207C2"/>
    <w:rsid w:val="00F219A1"/>
    <w:rsid w:val="00F24407"/>
    <w:rsid w:val="00F24FAA"/>
    <w:rsid w:val="00F25040"/>
    <w:rsid w:val="00F27331"/>
    <w:rsid w:val="00F3364D"/>
    <w:rsid w:val="00F437CC"/>
    <w:rsid w:val="00F44537"/>
    <w:rsid w:val="00F46423"/>
    <w:rsid w:val="00F47067"/>
    <w:rsid w:val="00F525EB"/>
    <w:rsid w:val="00F63AAE"/>
    <w:rsid w:val="00F63DDE"/>
    <w:rsid w:val="00F63FB7"/>
    <w:rsid w:val="00F6421B"/>
    <w:rsid w:val="00F649D2"/>
    <w:rsid w:val="00F6602B"/>
    <w:rsid w:val="00F7150B"/>
    <w:rsid w:val="00F73A0C"/>
    <w:rsid w:val="00F73D5F"/>
    <w:rsid w:val="00F756DB"/>
    <w:rsid w:val="00F767A8"/>
    <w:rsid w:val="00F84E7D"/>
    <w:rsid w:val="00F85066"/>
    <w:rsid w:val="00F87980"/>
    <w:rsid w:val="00F87A4D"/>
    <w:rsid w:val="00F939F3"/>
    <w:rsid w:val="00FA05A0"/>
    <w:rsid w:val="00FA17CC"/>
    <w:rsid w:val="00FA5112"/>
    <w:rsid w:val="00FA5526"/>
    <w:rsid w:val="00FA5D4D"/>
    <w:rsid w:val="00FB0EE2"/>
    <w:rsid w:val="00FB1A79"/>
    <w:rsid w:val="00FB208B"/>
    <w:rsid w:val="00FB2B2D"/>
    <w:rsid w:val="00FB542E"/>
    <w:rsid w:val="00FC05F8"/>
    <w:rsid w:val="00FC0E5F"/>
    <w:rsid w:val="00FC1A95"/>
    <w:rsid w:val="00FC56DE"/>
    <w:rsid w:val="00FC684B"/>
    <w:rsid w:val="00FC7D98"/>
    <w:rsid w:val="00FD1135"/>
    <w:rsid w:val="00FD3265"/>
    <w:rsid w:val="00FD4916"/>
    <w:rsid w:val="00FE27C7"/>
    <w:rsid w:val="00FE2F7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25216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71818C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A25216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71818C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A25216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71818C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A25216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71818C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364FA0"/>
    <w:rPr>
      <w:rFonts w:ascii="Arial" w:eastAsia="MS Gothic" w:hAnsi="Arial"/>
      <w:b/>
      <w:bCs/>
      <w:color w:val="71818C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364FA0"/>
    <w:rPr>
      <w:rFonts w:ascii="Arial" w:eastAsia="MS Gothic" w:hAnsi="Arial"/>
      <w:b/>
      <w:bCs/>
      <w:color w:val="71818C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364FA0"/>
    <w:rPr>
      <w:rFonts w:ascii="Arial" w:eastAsia="MS Gothic" w:hAnsi="Arial"/>
      <w:b/>
      <w:bCs/>
      <w:color w:val="71818C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364FA0"/>
    <w:rPr>
      <w:rFonts w:ascii="Arial" w:eastAsia="MS Gothic" w:hAnsi="Arial"/>
      <w:b/>
      <w:bCs/>
      <w:iCs/>
      <w:color w:val="71818C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46121"/>
    <w:pPr>
      <w:spacing w:after="80" w:line="288" w:lineRule="auto"/>
    </w:pPr>
    <w:rPr>
      <w:rFonts w:ascii="Arial" w:eastAsia="Times New Roman" w:hAnsi="Arial"/>
      <w:b/>
      <w:color w:val="71818C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F84E7D"/>
    <w:pPr>
      <w:shd w:val="clear" w:color="auto" w:fill="EAECEE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D075BE"/>
    <w:pPr>
      <w:spacing w:before="240" w:after="240" w:line="276" w:lineRule="auto"/>
      <w:contextualSpacing/>
      <w:jc w:val="both"/>
    </w:pPr>
    <w:rPr>
      <w:rFonts w:ascii="Arial" w:hAnsi="Arial" w:cs="Arial"/>
      <w:color w:val="71818C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46121"/>
    <w:pPr>
      <w:spacing w:line="288" w:lineRule="auto"/>
    </w:pPr>
    <w:rPr>
      <w:rFonts w:ascii="Arial" w:eastAsia="Times New Roman" w:hAnsi="Arial"/>
      <w:b/>
      <w:bCs/>
      <w:caps/>
      <w:color w:val="71818C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46121"/>
    <w:rPr>
      <w:rFonts w:ascii="Arial" w:eastAsia="Times New Roman" w:hAnsi="Arial"/>
      <w:b/>
      <w:bCs/>
      <w:caps/>
      <w:color w:val="71818C"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846121"/>
    <w:pPr>
      <w:spacing w:line="288" w:lineRule="auto"/>
    </w:pPr>
    <w:rPr>
      <w:rFonts w:ascii="Arial" w:eastAsia="Times New Roman" w:hAnsi="Arial" w:cs="Arial"/>
      <w:b/>
      <w:color w:val="71818C"/>
      <w:sz w:val="28"/>
      <w:szCs w:val="24"/>
      <w:lang w:eastAsia="cs-CZ"/>
    </w:rPr>
  </w:style>
  <w:style w:type="character" w:customStyle="1" w:styleId="PodtitulChar">
    <w:name w:val="Podtitul Char"/>
    <w:link w:val="Podtitul"/>
    <w:uiPriority w:val="11"/>
    <w:rsid w:val="00846121"/>
    <w:rPr>
      <w:rFonts w:ascii="Arial" w:eastAsia="Times New Roman" w:hAnsi="Arial" w:cs="Arial"/>
      <w:b/>
      <w:color w:val="71818C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0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17D5B"/>
    <w:pPr>
      <w:shd w:val="clear" w:color="auto" w:fill="EBEBEB"/>
      <w:spacing w:before="240" w:after="240" w:line="276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A17D5B"/>
    <w:pPr>
      <w:spacing w:before="240" w:after="240" w:line="276" w:lineRule="auto"/>
      <w:ind w:left="709"/>
      <w:contextualSpacing/>
    </w:pPr>
    <w:rPr>
      <w:rFonts w:ascii="Arial" w:hAnsi="Arial" w:cs="Arial"/>
      <w:b/>
      <w:color w:val="71818C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6E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E6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6E6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E61"/>
    <w:rPr>
      <w:rFonts w:ascii="Arial" w:eastAsia="Times New Roman" w:hAnsi="Arial"/>
      <w:b/>
      <w:bCs/>
      <w:lang w:eastAsia="cs-CZ"/>
    </w:rPr>
  </w:style>
  <w:style w:type="paragraph" w:customStyle="1" w:styleId="Nadpis11">
    <w:name w:val="Nadpis 11"/>
    <w:basedOn w:val="Normln"/>
    <w:uiPriority w:val="9"/>
    <w:qFormat/>
    <w:rsid w:val="00C62828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character" w:styleId="Znakapoznpodarou">
    <w:name w:val="footnote reference"/>
    <w:basedOn w:val="Standardnpsmoodstavce"/>
    <w:rsid w:val="00C62828"/>
    <w:rPr>
      <w:rFonts w:cs="Times New Roman"/>
      <w:vertAlign w:val="superscript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54C2"/>
    <w:pPr>
      <w:spacing w:before="480" w:after="0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Zvraznn">
    <w:name w:val="Emphasis"/>
    <w:basedOn w:val="Standardnpsmoodstavce"/>
    <w:uiPriority w:val="20"/>
    <w:qFormat/>
    <w:rsid w:val="00965797"/>
    <w:rPr>
      <w:i/>
      <w:iCs/>
    </w:rPr>
  </w:style>
  <w:style w:type="paragraph" w:styleId="Rozvrendokumentu">
    <w:name w:val="Document Map"/>
    <w:basedOn w:val="Normln"/>
    <w:link w:val="RozvrendokumentuChar"/>
    <w:uiPriority w:val="99"/>
    <w:semiHidden/>
    <w:rsid w:val="00AD5AD2"/>
    <w:pPr>
      <w:spacing w:after="0" w:line="288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AD5AD2"/>
    <w:rPr>
      <w:rFonts w:ascii="Tahoma" w:hAnsi="Tahoma" w:cs="Tahoma"/>
      <w:sz w:val="16"/>
      <w:szCs w:val="16"/>
      <w:lang w:eastAsia="cs-CZ"/>
    </w:rPr>
  </w:style>
  <w:style w:type="paragraph" w:customStyle="1" w:styleId="Heading1">
    <w:name w:val="Heading 1"/>
    <w:basedOn w:val="Normln"/>
    <w:uiPriority w:val="9"/>
    <w:qFormat/>
    <w:rsid w:val="00E747DC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33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69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9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38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37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nal&#253;za\Q\2018Q1\Publikace\Q_analyza_Q12018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JKAM%20CSU\PUBLIKACE\PUBLIKACE\2018\QMakro\1.%20kvart&#225;l\Odv&#283;tv&#237;\Odv&#283;tv&#237;%20grafy-1q-201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JKAM%20CSU\PUBLIKACE\PUBLIKACE\2018\QMakro\1.%20kvart&#225;l\Odv&#283;tv&#237;\Odv&#283;tv&#237;%20grafy-1q-2018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JKAM%20CSU\PUBLIKACE\PUBLIKACE\2018\QMakro\1.%20kvart&#225;l\Odv&#283;tv&#237;\Odv&#283;tv&#237;%20grafy-1q-2018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JKAM%20CSU\PUBLIKACE\PUBLIKACE\2018\QMakro\1.%20kvart&#225;l\Odv&#283;tv&#237;\Odv&#283;tv&#237;%20grafy-1q-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6.2040029038385507E-2"/>
          <c:y val="1.9513175616352848E-2"/>
          <c:w val="0.92433548575002544"/>
          <c:h val="0.76155690645052365"/>
        </c:manualLayout>
      </c:layout>
      <c:barChart>
        <c:barDir val="col"/>
        <c:grouping val="clustered"/>
        <c:ser>
          <c:idx val="0"/>
          <c:order val="0"/>
          <c:tx>
            <c:strRef>
              <c:f>'výkonnost odvětví 1'!$B$30</c:f>
              <c:strCache>
                <c:ptCount val="1"/>
                <c:pt idx="0">
                  <c:v>Průmysl celkem (B+C+D)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 w="12700">
              <a:noFill/>
              <a:prstDash val="solid"/>
            </a:ln>
          </c:spPr>
          <c:cat>
            <c:multiLvlStrRef>
              <c:f>'výkonnost odvětví 1'!$C$28:$AE$29</c:f>
              <c:multiLvlStrCache>
                <c:ptCount val="2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  <c:pt idx="8">
                    <c:v>2013</c:v>
                  </c:pt>
                  <c:pt idx="12">
                    <c:v>2014</c:v>
                  </c:pt>
                  <c:pt idx="16">
                    <c:v>2015</c:v>
                  </c:pt>
                  <c:pt idx="20">
                    <c:v>2016</c:v>
                  </c:pt>
                  <c:pt idx="24">
                    <c:v>2017</c:v>
                  </c:pt>
                  <c:pt idx="28">
                    <c:v>2018</c:v>
                  </c:pt>
                </c:lvl>
              </c:multiLvlStrCache>
            </c:multiLvlStrRef>
          </c:cat>
          <c:val>
            <c:numRef>
              <c:f>'výkonnost odvětví 1'!$C$30:$AE$30</c:f>
              <c:numCache>
                <c:formatCode>#,##0.0</c:formatCode>
                <c:ptCount val="29"/>
                <c:pt idx="0">
                  <c:v>10</c:v>
                </c:pt>
                <c:pt idx="1">
                  <c:v>8.2000000000000011</c:v>
                </c:pt>
                <c:pt idx="2">
                  <c:v>2.2999999999999998</c:v>
                </c:pt>
                <c:pt idx="3">
                  <c:v>3.4</c:v>
                </c:pt>
                <c:pt idx="4">
                  <c:v>1.4</c:v>
                </c:pt>
                <c:pt idx="5">
                  <c:v>0.9</c:v>
                </c:pt>
                <c:pt idx="6">
                  <c:v>0.1</c:v>
                </c:pt>
                <c:pt idx="7">
                  <c:v>-5.2</c:v>
                </c:pt>
                <c:pt idx="8">
                  <c:v>-3.7</c:v>
                </c:pt>
                <c:pt idx="9">
                  <c:v>-2.8</c:v>
                </c:pt>
                <c:pt idx="10">
                  <c:v>0.8</c:v>
                </c:pt>
                <c:pt idx="11">
                  <c:v>6</c:v>
                </c:pt>
                <c:pt idx="12">
                  <c:v>6.9</c:v>
                </c:pt>
                <c:pt idx="13">
                  <c:v>6.1</c:v>
                </c:pt>
                <c:pt idx="14">
                  <c:v>2.8</c:v>
                </c:pt>
                <c:pt idx="15">
                  <c:v>4.0999999999999996</c:v>
                </c:pt>
                <c:pt idx="16">
                  <c:v>4.9000000000000004</c:v>
                </c:pt>
                <c:pt idx="17">
                  <c:v>5.2</c:v>
                </c:pt>
                <c:pt idx="18">
                  <c:v>6</c:v>
                </c:pt>
                <c:pt idx="19">
                  <c:v>2.2999999999999998</c:v>
                </c:pt>
                <c:pt idx="20">
                  <c:v>4.0999999999999996</c:v>
                </c:pt>
                <c:pt idx="21">
                  <c:v>2.2000000000000002</c:v>
                </c:pt>
                <c:pt idx="22">
                  <c:v>1.8</c:v>
                </c:pt>
                <c:pt idx="23">
                  <c:v>3.4</c:v>
                </c:pt>
                <c:pt idx="24">
                  <c:v>4.8</c:v>
                </c:pt>
                <c:pt idx="25">
                  <c:v>8.5</c:v>
                </c:pt>
                <c:pt idx="26">
                  <c:v>6.7</c:v>
                </c:pt>
                <c:pt idx="27">
                  <c:v>7.6</c:v>
                </c:pt>
                <c:pt idx="28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C2A-446F-85E3-39BD13179191}"/>
            </c:ext>
          </c:extLst>
        </c:ser>
        <c:gapWidth val="30"/>
        <c:axId val="54030336"/>
        <c:axId val="54032256"/>
      </c:barChart>
      <c:lineChart>
        <c:grouping val="standard"/>
        <c:ser>
          <c:idx val="3"/>
          <c:order val="1"/>
          <c:tx>
            <c:strRef>
              <c:f>'výkonnost odvětví 1'!$B$31</c:f>
              <c:strCache>
                <c:ptCount val="1"/>
                <c:pt idx="0">
                  <c:v>Strojírenství</c:v>
                </c:pt>
              </c:strCache>
            </c:strRef>
          </c:tx>
          <c:spPr>
            <a:ln w="19050">
              <a:solidFill>
                <a:srgbClr val="00B050"/>
              </a:solidFill>
              <a:prstDash val="solid"/>
            </a:ln>
          </c:spPr>
          <c:marker>
            <c:symbol val="none"/>
          </c:marker>
          <c:cat>
            <c:multiLvlStrRef>
              <c:f>'výkonnost odvětví 1'!$C$28:$AE$29</c:f>
              <c:multiLvlStrCache>
                <c:ptCount val="2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  <c:pt idx="8">
                    <c:v>2013</c:v>
                  </c:pt>
                  <c:pt idx="12">
                    <c:v>2014</c:v>
                  </c:pt>
                  <c:pt idx="16">
                    <c:v>2015</c:v>
                  </c:pt>
                  <c:pt idx="20">
                    <c:v>2016</c:v>
                  </c:pt>
                  <c:pt idx="24">
                    <c:v>2017</c:v>
                  </c:pt>
                  <c:pt idx="28">
                    <c:v>2018</c:v>
                  </c:pt>
                </c:lvl>
              </c:multiLvlStrCache>
            </c:multiLvlStrRef>
          </c:cat>
          <c:val>
            <c:numRef>
              <c:f>'výkonnost odvětví 1'!$C$31:$AE$31</c:f>
              <c:numCache>
                <c:formatCode>#,##0.0</c:formatCode>
                <c:ptCount val="29"/>
                <c:pt idx="0">
                  <c:v>16.7</c:v>
                </c:pt>
                <c:pt idx="1">
                  <c:v>15.7</c:v>
                </c:pt>
                <c:pt idx="2">
                  <c:v>3.8</c:v>
                </c:pt>
                <c:pt idx="3">
                  <c:v>8.3000000000000007</c:v>
                </c:pt>
                <c:pt idx="4">
                  <c:v>6.4</c:v>
                </c:pt>
                <c:pt idx="5">
                  <c:v>3</c:v>
                </c:pt>
                <c:pt idx="6">
                  <c:v>2.7</c:v>
                </c:pt>
                <c:pt idx="7">
                  <c:v>-1.5</c:v>
                </c:pt>
                <c:pt idx="8">
                  <c:v>0.9</c:v>
                </c:pt>
                <c:pt idx="9">
                  <c:v>2.4</c:v>
                </c:pt>
                <c:pt idx="10">
                  <c:v>-0.2</c:v>
                </c:pt>
                <c:pt idx="11">
                  <c:v>7.3</c:v>
                </c:pt>
                <c:pt idx="12">
                  <c:v>2.6</c:v>
                </c:pt>
                <c:pt idx="13">
                  <c:v>4.5</c:v>
                </c:pt>
                <c:pt idx="14">
                  <c:v>2.5</c:v>
                </c:pt>
                <c:pt idx="15">
                  <c:v>3.7</c:v>
                </c:pt>
                <c:pt idx="16">
                  <c:v>3.5</c:v>
                </c:pt>
                <c:pt idx="17">
                  <c:v>3.3</c:v>
                </c:pt>
                <c:pt idx="18">
                  <c:v>4.5</c:v>
                </c:pt>
                <c:pt idx="19">
                  <c:v>0.2</c:v>
                </c:pt>
                <c:pt idx="20">
                  <c:v>4.5999999999999996</c:v>
                </c:pt>
                <c:pt idx="21">
                  <c:v>-0.8</c:v>
                </c:pt>
                <c:pt idx="22">
                  <c:v>2.4</c:v>
                </c:pt>
                <c:pt idx="23">
                  <c:v>3.7</c:v>
                </c:pt>
                <c:pt idx="24">
                  <c:v>4.5999999999999996</c:v>
                </c:pt>
                <c:pt idx="25">
                  <c:v>12.7</c:v>
                </c:pt>
                <c:pt idx="26">
                  <c:v>10.200000000000001</c:v>
                </c:pt>
                <c:pt idx="27">
                  <c:v>9.3000000000000007</c:v>
                </c:pt>
                <c:pt idx="28">
                  <c:v>7.6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C2A-446F-85E3-39BD13179191}"/>
            </c:ext>
          </c:extLst>
        </c:ser>
        <c:ser>
          <c:idx val="1"/>
          <c:order val="2"/>
          <c:tx>
            <c:strRef>
              <c:f>'výkonnost odvětví 1'!$B$32</c:f>
              <c:strCache>
                <c:ptCount val="1"/>
                <c:pt idx="0">
                  <c:v>Chemický průmysl</c:v>
                </c:pt>
              </c:strCache>
            </c:strRef>
          </c:tx>
          <c:spPr>
            <a:ln w="19050">
              <a:solidFill>
                <a:srgbClr val="F8A124"/>
              </a:solidFill>
            </a:ln>
          </c:spPr>
          <c:marker>
            <c:symbol val="none"/>
          </c:marker>
          <c:cat>
            <c:multiLvlStrRef>
              <c:f>'výkonnost odvětví 1'!$C$28:$AE$29</c:f>
              <c:multiLvlStrCache>
                <c:ptCount val="2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  <c:pt idx="8">
                    <c:v>2013</c:v>
                  </c:pt>
                  <c:pt idx="12">
                    <c:v>2014</c:v>
                  </c:pt>
                  <c:pt idx="16">
                    <c:v>2015</c:v>
                  </c:pt>
                  <c:pt idx="20">
                    <c:v>2016</c:v>
                  </c:pt>
                  <c:pt idx="24">
                    <c:v>2017</c:v>
                  </c:pt>
                  <c:pt idx="28">
                    <c:v>2018</c:v>
                  </c:pt>
                </c:lvl>
              </c:multiLvlStrCache>
            </c:multiLvlStrRef>
          </c:cat>
          <c:val>
            <c:numRef>
              <c:f>'výkonnost odvětví 1'!$C$32:$AE$32</c:f>
              <c:numCache>
                <c:formatCode>#,##0.0</c:formatCode>
                <c:ptCount val="29"/>
                <c:pt idx="0">
                  <c:v>2.7</c:v>
                </c:pt>
                <c:pt idx="1">
                  <c:v>-4.7</c:v>
                </c:pt>
                <c:pt idx="2">
                  <c:v>-8.7000000000000011</c:v>
                </c:pt>
                <c:pt idx="3">
                  <c:v>-7.8</c:v>
                </c:pt>
                <c:pt idx="4">
                  <c:v>3.2</c:v>
                </c:pt>
                <c:pt idx="5">
                  <c:v>0.4</c:v>
                </c:pt>
                <c:pt idx="6">
                  <c:v>10.1</c:v>
                </c:pt>
                <c:pt idx="7">
                  <c:v>7</c:v>
                </c:pt>
                <c:pt idx="8">
                  <c:v>-5.3</c:v>
                </c:pt>
                <c:pt idx="9">
                  <c:v>-0.60000000000000064</c:v>
                </c:pt>
                <c:pt idx="10">
                  <c:v>-10</c:v>
                </c:pt>
                <c:pt idx="11">
                  <c:v>3.8</c:v>
                </c:pt>
                <c:pt idx="12">
                  <c:v>8.8000000000000007</c:v>
                </c:pt>
                <c:pt idx="13">
                  <c:v>9.7000000000000011</c:v>
                </c:pt>
                <c:pt idx="14">
                  <c:v>16.100000000000001</c:v>
                </c:pt>
                <c:pt idx="15">
                  <c:v>4.2</c:v>
                </c:pt>
                <c:pt idx="16">
                  <c:v>2.8</c:v>
                </c:pt>
                <c:pt idx="17">
                  <c:v>3.4</c:v>
                </c:pt>
                <c:pt idx="18">
                  <c:v>-7.8</c:v>
                </c:pt>
                <c:pt idx="19">
                  <c:v>-16.3</c:v>
                </c:pt>
                <c:pt idx="20">
                  <c:v>-13.3</c:v>
                </c:pt>
                <c:pt idx="21">
                  <c:v>-16.899999999999999</c:v>
                </c:pt>
                <c:pt idx="22">
                  <c:v>-5.8</c:v>
                </c:pt>
                <c:pt idx="23">
                  <c:v>11.1</c:v>
                </c:pt>
                <c:pt idx="24">
                  <c:v>16.399999999999999</c:v>
                </c:pt>
                <c:pt idx="25">
                  <c:v>24.5</c:v>
                </c:pt>
                <c:pt idx="26">
                  <c:v>19.399999999999999</c:v>
                </c:pt>
                <c:pt idx="27">
                  <c:v>17.3</c:v>
                </c:pt>
                <c:pt idx="28">
                  <c:v>6.6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C2A-446F-85E3-39BD13179191}"/>
            </c:ext>
          </c:extLst>
        </c:ser>
        <c:ser>
          <c:idx val="7"/>
          <c:order val="3"/>
          <c:tx>
            <c:strRef>
              <c:f>'výkonnost odvětví 1'!$B$33</c:f>
              <c:strCache>
                <c:ptCount val="1"/>
                <c:pt idx="0">
                  <c:v>Výroba PC, elektronic. a optic. přístrojů</c:v>
                </c:pt>
              </c:strCache>
            </c:strRef>
          </c:tx>
          <c:spPr>
            <a:ln w="19050">
              <a:solidFill>
                <a:srgbClr val="48AEE7"/>
              </a:solidFill>
            </a:ln>
          </c:spPr>
          <c:marker>
            <c:symbol val="none"/>
          </c:marker>
          <c:cat>
            <c:multiLvlStrRef>
              <c:f>'výkonnost odvětví 1'!$C$28:$AE$29</c:f>
              <c:multiLvlStrCache>
                <c:ptCount val="2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  <c:pt idx="8">
                    <c:v>2013</c:v>
                  </c:pt>
                  <c:pt idx="12">
                    <c:v>2014</c:v>
                  </c:pt>
                  <c:pt idx="16">
                    <c:v>2015</c:v>
                  </c:pt>
                  <c:pt idx="20">
                    <c:v>2016</c:v>
                  </c:pt>
                  <c:pt idx="24">
                    <c:v>2017</c:v>
                  </c:pt>
                  <c:pt idx="28">
                    <c:v>2018</c:v>
                  </c:pt>
                </c:lvl>
              </c:multiLvlStrCache>
            </c:multiLvlStrRef>
          </c:cat>
          <c:val>
            <c:numRef>
              <c:f>'výkonnost odvětví 1'!$C$33:$AE$33</c:f>
              <c:numCache>
                <c:formatCode>#,##0.0</c:formatCode>
                <c:ptCount val="29"/>
                <c:pt idx="0">
                  <c:v>12.5</c:v>
                </c:pt>
                <c:pt idx="1">
                  <c:v>6</c:v>
                </c:pt>
                <c:pt idx="2">
                  <c:v>-6</c:v>
                </c:pt>
                <c:pt idx="3">
                  <c:v>-18.399999999999999</c:v>
                </c:pt>
                <c:pt idx="4">
                  <c:v>-18.899999999999999</c:v>
                </c:pt>
                <c:pt idx="5">
                  <c:v>-22.7</c:v>
                </c:pt>
                <c:pt idx="6">
                  <c:v>-19.100000000000001</c:v>
                </c:pt>
                <c:pt idx="7">
                  <c:v>-13.7</c:v>
                </c:pt>
                <c:pt idx="8">
                  <c:v>10.8</c:v>
                </c:pt>
                <c:pt idx="9">
                  <c:v>13.4</c:v>
                </c:pt>
                <c:pt idx="10">
                  <c:v>17.399999999999999</c:v>
                </c:pt>
                <c:pt idx="11">
                  <c:v>22.3</c:v>
                </c:pt>
                <c:pt idx="12">
                  <c:v>17.8</c:v>
                </c:pt>
                <c:pt idx="13">
                  <c:v>20</c:v>
                </c:pt>
                <c:pt idx="14">
                  <c:v>13.1</c:v>
                </c:pt>
                <c:pt idx="15">
                  <c:v>22.4</c:v>
                </c:pt>
                <c:pt idx="16">
                  <c:v>4.9000000000000004</c:v>
                </c:pt>
                <c:pt idx="17">
                  <c:v>0.70000000000000062</c:v>
                </c:pt>
                <c:pt idx="18">
                  <c:v>2.1</c:v>
                </c:pt>
                <c:pt idx="19">
                  <c:v>-3.3</c:v>
                </c:pt>
                <c:pt idx="20">
                  <c:v>-0.1</c:v>
                </c:pt>
                <c:pt idx="21">
                  <c:v>2.6</c:v>
                </c:pt>
                <c:pt idx="22">
                  <c:v>2.6</c:v>
                </c:pt>
                <c:pt idx="23">
                  <c:v>7.4</c:v>
                </c:pt>
                <c:pt idx="24">
                  <c:v>6.3</c:v>
                </c:pt>
                <c:pt idx="25">
                  <c:v>19.100000000000001</c:v>
                </c:pt>
                <c:pt idx="26">
                  <c:v>11.3</c:v>
                </c:pt>
                <c:pt idx="27">
                  <c:v>10.5</c:v>
                </c:pt>
                <c:pt idx="28">
                  <c:v>15.5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C2A-446F-85E3-39BD13179191}"/>
            </c:ext>
          </c:extLst>
        </c:ser>
        <c:ser>
          <c:idx val="2"/>
          <c:order val="4"/>
          <c:tx>
            <c:strRef>
              <c:f>'výkonnost odvětví 1'!$B$34</c:f>
              <c:strCache>
                <c:ptCount val="1"/>
                <c:pt idx="0">
                  <c:v>Výroba motorových vozidel</c:v>
                </c:pt>
              </c:strCache>
            </c:strRef>
          </c:tx>
          <c:spPr>
            <a:ln w="19050">
              <a:solidFill>
                <a:srgbClr val="BD1B21"/>
              </a:solidFill>
              <a:prstDash val="solid"/>
            </a:ln>
          </c:spPr>
          <c:marker>
            <c:symbol val="none"/>
          </c:marker>
          <c:cat>
            <c:multiLvlStrRef>
              <c:f>'výkonnost odvětví 1'!$C$28:$AE$29</c:f>
              <c:multiLvlStrCache>
                <c:ptCount val="2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  <c:pt idx="8">
                    <c:v>2013</c:v>
                  </c:pt>
                  <c:pt idx="12">
                    <c:v>2014</c:v>
                  </c:pt>
                  <c:pt idx="16">
                    <c:v>2015</c:v>
                  </c:pt>
                  <c:pt idx="20">
                    <c:v>2016</c:v>
                  </c:pt>
                  <c:pt idx="24">
                    <c:v>2017</c:v>
                  </c:pt>
                  <c:pt idx="28">
                    <c:v>2018</c:v>
                  </c:pt>
                </c:lvl>
              </c:multiLvlStrCache>
            </c:multiLvlStrRef>
          </c:cat>
          <c:val>
            <c:numRef>
              <c:f>'výkonnost odvětví 1'!$C$34:$AE$34</c:f>
              <c:numCache>
                <c:formatCode>#,##0.0</c:formatCode>
                <c:ptCount val="29"/>
                <c:pt idx="0">
                  <c:v>26.9</c:v>
                </c:pt>
                <c:pt idx="1">
                  <c:v>22</c:v>
                </c:pt>
                <c:pt idx="2">
                  <c:v>20.8</c:v>
                </c:pt>
                <c:pt idx="3">
                  <c:v>15.9</c:v>
                </c:pt>
                <c:pt idx="4">
                  <c:v>9.7000000000000011</c:v>
                </c:pt>
                <c:pt idx="5">
                  <c:v>4</c:v>
                </c:pt>
                <c:pt idx="6">
                  <c:v>-3.2</c:v>
                </c:pt>
                <c:pt idx="7">
                  <c:v>-6.7</c:v>
                </c:pt>
                <c:pt idx="8">
                  <c:v>-14.2</c:v>
                </c:pt>
                <c:pt idx="9">
                  <c:v>-7.7</c:v>
                </c:pt>
                <c:pt idx="10">
                  <c:v>4.5</c:v>
                </c:pt>
                <c:pt idx="11">
                  <c:v>8.1</c:v>
                </c:pt>
                <c:pt idx="12">
                  <c:v>19.5</c:v>
                </c:pt>
                <c:pt idx="13">
                  <c:v>14.8</c:v>
                </c:pt>
                <c:pt idx="14">
                  <c:v>10.8</c:v>
                </c:pt>
                <c:pt idx="15">
                  <c:v>8.8000000000000007</c:v>
                </c:pt>
                <c:pt idx="16">
                  <c:v>7.6</c:v>
                </c:pt>
                <c:pt idx="17">
                  <c:v>12.2</c:v>
                </c:pt>
                <c:pt idx="18">
                  <c:v>13.8</c:v>
                </c:pt>
                <c:pt idx="19">
                  <c:v>16.3</c:v>
                </c:pt>
                <c:pt idx="20">
                  <c:v>17.7</c:v>
                </c:pt>
                <c:pt idx="21">
                  <c:v>14.3</c:v>
                </c:pt>
                <c:pt idx="22">
                  <c:v>6.3</c:v>
                </c:pt>
                <c:pt idx="23">
                  <c:v>7</c:v>
                </c:pt>
                <c:pt idx="24">
                  <c:v>9.9</c:v>
                </c:pt>
                <c:pt idx="25">
                  <c:v>10.4</c:v>
                </c:pt>
                <c:pt idx="26">
                  <c:v>9.4</c:v>
                </c:pt>
                <c:pt idx="27">
                  <c:v>9.4</c:v>
                </c:pt>
                <c:pt idx="28">
                  <c:v>2.9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C2A-446F-85E3-39BD13179191}"/>
            </c:ext>
          </c:extLst>
        </c:ser>
        <c:ser>
          <c:idx val="5"/>
          <c:order val="5"/>
          <c:tx>
            <c:strRef>
              <c:f>'výkonnost odvětví 1'!$B$35</c:f>
              <c:strCache>
                <c:ptCount val="1"/>
                <c:pt idx="0">
                  <c:v>Energetika</c:v>
                </c:pt>
              </c:strCache>
            </c:strRef>
          </c:tx>
          <c:spPr>
            <a:ln w="19050">
              <a:noFill/>
            </a:ln>
          </c:spPr>
          <c:marker>
            <c:symbol val="diamond"/>
            <c:size val="5"/>
            <c:spPr>
              <a:solidFill>
                <a:schemeClr val="tx1">
                  <a:lumMod val="95000"/>
                  <a:lumOff val="5000"/>
                </a:schemeClr>
              </a:solidFill>
              <a:ln>
                <a:noFill/>
              </a:ln>
            </c:spPr>
          </c:marker>
          <c:cat>
            <c:multiLvlStrRef>
              <c:f>'výkonnost odvětví 1'!$C$28:$AE$29</c:f>
              <c:multiLvlStrCache>
                <c:ptCount val="2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  <c:pt idx="8">
                    <c:v>2013</c:v>
                  </c:pt>
                  <c:pt idx="12">
                    <c:v>2014</c:v>
                  </c:pt>
                  <c:pt idx="16">
                    <c:v>2015</c:v>
                  </c:pt>
                  <c:pt idx="20">
                    <c:v>2016</c:v>
                  </c:pt>
                  <c:pt idx="24">
                    <c:v>2017</c:v>
                  </c:pt>
                  <c:pt idx="28">
                    <c:v>2018</c:v>
                  </c:pt>
                </c:lvl>
              </c:multiLvlStrCache>
            </c:multiLvlStrRef>
          </c:cat>
          <c:val>
            <c:numRef>
              <c:f>'výkonnost odvětví 1'!$C$35:$AE$35</c:f>
              <c:numCache>
                <c:formatCode>#,##0.0</c:formatCode>
                <c:ptCount val="29"/>
                <c:pt idx="0">
                  <c:v>-3.9</c:v>
                </c:pt>
                <c:pt idx="1">
                  <c:v>0.4</c:v>
                </c:pt>
                <c:pt idx="2">
                  <c:v>-5</c:v>
                </c:pt>
                <c:pt idx="3">
                  <c:v>2.4</c:v>
                </c:pt>
                <c:pt idx="4">
                  <c:v>1.8</c:v>
                </c:pt>
                <c:pt idx="5">
                  <c:v>4.4000000000000004</c:v>
                </c:pt>
                <c:pt idx="6">
                  <c:v>1</c:v>
                </c:pt>
                <c:pt idx="7">
                  <c:v>-7.8</c:v>
                </c:pt>
                <c:pt idx="8">
                  <c:v>-3.4</c:v>
                </c:pt>
                <c:pt idx="9">
                  <c:v>-4.0999999999999996</c:v>
                </c:pt>
                <c:pt idx="10">
                  <c:v>-3.1</c:v>
                </c:pt>
                <c:pt idx="11">
                  <c:v>4.0999999999999996</c:v>
                </c:pt>
                <c:pt idx="12">
                  <c:v>-3.7</c:v>
                </c:pt>
                <c:pt idx="13">
                  <c:v>-2.2999999999999998</c:v>
                </c:pt>
                <c:pt idx="14">
                  <c:v>-1.5</c:v>
                </c:pt>
                <c:pt idx="15">
                  <c:v>-4.0999999999999996</c:v>
                </c:pt>
                <c:pt idx="16">
                  <c:v>2.6</c:v>
                </c:pt>
                <c:pt idx="17">
                  <c:v>-1.5</c:v>
                </c:pt>
                <c:pt idx="18">
                  <c:v>-4.5999999999999996</c:v>
                </c:pt>
                <c:pt idx="19">
                  <c:v>-7.9</c:v>
                </c:pt>
                <c:pt idx="20">
                  <c:v>-4.2</c:v>
                </c:pt>
                <c:pt idx="21">
                  <c:v>3.6</c:v>
                </c:pt>
                <c:pt idx="22">
                  <c:v>-2.2000000000000002</c:v>
                </c:pt>
                <c:pt idx="23">
                  <c:v>7.2</c:v>
                </c:pt>
                <c:pt idx="24">
                  <c:v>5.2</c:v>
                </c:pt>
                <c:pt idx="25">
                  <c:v>-0.60000000000000064</c:v>
                </c:pt>
                <c:pt idx="26">
                  <c:v>8.8000000000000007</c:v>
                </c:pt>
                <c:pt idx="27">
                  <c:v>5.7</c:v>
                </c:pt>
                <c:pt idx="28">
                  <c:v>-3.5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6C2A-446F-85E3-39BD13179191}"/>
            </c:ext>
          </c:extLst>
        </c:ser>
        <c:marker val="1"/>
        <c:axId val="54030336"/>
        <c:axId val="54032256"/>
      </c:lineChart>
      <c:catAx>
        <c:axId val="54030336"/>
        <c:scaling>
          <c:orientation val="minMax"/>
        </c:scaling>
        <c:axPos val="b"/>
        <c:numFmt formatCode="General" sourceLinked="1"/>
        <c:tickLblPos val="low"/>
        <c:spPr>
          <a:ln w="9525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54032256"/>
        <c:crossesAt val="0"/>
        <c:lblAlgn val="ctr"/>
        <c:lblOffset val="0"/>
        <c:tickLblSkip val="1"/>
        <c:tickMarkSkip val="4"/>
      </c:catAx>
      <c:valAx>
        <c:axId val="54032256"/>
        <c:scaling>
          <c:orientation val="minMax"/>
          <c:max val="40"/>
          <c:min val="-25"/>
        </c:scaling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tickLblPos val="nextTo"/>
        <c:spPr>
          <a:ln w="9525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54030336"/>
        <c:crosses val="autoZero"/>
        <c:crossBetween val="between"/>
        <c:majorUnit val="5"/>
      </c:valAx>
      <c:spPr>
        <a:noFill/>
        <a:ln w="9525"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6.0825149028219005E-2"/>
          <c:y val="0.87928740290442464"/>
          <c:w val="0.92525548742930164"/>
          <c:h val="0.11713835415963075"/>
        </c:manualLayout>
      </c:layout>
      <c:spPr>
        <a:noFill/>
        <a:ln w="6350">
          <a:solidFill>
            <a:schemeClr val="tx1"/>
          </a:solidFill>
        </a:ln>
      </c:spPr>
    </c:legend>
    <c:plotVisOnly val="1"/>
    <c:dispBlanksAs val="gap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5.2277854581154255E-2"/>
          <c:y val="1.9008475080329202E-2"/>
          <c:w val="0.92988062751698064"/>
          <c:h val="0.74907069683665461"/>
        </c:manualLayout>
      </c:layout>
      <c:barChart>
        <c:barDir val="col"/>
        <c:grouping val="clustered"/>
        <c:ser>
          <c:idx val="0"/>
          <c:order val="0"/>
          <c:tx>
            <c:strRef>
              <c:f>'výkonnost odvětví 2'!$B$31</c:f>
              <c:strCache>
                <c:ptCount val="1"/>
                <c:pt idx="0">
                  <c:v>Průmyslové zakázky celkem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 w="12700">
              <a:noFill/>
              <a:prstDash val="solid"/>
            </a:ln>
          </c:spPr>
          <c:cat>
            <c:multiLvlStrRef>
              <c:f>'výkonnost odvětví 2'!$C$29:$AE$30</c:f>
              <c:multiLvlStrCache>
                <c:ptCount val="2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  <c:pt idx="8">
                    <c:v>2013</c:v>
                  </c:pt>
                  <c:pt idx="12">
                    <c:v>2014</c:v>
                  </c:pt>
                  <c:pt idx="16">
                    <c:v>2015</c:v>
                  </c:pt>
                  <c:pt idx="20">
                    <c:v>2016</c:v>
                  </c:pt>
                  <c:pt idx="24">
                    <c:v>2017</c:v>
                  </c:pt>
                  <c:pt idx="28">
                    <c:v>2018</c:v>
                  </c:pt>
                </c:lvl>
              </c:multiLvlStrCache>
            </c:multiLvlStrRef>
          </c:cat>
          <c:val>
            <c:numRef>
              <c:f>'výkonnost odvětví 2'!$C$31:$AE$31</c:f>
              <c:numCache>
                <c:formatCode>#,##0.0__</c:formatCode>
                <c:ptCount val="29"/>
                <c:pt idx="0">
                  <c:v>12.043107093421796</c:v>
                </c:pt>
                <c:pt idx="1">
                  <c:v>5.3292904020963094</c:v>
                </c:pt>
                <c:pt idx="2">
                  <c:v>-1.5038236293274363</c:v>
                </c:pt>
                <c:pt idx="3">
                  <c:v>0.49985199872995423</c:v>
                </c:pt>
                <c:pt idx="4">
                  <c:v>7.8919882289544265</c:v>
                </c:pt>
                <c:pt idx="5">
                  <c:v>0.24363263911027391</c:v>
                </c:pt>
                <c:pt idx="6">
                  <c:v>2.6780600325356119</c:v>
                </c:pt>
                <c:pt idx="7">
                  <c:v>-2.2927798243121345</c:v>
                </c:pt>
                <c:pt idx="8">
                  <c:v>-6.7566875441004868</c:v>
                </c:pt>
                <c:pt idx="9">
                  <c:v>-0.77743908810788365</c:v>
                </c:pt>
                <c:pt idx="10">
                  <c:v>12.110592029586044</c:v>
                </c:pt>
                <c:pt idx="11">
                  <c:v>12.611542535334834</c:v>
                </c:pt>
                <c:pt idx="12">
                  <c:v>18.45457625725863</c:v>
                </c:pt>
                <c:pt idx="13">
                  <c:v>13.812603337719377</c:v>
                </c:pt>
                <c:pt idx="14">
                  <c:v>11.164927309703883</c:v>
                </c:pt>
                <c:pt idx="15">
                  <c:v>7.3250322249586759</c:v>
                </c:pt>
                <c:pt idx="16">
                  <c:v>8.5397251010390089</c:v>
                </c:pt>
                <c:pt idx="17">
                  <c:v>6.4894834031568518</c:v>
                </c:pt>
                <c:pt idx="18">
                  <c:v>4.1045761314248068</c:v>
                </c:pt>
                <c:pt idx="19">
                  <c:v>6.0151063810169205</c:v>
                </c:pt>
                <c:pt idx="20">
                  <c:v>1.3550678522953064</c:v>
                </c:pt>
                <c:pt idx="21">
                  <c:v>10.856046878525531</c:v>
                </c:pt>
                <c:pt idx="22">
                  <c:v>1.6431282237439291</c:v>
                </c:pt>
                <c:pt idx="23">
                  <c:v>6.7220844736941086</c:v>
                </c:pt>
                <c:pt idx="24">
                  <c:v>10.841479121555905</c:v>
                </c:pt>
                <c:pt idx="25">
                  <c:v>4.5315942367003705</c:v>
                </c:pt>
                <c:pt idx="26">
                  <c:v>6.9082617878946042</c:v>
                </c:pt>
                <c:pt idx="27">
                  <c:v>7.5112613571588724</c:v>
                </c:pt>
                <c:pt idx="28">
                  <c:v>1.9174044931699481</c:v>
                </c:pt>
              </c:numCache>
            </c:numRef>
          </c:val>
        </c:ser>
        <c:gapWidth val="34"/>
        <c:overlap val="28"/>
        <c:axId val="53896704"/>
        <c:axId val="53898624"/>
      </c:barChart>
      <c:lineChart>
        <c:grouping val="standard"/>
        <c:ser>
          <c:idx val="2"/>
          <c:order val="1"/>
          <c:tx>
            <c:strRef>
              <c:f>'výkonnost odvětví 2'!$B$32</c:f>
              <c:strCache>
                <c:ptCount val="1"/>
                <c:pt idx="0">
                  <c:v>Průmyslové zakázky z tuzemska</c:v>
                </c:pt>
              </c:strCache>
            </c:strRef>
          </c:tx>
          <c:spPr>
            <a:ln w="19050">
              <a:solidFill>
                <a:srgbClr val="0071BC"/>
              </a:solidFill>
              <a:prstDash val="solid"/>
            </a:ln>
          </c:spPr>
          <c:marker>
            <c:symbol val="none"/>
          </c:marker>
          <c:cat>
            <c:multiLvlStrRef>
              <c:f>'výkonnost odvětví 2'!$C$29:$AE$30</c:f>
              <c:multiLvlStrCache>
                <c:ptCount val="2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  <c:pt idx="8">
                    <c:v>2013</c:v>
                  </c:pt>
                  <c:pt idx="12">
                    <c:v>2014</c:v>
                  </c:pt>
                  <c:pt idx="16">
                    <c:v>2015</c:v>
                  </c:pt>
                  <c:pt idx="20">
                    <c:v>2016</c:v>
                  </c:pt>
                  <c:pt idx="24">
                    <c:v>2017</c:v>
                  </c:pt>
                  <c:pt idx="28">
                    <c:v>2018</c:v>
                  </c:pt>
                </c:lvl>
              </c:multiLvlStrCache>
            </c:multiLvlStrRef>
          </c:cat>
          <c:val>
            <c:numRef>
              <c:f>'výkonnost odvětví 2'!$C$32:$AE$32</c:f>
              <c:numCache>
                <c:formatCode>#,##0.0__</c:formatCode>
                <c:ptCount val="29"/>
                <c:pt idx="0">
                  <c:v>2.8145814762462464</c:v>
                </c:pt>
                <c:pt idx="1">
                  <c:v>-0.65160361804250511</c:v>
                </c:pt>
                <c:pt idx="2">
                  <c:v>-11.671782921579478</c:v>
                </c:pt>
                <c:pt idx="3">
                  <c:v>-10.696553890943122</c:v>
                </c:pt>
                <c:pt idx="4">
                  <c:v>2.6214056871317126</c:v>
                </c:pt>
                <c:pt idx="5">
                  <c:v>-9.2467743432498679</c:v>
                </c:pt>
                <c:pt idx="6">
                  <c:v>-2.8571545096936277</c:v>
                </c:pt>
                <c:pt idx="7">
                  <c:v>-4.0487324448534139</c:v>
                </c:pt>
                <c:pt idx="8">
                  <c:v>-7.112663177047466</c:v>
                </c:pt>
                <c:pt idx="9">
                  <c:v>-0.59561460542927591</c:v>
                </c:pt>
                <c:pt idx="10">
                  <c:v>9.3847374388735147</c:v>
                </c:pt>
                <c:pt idx="11">
                  <c:v>7.0782158358476011</c:v>
                </c:pt>
                <c:pt idx="12">
                  <c:v>14.183839645941402</c:v>
                </c:pt>
                <c:pt idx="13">
                  <c:v>7.7929541685001897</c:v>
                </c:pt>
                <c:pt idx="14">
                  <c:v>16.845115352064926</c:v>
                </c:pt>
                <c:pt idx="15">
                  <c:v>9.6787104542652713</c:v>
                </c:pt>
                <c:pt idx="16">
                  <c:v>4.3419613010107314</c:v>
                </c:pt>
                <c:pt idx="17">
                  <c:v>10.024449168168022</c:v>
                </c:pt>
                <c:pt idx="18">
                  <c:v>-4.7604240586837046</c:v>
                </c:pt>
                <c:pt idx="19">
                  <c:v>0.56107209694786753</c:v>
                </c:pt>
                <c:pt idx="20">
                  <c:v>0.20304376106223368</c:v>
                </c:pt>
                <c:pt idx="21">
                  <c:v>4.9376200007964304</c:v>
                </c:pt>
                <c:pt idx="22">
                  <c:v>-0.65834656713856565</c:v>
                </c:pt>
                <c:pt idx="23">
                  <c:v>2.8730898893806986</c:v>
                </c:pt>
                <c:pt idx="24">
                  <c:v>16.722989365311626</c:v>
                </c:pt>
                <c:pt idx="25">
                  <c:v>11.567742610098026</c:v>
                </c:pt>
                <c:pt idx="26">
                  <c:v>14.702871802754668</c:v>
                </c:pt>
                <c:pt idx="27">
                  <c:v>15.641374658030248</c:v>
                </c:pt>
                <c:pt idx="28">
                  <c:v>-0.60650382327463603</c:v>
                </c:pt>
              </c:numCache>
            </c:numRef>
          </c:val>
        </c:ser>
        <c:ser>
          <c:idx val="5"/>
          <c:order val="2"/>
          <c:tx>
            <c:strRef>
              <c:f>'výkonnost odvětví 2'!$B$33</c:f>
              <c:strCache>
                <c:ptCount val="1"/>
                <c:pt idx="0">
                  <c:v>Průmyslové zakázky ze zahraničí</c:v>
                </c:pt>
              </c:strCache>
            </c:strRef>
          </c:tx>
          <c:spPr>
            <a:ln w="19050">
              <a:solidFill>
                <a:srgbClr val="BD1B21"/>
              </a:solidFill>
              <a:prstDash val="solid"/>
            </a:ln>
          </c:spPr>
          <c:marker>
            <c:symbol val="none"/>
          </c:marker>
          <c:cat>
            <c:multiLvlStrRef>
              <c:f>'výkonnost odvětví 2'!$C$29:$AE$30</c:f>
              <c:multiLvlStrCache>
                <c:ptCount val="2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  <c:pt idx="8">
                    <c:v>2013</c:v>
                  </c:pt>
                  <c:pt idx="12">
                    <c:v>2014</c:v>
                  </c:pt>
                  <c:pt idx="16">
                    <c:v>2015</c:v>
                  </c:pt>
                  <c:pt idx="20">
                    <c:v>2016</c:v>
                  </c:pt>
                  <c:pt idx="24">
                    <c:v>2017</c:v>
                  </c:pt>
                  <c:pt idx="28">
                    <c:v>2018</c:v>
                  </c:pt>
                </c:lvl>
              </c:multiLvlStrCache>
            </c:multiLvlStrRef>
          </c:cat>
          <c:val>
            <c:numRef>
              <c:f>'výkonnost odvětví 2'!$C$33:$AE$33</c:f>
              <c:numCache>
                <c:formatCode>#,##0.0__</c:formatCode>
                <c:ptCount val="29"/>
                <c:pt idx="0">
                  <c:v>18.348366232181935</c:v>
                </c:pt>
                <c:pt idx="1">
                  <c:v>9.5205491734487566</c:v>
                </c:pt>
                <c:pt idx="2">
                  <c:v>5.6720014781022305</c:v>
                </c:pt>
                <c:pt idx="3">
                  <c:v>8.6383031975398126</c:v>
                </c:pt>
                <c:pt idx="4">
                  <c:v>11.020383939537369</c:v>
                </c:pt>
                <c:pt idx="5">
                  <c:v>6.2765650038583534</c:v>
                </c:pt>
                <c:pt idx="6">
                  <c:v>5.9432769293397172</c:v>
                </c:pt>
                <c:pt idx="7">
                  <c:v>-1.2435728368122061</c:v>
                </c:pt>
                <c:pt idx="8">
                  <c:v>-6.5613801859878498</c:v>
                </c:pt>
                <c:pt idx="9">
                  <c:v>-0.87613985904689073</c:v>
                </c:pt>
                <c:pt idx="10">
                  <c:v>13.585000036266161</c:v>
                </c:pt>
                <c:pt idx="11">
                  <c:v>15.823871636824705</c:v>
                </c:pt>
                <c:pt idx="12">
                  <c:v>20.558652721652535</c:v>
                </c:pt>
                <c:pt idx="13">
                  <c:v>16.687921882537509</c:v>
                </c:pt>
                <c:pt idx="14">
                  <c:v>8.5531225813094967</c:v>
                </c:pt>
                <c:pt idx="15">
                  <c:v>6.3161284689543784</c:v>
                </c:pt>
                <c:pt idx="16">
                  <c:v>10.348522192193441</c:v>
                </c:pt>
                <c:pt idx="17">
                  <c:v>5.0066840085656965</c:v>
                </c:pt>
                <c:pt idx="18">
                  <c:v>8.2506299270615511</c:v>
                </c:pt>
                <c:pt idx="19">
                  <c:v>8.5340301032502452</c:v>
                </c:pt>
                <c:pt idx="20">
                  <c:v>1.8244492596639788</c:v>
                </c:pt>
                <c:pt idx="21">
                  <c:v>13.457258781079091</c:v>
                </c:pt>
                <c:pt idx="22">
                  <c:v>2.5901270212493452</c:v>
                </c:pt>
                <c:pt idx="23">
                  <c:v>8.3691406681191598</c:v>
                </c:pt>
                <c:pt idx="24">
                  <c:v>8.483271558879153</c:v>
                </c:pt>
                <c:pt idx="25">
                  <c:v>1.6713484154001037</c:v>
                </c:pt>
                <c:pt idx="26">
                  <c:v>3.80253382609826</c:v>
                </c:pt>
                <c:pt idx="27">
                  <c:v>4.2086773810061509</c:v>
                </c:pt>
                <c:pt idx="28">
                  <c:v>3.0062352307807028</c:v>
                </c:pt>
              </c:numCache>
            </c:numRef>
          </c:val>
        </c:ser>
        <c:ser>
          <c:idx val="3"/>
          <c:order val="3"/>
          <c:tx>
            <c:strRef>
              <c:f>'výkonnost odvětví 2'!$B$34</c:f>
              <c:strCache>
                <c:ptCount val="1"/>
                <c:pt idx="0">
                  <c:v>Celkové zakázky ve výrobě motor. voz.</c:v>
                </c:pt>
              </c:strCache>
            </c:strRef>
          </c:tx>
          <c:spPr>
            <a:ln w="19050">
              <a:noFill/>
              <a:prstDash val="sysDash"/>
            </a:ln>
          </c:spPr>
          <c:marker>
            <c:symbol val="diamond"/>
            <c:size val="5"/>
            <c:spPr>
              <a:solidFill>
                <a:srgbClr val="FFFF00"/>
              </a:solidFill>
              <a:ln>
                <a:solidFill>
                  <a:prstClr val="black">
                    <a:lumMod val="95000"/>
                    <a:lumOff val="5000"/>
                  </a:prstClr>
                </a:solidFill>
              </a:ln>
            </c:spPr>
          </c:marker>
          <c:cat>
            <c:multiLvlStrRef>
              <c:f>'výkonnost odvětví 2'!$C$29:$AE$30</c:f>
              <c:multiLvlStrCache>
                <c:ptCount val="2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  <c:pt idx="8">
                    <c:v>2013</c:v>
                  </c:pt>
                  <c:pt idx="12">
                    <c:v>2014</c:v>
                  </c:pt>
                  <c:pt idx="16">
                    <c:v>2015</c:v>
                  </c:pt>
                  <c:pt idx="20">
                    <c:v>2016</c:v>
                  </c:pt>
                  <c:pt idx="24">
                    <c:v>2017</c:v>
                  </c:pt>
                  <c:pt idx="28">
                    <c:v>2018</c:v>
                  </c:pt>
                </c:lvl>
              </c:multiLvlStrCache>
            </c:multiLvlStrRef>
          </c:cat>
          <c:val>
            <c:numRef>
              <c:f>'výkonnost odvětví 2'!$C$34:$AE$34</c:f>
              <c:numCache>
                <c:formatCode>#,##0.0__</c:formatCode>
                <c:ptCount val="29"/>
                <c:pt idx="0">
                  <c:v>11.429400379513879</c:v>
                </c:pt>
                <c:pt idx="1">
                  <c:v>9.2048286805520405</c:v>
                </c:pt>
                <c:pt idx="2">
                  <c:v>4.4139955552265207</c:v>
                </c:pt>
                <c:pt idx="3">
                  <c:v>5.3718735076924125</c:v>
                </c:pt>
                <c:pt idx="4">
                  <c:v>19.54636851917148</c:v>
                </c:pt>
                <c:pt idx="5">
                  <c:v>4.6887564118292016</c:v>
                </c:pt>
                <c:pt idx="6">
                  <c:v>1.3322326875189248</c:v>
                </c:pt>
                <c:pt idx="7">
                  <c:v>-2.0219087809167182</c:v>
                </c:pt>
                <c:pt idx="8">
                  <c:v>-15.423726227988524</c:v>
                </c:pt>
                <c:pt idx="9">
                  <c:v>-3.0233686336023182</c:v>
                </c:pt>
                <c:pt idx="10">
                  <c:v>24.654149056071926</c:v>
                </c:pt>
                <c:pt idx="11">
                  <c:v>18.470996489023314</c:v>
                </c:pt>
                <c:pt idx="12">
                  <c:v>33.791068906341536</c:v>
                </c:pt>
                <c:pt idx="13">
                  <c:v>22.392943648551295</c:v>
                </c:pt>
                <c:pt idx="14">
                  <c:v>16.969041222835049</c:v>
                </c:pt>
                <c:pt idx="15">
                  <c:v>12.211301534151088</c:v>
                </c:pt>
                <c:pt idx="16">
                  <c:v>15.316352438277956</c:v>
                </c:pt>
                <c:pt idx="17">
                  <c:v>5.5843434565174555</c:v>
                </c:pt>
                <c:pt idx="18">
                  <c:v>13.898535777390734</c:v>
                </c:pt>
                <c:pt idx="19">
                  <c:v>18.975191723154538</c:v>
                </c:pt>
                <c:pt idx="20">
                  <c:v>11.460497347422489</c:v>
                </c:pt>
                <c:pt idx="21">
                  <c:v>33.085131031292086</c:v>
                </c:pt>
                <c:pt idx="22">
                  <c:v>5.912380139380474</c:v>
                </c:pt>
                <c:pt idx="23">
                  <c:v>12.001000805244416</c:v>
                </c:pt>
                <c:pt idx="24">
                  <c:v>7.9804719471503214</c:v>
                </c:pt>
                <c:pt idx="25">
                  <c:v>-1.7592612473364861</c:v>
                </c:pt>
                <c:pt idx="26">
                  <c:v>3.8626497182263222</c:v>
                </c:pt>
                <c:pt idx="27">
                  <c:v>0.3737671056841238</c:v>
                </c:pt>
                <c:pt idx="28">
                  <c:v>0.16803199459185691</c:v>
                </c:pt>
              </c:numCache>
            </c:numRef>
          </c:val>
        </c:ser>
        <c:marker val="1"/>
        <c:axId val="53896704"/>
        <c:axId val="53898624"/>
      </c:lineChart>
      <c:lineChart>
        <c:grouping val="standard"/>
        <c:ser>
          <c:idx val="4"/>
          <c:order val="4"/>
          <c:tx>
            <c:strRef>
              <c:f>'výkonnost odvětví 2'!$B$35</c:f>
              <c:strCache>
                <c:ptCount val="1"/>
                <c:pt idx="0">
                  <c:v>Saldo souhr. indikát. důvěry v průmyslu</c:v>
                </c:pt>
              </c:strCache>
            </c:strRef>
          </c:tx>
          <c:spPr>
            <a:ln w="19050">
              <a:noFill/>
            </a:ln>
          </c:spPr>
          <c:marker>
            <c:symbol val="dash"/>
            <c:size val="9"/>
            <c:spPr>
              <a:solidFill>
                <a:srgbClr val="984807"/>
              </a:solidFill>
              <a:ln>
                <a:noFill/>
              </a:ln>
            </c:spPr>
          </c:marker>
          <c:cat>
            <c:multiLvlStrRef>
              <c:f>'výkonnost odvětví 2'!$C$29:$AE$30</c:f>
              <c:multiLvlStrCache>
                <c:ptCount val="2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  <c:pt idx="8">
                    <c:v>2013</c:v>
                  </c:pt>
                  <c:pt idx="12">
                    <c:v>2014</c:v>
                  </c:pt>
                  <c:pt idx="16">
                    <c:v>2015</c:v>
                  </c:pt>
                  <c:pt idx="20">
                    <c:v>2016</c:v>
                  </c:pt>
                  <c:pt idx="24">
                    <c:v>2017</c:v>
                  </c:pt>
                  <c:pt idx="28">
                    <c:v>2018</c:v>
                  </c:pt>
                </c:lvl>
              </c:multiLvlStrCache>
            </c:multiLvlStrRef>
          </c:cat>
          <c:val>
            <c:numRef>
              <c:f>'výkonnost odvětví 2'!$C$35:$AE$35</c:f>
              <c:numCache>
                <c:formatCode>0.0</c:formatCode>
                <c:ptCount val="29"/>
                <c:pt idx="0">
                  <c:v>12.200000000000001</c:v>
                </c:pt>
                <c:pt idx="1">
                  <c:v>5.8999999999999995</c:v>
                </c:pt>
                <c:pt idx="2">
                  <c:v>2.4333333333333331</c:v>
                </c:pt>
                <c:pt idx="3">
                  <c:v>1.8</c:v>
                </c:pt>
                <c:pt idx="4">
                  <c:v>1.5666666666666667</c:v>
                </c:pt>
                <c:pt idx="5">
                  <c:v>-2.5666666666666669</c:v>
                </c:pt>
                <c:pt idx="6">
                  <c:v>-8.9</c:v>
                </c:pt>
                <c:pt idx="7">
                  <c:v>-10.200000000000001</c:v>
                </c:pt>
                <c:pt idx="8">
                  <c:v>-8.9</c:v>
                </c:pt>
                <c:pt idx="9">
                  <c:v>-10</c:v>
                </c:pt>
                <c:pt idx="10">
                  <c:v>-6.23333333333336</c:v>
                </c:pt>
                <c:pt idx="11">
                  <c:v>1.7000000000000002</c:v>
                </c:pt>
                <c:pt idx="12">
                  <c:v>2.3333333333333335</c:v>
                </c:pt>
                <c:pt idx="13">
                  <c:v>3.6333333333333342</c:v>
                </c:pt>
                <c:pt idx="14">
                  <c:v>2.5333333333333332</c:v>
                </c:pt>
                <c:pt idx="15">
                  <c:v>2.6666666666666665</c:v>
                </c:pt>
                <c:pt idx="16">
                  <c:v>3</c:v>
                </c:pt>
                <c:pt idx="17">
                  <c:v>3.7666666666666671</c:v>
                </c:pt>
                <c:pt idx="18">
                  <c:v>3.7666666666666671</c:v>
                </c:pt>
                <c:pt idx="19">
                  <c:v>0.76666666666666661</c:v>
                </c:pt>
                <c:pt idx="20">
                  <c:v>3.5666666666666664</c:v>
                </c:pt>
                <c:pt idx="21">
                  <c:v>1.9000000000000001</c:v>
                </c:pt>
                <c:pt idx="22">
                  <c:v>3.7666666666666671</c:v>
                </c:pt>
                <c:pt idx="23">
                  <c:v>5.3333333333333544</c:v>
                </c:pt>
                <c:pt idx="24">
                  <c:v>3.3333333333333335</c:v>
                </c:pt>
                <c:pt idx="25">
                  <c:v>0.8333333333333337</c:v>
                </c:pt>
                <c:pt idx="26">
                  <c:v>3.8666666666666667</c:v>
                </c:pt>
                <c:pt idx="27">
                  <c:v>5.8</c:v>
                </c:pt>
                <c:pt idx="28">
                  <c:v>3.9</c:v>
                </c:pt>
              </c:numCache>
            </c:numRef>
          </c:val>
        </c:ser>
        <c:marker val="1"/>
        <c:axId val="53924992"/>
        <c:axId val="53926528"/>
      </c:lineChart>
      <c:catAx>
        <c:axId val="53896704"/>
        <c:scaling>
          <c:orientation val="minMax"/>
        </c:scaling>
        <c:axPos val="b"/>
        <c:numFmt formatCode="General" sourceLinked="1"/>
        <c:tickLblPos val="low"/>
        <c:spPr>
          <a:ln w="9525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53898624"/>
        <c:crossesAt val="0"/>
        <c:lblAlgn val="ctr"/>
        <c:lblOffset val="0"/>
        <c:tickLblSkip val="1"/>
        <c:tickMarkSkip val="4"/>
      </c:catAx>
      <c:valAx>
        <c:axId val="53898624"/>
        <c:scaling>
          <c:orientation val="minMax"/>
          <c:max val="35"/>
          <c:min val="-15"/>
        </c:scaling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tickLblPos val="nextTo"/>
        <c:spPr>
          <a:ln w="9525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53896704"/>
        <c:crosses val="autoZero"/>
        <c:crossBetween val="between"/>
        <c:majorUnit val="5"/>
      </c:valAx>
      <c:catAx>
        <c:axId val="53924992"/>
        <c:scaling>
          <c:orientation val="minMax"/>
        </c:scaling>
        <c:delete val="1"/>
        <c:axPos val="b"/>
        <c:numFmt formatCode="General" sourceLinked="1"/>
        <c:tickLblPos val="none"/>
        <c:crossAx val="53926528"/>
        <c:crosses val="autoZero"/>
        <c:auto val="1"/>
        <c:lblAlgn val="ctr"/>
        <c:lblOffset val="100"/>
      </c:catAx>
      <c:valAx>
        <c:axId val="53926528"/>
        <c:scaling>
          <c:orientation val="minMax"/>
          <c:max val="40"/>
          <c:min val="-30"/>
        </c:scaling>
        <c:delete val="1"/>
        <c:axPos val="r"/>
        <c:numFmt formatCode="0" sourceLinked="0"/>
        <c:majorTickMark val="in"/>
        <c:tickLblPos val="none"/>
        <c:crossAx val="53924992"/>
        <c:crosses val="max"/>
        <c:crossBetween val="between"/>
        <c:majorUnit val="10"/>
      </c:valAx>
      <c:spPr>
        <a:solidFill>
          <a:srgbClr val="FFFFFF"/>
        </a:solidFill>
        <a:ln w="9525"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5.2455780139263733E-2"/>
          <c:y val="0.86823820781267591"/>
          <c:w val="0.9306949944068531"/>
          <c:h val="0.11760244286840114"/>
        </c:manualLayout>
      </c:layout>
      <c:spPr>
        <a:noFill/>
        <a:ln w="6350">
          <a:solidFill>
            <a:schemeClr val="tx1"/>
          </a:solidFill>
        </a:ln>
      </c:spPr>
    </c:legend>
    <c:plotVisOnly val="1"/>
    <c:dispBlanksAs val="gap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plotArea>
      <c:layout>
        <c:manualLayout>
          <c:layoutTarget val="inner"/>
          <c:xMode val="edge"/>
          <c:yMode val="edge"/>
          <c:x val="6.15040945877997E-2"/>
          <c:y val="1.6563187842952885E-2"/>
          <c:w val="0.92847707700101312"/>
          <c:h val="0.749644470623402"/>
        </c:manualLayout>
      </c:layout>
      <c:barChart>
        <c:barDir val="col"/>
        <c:grouping val="clustered"/>
        <c:ser>
          <c:idx val="0"/>
          <c:order val="0"/>
          <c:tx>
            <c:strRef>
              <c:f>'výkonnost odvětví 3'!$C$10</c:f>
              <c:strCache>
                <c:ptCount val="1"/>
                <c:pt idx="0">
                  <c:v>Index stavební produkce (ISP)*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 w="12700">
              <a:noFill/>
              <a:prstDash val="solid"/>
            </a:ln>
          </c:spPr>
          <c:cat>
            <c:multiLvlStrRef>
              <c:f>'výkonnost odvětví 3'!$A$15:$B$43</c:f>
              <c:multiLvlStrCache>
                <c:ptCount val="2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  <c:pt idx="8">
                    <c:v>2013</c:v>
                  </c:pt>
                  <c:pt idx="12">
                    <c:v>2014</c:v>
                  </c:pt>
                  <c:pt idx="16">
                    <c:v>2015</c:v>
                  </c:pt>
                  <c:pt idx="20">
                    <c:v>2016</c:v>
                  </c:pt>
                  <c:pt idx="24">
                    <c:v>2017</c:v>
                  </c:pt>
                  <c:pt idx="28">
                    <c:v>2018</c:v>
                  </c:pt>
                </c:lvl>
              </c:multiLvlStrCache>
            </c:multiLvlStrRef>
          </c:cat>
          <c:val>
            <c:numRef>
              <c:f>'výkonnost odvětví 3'!$C$15:$C$43</c:f>
              <c:numCache>
                <c:formatCode>0.0</c:formatCode>
                <c:ptCount val="29"/>
                <c:pt idx="0">
                  <c:v>5.4596052773082695</c:v>
                </c:pt>
                <c:pt idx="1">
                  <c:v>-5.1725099169168045</c:v>
                </c:pt>
                <c:pt idx="2">
                  <c:v>-9.056024965615137</c:v>
                </c:pt>
                <c:pt idx="3">
                  <c:v>-0.49622841935930256</c:v>
                </c:pt>
                <c:pt idx="4">
                  <c:v>-9.8167248076787228</c:v>
                </c:pt>
                <c:pt idx="5">
                  <c:v>-4.9511940274919475</c:v>
                </c:pt>
                <c:pt idx="6">
                  <c:v>-5.6576149045176685</c:v>
                </c:pt>
                <c:pt idx="7">
                  <c:v>-9.4930365259197949</c:v>
                </c:pt>
                <c:pt idx="8">
                  <c:v>-10.579985101579666</c:v>
                </c:pt>
                <c:pt idx="9">
                  <c:v>-11.628918921578705</c:v>
                </c:pt>
                <c:pt idx="10">
                  <c:v>-4.9237663186691973</c:v>
                </c:pt>
                <c:pt idx="11">
                  <c:v>-2.6275726790972151</c:v>
                </c:pt>
                <c:pt idx="12">
                  <c:v>13.064642370593624</c:v>
                </c:pt>
                <c:pt idx="13">
                  <c:v>5.5572191373919795</c:v>
                </c:pt>
                <c:pt idx="14">
                  <c:v>2.4517173400312657</c:v>
                </c:pt>
                <c:pt idx="15">
                  <c:v>1.1137243930616465</c:v>
                </c:pt>
                <c:pt idx="16">
                  <c:v>9.1987395281880247</c:v>
                </c:pt>
                <c:pt idx="17">
                  <c:v>11.979336726667771</c:v>
                </c:pt>
                <c:pt idx="18">
                  <c:v>7.8411013804493424</c:v>
                </c:pt>
                <c:pt idx="19">
                  <c:v>0.94017865463843775</c:v>
                </c:pt>
                <c:pt idx="20">
                  <c:v>-6.2732052534967409</c:v>
                </c:pt>
                <c:pt idx="21">
                  <c:v>-10.213672846140483</c:v>
                </c:pt>
                <c:pt idx="22">
                  <c:v>-5.9139912192620443</c:v>
                </c:pt>
                <c:pt idx="23">
                  <c:v>-1.6486395317867446</c:v>
                </c:pt>
                <c:pt idx="24">
                  <c:v>-0.82697591254952574</c:v>
                </c:pt>
                <c:pt idx="25">
                  <c:v>8.9779732640206618</c:v>
                </c:pt>
                <c:pt idx="26">
                  <c:v>2.051787882398898</c:v>
                </c:pt>
                <c:pt idx="27">
                  <c:v>2.9393638121204049</c:v>
                </c:pt>
                <c:pt idx="28">
                  <c:v>13.17677420649372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AE3-45C7-9C33-851951A8267E}"/>
            </c:ext>
          </c:extLst>
        </c:ser>
        <c:gapWidth val="31"/>
        <c:axId val="105544704"/>
        <c:axId val="105817216"/>
      </c:barChart>
      <c:lineChart>
        <c:grouping val="standard"/>
        <c:ser>
          <c:idx val="1"/>
          <c:order val="1"/>
          <c:tx>
            <c:strRef>
              <c:f>'výkonnost odvětví 3'!$D$10</c:f>
              <c:strCache>
                <c:ptCount val="1"/>
                <c:pt idx="0">
                  <c:v>ISP v pozemním stavitelství*</c:v>
                </c:pt>
              </c:strCache>
            </c:strRef>
          </c:tx>
          <c:spPr>
            <a:ln w="19050">
              <a:solidFill>
                <a:srgbClr val="0071BC"/>
              </a:solidFill>
              <a:prstDash val="solid"/>
            </a:ln>
          </c:spPr>
          <c:marker>
            <c:symbol val="none"/>
          </c:marker>
          <c:cat>
            <c:multiLvlStrRef>
              <c:f>'výkonnost odvětví 3'!$A$15:$B$43</c:f>
              <c:multiLvlStrCache>
                <c:ptCount val="2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  <c:pt idx="8">
                    <c:v>2013</c:v>
                  </c:pt>
                  <c:pt idx="12">
                    <c:v>2014</c:v>
                  </c:pt>
                  <c:pt idx="16">
                    <c:v>2015</c:v>
                  </c:pt>
                  <c:pt idx="20">
                    <c:v>2016</c:v>
                  </c:pt>
                  <c:pt idx="24">
                    <c:v>2017</c:v>
                  </c:pt>
                  <c:pt idx="28">
                    <c:v>2018</c:v>
                  </c:pt>
                </c:lvl>
              </c:multiLvlStrCache>
            </c:multiLvlStrRef>
          </c:cat>
          <c:val>
            <c:numRef>
              <c:f>'výkonnost odvětví 3'!$D$15:$D$43</c:f>
              <c:numCache>
                <c:formatCode>0.0</c:formatCode>
                <c:ptCount val="29"/>
                <c:pt idx="0">
                  <c:v>8.6492672138408189</c:v>
                </c:pt>
                <c:pt idx="1">
                  <c:v>-1.7620115700543266</c:v>
                </c:pt>
                <c:pt idx="2">
                  <c:v>-6.4088120079111519</c:v>
                </c:pt>
                <c:pt idx="3">
                  <c:v>2.1064254516502103</c:v>
                </c:pt>
                <c:pt idx="4">
                  <c:v>-7.1542194990161789</c:v>
                </c:pt>
                <c:pt idx="5">
                  <c:v>-2.3626507923474236</c:v>
                </c:pt>
                <c:pt idx="6">
                  <c:v>-5.1567403985182381</c:v>
                </c:pt>
                <c:pt idx="7">
                  <c:v>-9.6669759899024239</c:v>
                </c:pt>
                <c:pt idx="8">
                  <c:v>-9.8078578456930217</c:v>
                </c:pt>
                <c:pt idx="9">
                  <c:v>-11.079990428437823</c:v>
                </c:pt>
                <c:pt idx="10">
                  <c:v>-1.5338789437126366</c:v>
                </c:pt>
                <c:pt idx="11">
                  <c:v>-2.8886999825897988</c:v>
                </c:pt>
                <c:pt idx="12">
                  <c:v>16.320018725523113</c:v>
                </c:pt>
                <c:pt idx="13">
                  <c:v>5.2634241031378926</c:v>
                </c:pt>
                <c:pt idx="14">
                  <c:v>-0.629560394782682</c:v>
                </c:pt>
                <c:pt idx="15">
                  <c:v>-0.53693098113168958</c:v>
                </c:pt>
                <c:pt idx="16">
                  <c:v>7.7286077233729324</c:v>
                </c:pt>
                <c:pt idx="17">
                  <c:v>7.3256587939582829</c:v>
                </c:pt>
                <c:pt idx="18">
                  <c:v>1.1908577538680969</c:v>
                </c:pt>
                <c:pt idx="19">
                  <c:v>-2.6402315192555652</c:v>
                </c:pt>
                <c:pt idx="20">
                  <c:v>-6.4672920527126934</c:v>
                </c:pt>
                <c:pt idx="21">
                  <c:v>-7.5248931792203075</c:v>
                </c:pt>
                <c:pt idx="22">
                  <c:v>1.2288371997588861</c:v>
                </c:pt>
                <c:pt idx="23">
                  <c:v>6.1459393546128895</c:v>
                </c:pt>
                <c:pt idx="24">
                  <c:v>3.0387468158440627</c:v>
                </c:pt>
                <c:pt idx="25">
                  <c:v>14.556511910264804</c:v>
                </c:pt>
                <c:pt idx="26">
                  <c:v>4.9927185999182768</c:v>
                </c:pt>
                <c:pt idx="27">
                  <c:v>3.8236043688937684</c:v>
                </c:pt>
                <c:pt idx="28">
                  <c:v>14.684118271305692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AE3-45C7-9C33-851951A8267E}"/>
            </c:ext>
          </c:extLst>
        </c:ser>
        <c:ser>
          <c:idx val="2"/>
          <c:order val="2"/>
          <c:tx>
            <c:strRef>
              <c:f>'výkonnost odvětví 3'!$E$10</c:f>
              <c:strCache>
                <c:ptCount val="1"/>
                <c:pt idx="0">
                  <c:v>ISP v inženýrském stavitelství*</c:v>
                </c:pt>
              </c:strCache>
            </c:strRef>
          </c:tx>
          <c:spPr>
            <a:ln w="19050">
              <a:solidFill>
                <a:srgbClr val="BD1B21"/>
              </a:solidFill>
              <a:prstDash val="solid"/>
            </a:ln>
          </c:spPr>
          <c:marker>
            <c:symbol val="none"/>
          </c:marker>
          <c:cat>
            <c:multiLvlStrRef>
              <c:f>'výkonnost odvětví 3'!$A$15:$B$43</c:f>
              <c:multiLvlStrCache>
                <c:ptCount val="2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  <c:pt idx="8">
                    <c:v>2013</c:v>
                  </c:pt>
                  <c:pt idx="12">
                    <c:v>2014</c:v>
                  </c:pt>
                  <c:pt idx="16">
                    <c:v>2015</c:v>
                  </c:pt>
                  <c:pt idx="20">
                    <c:v>2016</c:v>
                  </c:pt>
                  <c:pt idx="24">
                    <c:v>2017</c:v>
                  </c:pt>
                  <c:pt idx="28">
                    <c:v>2018</c:v>
                  </c:pt>
                </c:lvl>
              </c:multiLvlStrCache>
            </c:multiLvlStrRef>
          </c:cat>
          <c:val>
            <c:numRef>
              <c:f>'výkonnost odvětví 3'!$E$15:$E$43</c:f>
              <c:numCache>
                <c:formatCode>0.0</c:formatCode>
                <c:ptCount val="29"/>
                <c:pt idx="0">
                  <c:v>-2.7863843380136402</c:v>
                </c:pt>
                <c:pt idx="1">
                  <c:v>-11.786961852434748</c:v>
                </c:pt>
                <c:pt idx="2">
                  <c:v>-14.375413423730407</c:v>
                </c:pt>
                <c:pt idx="3">
                  <c:v>-5.9124970494737568</c:v>
                </c:pt>
                <c:pt idx="4">
                  <c:v>-17.509593427006834</c:v>
                </c:pt>
                <c:pt idx="5">
                  <c:v>-10.542047702555818</c:v>
                </c:pt>
                <c:pt idx="6">
                  <c:v>-6.7577302588503665</c:v>
                </c:pt>
                <c:pt idx="7">
                  <c:v>-9.1002079808449281</c:v>
                </c:pt>
                <c:pt idx="8">
                  <c:v>-13.090977764181368</c:v>
                </c:pt>
                <c:pt idx="9">
                  <c:v>-12.922922580027702</c:v>
                </c:pt>
                <c:pt idx="10">
                  <c:v>-12.497119375478396</c:v>
                </c:pt>
                <c:pt idx="11">
                  <c:v>-2.0415143337140047</c:v>
                </c:pt>
                <c:pt idx="12">
                  <c:v>2.0780856249105137</c:v>
                </c:pt>
                <c:pt idx="13">
                  <c:v>6.2644477739066957</c:v>
                </c:pt>
                <c:pt idx="14">
                  <c:v>10.198087734213914</c:v>
                </c:pt>
                <c:pt idx="15">
                  <c:v>4.7863164110472525</c:v>
                </c:pt>
                <c:pt idx="16">
                  <c:v>14.852515794955027</c:v>
                </c:pt>
                <c:pt idx="17">
                  <c:v>23.076225002218237</c:v>
                </c:pt>
                <c:pt idx="18">
                  <c:v>22.917170563500974</c:v>
                </c:pt>
                <c:pt idx="19">
                  <c:v>8.5016505137207368</c:v>
                </c:pt>
                <c:pt idx="20">
                  <c:v>-5.5730910675308714</c:v>
                </c:pt>
                <c:pt idx="21">
                  <c:v>-15.804672957809698</c:v>
                </c:pt>
                <c:pt idx="22">
                  <c:v>-19.244585370681289</c:v>
                </c:pt>
                <c:pt idx="23">
                  <c:v>-16.419622666335719</c:v>
                </c:pt>
                <c:pt idx="24">
                  <c:v>-14.639444879529334</c:v>
                </c:pt>
                <c:pt idx="25">
                  <c:v>-3.7626767321292931</c:v>
                </c:pt>
                <c:pt idx="26">
                  <c:v>-4.8283426689212225</c:v>
                </c:pt>
                <c:pt idx="27">
                  <c:v>0.81129222521938971</c:v>
                </c:pt>
                <c:pt idx="28">
                  <c:v>6.6759411616152278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AE3-45C7-9C33-851951A8267E}"/>
            </c:ext>
          </c:extLst>
        </c:ser>
        <c:ser>
          <c:idx val="3"/>
          <c:order val="3"/>
          <c:tx>
            <c:strRef>
              <c:f>'výkonnost odvětví 3'!$F$10</c:f>
              <c:strCache>
                <c:ptCount val="1"/>
                <c:pt idx="0">
                  <c:v>Nové zakázky ve stavebnictví celkem</c:v>
                </c:pt>
              </c:strCache>
            </c:strRef>
          </c:tx>
          <c:spPr>
            <a:ln w="19050">
              <a:solidFill>
                <a:srgbClr val="7DBB2D"/>
              </a:solidFill>
              <a:prstDash val="sysDash"/>
            </a:ln>
          </c:spPr>
          <c:marker>
            <c:symbol val="none"/>
          </c:marker>
          <c:cat>
            <c:multiLvlStrRef>
              <c:f>'výkonnost odvětví 3'!$A$15:$B$43</c:f>
              <c:multiLvlStrCache>
                <c:ptCount val="2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  <c:pt idx="8">
                    <c:v>2013</c:v>
                  </c:pt>
                  <c:pt idx="12">
                    <c:v>2014</c:v>
                  </c:pt>
                  <c:pt idx="16">
                    <c:v>2015</c:v>
                  </c:pt>
                  <c:pt idx="20">
                    <c:v>2016</c:v>
                  </c:pt>
                  <c:pt idx="24">
                    <c:v>2017</c:v>
                  </c:pt>
                  <c:pt idx="28">
                    <c:v>2018</c:v>
                  </c:pt>
                </c:lvl>
              </c:multiLvlStrCache>
            </c:multiLvlStrRef>
          </c:cat>
          <c:val>
            <c:numRef>
              <c:f>'výkonnost odvětví 3'!$F$15:$F$43</c:f>
              <c:numCache>
                <c:formatCode>0.0</c:formatCode>
                <c:ptCount val="29"/>
                <c:pt idx="0">
                  <c:v>37.795405718063414</c:v>
                </c:pt>
                <c:pt idx="1">
                  <c:v>-23.565672566980954</c:v>
                </c:pt>
                <c:pt idx="2">
                  <c:v>-23.360716461156017</c:v>
                </c:pt>
                <c:pt idx="3">
                  <c:v>-9.1653963414634205</c:v>
                </c:pt>
                <c:pt idx="4">
                  <c:v>-46.322059646598063</c:v>
                </c:pt>
                <c:pt idx="5">
                  <c:v>-13.714800630772698</c:v>
                </c:pt>
                <c:pt idx="6">
                  <c:v>-7.6729748888363645</c:v>
                </c:pt>
                <c:pt idx="7">
                  <c:v>7.5624082232011753</c:v>
                </c:pt>
                <c:pt idx="8">
                  <c:v>-17.695687793252535</c:v>
                </c:pt>
                <c:pt idx="9">
                  <c:v>-1.584773641063137</c:v>
                </c:pt>
                <c:pt idx="10">
                  <c:v>-1.3308205951467045</c:v>
                </c:pt>
                <c:pt idx="11">
                  <c:v>16.153096050706978</c:v>
                </c:pt>
                <c:pt idx="12">
                  <c:v>67.509727626458485</c:v>
                </c:pt>
                <c:pt idx="13">
                  <c:v>18.978644382543834</c:v>
                </c:pt>
                <c:pt idx="14">
                  <c:v>34.050931384107542</c:v>
                </c:pt>
                <c:pt idx="15">
                  <c:v>-1</c:v>
                </c:pt>
                <c:pt idx="16">
                  <c:v>-3.1547956675580053</c:v>
                </c:pt>
                <c:pt idx="17">
                  <c:v>9.7504961091664146</c:v>
                </c:pt>
                <c:pt idx="18">
                  <c:v>-1.0976060227612561</c:v>
                </c:pt>
                <c:pt idx="19">
                  <c:v>-2.3987783410040464</c:v>
                </c:pt>
                <c:pt idx="20">
                  <c:v>-6.6406358945753805</c:v>
                </c:pt>
                <c:pt idx="21">
                  <c:v>-0.49977652269311085</c:v>
                </c:pt>
                <c:pt idx="22">
                  <c:v>-7.0322087253454839</c:v>
                </c:pt>
                <c:pt idx="23">
                  <c:v>10.122126124559955</c:v>
                </c:pt>
                <c:pt idx="24">
                  <c:v>16.177217458847608</c:v>
                </c:pt>
                <c:pt idx="25">
                  <c:v>9.5350878984013914</c:v>
                </c:pt>
                <c:pt idx="26">
                  <c:v>-1.2817324431350698</c:v>
                </c:pt>
                <c:pt idx="27">
                  <c:v>15.620806693503823</c:v>
                </c:pt>
                <c:pt idx="28">
                  <c:v>28.623225673729589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AE3-45C7-9C33-851951A8267E}"/>
            </c:ext>
          </c:extLst>
        </c:ser>
        <c:ser>
          <c:idx val="4"/>
          <c:order val="4"/>
          <c:tx>
            <c:strRef>
              <c:f>'výkonnost odvětví 3'!$G$10</c:f>
              <c:strCache>
                <c:ptCount val="1"/>
                <c:pt idx="0">
                  <c:v>Saldo indik. důvěry ve stavebnictví</c:v>
                </c:pt>
              </c:strCache>
            </c:strRef>
          </c:tx>
          <c:spPr>
            <a:ln w="19050">
              <a:noFill/>
              <a:prstDash val="solid"/>
            </a:ln>
          </c:spPr>
          <c:marker>
            <c:symbol val="dash"/>
            <c:size val="9"/>
            <c:spPr>
              <a:solidFill>
                <a:srgbClr val="984807"/>
              </a:solidFill>
              <a:ln>
                <a:noFill/>
              </a:ln>
            </c:spPr>
          </c:marker>
          <c:cat>
            <c:multiLvlStrRef>
              <c:f>'výkonnost odvětví 3'!$A$15:$B$43</c:f>
              <c:multiLvlStrCache>
                <c:ptCount val="2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  <c:pt idx="8">
                    <c:v>2013</c:v>
                  </c:pt>
                  <c:pt idx="12">
                    <c:v>2014</c:v>
                  </c:pt>
                  <c:pt idx="16">
                    <c:v>2015</c:v>
                  </c:pt>
                  <c:pt idx="20">
                    <c:v>2016</c:v>
                  </c:pt>
                  <c:pt idx="24">
                    <c:v>2017</c:v>
                  </c:pt>
                  <c:pt idx="28">
                    <c:v>2018</c:v>
                  </c:pt>
                </c:lvl>
              </c:multiLvlStrCache>
            </c:multiLvlStrRef>
          </c:cat>
          <c:val>
            <c:numRef>
              <c:f>'výkonnost odvětví 3'!$G$15:$G$43</c:f>
              <c:numCache>
                <c:formatCode>0.0</c:formatCode>
                <c:ptCount val="29"/>
                <c:pt idx="0">
                  <c:v>-40</c:v>
                </c:pt>
                <c:pt idx="1">
                  <c:v>-40.333333333333336</c:v>
                </c:pt>
                <c:pt idx="2">
                  <c:v>-39.166666666666174</c:v>
                </c:pt>
                <c:pt idx="3">
                  <c:v>-39.333333333333336</c:v>
                </c:pt>
                <c:pt idx="4">
                  <c:v>-46</c:v>
                </c:pt>
                <c:pt idx="5">
                  <c:v>-45.333333333333336</c:v>
                </c:pt>
                <c:pt idx="6">
                  <c:v>-43.5</c:v>
                </c:pt>
                <c:pt idx="7">
                  <c:v>-44.666666666666174</c:v>
                </c:pt>
                <c:pt idx="8">
                  <c:v>-46</c:v>
                </c:pt>
                <c:pt idx="9">
                  <c:v>-53.333333333333336</c:v>
                </c:pt>
                <c:pt idx="10">
                  <c:v>-49.5</c:v>
                </c:pt>
                <c:pt idx="11">
                  <c:v>-50.833333333333336</c:v>
                </c:pt>
                <c:pt idx="12">
                  <c:v>-45.166666666666174</c:v>
                </c:pt>
                <c:pt idx="13">
                  <c:v>-38.333333333333336</c:v>
                </c:pt>
                <c:pt idx="14">
                  <c:v>-32</c:v>
                </c:pt>
                <c:pt idx="15">
                  <c:v>-25.166666666666668</c:v>
                </c:pt>
                <c:pt idx="16">
                  <c:v>-20.833333333333101</c:v>
                </c:pt>
                <c:pt idx="17">
                  <c:v>-16.333333333333101</c:v>
                </c:pt>
                <c:pt idx="18">
                  <c:v>-18.666666666666668</c:v>
                </c:pt>
                <c:pt idx="19">
                  <c:v>-15.666666666666726</c:v>
                </c:pt>
                <c:pt idx="20">
                  <c:v>-17.166666666666668</c:v>
                </c:pt>
                <c:pt idx="21">
                  <c:v>-24</c:v>
                </c:pt>
                <c:pt idx="22">
                  <c:v>-26.666666666666668</c:v>
                </c:pt>
                <c:pt idx="23">
                  <c:v>-25.833333333333101</c:v>
                </c:pt>
                <c:pt idx="24">
                  <c:v>-24.5</c:v>
                </c:pt>
                <c:pt idx="25">
                  <c:v>-22.666666666666668</c:v>
                </c:pt>
                <c:pt idx="26">
                  <c:v>-19.833333333333101</c:v>
                </c:pt>
                <c:pt idx="27">
                  <c:v>-15.166666666666726</c:v>
                </c:pt>
                <c:pt idx="28">
                  <c:v>-9.6666666666666767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AE3-45C7-9C33-851951A8267E}"/>
            </c:ext>
          </c:extLst>
        </c:ser>
        <c:marker val="1"/>
        <c:axId val="105544704"/>
        <c:axId val="105817216"/>
      </c:lineChart>
      <c:catAx>
        <c:axId val="105544704"/>
        <c:scaling>
          <c:orientation val="minMax"/>
        </c:scaling>
        <c:axPos val="b"/>
        <c:numFmt formatCode="General" sourceLinked="1"/>
        <c:tickLblPos val="low"/>
        <c:spPr>
          <a:ln w="9525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05817216"/>
        <c:crossesAt val="0"/>
        <c:lblAlgn val="ctr"/>
        <c:lblOffset val="0"/>
        <c:tickLblSkip val="1"/>
        <c:tickMarkSkip val="4"/>
      </c:catAx>
      <c:valAx>
        <c:axId val="105817216"/>
        <c:scaling>
          <c:orientation val="minMax"/>
          <c:max val="50"/>
          <c:min val="-60"/>
        </c:scaling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tickLblPos val="nextTo"/>
        <c:spPr>
          <a:ln w="9525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05544704"/>
        <c:crosses val="autoZero"/>
        <c:crossBetween val="between"/>
        <c:majorUnit val="10"/>
      </c:valAx>
      <c:spPr>
        <a:solidFill>
          <a:srgbClr val="FFFFFF"/>
        </a:solidFill>
        <a:ln w="9525"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6.0104910389042733E-2"/>
          <c:y val="0.8664596150756918"/>
          <c:w val="0.92533178247433878"/>
          <c:h val="0.12638188617986998"/>
        </c:manualLayout>
      </c:layout>
      <c:spPr>
        <a:noFill/>
        <a:ln w="6350">
          <a:solidFill>
            <a:schemeClr val="tx1"/>
          </a:solidFill>
        </a:ln>
      </c:spPr>
    </c:legend>
    <c:plotVisOnly val="1"/>
    <c:dispBlanksAs val="gap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plotArea>
      <c:layout>
        <c:manualLayout>
          <c:layoutTarget val="inner"/>
          <c:xMode val="edge"/>
          <c:yMode val="edge"/>
          <c:x val="4.3337294494629933E-2"/>
          <c:y val="2.5454073336495381E-2"/>
          <c:w val="0.91372590696101663"/>
          <c:h val="0.71108559326978604"/>
        </c:manualLayout>
      </c:layout>
      <c:barChart>
        <c:barDir val="col"/>
        <c:grouping val="clustered"/>
        <c:ser>
          <c:idx val="0"/>
          <c:order val="0"/>
          <c:tx>
            <c:strRef>
              <c:f>'výkonnost odvětví 5'!$C$10</c:f>
              <c:strCache>
                <c:ptCount val="1"/>
                <c:pt idx="0">
                  <c:v>Maloobchod, prodej a opravy motor.voz.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 w="12700">
              <a:noFill/>
              <a:prstDash val="solid"/>
            </a:ln>
          </c:spPr>
          <c:cat>
            <c:multiLvlStrRef>
              <c:f>'výkonnost odvětví 5'!$A$11:$B$39</c:f>
              <c:multiLvlStrCache>
                <c:ptCount val="2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  <c:pt idx="8">
                    <c:v>2013</c:v>
                  </c:pt>
                  <c:pt idx="12">
                    <c:v>2014</c:v>
                  </c:pt>
                  <c:pt idx="16">
                    <c:v>2015</c:v>
                  </c:pt>
                  <c:pt idx="20">
                    <c:v>2016</c:v>
                  </c:pt>
                  <c:pt idx="24">
                    <c:v>2017</c:v>
                  </c:pt>
                  <c:pt idx="28">
                    <c:v>2018</c:v>
                  </c:pt>
                </c:lvl>
              </c:multiLvlStrCache>
            </c:multiLvlStrRef>
          </c:cat>
          <c:val>
            <c:numRef>
              <c:f>'výkonnost odvětví 5'!$C$11:$C$39</c:f>
              <c:numCache>
                <c:formatCode>0.0</c:formatCode>
                <c:ptCount val="29"/>
                <c:pt idx="0">
                  <c:v>4.7022153355423324</c:v>
                </c:pt>
                <c:pt idx="1">
                  <c:v>1.1056630638353084</c:v>
                </c:pt>
                <c:pt idx="2">
                  <c:v>0.29046692792931983</c:v>
                </c:pt>
                <c:pt idx="3">
                  <c:v>1.2385223519792699</c:v>
                </c:pt>
                <c:pt idx="4">
                  <c:v>-0.3238149431759369</c:v>
                </c:pt>
                <c:pt idx="5">
                  <c:v>-1.1174633516449071</c:v>
                </c:pt>
                <c:pt idx="6">
                  <c:v>-0.50575432014908062</c:v>
                </c:pt>
                <c:pt idx="7">
                  <c:v>-2.0391145898496181</c:v>
                </c:pt>
                <c:pt idx="8">
                  <c:v>-0.84510191531828638</c:v>
                </c:pt>
                <c:pt idx="9">
                  <c:v>0.3587181546879778</c:v>
                </c:pt>
                <c:pt idx="10">
                  <c:v>1.185879352104027</c:v>
                </c:pt>
                <c:pt idx="11">
                  <c:v>4.3551040934599365</c:v>
                </c:pt>
                <c:pt idx="12">
                  <c:v>4.8018367688911212</c:v>
                </c:pt>
                <c:pt idx="13">
                  <c:v>4.1758728299948995</c:v>
                </c:pt>
                <c:pt idx="14">
                  <c:v>5.7018700310224091</c:v>
                </c:pt>
                <c:pt idx="15">
                  <c:v>6.989184737591529</c:v>
                </c:pt>
                <c:pt idx="16">
                  <c:v>7.7785155536963755</c:v>
                </c:pt>
                <c:pt idx="17">
                  <c:v>8.2376231037556664</c:v>
                </c:pt>
                <c:pt idx="18">
                  <c:v>7.1096927713950322</c:v>
                </c:pt>
                <c:pt idx="19">
                  <c:v>7.914135826616211</c:v>
                </c:pt>
                <c:pt idx="20">
                  <c:v>6.6658477514514658</c:v>
                </c:pt>
                <c:pt idx="21">
                  <c:v>6.3702236328661641</c:v>
                </c:pt>
                <c:pt idx="22">
                  <c:v>5.2972437106441879</c:v>
                </c:pt>
                <c:pt idx="23">
                  <c:v>4.2948037535117294</c:v>
                </c:pt>
                <c:pt idx="24">
                  <c:v>6.0190383552186404</c:v>
                </c:pt>
                <c:pt idx="25">
                  <c:v>5.7252425723442304</c:v>
                </c:pt>
                <c:pt idx="26">
                  <c:v>3.897812718589293</c:v>
                </c:pt>
                <c:pt idx="27">
                  <c:v>4.6769451516960743</c:v>
                </c:pt>
                <c:pt idx="28">
                  <c:v>3.8958252440739187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BAF-40E6-8008-22234CC6A5B8}"/>
            </c:ext>
          </c:extLst>
        </c:ser>
        <c:gapWidth val="31"/>
        <c:axId val="117104640"/>
        <c:axId val="117106560"/>
      </c:barChart>
      <c:lineChart>
        <c:grouping val="standard"/>
        <c:ser>
          <c:idx val="1"/>
          <c:order val="1"/>
          <c:tx>
            <c:strRef>
              <c:f>'výkonnost odvětví 5'!$D$10</c:f>
              <c:strCache>
                <c:ptCount val="1"/>
                <c:pt idx="0">
                  <c:v>Maloobchod s potravinami celkem </c:v>
                </c:pt>
              </c:strCache>
            </c:strRef>
          </c:tx>
          <c:spPr>
            <a:ln w="19050">
              <a:solidFill>
                <a:srgbClr val="0071BC"/>
              </a:solidFill>
              <a:prstDash val="solid"/>
            </a:ln>
          </c:spPr>
          <c:marker>
            <c:symbol val="none"/>
          </c:marker>
          <c:cat>
            <c:multiLvlStrRef>
              <c:f>'výkonnost odvětví 5'!$A$11:$B$39</c:f>
              <c:multiLvlStrCache>
                <c:ptCount val="2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  <c:pt idx="8">
                    <c:v>2013</c:v>
                  </c:pt>
                  <c:pt idx="12">
                    <c:v>2014</c:v>
                  </c:pt>
                  <c:pt idx="16">
                    <c:v>2015</c:v>
                  </c:pt>
                  <c:pt idx="20">
                    <c:v>2016</c:v>
                  </c:pt>
                  <c:pt idx="24">
                    <c:v>2017</c:v>
                  </c:pt>
                  <c:pt idx="28">
                    <c:v>2018</c:v>
                  </c:pt>
                </c:lvl>
              </c:multiLvlStrCache>
            </c:multiLvlStrRef>
          </c:cat>
          <c:val>
            <c:numRef>
              <c:f>'výkonnost odvětví 5'!$D$11:$D$39</c:f>
              <c:numCache>
                <c:formatCode>0.0</c:formatCode>
                <c:ptCount val="29"/>
                <c:pt idx="0">
                  <c:v>1.0200203375139836</c:v>
                </c:pt>
                <c:pt idx="1">
                  <c:v>-0.7724589559569065</c:v>
                </c:pt>
                <c:pt idx="2">
                  <c:v>-2.2030263753006252</c:v>
                </c:pt>
                <c:pt idx="3">
                  <c:v>-2.6122663750040367</c:v>
                </c:pt>
                <c:pt idx="4">
                  <c:v>-4.1792292162947184</c:v>
                </c:pt>
                <c:pt idx="5">
                  <c:v>-2.5411879684037202</c:v>
                </c:pt>
                <c:pt idx="6">
                  <c:v>-1.698954555357574</c:v>
                </c:pt>
                <c:pt idx="7">
                  <c:v>-2.0584542915595705</c:v>
                </c:pt>
                <c:pt idx="8">
                  <c:v>-1.084543735889014</c:v>
                </c:pt>
                <c:pt idx="9">
                  <c:v>-1.9839890105004938</c:v>
                </c:pt>
                <c:pt idx="10">
                  <c:v>-0.64564084818386813</c:v>
                </c:pt>
                <c:pt idx="11">
                  <c:v>-0.21671648568852414</c:v>
                </c:pt>
                <c:pt idx="12">
                  <c:v>-0.64931062615796953</c:v>
                </c:pt>
                <c:pt idx="13">
                  <c:v>2.5968329021734387</c:v>
                </c:pt>
                <c:pt idx="14">
                  <c:v>-0.28362848379679167</c:v>
                </c:pt>
                <c:pt idx="15">
                  <c:v>2.8999737524551676</c:v>
                </c:pt>
                <c:pt idx="16">
                  <c:v>4.6183141080858769</c:v>
                </c:pt>
                <c:pt idx="17">
                  <c:v>3.0246216394567398</c:v>
                </c:pt>
                <c:pt idx="18">
                  <c:v>4.9291779174117485</c:v>
                </c:pt>
                <c:pt idx="19">
                  <c:v>3.947651102616561</c:v>
                </c:pt>
                <c:pt idx="20">
                  <c:v>4.6571808537335437</c:v>
                </c:pt>
                <c:pt idx="21">
                  <c:v>3.8281360962325612</c:v>
                </c:pt>
                <c:pt idx="22">
                  <c:v>2.651406853531995</c:v>
                </c:pt>
                <c:pt idx="23">
                  <c:v>-0.29933130456753076</c:v>
                </c:pt>
                <c:pt idx="24">
                  <c:v>1.815714966146118</c:v>
                </c:pt>
                <c:pt idx="25">
                  <c:v>3.7406563097748027</c:v>
                </c:pt>
                <c:pt idx="26">
                  <c:v>3.0188970334996577</c:v>
                </c:pt>
                <c:pt idx="27">
                  <c:v>2.6504872356364402</c:v>
                </c:pt>
                <c:pt idx="28">
                  <c:v>3.3738463913620187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BAF-40E6-8008-22234CC6A5B8}"/>
            </c:ext>
          </c:extLst>
        </c:ser>
        <c:ser>
          <c:idx val="2"/>
          <c:order val="2"/>
          <c:tx>
            <c:strRef>
              <c:f>'výkonnost odvětví 5'!$E$10</c:f>
              <c:strCache>
                <c:ptCount val="1"/>
                <c:pt idx="0">
                  <c:v>Maloobchod s nepotravinářs. zbožím</c:v>
                </c:pt>
              </c:strCache>
            </c:strRef>
          </c:tx>
          <c:spPr>
            <a:ln w="19050">
              <a:solidFill>
                <a:srgbClr val="48AEE7"/>
              </a:solidFill>
              <a:prstDash val="solid"/>
            </a:ln>
          </c:spPr>
          <c:marker>
            <c:symbol val="none"/>
          </c:marker>
          <c:cat>
            <c:multiLvlStrRef>
              <c:f>'výkonnost odvětví 5'!$A$11:$B$39</c:f>
              <c:multiLvlStrCache>
                <c:ptCount val="2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  <c:pt idx="8">
                    <c:v>2013</c:v>
                  </c:pt>
                  <c:pt idx="12">
                    <c:v>2014</c:v>
                  </c:pt>
                  <c:pt idx="16">
                    <c:v>2015</c:v>
                  </c:pt>
                  <c:pt idx="20">
                    <c:v>2016</c:v>
                  </c:pt>
                  <c:pt idx="24">
                    <c:v>2017</c:v>
                  </c:pt>
                  <c:pt idx="28">
                    <c:v>2018</c:v>
                  </c:pt>
                </c:lvl>
              </c:multiLvlStrCache>
            </c:multiLvlStrRef>
          </c:cat>
          <c:val>
            <c:numRef>
              <c:f>'výkonnost odvětví 5'!$E$11:$E$39</c:f>
              <c:numCache>
                <c:formatCode>0.0</c:formatCode>
                <c:ptCount val="29"/>
                <c:pt idx="0">
                  <c:v>4.4885846457250045</c:v>
                </c:pt>
                <c:pt idx="1">
                  <c:v>3.1795216152877832</c:v>
                </c:pt>
                <c:pt idx="2">
                  <c:v>0.28880471655723738</c:v>
                </c:pt>
                <c:pt idx="3">
                  <c:v>2.5197824716540964</c:v>
                </c:pt>
                <c:pt idx="4">
                  <c:v>1.4765577532708249</c:v>
                </c:pt>
                <c:pt idx="5">
                  <c:v>0.88006052955506231</c:v>
                </c:pt>
                <c:pt idx="6">
                  <c:v>1.3147204071872518</c:v>
                </c:pt>
                <c:pt idx="7">
                  <c:v>9.787283569551164E-2</c:v>
                </c:pt>
                <c:pt idx="8">
                  <c:v>1.5419364851771906</c:v>
                </c:pt>
                <c:pt idx="9">
                  <c:v>0.72034669659809392</c:v>
                </c:pt>
                <c:pt idx="10">
                  <c:v>0.80534167348248065</c:v>
                </c:pt>
                <c:pt idx="11">
                  <c:v>2.9834553375963395</c:v>
                </c:pt>
                <c:pt idx="12">
                  <c:v>2.8974454014388535</c:v>
                </c:pt>
                <c:pt idx="13">
                  <c:v>2.2398901527698172</c:v>
                </c:pt>
                <c:pt idx="14">
                  <c:v>4.29890389821783</c:v>
                </c:pt>
                <c:pt idx="15">
                  <c:v>7.5937472454821524</c:v>
                </c:pt>
                <c:pt idx="16">
                  <c:v>7.2486276029958532</c:v>
                </c:pt>
                <c:pt idx="17">
                  <c:v>8.3737481518946897</c:v>
                </c:pt>
                <c:pt idx="18">
                  <c:v>5.8312031653845953</c:v>
                </c:pt>
                <c:pt idx="19">
                  <c:v>7.2083201349640458</c:v>
                </c:pt>
                <c:pt idx="20">
                  <c:v>5.7307041273306112</c:v>
                </c:pt>
                <c:pt idx="21">
                  <c:v>5.6062752588154563</c:v>
                </c:pt>
                <c:pt idx="22">
                  <c:v>6.9055706841157871</c:v>
                </c:pt>
                <c:pt idx="23">
                  <c:v>7.0177001190490476</c:v>
                </c:pt>
                <c:pt idx="24">
                  <c:v>9.0067622713224047</c:v>
                </c:pt>
                <c:pt idx="25">
                  <c:v>8.983500124692867</c:v>
                </c:pt>
                <c:pt idx="26">
                  <c:v>8.556238256719416</c:v>
                </c:pt>
                <c:pt idx="27">
                  <c:v>8.8612479774923258</c:v>
                </c:pt>
                <c:pt idx="28">
                  <c:v>8.6608828128901223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BAF-40E6-8008-22234CC6A5B8}"/>
            </c:ext>
          </c:extLst>
        </c:ser>
        <c:ser>
          <c:idx val="3"/>
          <c:order val="3"/>
          <c:tx>
            <c:strRef>
              <c:f>'výkonnost odvětví 5'!$F$10</c:f>
              <c:strCache>
                <c:ptCount val="1"/>
                <c:pt idx="0">
                  <c:v>Maloobchodní prodej PHM</c:v>
                </c:pt>
              </c:strCache>
            </c:strRef>
          </c:tx>
          <c:spPr>
            <a:ln w="19050">
              <a:solidFill>
                <a:srgbClr val="BD1B21"/>
              </a:solidFill>
            </a:ln>
          </c:spPr>
          <c:marker>
            <c:symbol val="none"/>
          </c:marker>
          <c:cat>
            <c:multiLvlStrRef>
              <c:f>'výkonnost odvětví 5'!$A$11:$B$39</c:f>
              <c:multiLvlStrCache>
                <c:ptCount val="2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  <c:pt idx="8">
                    <c:v>2013</c:v>
                  </c:pt>
                  <c:pt idx="12">
                    <c:v>2014</c:v>
                  </c:pt>
                  <c:pt idx="16">
                    <c:v>2015</c:v>
                  </c:pt>
                  <c:pt idx="20">
                    <c:v>2016</c:v>
                  </c:pt>
                  <c:pt idx="24">
                    <c:v>2017</c:v>
                  </c:pt>
                  <c:pt idx="28">
                    <c:v>2018</c:v>
                  </c:pt>
                </c:lvl>
              </c:multiLvlStrCache>
            </c:multiLvlStrRef>
          </c:cat>
          <c:val>
            <c:numRef>
              <c:f>'výkonnost odvětví 5'!$F$11:$F$39</c:f>
              <c:numCache>
                <c:formatCode>0.0</c:formatCode>
                <c:ptCount val="29"/>
                <c:pt idx="0">
                  <c:v>-4.6311337782417885</c:v>
                </c:pt>
                <c:pt idx="1">
                  <c:v>-3.8994040729543542</c:v>
                </c:pt>
                <c:pt idx="2">
                  <c:v>-2.1621003614161252</c:v>
                </c:pt>
                <c:pt idx="3">
                  <c:v>-2.9915509903207167</c:v>
                </c:pt>
                <c:pt idx="4">
                  <c:v>-1.8958521156336881</c:v>
                </c:pt>
                <c:pt idx="5">
                  <c:v>-3.4936345716293493</c:v>
                </c:pt>
                <c:pt idx="6">
                  <c:v>0.78230350159505158</c:v>
                </c:pt>
                <c:pt idx="7">
                  <c:v>-2.0730044463246315</c:v>
                </c:pt>
                <c:pt idx="8">
                  <c:v>0.43687421362009005</c:v>
                </c:pt>
                <c:pt idx="9">
                  <c:v>-0.52059668296715156</c:v>
                </c:pt>
                <c:pt idx="10">
                  <c:v>-5.2781034494831696</c:v>
                </c:pt>
                <c:pt idx="11">
                  <c:v>-0.8650699651451107</c:v>
                </c:pt>
                <c:pt idx="12">
                  <c:v>0.48207386900958576</c:v>
                </c:pt>
                <c:pt idx="13">
                  <c:v>3.8856542329753642E-2</c:v>
                </c:pt>
                <c:pt idx="14">
                  <c:v>2.5788957529001806</c:v>
                </c:pt>
                <c:pt idx="15">
                  <c:v>3.5103721426392687</c:v>
                </c:pt>
                <c:pt idx="16">
                  <c:v>6.1539270145262295</c:v>
                </c:pt>
                <c:pt idx="17">
                  <c:v>4.5607008805763343</c:v>
                </c:pt>
                <c:pt idx="18">
                  <c:v>6.1265662165444255</c:v>
                </c:pt>
                <c:pt idx="19">
                  <c:v>8.9586655181201866</c:v>
                </c:pt>
                <c:pt idx="20">
                  <c:v>4.9193940895193924</c:v>
                </c:pt>
                <c:pt idx="21">
                  <c:v>5.3582796892122024</c:v>
                </c:pt>
                <c:pt idx="22">
                  <c:v>4.59912429887342</c:v>
                </c:pt>
                <c:pt idx="23">
                  <c:v>5.1789206144347872</c:v>
                </c:pt>
                <c:pt idx="24">
                  <c:v>3.9494825023488267</c:v>
                </c:pt>
                <c:pt idx="25">
                  <c:v>5.9204356861612695</c:v>
                </c:pt>
                <c:pt idx="26">
                  <c:v>6.2879927076099715</c:v>
                </c:pt>
                <c:pt idx="27">
                  <c:v>6.3298702483117655</c:v>
                </c:pt>
                <c:pt idx="28">
                  <c:v>5.7106866919111514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BAF-40E6-8008-22234CC6A5B8}"/>
            </c:ext>
          </c:extLst>
        </c:ser>
        <c:ser>
          <c:idx val="4"/>
          <c:order val="4"/>
          <c:tx>
            <c:strRef>
              <c:f>'výkonnost odvětví 5'!$G$10</c:f>
              <c:strCache>
                <c:ptCount val="1"/>
                <c:pt idx="0">
                  <c:v>Obchod a opravy motorových voz.</c:v>
                </c:pt>
              </c:strCache>
            </c:strRef>
          </c:tx>
          <c:spPr>
            <a:ln w="19050">
              <a:solidFill>
                <a:srgbClr val="7DBB2D"/>
              </a:solidFill>
            </a:ln>
          </c:spPr>
          <c:marker>
            <c:symbol val="none"/>
          </c:marker>
          <c:cat>
            <c:multiLvlStrRef>
              <c:f>'výkonnost odvětví 5'!$A$11:$B$39</c:f>
              <c:multiLvlStrCache>
                <c:ptCount val="2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  <c:pt idx="8">
                    <c:v>2013</c:v>
                  </c:pt>
                  <c:pt idx="12">
                    <c:v>2014</c:v>
                  </c:pt>
                  <c:pt idx="16">
                    <c:v>2015</c:v>
                  </c:pt>
                  <c:pt idx="20">
                    <c:v>2016</c:v>
                  </c:pt>
                  <c:pt idx="24">
                    <c:v>2017</c:v>
                  </c:pt>
                  <c:pt idx="28">
                    <c:v>2018</c:v>
                  </c:pt>
                </c:lvl>
              </c:multiLvlStrCache>
            </c:multiLvlStrRef>
          </c:cat>
          <c:val>
            <c:numRef>
              <c:f>'výkonnost odvětví 5'!$G$11:$G$39</c:f>
              <c:numCache>
                <c:formatCode>0.0</c:formatCode>
                <c:ptCount val="29"/>
                <c:pt idx="0">
                  <c:v>12.399114090561516</c:v>
                </c:pt>
                <c:pt idx="1">
                  <c:v>1.5393113442264619</c:v>
                </c:pt>
                <c:pt idx="2">
                  <c:v>4.1676015834745783</c:v>
                </c:pt>
                <c:pt idx="3">
                  <c:v>4.841714017351876</c:v>
                </c:pt>
                <c:pt idx="4">
                  <c:v>2.6476463845960438</c:v>
                </c:pt>
                <c:pt idx="5">
                  <c:v>-0.83083598645413803</c:v>
                </c:pt>
                <c:pt idx="6">
                  <c:v>-1.0054999920916614</c:v>
                </c:pt>
                <c:pt idx="7">
                  <c:v>-5.3031820422840354</c:v>
                </c:pt>
                <c:pt idx="8">
                  <c:v>-6.0597265863421512</c:v>
                </c:pt>
                <c:pt idx="9">
                  <c:v>4.0744346643276685</c:v>
                </c:pt>
                <c:pt idx="10">
                  <c:v>5.5422103336460085</c:v>
                </c:pt>
                <c:pt idx="11">
                  <c:v>12.840168793619448</c:v>
                </c:pt>
                <c:pt idx="12">
                  <c:v>14.893046849703556</c:v>
                </c:pt>
                <c:pt idx="13">
                  <c:v>7.0031831992789506</c:v>
                </c:pt>
                <c:pt idx="14">
                  <c:v>12.995196321494532</c:v>
                </c:pt>
                <c:pt idx="15">
                  <c:v>12.528076578934169</c:v>
                </c:pt>
                <c:pt idx="16">
                  <c:v>11.675877956637521</c:v>
                </c:pt>
                <c:pt idx="17">
                  <c:v>14.129424016355006</c:v>
                </c:pt>
                <c:pt idx="18">
                  <c:v>10.8130146419153</c:v>
                </c:pt>
                <c:pt idx="19">
                  <c:v>12.285366424438561</c:v>
                </c:pt>
                <c:pt idx="20">
                  <c:v>10.012458360654946</c:v>
                </c:pt>
                <c:pt idx="21">
                  <c:v>9.2274670133142678</c:v>
                </c:pt>
                <c:pt idx="22">
                  <c:v>6.6565459159951805</c:v>
                </c:pt>
                <c:pt idx="23">
                  <c:v>4.788218563120779</c:v>
                </c:pt>
                <c:pt idx="24">
                  <c:v>6.211518972562871</c:v>
                </c:pt>
                <c:pt idx="25">
                  <c:v>4.4712743618132524</c:v>
                </c:pt>
                <c:pt idx="26">
                  <c:v>-0.12037371835359069</c:v>
                </c:pt>
                <c:pt idx="27">
                  <c:v>1.4641196087035411</c:v>
                </c:pt>
                <c:pt idx="28">
                  <c:v>-1.2564316964341615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BAF-40E6-8008-22234CC6A5B8}"/>
            </c:ext>
          </c:extLst>
        </c:ser>
        <c:marker val="1"/>
        <c:axId val="117104640"/>
        <c:axId val="117106560"/>
      </c:lineChart>
      <c:lineChart>
        <c:grouping val="standard"/>
        <c:ser>
          <c:idx val="6"/>
          <c:order val="5"/>
          <c:tx>
            <c:strRef>
              <c:f>'výkonnost odvětví 5'!$H$10</c:f>
              <c:strCache>
                <c:ptCount val="1"/>
                <c:pt idx="0">
                  <c:v>Saldo souhr.indik.důvěry spotřebitelů</c:v>
                </c:pt>
              </c:strCache>
            </c:strRef>
          </c:tx>
          <c:spPr>
            <a:ln w="19050">
              <a:noFill/>
            </a:ln>
          </c:spPr>
          <c:marker>
            <c:symbol val="dash"/>
            <c:size val="9"/>
            <c:spPr>
              <a:solidFill>
                <a:srgbClr val="984807"/>
              </a:solidFill>
              <a:ln>
                <a:noFill/>
              </a:ln>
            </c:spPr>
          </c:marker>
          <c:cat>
            <c:multiLvlStrRef>
              <c:f>'výkonnost odvětví 5'!$A$11:$B$39</c:f>
              <c:multiLvlStrCache>
                <c:ptCount val="2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</c:lvl>
                <c:lvl>
                  <c:pt idx="0">
                    <c:v>2011</c:v>
                  </c:pt>
                  <c:pt idx="4">
                    <c:v>2012</c:v>
                  </c:pt>
                  <c:pt idx="8">
                    <c:v>2013</c:v>
                  </c:pt>
                  <c:pt idx="12">
                    <c:v>2014</c:v>
                  </c:pt>
                  <c:pt idx="16">
                    <c:v>2015</c:v>
                  </c:pt>
                  <c:pt idx="20">
                    <c:v>2016</c:v>
                  </c:pt>
                  <c:pt idx="24">
                    <c:v>2017</c:v>
                  </c:pt>
                  <c:pt idx="28">
                    <c:v>2018</c:v>
                  </c:pt>
                </c:lvl>
              </c:multiLvlStrCache>
            </c:multiLvlStrRef>
          </c:cat>
          <c:val>
            <c:numRef>
              <c:f>'výkonnost odvětví 5'!$H$11:$H$39</c:f>
              <c:numCache>
                <c:formatCode>0.0</c:formatCode>
                <c:ptCount val="29"/>
                <c:pt idx="0">
                  <c:v>-13.433333333333332</c:v>
                </c:pt>
                <c:pt idx="1">
                  <c:v>-20.099999999999987</c:v>
                </c:pt>
                <c:pt idx="2">
                  <c:v>-22.43333333333306</c:v>
                </c:pt>
                <c:pt idx="3">
                  <c:v>-26.7</c:v>
                </c:pt>
                <c:pt idx="4">
                  <c:v>-26.766666666666666</c:v>
                </c:pt>
                <c:pt idx="5">
                  <c:v>-29.866666666666664</c:v>
                </c:pt>
                <c:pt idx="6">
                  <c:v>-28.466666666666669</c:v>
                </c:pt>
                <c:pt idx="7">
                  <c:v>-26.43333333333306</c:v>
                </c:pt>
                <c:pt idx="8">
                  <c:v>-23.633333333333162</c:v>
                </c:pt>
                <c:pt idx="9">
                  <c:v>-20.866666666666667</c:v>
                </c:pt>
                <c:pt idx="10">
                  <c:v>-17.266666666666666</c:v>
                </c:pt>
                <c:pt idx="11">
                  <c:v>-10.766666666666676</c:v>
                </c:pt>
                <c:pt idx="12">
                  <c:v>-6.6000000000000005</c:v>
                </c:pt>
                <c:pt idx="13">
                  <c:v>-3.5333333333333332</c:v>
                </c:pt>
                <c:pt idx="14">
                  <c:v>-4.1333333333333524</c:v>
                </c:pt>
                <c:pt idx="15">
                  <c:v>0.69999999999999984</c:v>
                </c:pt>
                <c:pt idx="16">
                  <c:v>3.6333333333333342</c:v>
                </c:pt>
                <c:pt idx="17">
                  <c:v>1.7666666666666666</c:v>
                </c:pt>
                <c:pt idx="18">
                  <c:v>1.2</c:v>
                </c:pt>
                <c:pt idx="19">
                  <c:v>3.5</c:v>
                </c:pt>
                <c:pt idx="20">
                  <c:v>4.6000000000000005</c:v>
                </c:pt>
                <c:pt idx="21">
                  <c:v>1.8333333333333333</c:v>
                </c:pt>
                <c:pt idx="22">
                  <c:v>2</c:v>
                </c:pt>
                <c:pt idx="23">
                  <c:v>6.1000000000000005</c:v>
                </c:pt>
                <c:pt idx="24">
                  <c:v>6.5333333333333776</c:v>
                </c:pt>
                <c:pt idx="25">
                  <c:v>5.2666666666666684</c:v>
                </c:pt>
                <c:pt idx="26">
                  <c:v>5.2</c:v>
                </c:pt>
                <c:pt idx="27">
                  <c:v>7.2</c:v>
                </c:pt>
                <c:pt idx="28">
                  <c:v>9.8666666666667595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5BAF-40E6-8008-22234CC6A5B8}"/>
            </c:ext>
          </c:extLst>
        </c:ser>
        <c:marker val="1"/>
        <c:axId val="117118080"/>
        <c:axId val="117108096"/>
      </c:lineChart>
      <c:catAx>
        <c:axId val="117104640"/>
        <c:scaling>
          <c:orientation val="minMax"/>
        </c:scaling>
        <c:axPos val="b"/>
        <c:numFmt formatCode="General" sourceLinked="1"/>
        <c:tickLblPos val="low"/>
        <c:spPr>
          <a:ln w="9525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17106560"/>
        <c:crosses val="autoZero"/>
        <c:lblAlgn val="ctr"/>
        <c:lblOffset val="0"/>
        <c:tickLblSkip val="1"/>
        <c:tickMarkSkip val="4"/>
      </c:catAx>
      <c:valAx>
        <c:axId val="117106560"/>
        <c:scaling>
          <c:orientation val="minMax"/>
          <c:max val="15"/>
          <c:min val="-15"/>
        </c:scaling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tickLblPos val="nextTo"/>
        <c:spPr>
          <a:ln w="9525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17104640"/>
        <c:crosses val="autoZero"/>
        <c:crossBetween val="between"/>
        <c:majorUnit val="5"/>
      </c:valAx>
      <c:valAx>
        <c:axId val="117108096"/>
        <c:scaling>
          <c:orientation val="minMax"/>
          <c:max val="30"/>
          <c:min val="-30"/>
        </c:scaling>
        <c:axPos val="r"/>
        <c:numFmt formatCode="0" sourceLinked="0"/>
        <c:tickLblPos val="nextTo"/>
        <c:spPr>
          <a:ln w="9525">
            <a:solidFill>
              <a:schemeClr val="tx1"/>
            </a:solidFill>
          </a:ln>
        </c:spPr>
        <c:crossAx val="117118080"/>
        <c:crosses val="max"/>
        <c:crossBetween val="between"/>
      </c:valAx>
      <c:catAx>
        <c:axId val="117118080"/>
        <c:scaling>
          <c:orientation val="minMax"/>
        </c:scaling>
        <c:delete val="1"/>
        <c:axPos val="b"/>
        <c:numFmt formatCode="General" sourceLinked="1"/>
        <c:tickLblPos val="none"/>
        <c:crossAx val="117108096"/>
        <c:crosses val="autoZero"/>
        <c:auto val="1"/>
        <c:lblAlgn val="ctr"/>
        <c:lblOffset val="100"/>
      </c:catAx>
      <c:spPr>
        <a:solidFill>
          <a:srgbClr val="FFFFFF"/>
        </a:solidFill>
        <a:ln w="9525"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3.7108284954159708E-2"/>
          <c:y val="0.84801642578021497"/>
          <c:w val="0.92858091581759838"/>
          <c:h val="0.13389587922459187"/>
        </c:manualLayout>
      </c:layout>
      <c:spPr>
        <a:noFill/>
        <a:ln w="6350">
          <a:solidFill>
            <a:schemeClr val="tx1"/>
          </a:solidFill>
        </a:ln>
      </c:spPr>
    </c:legend>
    <c:plotVisOnly val="1"/>
    <c:dispBlanksAs val="gap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0.52669</cdr:x>
      <cdr:y>0.01635</cdr:y>
    </cdr:from>
    <cdr:to>
      <cdr:x>0.57482</cdr:x>
      <cdr:y>0.05393</cdr:y>
    </cdr:to>
    <cdr:sp macro="" textlink="">
      <cdr:nvSpPr>
        <cdr:cNvPr id="2" name="Přímá spojovací šipka 1"/>
        <cdr:cNvSpPr/>
      </cdr:nvSpPr>
      <cdr:spPr>
        <a:xfrm xmlns:a="http://schemas.openxmlformats.org/drawingml/2006/main" flipH="1" flipV="1">
          <a:off x="2501335" y="57999"/>
          <a:ext cx="228578" cy="133342"/>
        </a:xfrm>
        <a:prstGeom xmlns:a="http://schemas.openxmlformats.org/drawingml/2006/main" prst="straightConnector1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rgbClr val="7DBB2D"/>
          </a:solidFill>
          <a:prstDash val="solid"/>
          <a:tailEnd type="arrow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cs-CZ"/>
        </a:p>
      </cdr:txBody>
    </cdr:sp>
  </cdr:relSizeAnchor>
  <cdr:relSizeAnchor xmlns:cdr="http://schemas.openxmlformats.org/drawingml/2006/chartDrawing">
    <cdr:from>
      <cdr:x>0.58285</cdr:x>
      <cdr:y>0.04016</cdr:y>
    </cdr:from>
    <cdr:to>
      <cdr:x>0.65697</cdr:x>
      <cdr:y>0.09491</cdr:y>
    </cdr:to>
    <cdr:sp macro="" textlink="">
      <cdr:nvSpPr>
        <cdr:cNvPr id="3" name="TextovéPole 2"/>
        <cdr:cNvSpPr txBox="1"/>
      </cdr:nvSpPr>
      <cdr:spPr>
        <a:xfrm xmlns:a="http://schemas.openxmlformats.org/drawingml/2006/main">
          <a:off x="2768060" y="142481"/>
          <a:ext cx="352011" cy="1942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lIns="0" tIns="0" rIns="0" bIns="0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cs-CZ" sz="800">
              <a:solidFill>
                <a:srgbClr val="7DBB2D"/>
              </a:solidFill>
              <a:latin typeface="Arial" pitchFamily="34" charset="0"/>
              <a:cs typeface="Arial" pitchFamily="34" charset="0"/>
            </a:rPr>
            <a:t>67,5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A1DB0-969D-4BE8-9E47-F8E076110C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0460CB-7DB3-438A-8673-2372935B9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Q_analyza_Q12018.dotx</Template>
  <TotalTime>1</TotalTime>
  <Pages>6</Pages>
  <Words>2598</Words>
  <Characters>15330</Characters>
  <Application>Microsoft Office Word</Application>
  <DocSecurity>0</DocSecurity>
  <Lines>127</Lines>
  <Paragraphs>35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17893</CharactersWithSpaces>
  <SharedDoc>false</SharedDoc>
  <HLinks>
    <vt:vector size="18" baseType="variant">
      <vt:variant>
        <vt:i4>7602181</vt:i4>
      </vt:variant>
      <vt:variant>
        <vt:i4>11092</vt:i4>
      </vt:variant>
      <vt:variant>
        <vt:i4>1025</vt:i4>
      </vt:variant>
      <vt:variant>
        <vt:i4>1</vt:i4>
      </vt:variant>
      <vt:variant>
        <vt:lpwstr>msoFAAF</vt:lpwstr>
      </vt:variant>
      <vt:variant>
        <vt:lpwstr/>
      </vt:variant>
      <vt:variant>
        <vt:i4>7995509</vt:i4>
      </vt:variant>
      <vt:variant>
        <vt:i4>-1</vt:i4>
      </vt:variant>
      <vt:variant>
        <vt:i4>2058</vt:i4>
      </vt:variant>
      <vt:variant>
        <vt:i4>1</vt:i4>
      </vt:variant>
      <vt:variant>
        <vt:lpwstr>CSU RGB CZ logo-02</vt:lpwstr>
      </vt:variant>
      <vt:variant>
        <vt:lpwstr/>
      </vt:variant>
      <vt:variant>
        <vt:i4>7929973</vt:i4>
      </vt:variant>
      <vt:variant>
        <vt:i4>-1</vt:i4>
      </vt:variant>
      <vt:variant>
        <vt:i4>2059</vt:i4>
      </vt:variant>
      <vt:variant>
        <vt:i4>1</vt:i4>
      </vt:variant>
      <vt:variant>
        <vt:lpwstr>CSU RGB CZ logo-01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Karolína Súkupová</dc:creator>
  <cp:lastModifiedBy>kamenicky3604</cp:lastModifiedBy>
  <cp:revision>5</cp:revision>
  <cp:lastPrinted>2014-07-17T14:07:00Z</cp:lastPrinted>
  <dcterms:created xsi:type="dcterms:W3CDTF">2018-06-20T13:20:00Z</dcterms:created>
  <dcterms:modified xsi:type="dcterms:W3CDTF">2018-06-20T13:42:00Z</dcterms:modified>
</cp:coreProperties>
</file>