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10" w:rsidRPr="00B82D30" w:rsidRDefault="000B7410" w:rsidP="002C6EE3">
      <w:pPr>
        <w:pStyle w:val="Nadpis1"/>
        <w:numPr>
          <w:ilvl w:val="0"/>
          <w:numId w:val="2"/>
        </w:numPr>
        <w:ind w:left="357" w:hanging="357"/>
      </w:pPr>
      <w:r w:rsidRPr="00B82D30">
        <w:t>Výkonnost primárního sektoru</w:t>
      </w:r>
    </w:p>
    <w:p w:rsidR="000B7410" w:rsidRPr="00B82D30" w:rsidRDefault="000B7410" w:rsidP="000B7410"/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9694"/>
      </w:tblGrid>
      <w:tr w:rsidR="000B7410" w:rsidRPr="00B82D30" w:rsidTr="000E63FC">
        <w:tc>
          <w:tcPr>
            <w:tcW w:w="5000" w:type="pct"/>
          </w:tcPr>
          <w:p w:rsidR="00237FC7" w:rsidRPr="00B82D30" w:rsidRDefault="006A5AEB" w:rsidP="00373C67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O významu primárního sektoru v </w:t>
            </w:r>
            <w:r w:rsidR="00373C67" w:rsidRPr="00B82D30">
              <w:rPr>
                <w:spacing w:val="-2"/>
              </w:rPr>
              <w:t>hospodářství</w:t>
            </w:r>
            <w:r w:rsidRPr="00B82D30">
              <w:rPr>
                <w:spacing w:val="-2"/>
              </w:rPr>
              <w:t>, z hlediska výkonu, svědčí podíl</w:t>
            </w:r>
            <w:r w:rsidR="005E2E2D" w:rsidRPr="00B82D30">
              <w:rPr>
                <w:spacing w:val="-2"/>
              </w:rPr>
              <w:t xml:space="preserve"> jeho</w:t>
            </w:r>
            <w:r w:rsidRPr="00B82D30">
              <w:rPr>
                <w:spacing w:val="-2"/>
              </w:rPr>
              <w:t xml:space="preserve"> hrubé přidané hodnoty na</w:t>
            </w:r>
            <w:r w:rsidR="005E2E2D" w:rsidRPr="00B82D30">
              <w:rPr>
                <w:spacing w:val="-2"/>
              </w:rPr>
              <w:t> </w:t>
            </w:r>
            <w:r w:rsidR="001E5B5A" w:rsidRPr="00B82D30">
              <w:rPr>
                <w:spacing w:val="-2"/>
              </w:rPr>
              <w:t>celkové hrubé přidané hodnotě ekonomiky</w:t>
            </w:r>
            <w:r w:rsidRPr="00B82D30">
              <w:rPr>
                <w:spacing w:val="-2"/>
              </w:rPr>
              <w:t xml:space="preserve">. </w:t>
            </w:r>
            <w:r w:rsidR="005E2E2D" w:rsidRPr="00B82D30">
              <w:rPr>
                <w:spacing w:val="-2"/>
              </w:rPr>
              <w:t>Vývoj tohoto podílu</w:t>
            </w:r>
            <w:r w:rsidR="00373C67" w:rsidRPr="00B82D30">
              <w:rPr>
                <w:spacing w:val="-2"/>
              </w:rPr>
              <w:t xml:space="preserve"> v ČR</w:t>
            </w:r>
            <w:r w:rsidR="005E2E2D" w:rsidRPr="00B82D30">
              <w:rPr>
                <w:spacing w:val="-2"/>
              </w:rPr>
              <w:t xml:space="preserve"> je</w:t>
            </w:r>
            <w:r w:rsidR="00EE4D50" w:rsidRPr="00B82D30">
              <w:rPr>
                <w:spacing w:val="-2"/>
              </w:rPr>
              <w:t xml:space="preserve"> </w:t>
            </w:r>
            <w:r w:rsidRPr="00B82D30">
              <w:rPr>
                <w:spacing w:val="-2"/>
              </w:rPr>
              <w:t>analyzován</w:t>
            </w:r>
            <w:r w:rsidR="00EE4D50" w:rsidRPr="00B82D30">
              <w:rPr>
                <w:spacing w:val="-2"/>
              </w:rPr>
              <w:t xml:space="preserve"> jak v dlouhodobém kontextu</w:t>
            </w:r>
            <w:r w:rsidRPr="00B82D30">
              <w:rPr>
                <w:spacing w:val="-2"/>
              </w:rPr>
              <w:t xml:space="preserve"> na časové řadě, </w:t>
            </w:r>
            <w:r w:rsidR="00EE4D50" w:rsidRPr="00B82D30">
              <w:rPr>
                <w:spacing w:val="-2"/>
              </w:rPr>
              <w:t>tak</w:t>
            </w:r>
            <w:r w:rsidRPr="00B82D30">
              <w:rPr>
                <w:spacing w:val="-2"/>
              </w:rPr>
              <w:t xml:space="preserve"> v mezinárodním </w:t>
            </w:r>
            <w:r w:rsidR="00EE4D50" w:rsidRPr="00B82D30">
              <w:rPr>
                <w:spacing w:val="-2"/>
              </w:rPr>
              <w:t>srovnání</w:t>
            </w:r>
            <w:r w:rsidR="008D4A75" w:rsidRPr="00B82D30">
              <w:rPr>
                <w:spacing w:val="-2"/>
              </w:rPr>
              <w:t>. Významný p</w:t>
            </w:r>
            <w:r w:rsidRPr="00B82D30">
              <w:rPr>
                <w:spacing w:val="-2"/>
              </w:rPr>
              <w:t>rostor je věnován i </w:t>
            </w:r>
            <w:r w:rsidR="008319DC" w:rsidRPr="00B82D30">
              <w:rPr>
                <w:spacing w:val="-2"/>
              </w:rPr>
              <w:t>rozboru</w:t>
            </w:r>
            <w:r w:rsidRPr="00B82D30">
              <w:rPr>
                <w:spacing w:val="-2"/>
              </w:rPr>
              <w:t xml:space="preserve"> </w:t>
            </w:r>
            <w:r w:rsidR="00E671C3" w:rsidRPr="00B82D30">
              <w:rPr>
                <w:spacing w:val="-2"/>
              </w:rPr>
              <w:t>vlastní</w:t>
            </w:r>
            <w:r w:rsidRPr="00B82D30">
              <w:rPr>
                <w:spacing w:val="-2"/>
              </w:rPr>
              <w:t xml:space="preserve"> hrubé přidané hodnoty</w:t>
            </w:r>
            <w:r w:rsidR="00EE4D50" w:rsidRPr="00B82D30">
              <w:rPr>
                <w:spacing w:val="-2"/>
              </w:rPr>
              <w:t xml:space="preserve"> primárního sektor</w:t>
            </w:r>
            <w:r w:rsidR="005E2E2D" w:rsidRPr="00B82D30">
              <w:rPr>
                <w:spacing w:val="-2"/>
              </w:rPr>
              <w:t>u</w:t>
            </w:r>
            <w:r w:rsidR="00373C67" w:rsidRPr="00B82D30">
              <w:rPr>
                <w:spacing w:val="-2"/>
              </w:rPr>
              <w:t xml:space="preserve"> respektive</w:t>
            </w:r>
            <w:r w:rsidR="00BB769E" w:rsidRPr="00B82D30">
              <w:rPr>
                <w:spacing w:val="-2"/>
              </w:rPr>
              <w:t xml:space="preserve"> jeho dílčích odvětví</w:t>
            </w:r>
            <w:r w:rsidR="00373C67" w:rsidRPr="00B82D30">
              <w:rPr>
                <w:spacing w:val="-2"/>
              </w:rPr>
              <w:t>, a to</w:t>
            </w:r>
            <w:r w:rsidR="004E6860" w:rsidRPr="00B82D30">
              <w:rPr>
                <w:spacing w:val="-2"/>
              </w:rPr>
              <w:t xml:space="preserve"> i</w:t>
            </w:r>
            <w:r w:rsidR="008D4A75" w:rsidRPr="00B82D30">
              <w:rPr>
                <w:spacing w:val="-2"/>
              </w:rPr>
              <w:t xml:space="preserve"> v kontext</w:t>
            </w:r>
            <w:r w:rsidR="00310BF1" w:rsidRPr="00B82D30">
              <w:rPr>
                <w:spacing w:val="-2"/>
              </w:rPr>
              <w:t>u ostatních odvětví v ekonomice.</w:t>
            </w:r>
            <w:r w:rsidR="008D4A75" w:rsidRPr="00B82D30">
              <w:rPr>
                <w:spacing w:val="-2"/>
              </w:rPr>
              <w:t xml:space="preserve"> </w:t>
            </w:r>
            <w:r w:rsidR="00310BF1" w:rsidRPr="00B82D30">
              <w:rPr>
                <w:spacing w:val="-2"/>
              </w:rPr>
              <w:t>Důraz je kladen především na vývoj v</w:t>
            </w:r>
            <w:r w:rsidR="008D4A75" w:rsidRPr="00B82D30">
              <w:rPr>
                <w:spacing w:val="-2"/>
              </w:rPr>
              <w:t xml:space="preserve"> poslední</w:t>
            </w:r>
            <w:r w:rsidR="00310BF1" w:rsidRPr="00B82D30">
              <w:rPr>
                <w:spacing w:val="-2"/>
              </w:rPr>
              <w:t>ch letech</w:t>
            </w:r>
            <w:r w:rsidR="008D4A75" w:rsidRPr="00B82D30">
              <w:rPr>
                <w:spacing w:val="-2"/>
              </w:rPr>
              <w:t>.</w:t>
            </w:r>
          </w:p>
        </w:tc>
      </w:tr>
    </w:tbl>
    <w:p w:rsidR="000B7410" w:rsidRPr="00B82D30" w:rsidRDefault="000B7410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9694"/>
      </w:tblGrid>
      <w:tr w:rsidR="000B7410" w:rsidRPr="00B82D30" w:rsidTr="00011A65">
        <w:tc>
          <w:tcPr>
            <w:tcW w:w="5000" w:type="pct"/>
          </w:tcPr>
          <w:p w:rsidR="000B7410" w:rsidRPr="00B82D30" w:rsidRDefault="000B7410" w:rsidP="0005268C">
            <w:pPr>
              <w:pStyle w:val="Textpoznpodarou"/>
              <w:jc w:val="both"/>
              <w:rPr>
                <w:sz w:val="22"/>
                <w:szCs w:val="22"/>
              </w:rPr>
            </w:pPr>
            <w:r w:rsidRPr="00B82D30">
              <w:rPr>
                <w:b/>
                <w:sz w:val="22"/>
                <w:szCs w:val="22"/>
              </w:rPr>
              <w:t>1.1. Význam primárního sektoru</w:t>
            </w:r>
            <w:r w:rsidR="007E17CC" w:rsidRPr="00B82D30">
              <w:rPr>
                <w:b/>
                <w:sz w:val="22"/>
                <w:szCs w:val="22"/>
              </w:rPr>
              <w:t xml:space="preserve"> </w:t>
            </w:r>
            <w:r w:rsidRPr="00B82D30">
              <w:rPr>
                <w:b/>
                <w:sz w:val="22"/>
                <w:szCs w:val="22"/>
              </w:rPr>
              <w:t>z</w:t>
            </w:r>
            <w:r w:rsidR="00532592" w:rsidRPr="00B82D30">
              <w:rPr>
                <w:b/>
                <w:sz w:val="22"/>
                <w:szCs w:val="22"/>
              </w:rPr>
              <w:t> </w:t>
            </w:r>
            <w:r w:rsidRPr="00B82D30">
              <w:rPr>
                <w:b/>
                <w:sz w:val="22"/>
                <w:szCs w:val="22"/>
              </w:rPr>
              <w:t>hledi</w:t>
            </w:r>
            <w:r w:rsidR="00532592" w:rsidRPr="00B82D30">
              <w:rPr>
                <w:b/>
                <w:sz w:val="22"/>
                <w:szCs w:val="22"/>
              </w:rPr>
              <w:t>ska hrubé přidané hodnoty</w:t>
            </w:r>
            <w:r w:rsidRPr="00B82D30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</w:tbl>
    <w:p w:rsidR="000B7410" w:rsidRPr="00B82D30" w:rsidRDefault="000B7410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0B7410" w:rsidRPr="00B82D30" w:rsidTr="000E63FC">
        <w:tc>
          <w:tcPr>
            <w:tcW w:w="1054" w:type="pct"/>
          </w:tcPr>
          <w:p w:rsidR="000B7410" w:rsidRPr="00B82D30" w:rsidRDefault="00E12CF4" w:rsidP="007B65C1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Hrubá přidaná hodnota</w:t>
            </w:r>
            <w:r w:rsidR="009C11F0" w:rsidRPr="00B82D30">
              <w:rPr>
                <w:sz w:val="16"/>
                <w:szCs w:val="16"/>
              </w:rPr>
              <w:t xml:space="preserve"> tuzemského primárního sektoru </w:t>
            </w:r>
            <w:r w:rsidR="00416B79" w:rsidRPr="00B82D30">
              <w:rPr>
                <w:sz w:val="16"/>
                <w:szCs w:val="16"/>
              </w:rPr>
              <w:t>mezi roky</w:t>
            </w:r>
            <w:r w:rsidR="009C11F0" w:rsidRPr="00B82D30">
              <w:rPr>
                <w:sz w:val="16"/>
                <w:szCs w:val="16"/>
              </w:rPr>
              <w:t xml:space="preserve"> </w:t>
            </w:r>
            <w:r w:rsidR="00416B79" w:rsidRPr="00B82D30">
              <w:rPr>
                <w:sz w:val="16"/>
                <w:szCs w:val="16"/>
              </w:rPr>
              <w:t>199</w:t>
            </w:r>
            <w:r w:rsidR="005D7AD8" w:rsidRPr="00B82D30">
              <w:rPr>
                <w:sz w:val="16"/>
                <w:szCs w:val="16"/>
              </w:rPr>
              <w:t>3</w:t>
            </w:r>
            <w:r w:rsidR="00416B79" w:rsidRPr="00B82D30">
              <w:rPr>
                <w:sz w:val="16"/>
                <w:szCs w:val="16"/>
              </w:rPr>
              <w:t xml:space="preserve"> a</w:t>
            </w:r>
            <w:r w:rsidRPr="00B82D30">
              <w:rPr>
                <w:sz w:val="16"/>
                <w:szCs w:val="16"/>
              </w:rPr>
              <w:t> </w:t>
            </w:r>
            <w:r w:rsidR="00591C64" w:rsidRPr="00B82D30">
              <w:rPr>
                <w:sz w:val="16"/>
                <w:szCs w:val="16"/>
              </w:rPr>
              <w:t>2013</w:t>
            </w:r>
            <w:r w:rsidR="009C11F0" w:rsidRPr="00B82D30">
              <w:rPr>
                <w:sz w:val="16"/>
                <w:szCs w:val="16"/>
              </w:rPr>
              <w:t xml:space="preserve"> </w:t>
            </w:r>
            <w:r w:rsidR="00416B79" w:rsidRPr="00B82D30">
              <w:rPr>
                <w:sz w:val="16"/>
                <w:szCs w:val="16"/>
              </w:rPr>
              <w:t>na</w:t>
            </w:r>
            <w:r w:rsidR="008679FD" w:rsidRPr="00B82D30">
              <w:rPr>
                <w:sz w:val="16"/>
                <w:szCs w:val="16"/>
              </w:rPr>
              <w:t>rostla, jeho význam v ekonomice</w:t>
            </w:r>
            <w:r w:rsidR="009C11F0" w:rsidRPr="00B82D30">
              <w:rPr>
                <w:sz w:val="16"/>
                <w:szCs w:val="16"/>
              </w:rPr>
              <w:t xml:space="preserve"> se</w:t>
            </w:r>
            <w:r w:rsidR="007B65C1" w:rsidRPr="00B82D30">
              <w:rPr>
                <w:sz w:val="16"/>
                <w:szCs w:val="16"/>
              </w:rPr>
              <w:t> </w:t>
            </w:r>
            <w:r w:rsidR="009C11F0" w:rsidRPr="00B82D30">
              <w:rPr>
                <w:sz w:val="16"/>
                <w:szCs w:val="16"/>
              </w:rPr>
              <w:t xml:space="preserve">přesto </w:t>
            </w:r>
            <w:r w:rsidR="00416B79" w:rsidRPr="00B82D30">
              <w:rPr>
                <w:sz w:val="16"/>
                <w:szCs w:val="16"/>
              </w:rPr>
              <w:t>snížil na méně než</w:t>
            </w:r>
            <w:r w:rsidR="007B65C1" w:rsidRPr="00B82D30">
              <w:rPr>
                <w:sz w:val="16"/>
                <w:szCs w:val="16"/>
              </w:rPr>
              <w:t> </w:t>
            </w:r>
            <w:r w:rsidR="00416B79" w:rsidRPr="00B82D30">
              <w:rPr>
                <w:sz w:val="16"/>
                <w:szCs w:val="16"/>
              </w:rPr>
              <w:t>polovinu</w:t>
            </w:r>
          </w:p>
        </w:tc>
        <w:tc>
          <w:tcPr>
            <w:tcW w:w="142" w:type="pct"/>
          </w:tcPr>
          <w:p w:rsidR="000B7410" w:rsidRPr="00B82D30" w:rsidRDefault="000B7410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3812F2" w:rsidRPr="00B82D30" w:rsidRDefault="003812F2" w:rsidP="003812F2">
            <w:pPr>
              <w:pStyle w:val="Textpoznpodarou"/>
              <w:jc w:val="both"/>
            </w:pPr>
            <w:r w:rsidRPr="00B82D30">
              <w:t>Hrubá přidaná hodnota</w:t>
            </w:r>
            <w:r w:rsidR="00EA66F7" w:rsidRPr="00B82D30">
              <w:t xml:space="preserve"> (HPH)</w:t>
            </w:r>
            <w:r w:rsidR="000B7410" w:rsidRPr="00B82D30">
              <w:t xml:space="preserve"> českéh</w:t>
            </w:r>
            <w:r w:rsidR="00591C64" w:rsidRPr="00B82D30">
              <w:t>o primárního sektoru</w:t>
            </w:r>
            <w:r w:rsidRPr="00B82D30">
              <w:t xml:space="preserve"> dosáhla</w:t>
            </w:r>
            <w:r w:rsidR="00591C64" w:rsidRPr="00B82D30">
              <w:t xml:space="preserve"> v roce 2013</w:t>
            </w:r>
            <w:r w:rsidR="000B7410" w:rsidRPr="00B82D30">
              <w:t xml:space="preserve"> </w:t>
            </w:r>
            <w:r w:rsidR="002E6F53" w:rsidRPr="00B82D30">
              <w:t>130</w:t>
            </w:r>
            <w:r w:rsidR="000B7410" w:rsidRPr="00B82D30">
              <w:t>,</w:t>
            </w:r>
            <w:r w:rsidR="002E6F53" w:rsidRPr="00B82D30">
              <w:t>9</w:t>
            </w:r>
            <w:r w:rsidR="00591C64" w:rsidRPr="00B82D30">
              <w:t xml:space="preserve"> mld. korun. </w:t>
            </w:r>
            <w:r w:rsidR="00E31EC9" w:rsidRPr="00B82D30">
              <w:t>Třebaže to</w:t>
            </w:r>
            <w:r w:rsidR="00591C64" w:rsidRPr="00B82D30">
              <w:t xml:space="preserve"> bylo o</w:t>
            </w:r>
            <w:r w:rsidR="00E31EC9" w:rsidRPr="00B82D30">
              <w:t> </w:t>
            </w:r>
            <w:r w:rsidR="002E6F53" w:rsidRPr="00B82D30">
              <w:t>52,5</w:t>
            </w:r>
            <w:r w:rsidR="00E31EC9" w:rsidRPr="00B82D30">
              <w:t> </w:t>
            </w:r>
            <w:r w:rsidR="000B7410" w:rsidRPr="00B82D30">
              <w:t>mld.</w:t>
            </w:r>
            <w:r w:rsidR="00E31EC9" w:rsidRPr="00B82D30">
              <w:t> </w:t>
            </w:r>
            <w:r w:rsidR="000B7410" w:rsidRPr="00B82D30">
              <w:t>korun více než</w:t>
            </w:r>
            <w:r w:rsidR="00964525" w:rsidRPr="00B82D30">
              <w:t> </w:t>
            </w:r>
            <w:r w:rsidR="00E31EC9" w:rsidRPr="00B82D30">
              <w:t xml:space="preserve">v roce 1993, </w:t>
            </w:r>
            <w:r w:rsidR="000B7410" w:rsidRPr="00B82D30">
              <w:t>význam primárního sektoru v tuzemské ekonomice</w:t>
            </w:r>
            <w:r w:rsidR="00E31EC9" w:rsidRPr="00B82D30">
              <w:t xml:space="preserve"> </w:t>
            </w:r>
            <w:r w:rsidR="000D3514" w:rsidRPr="00B82D30">
              <w:t>se snížil</w:t>
            </w:r>
            <w:r w:rsidR="000B7410" w:rsidRPr="00B82D30">
              <w:t>. Jestliže v prv</w:t>
            </w:r>
            <w:r w:rsidR="00237FC7" w:rsidRPr="00B82D30">
              <w:t>ním roce existence samostatné České republiky</w:t>
            </w:r>
            <w:r w:rsidR="000B7410" w:rsidRPr="00B82D30">
              <w:t xml:space="preserve"> tvořila </w:t>
            </w:r>
            <w:r w:rsidR="00E12CF4" w:rsidRPr="00B82D30">
              <w:t>hrubá</w:t>
            </w:r>
            <w:r w:rsidR="00237FC7" w:rsidRPr="00B82D30">
              <w:t> </w:t>
            </w:r>
            <w:r w:rsidR="00E12CF4" w:rsidRPr="00B82D30">
              <w:t>přidaná</w:t>
            </w:r>
            <w:r w:rsidR="00924F47" w:rsidRPr="00B82D30">
              <w:t> </w:t>
            </w:r>
            <w:r w:rsidR="00E12CF4" w:rsidRPr="00B82D30">
              <w:t>hodnota primárního sektoru</w:t>
            </w:r>
            <w:r w:rsidR="002E6F53" w:rsidRPr="00B82D30">
              <w:t xml:space="preserve"> 7,3</w:t>
            </w:r>
            <w:r w:rsidR="000B7410" w:rsidRPr="00B82D30">
              <w:t xml:space="preserve"> % </w:t>
            </w:r>
            <w:r w:rsidR="00E12CF4" w:rsidRPr="00B82D30">
              <w:t>hrubé přidané hodnoty</w:t>
            </w:r>
            <w:r w:rsidR="000B7410" w:rsidRPr="00B82D30">
              <w:t xml:space="preserve"> celé ekonomiky, v roce </w:t>
            </w:r>
            <w:r w:rsidR="00237FC7" w:rsidRPr="00B82D30">
              <w:t>2003, rok před vstupem do Evropské unie</w:t>
            </w:r>
            <w:r w:rsidR="004A7C40" w:rsidRPr="00B82D30">
              <w:t xml:space="preserve">, </w:t>
            </w:r>
            <w:r w:rsidR="002E6F53" w:rsidRPr="00B82D30">
              <w:t>již jen 3,7</w:t>
            </w:r>
            <w:r w:rsidR="000B7410" w:rsidRPr="00B82D30">
              <w:t xml:space="preserve"> %. </w:t>
            </w:r>
            <w:r w:rsidR="00591C64" w:rsidRPr="00B82D30">
              <w:t>V následujících letech</w:t>
            </w:r>
            <w:r w:rsidR="000B7410" w:rsidRPr="00B82D30">
              <w:t xml:space="preserve"> se</w:t>
            </w:r>
            <w:r w:rsidR="00924F47" w:rsidRPr="00B82D30">
              <w:t> </w:t>
            </w:r>
            <w:r w:rsidR="000B7410" w:rsidRPr="00B82D30">
              <w:t xml:space="preserve">podíl </w:t>
            </w:r>
            <w:r w:rsidR="00E12CF4" w:rsidRPr="00B82D30">
              <w:t>hrubé přidané hodnoty</w:t>
            </w:r>
            <w:r w:rsidR="000B7410" w:rsidRPr="00B82D30">
              <w:t xml:space="preserve"> primárního sektoru na celku </w:t>
            </w:r>
            <w:r w:rsidR="00A17847" w:rsidRPr="00B82D30">
              <w:t xml:space="preserve">snižoval </w:t>
            </w:r>
            <w:r w:rsidR="00924F47" w:rsidRPr="00B82D30">
              <w:t>již výrazně </w:t>
            </w:r>
            <w:r w:rsidR="00A17847" w:rsidRPr="00B82D30">
              <w:t>po</w:t>
            </w:r>
            <w:r w:rsidR="00924F47" w:rsidRPr="00B82D30">
              <w:t>maleji,</w:t>
            </w:r>
            <w:r w:rsidR="00591C64" w:rsidRPr="00B82D30">
              <w:t xml:space="preserve"> </w:t>
            </w:r>
            <w:r w:rsidR="00A17847" w:rsidRPr="00B82D30">
              <w:t>do</w:t>
            </w:r>
            <w:r w:rsidR="004A7C40" w:rsidRPr="00B82D30">
              <w:t> </w:t>
            </w:r>
            <w:r w:rsidR="00A17847" w:rsidRPr="00B82D30">
              <w:t>roku 2013 klesl na</w:t>
            </w:r>
            <w:r w:rsidR="002E6F53" w:rsidRPr="00B82D30">
              <w:t xml:space="preserve"> 3,6</w:t>
            </w:r>
            <w:r w:rsidR="00E12CF4" w:rsidRPr="00B82D30">
              <w:t xml:space="preserve"> %.</w:t>
            </w:r>
            <w:r w:rsidR="00924F47" w:rsidRPr="00B82D30">
              <w:t xml:space="preserve"> </w:t>
            </w:r>
          </w:p>
          <w:p w:rsidR="003812F2" w:rsidRPr="00B82D30" w:rsidRDefault="003812F2" w:rsidP="003812F2">
            <w:pPr>
              <w:pStyle w:val="Textpoznpodarou"/>
              <w:jc w:val="both"/>
              <w:rPr>
                <w:spacing w:val="-2"/>
              </w:rPr>
            </w:pPr>
          </w:p>
          <w:p w:rsidR="000B7410" w:rsidRPr="00300F07" w:rsidRDefault="00924F47" w:rsidP="003812F2">
            <w:pPr>
              <w:pStyle w:val="Textpoznpodarou"/>
              <w:jc w:val="both"/>
              <w:rPr>
                <w:spacing w:val="-6"/>
              </w:rPr>
            </w:pPr>
            <w:r w:rsidRPr="00300F07">
              <w:rPr>
                <w:spacing w:val="-6"/>
              </w:rPr>
              <w:t>Jestliže se v</w:t>
            </w:r>
            <w:r w:rsidR="002E6F53" w:rsidRPr="00300F07">
              <w:rPr>
                <w:spacing w:val="-6"/>
              </w:rPr>
              <w:t xml:space="preserve">ýznam sekundárního </w:t>
            </w:r>
            <w:r w:rsidR="00A92105" w:rsidRPr="00300F07">
              <w:rPr>
                <w:spacing w:val="-6"/>
              </w:rPr>
              <w:t>sektoru –</w:t>
            </w:r>
            <w:r w:rsidRPr="00300F07">
              <w:rPr>
                <w:spacing w:val="-6"/>
              </w:rPr>
              <w:t xml:space="preserve"> tj. zpracovatelského</w:t>
            </w:r>
            <w:r w:rsidR="002E6F53" w:rsidRPr="00300F07">
              <w:rPr>
                <w:spacing w:val="-6"/>
              </w:rPr>
              <w:t xml:space="preserve"> průmysl</w:t>
            </w:r>
            <w:r w:rsidRPr="00300F07">
              <w:rPr>
                <w:spacing w:val="-6"/>
              </w:rPr>
              <w:t>u, energetiky</w:t>
            </w:r>
            <w:r w:rsidR="00300F07" w:rsidRPr="00300F07">
              <w:rPr>
                <w:spacing w:val="-6"/>
              </w:rPr>
              <w:t xml:space="preserve"> (sekce D)</w:t>
            </w:r>
            <w:r w:rsidRPr="00300F07">
              <w:rPr>
                <w:spacing w:val="-6"/>
              </w:rPr>
              <w:t>, zásobování vodou a stavebnictví</w:t>
            </w:r>
            <w:r w:rsidR="00A92105" w:rsidRPr="00300F07">
              <w:rPr>
                <w:spacing w:val="-6"/>
              </w:rPr>
              <w:t xml:space="preserve"> –</w:t>
            </w:r>
            <w:r w:rsidRPr="00300F07">
              <w:rPr>
                <w:spacing w:val="-6"/>
              </w:rPr>
              <w:t xml:space="preserve"> v podstatě nezměnil</w:t>
            </w:r>
            <w:r w:rsidR="002E6F53" w:rsidRPr="00300F07">
              <w:rPr>
                <w:spacing w:val="-6"/>
              </w:rPr>
              <w:t xml:space="preserve"> </w:t>
            </w:r>
            <w:r w:rsidRPr="00300F07">
              <w:rPr>
                <w:spacing w:val="-6"/>
              </w:rPr>
              <w:t>(</w:t>
            </w:r>
            <w:r w:rsidR="002E6F53" w:rsidRPr="00300F07">
              <w:rPr>
                <w:spacing w:val="-6"/>
              </w:rPr>
              <w:t xml:space="preserve">mezi roky 1993 a </w:t>
            </w:r>
            <w:r w:rsidR="00A92105" w:rsidRPr="00300F07">
              <w:rPr>
                <w:spacing w:val="-6"/>
              </w:rPr>
              <w:t>2013 ztratil ze své proporce</w:t>
            </w:r>
            <w:r w:rsidR="002E6F53" w:rsidRPr="00300F07">
              <w:rPr>
                <w:spacing w:val="-6"/>
              </w:rPr>
              <w:t xml:space="preserve"> 0,1 </w:t>
            </w:r>
            <w:proofErr w:type="spellStart"/>
            <w:r w:rsidR="002E6F53" w:rsidRPr="00300F07">
              <w:rPr>
                <w:spacing w:val="-6"/>
              </w:rPr>
              <w:t>pb</w:t>
            </w:r>
            <w:proofErr w:type="spellEnd"/>
            <w:r w:rsidR="002E6F53" w:rsidRPr="00300F07">
              <w:rPr>
                <w:spacing w:val="-6"/>
              </w:rPr>
              <w:t>.</w:t>
            </w:r>
            <w:r w:rsidRPr="00300F07">
              <w:rPr>
                <w:spacing w:val="-6"/>
              </w:rPr>
              <w:t>), je </w:t>
            </w:r>
            <w:r w:rsidR="002E6F53" w:rsidRPr="00300F07">
              <w:rPr>
                <w:spacing w:val="-6"/>
              </w:rPr>
              <w:t>patrné, že</w:t>
            </w:r>
            <w:r w:rsidRPr="00300F07">
              <w:rPr>
                <w:spacing w:val="-6"/>
              </w:rPr>
              <w:t xml:space="preserve"> musela</w:t>
            </w:r>
            <w:r w:rsidR="002E6F53" w:rsidRPr="00300F07">
              <w:rPr>
                <w:spacing w:val="-6"/>
              </w:rPr>
              <w:t xml:space="preserve"> </w:t>
            </w:r>
            <w:r w:rsidRPr="00300F07">
              <w:rPr>
                <w:spacing w:val="-6"/>
              </w:rPr>
              <w:t>výrazně posílit</w:t>
            </w:r>
            <w:r w:rsidR="002E6F53" w:rsidRPr="00300F07">
              <w:rPr>
                <w:spacing w:val="-6"/>
              </w:rPr>
              <w:t xml:space="preserve"> role terciárního</w:t>
            </w:r>
            <w:r w:rsidRPr="00300F07">
              <w:rPr>
                <w:spacing w:val="-6"/>
              </w:rPr>
              <w:t xml:space="preserve"> sektoru, tedy </w:t>
            </w:r>
            <w:r w:rsidR="002E6F53" w:rsidRPr="00300F07">
              <w:rPr>
                <w:spacing w:val="-6"/>
              </w:rPr>
              <w:t>služeb.</w:t>
            </w:r>
            <w:r w:rsidRPr="00300F07">
              <w:rPr>
                <w:spacing w:val="-6"/>
              </w:rPr>
              <w:t xml:space="preserve"> </w:t>
            </w:r>
            <w:r w:rsidR="000B7410" w:rsidRPr="00300F07">
              <w:rPr>
                <w:spacing w:val="-6"/>
              </w:rPr>
              <w:t xml:space="preserve">Struktura tuzemské ekonomiky z hlediska </w:t>
            </w:r>
            <w:r w:rsidR="00E12CF4" w:rsidRPr="00300F07">
              <w:rPr>
                <w:spacing w:val="-6"/>
              </w:rPr>
              <w:t>hrubé přidané hodnoty</w:t>
            </w:r>
            <w:r w:rsidR="000B7410" w:rsidRPr="00300F07">
              <w:rPr>
                <w:spacing w:val="-6"/>
              </w:rPr>
              <w:t xml:space="preserve"> se</w:t>
            </w:r>
            <w:r w:rsidRPr="00300F07">
              <w:rPr>
                <w:spacing w:val="-6"/>
              </w:rPr>
              <w:t> </w:t>
            </w:r>
            <w:r w:rsidR="000B7410" w:rsidRPr="00300F07">
              <w:rPr>
                <w:spacing w:val="-6"/>
              </w:rPr>
              <w:t>změnila ve</w:t>
            </w:r>
            <w:r w:rsidRPr="00300F07">
              <w:rPr>
                <w:spacing w:val="-6"/>
              </w:rPr>
              <w:t xml:space="preserve"> prospěch</w:t>
            </w:r>
            <w:r w:rsidR="000B7410" w:rsidRPr="00300F07">
              <w:rPr>
                <w:spacing w:val="-6"/>
              </w:rPr>
              <w:t xml:space="preserve"> </w:t>
            </w:r>
            <w:r w:rsidR="002E6F53" w:rsidRPr="00300F07">
              <w:rPr>
                <w:spacing w:val="-6"/>
              </w:rPr>
              <w:t>odvětví</w:t>
            </w:r>
            <w:r w:rsidR="000B7410" w:rsidRPr="00300F07">
              <w:rPr>
                <w:spacing w:val="-6"/>
              </w:rPr>
              <w:t xml:space="preserve"> více náročných na kvalifikovanou práci.</w:t>
            </w:r>
          </w:p>
        </w:tc>
      </w:tr>
    </w:tbl>
    <w:p w:rsidR="000B7410" w:rsidRPr="00B82D30" w:rsidRDefault="000B7410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97"/>
        <w:gridCol w:w="4260"/>
        <w:gridCol w:w="562"/>
        <w:gridCol w:w="4275"/>
      </w:tblGrid>
      <w:tr w:rsidR="008841EC" w:rsidRPr="00B82D30" w:rsidTr="00011A65">
        <w:tc>
          <w:tcPr>
            <w:tcW w:w="307" w:type="pct"/>
          </w:tcPr>
          <w:p w:rsidR="008841EC" w:rsidRPr="00B82D30" w:rsidRDefault="008841EC" w:rsidP="00011A65">
            <w:pPr>
              <w:pStyle w:val="Textpoznpodarou"/>
            </w:pPr>
            <w:r w:rsidRPr="00B82D30">
              <w:t>Graf č. 1</w:t>
            </w:r>
          </w:p>
        </w:tc>
        <w:tc>
          <w:tcPr>
            <w:tcW w:w="2194" w:type="pct"/>
          </w:tcPr>
          <w:p w:rsidR="008841EC" w:rsidRPr="00B82D30" w:rsidRDefault="008841EC" w:rsidP="00011A65">
            <w:pPr>
              <w:pStyle w:val="Textpoznpodarou"/>
              <w:rPr>
                <w:spacing w:val="-4"/>
              </w:rPr>
            </w:pPr>
            <w:r w:rsidRPr="00B82D30">
              <w:rPr>
                <w:b/>
                <w:spacing w:val="-4"/>
              </w:rPr>
              <w:t>Struktura ekonomiky ČR z hlediska HPH v roce 1993</w:t>
            </w:r>
            <w:r w:rsidRPr="00B82D30">
              <w:rPr>
                <w:spacing w:val="-4"/>
              </w:rPr>
              <w:t xml:space="preserve"> (nominální hodnoty, v %)</w:t>
            </w:r>
          </w:p>
        </w:tc>
        <w:tc>
          <w:tcPr>
            <w:tcW w:w="292" w:type="pct"/>
          </w:tcPr>
          <w:p w:rsidR="008841EC" w:rsidRPr="00B82D30" w:rsidRDefault="008841EC" w:rsidP="00011A65">
            <w:pPr>
              <w:pStyle w:val="Textpoznpodarou"/>
            </w:pPr>
            <w:r w:rsidRPr="00B82D30">
              <w:t>Graf č. 2</w:t>
            </w:r>
          </w:p>
        </w:tc>
        <w:tc>
          <w:tcPr>
            <w:tcW w:w="2207" w:type="pct"/>
          </w:tcPr>
          <w:p w:rsidR="008841EC" w:rsidRPr="00B82D30" w:rsidRDefault="008841EC" w:rsidP="00011A65">
            <w:pPr>
              <w:pStyle w:val="Textpoznpodarou"/>
              <w:rPr>
                <w:spacing w:val="-2"/>
              </w:rPr>
            </w:pPr>
            <w:r w:rsidRPr="00B82D30">
              <w:rPr>
                <w:b/>
                <w:spacing w:val="-2"/>
              </w:rPr>
              <w:t>Struktura ekonomiky ČR z hlediska HPH v roce 2013</w:t>
            </w:r>
            <w:r w:rsidRPr="00B82D30">
              <w:rPr>
                <w:spacing w:val="-2"/>
              </w:rPr>
              <w:t xml:space="preserve"> (nominální hodnoty, v %)</w:t>
            </w:r>
          </w:p>
        </w:tc>
      </w:tr>
      <w:tr w:rsidR="008841EC" w:rsidRPr="00B82D30" w:rsidTr="00011A65">
        <w:tc>
          <w:tcPr>
            <w:tcW w:w="2501" w:type="pct"/>
            <w:gridSpan w:val="2"/>
          </w:tcPr>
          <w:p w:rsidR="008841EC" w:rsidRPr="00B82D30" w:rsidRDefault="00924F47" w:rsidP="00011A65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28950" cy="2188845"/>
                  <wp:effectExtent l="19050" t="0" r="0" b="0"/>
                  <wp:docPr id="2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2"/>
          </w:tcPr>
          <w:p w:rsidR="008841EC" w:rsidRPr="00B82D30" w:rsidRDefault="00924F47" w:rsidP="00011A65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2980676" cy="2190750"/>
                  <wp:effectExtent l="19050" t="0" r="0" b="0"/>
                  <wp:docPr id="4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084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EC" w:rsidRPr="00B82D30" w:rsidTr="00011A65">
        <w:tc>
          <w:tcPr>
            <w:tcW w:w="5000" w:type="pct"/>
            <w:gridSpan w:val="4"/>
          </w:tcPr>
          <w:p w:rsidR="008841EC" w:rsidRPr="00B82D30" w:rsidRDefault="008841EC" w:rsidP="00011A65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924F47" w:rsidRPr="00B82D30" w:rsidRDefault="00924F47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8841EC" w:rsidRPr="00B82D30" w:rsidTr="000E63FC">
        <w:trPr>
          <w:trHeight w:val="1395"/>
        </w:trPr>
        <w:tc>
          <w:tcPr>
            <w:tcW w:w="1054" w:type="pct"/>
          </w:tcPr>
          <w:p w:rsidR="008841EC" w:rsidRPr="00B82D30" w:rsidRDefault="008841EC" w:rsidP="00011A6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Význam primárního sektoru se zmenšoval s výjimkou čtyř let </w:t>
            </w:r>
            <w:r w:rsidR="00610A47" w:rsidRPr="00B82D30">
              <w:rPr>
                <w:sz w:val="16"/>
                <w:szCs w:val="16"/>
              </w:rPr>
              <w:t xml:space="preserve">s </w:t>
            </w:r>
            <w:r w:rsidRPr="00B82D30">
              <w:rPr>
                <w:sz w:val="16"/>
                <w:szCs w:val="16"/>
              </w:rPr>
              <w:t>každým rokem, …</w:t>
            </w:r>
          </w:p>
        </w:tc>
        <w:tc>
          <w:tcPr>
            <w:tcW w:w="142" w:type="pct"/>
          </w:tcPr>
          <w:p w:rsidR="008841EC" w:rsidRPr="00B82D30" w:rsidRDefault="008841EC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841EC" w:rsidRPr="00B82D30" w:rsidRDefault="008841EC" w:rsidP="00011A65">
            <w:pPr>
              <w:pStyle w:val="Textpoznpodarou"/>
              <w:jc w:val="both"/>
            </w:pPr>
            <w:r w:rsidRPr="00B82D30">
              <w:t>Váha primárního sektoru v ekonomice ČR se mezi roky 1993 a 2013 snižovala každoročně s výjimkou let</w:t>
            </w:r>
            <w:r w:rsidR="001C3DFB" w:rsidRPr="00B82D30">
              <w:t xml:space="preserve"> 2004, 2008 a 2012,</w:t>
            </w:r>
            <w:r w:rsidRPr="00B82D30">
              <w:t xml:space="preserve"> kdy </w:t>
            </w:r>
            <w:r w:rsidR="00382B9D" w:rsidRPr="00B82D30">
              <w:t xml:space="preserve">se zvýšila o 0,1 </w:t>
            </w:r>
            <w:proofErr w:type="spellStart"/>
            <w:r w:rsidR="00382B9D" w:rsidRPr="00B82D30">
              <w:t>pb</w:t>
            </w:r>
            <w:proofErr w:type="spellEnd"/>
            <w:r w:rsidR="00382B9D" w:rsidRPr="00B82D30">
              <w:t>.</w:t>
            </w:r>
            <w:r w:rsidRPr="00B82D30">
              <w:t xml:space="preserve">, a roku 2011, kdy primární sektor posílil </w:t>
            </w:r>
            <w:r w:rsidR="00382B9D" w:rsidRPr="00B82D30">
              <w:t>o na první pohled významných 0,8</w:t>
            </w:r>
            <w:r w:rsidRPr="00B82D30">
              <w:t xml:space="preserve"> </w:t>
            </w:r>
            <w:proofErr w:type="spellStart"/>
            <w:r w:rsidRPr="00B82D30">
              <w:t>pb</w:t>
            </w:r>
            <w:proofErr w:type="spellEnd"/>
            <w:r w:rsidRPr="00B82D30">
              <w:t xml:space="preserve">. Tento růst byl </w:t>
            </w:r>
            <w:r w:rsidR="00CE46F7" w:rsidRPr="00B82D30">
              <w:t xml:space="preserve">ale </w:t>
            </w:r>
            <w:r w:rsidR="00382B9D" w:rsidRPr="00B82D30">
              <w:t xml:space="preserve">z velké části </w:t>
            </w:r>
            <w:r w:rsidRPr="00B82D30">
              <w:t>dán nízkou srovnávací základnou</w:t>
            </w:r>
            <w:r w:rsidR="00BE099A" w:rsidRPr="00B82D30">
              <w:t>.</w:t>
            </w:r>
            <w:r w:rsidRPr="00B82D30">
              <w:t xml:space="preserve"> </w:t>
            </w:r>
            <w:r w:rsidR="00BE099A" w:rsidRPr="00B82D30">
              <w:t>Propad</w:t>
            </w:r>
            <w:r w:rsidRPr="00B82D30">
              <w:t xml:space="preserve"> cen rost</w:t>
            </w:r>
            <w:r w:rsidR="00BE099A" w:rsidRPr="00B82D30">
              <w:t>linné produkce na světovém trhu totiž vedl</w:t>
            </w:r>
            <w:r w:rsidRPr="00B82D30">
              <w:t xml:space="preserve"> </w:t>
            </w:r>
            <w:r w:rsidR="00BE099A" w:rsidRPr="00B82D30">
              <w:t xml:space="preserve">k nízké </w:t>
            </w:r>
            <w:r w:rsidRPr="00B82D30">
              <w:t>HPH</w:t>
            </w:r>
            <w:r w:rsidR="00BE099A" w:rsidRPr="00B82D30">
              <w:t xml:space="preserve"> primárního sektoru</w:t>
            </w:r>
            <w:r w:rsidR="00683F3C" w:rsidRPr="00B82D30">
              <w:t xml:space="preserve"> v běžných cenách</w:t>
            </w:r>
            <w:r w:rsidRPr="00B82D30">
              <w:t xml:space="preserve"> v letech 2009 a 2010.</w:t>
            </w:r>
          </w:p>
          <w:p w:rsidR="008841EC" w:rsidRPr="00B82D30" w:rsidRDefault="008841EC" w:rsidP="00011A65">
            <w:pPr>
              <w:pStyle w:val="Textpoznpodarou"/>
              <w:jc w:val="both"/>
            </w:pPr>
          </w:p>
        </w:tc>
      </w:tr>
      <w:tr w:rsidR="008841EC" w:rsidRPr="00B82D30" w:rsidTr="000E63FC">
        <w:trPr>
          <w:trHeight w:val="900"/>
        </w:trPr>
        <w:tc>
          <w:tcPr>
            <w:tcW w:w="1054" w:type="pct"/>
          </w:tcPr>
          <w:p w:rsidR="008841EC" w:rsidRPr="00B82D30" w:rsidRDefault="008841EC" w:rsidP="00011A6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rychlost však byla nejvyšší v období1994-2003</w:t>
            </w:r>
            <w:r w:rsidR="0045694D" w:rsidRPr="00B82D30">
              <w:rPr>
                <w:sz w:val="16"/>
                <w:szCs w:val="16"/>
              </w:rPr>
              <w:t>, …</w:t>
            </w:r>
          </w:p>
        </w:tc>
        <w:tc>
          <w:tcPr>
            <w:tcW w:w="142" w:type="pct"/>
          </w:tcPr>
          <w:p w:rsidR="008841EC" w:rsidRPr="00B82D30" w:rsidRDefault="008841EC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841EC" w:rsidRPr="00B82D30" w:rsidRDefault="008841EC" w:rsidP="00011A65">
            <w:pPr>
              <w:pStyle w:val="Textpoznpodarou"/>
              <w:jc w:val="both"/>
            </w:pPr>
            <w:r w:rsidRPr="00B82D30">
              <w:t>Jestliže se v letech 1994-2003 váha primárního sektoru zmenšovala každý rok v průměru o</w:t>
            </w:r>
            <w:r w:rsidR="00382B9D" w:rsidRPr="00B82D30">
              <w:t xml:space="preserve"> 0,36</w:t>
            </w:r>
            <w:r w:rsidRPr="00B82D30">
              <w:t xml:space="preserve"> </w:t>
            </w:r>
            <w:proofErr w:type="spellStart"/>
            <w:r w:rsidRPr="00B82D30">
              <w:t>pb</w:t>
            </w:r>
            <w:proofErr w:type="spellEnd"/>
            <w:r w:rsidRPr="00B82D30">
              <w:t>., v letech 2004-2013 jen o 0,0</w:t>
            </w:r>
            <w:r w:rsidR="00382B9D" w:rsidRPr="00B82D30">
              <w:t>1</w:t>
            </w:r>
            <w:r w:rsidR="007B65C1" w:rsidRPr="00B82D30">
              <w:t xml:space="preserve"> </w:t>
            </w:r>
            <w:proofErr w:type="spellStart"/>
            <w:r w:rsidR="007B65C1" w:rsidRPr="00B82D30">
              <w:t>pb</w:t>
            </w:r>
            <w:proofErr w:type="spellEnd"/>
            <w:r w:rsidR="007B65C1" w:rsidRPr="00B82D30">
              <w:t>.</w:t>
            </w:r>
            <w:r w:rsidR="006119FB" w:rsidRPr="00B82D30">
              <w:t xml:space="preserve"> ročně.</w:t>
            </w:r>
            <w:r w:rsidR="007B65C1" w:rsidRPr="00B82D30">
              <w:t xml:space="preserve"> </w:t>
            </w:r>
            <w:r w:rsidR="003812F2" w:rsidRPr="00B82D30">
              <w:t>Zapojení</w:t>
            </w:r>
            <w:r w:rsidR="007B65C1" w:rsidRPr="00B82D30">
              <w:t xml:space="preserve"> ČR do Evropské unie</w:t>
            </w:r>
            <w:r w:rsidRPr="00B82D30">
              <w:t xml:space="preserve"> tak rychlost</w:t>
            </w:r>
            <w:r w:rsidR="003812F2" w:rsidRPr="00B82D30">
              <w:t>, kterou se</w:t>
            </w:r>
            <w:r w:rsidRPr="00B82D30">
              <w:t xml:space="preserve"> vý</w:t>
            </w:r>
            <w:r w:rsidR="003812F2" w:rsidRPr="00B82D30">
              <w:t>znam</w:t>
            </w:r>
            <w:r w:rsidRPr="00B82D30">
              <w:t xml:space="preserve"> primárního sektoru </w:t>
            </w:r>
            <w:r w:rsidR="003812F2" w:rsidRPr="00B82D30">
              <w:t xml:space="preserve">zmenšoval, </w:t>
            </w:r>
            <w:r w:rsidR="0013346F" w:rsidRPr="00B82D30">
              <w:t>evidentně</w:t>
            </w:r>
            <w:r w:rsidRPr="00B82D30">
              <w:t xml:space="preserve"> </w:t>
            </w:r>
            <w:r w:rsidR="003812F2" w:rsidRPr="00B82D30">
              <w:t>nenavýšilo</w:t>
            </w:r>
            <w:r w:rsidRPr="00B82D30">
              <w:t>.</w:t>
            </w:r>
          </w:p>
          <w:p w:rsidR="008841EC" w:rsidRPr="00B82D30" w:rsidRDefault="008841EC" w:rsidP="00011A65">
            <w:pPr>
              <w:pStyle w:val="Textpoznpodarou"/>
              <w:jc w:val="both"/>
            </w:pPr>
          </w:p>
        </w:tc>
      </w:tr>
      <w:tr w:rsidR="008841EC" w:rsidRPr="00B82D30" w:rsidTr="000E63FC">
        <w:tc>
          <w:tcPr>
            <w:tcW w:w="1054" w:type="pct"/>
          </w:tcPr>
          <w:p w:rsidR="008841EC" w:rsidRPr="00B82D30" w:rsidRDefault="0045694D" w:rsidP="00107DE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kdy</w:t>
            </w:r>
            <w:r w:rsidR="007E17CC" w:rsidRPr="00B82D30">
              <w:rPr>
                <w:sz w:val="16"/>
                <w:szCs w:val="16"/>
              </w:rPr>
              <w:t xml:space="preserve"> výrazně</w:t>
            </w:r>
            <w:r w:rsidRPr="00B82D30">
              <w:rPr>
                <w:sz w:val="16"/>
                <w:szCs w:val="16"/>
              </w:rPr>
              <w:t xml:space="preserve"> oslaboval</w:t>
            </w:r>
            <w:r w:rsidR="008841EC" w:rsidRPr="00B82D30">
              <w:rPr>
                <w:sz w:val="16"/>
                <w:szCs w:val="16"/>
              </w:rPr>
              <w:t xml:space="preserve"> </w:t>
            </w:r>
            <w:r w:rsidR="009C7CE5" w:rsidRPr="00B82D30">
              <w:rPr>
                <w:sz w:val="16"/>
                <w:szCs w:val="16"/>
              </w:rPr>
              <w:t xml:space="preserve">jak </w:t>
            </w:r>
            <w:r w:rsidR="008841EC" w:rsidRPr="00B82D30">
              <w:rPr>
                <w:sz w:val="16"/>
                <w:szCs w:val="16"/>
              </w:rPr>
              <w:t>podíl</w:t>
            </w:r>
            <w:r w:rsidR="00107DE5" w:rsidRPr="00B82D30">
              <w:rPr>
                <w:sz w:val="16"/>
                <w:szCs w:val="16"/>
              </w:rPr>
              <w:t xml:space="preserve"> odvětví</w:t>
            </w:r>
            <w:r w:rsidR="008841EC" w:rsidRPr="00B82D30">
              <w:rPr>
                <w:sz w:val="16"/>
                <w:szCs w:val="16"/>
              </w:rPr>
              <w:t xml:space="preserve"> zemědělství, lesnictví a</w:t>
            </w:r>
            <w:r w:rsidR="00107DE5" w:rsidRPr="00B82D30">
              <w:rPr>
                <w:sz w:val="16"/>
                <w:szCs w:val="16"/>
              </w:rPr>
              <w:t> </w:t>
            </w:r>
            <w:r w:rsidR="008841EC" w:rsidRPr="00B82D30">
              <w:rPr>
                <w:sz w:val="16"/>
                <w:szCs w:val="16"/>
              </w:rPr>
              <w:t>rybářství</w:t>
            </w:r>
            <w:r w:rsidR="009C7CE5" w:rsidRPr="00B82D30">
              <w:rPr>
                <w:sz w:val="16"/>
                <w:szCs w:val="16"/>
              </w:rPr>
              <w:t>, tak</w:t>
            </w:r>
            <w:r w:rsidR="008841EC" w:rsidRPr="00B82D30">
              <w:rPr>
                <w:sz w:val="16"/>
                <w:szCs w:val="16"/>
              </w:rPr>
              <w:t xml:space="preserve"> </w:t>
            </w:r>
            <w:r w:rsidR="009C7CE5" w:rsidRPr="00B82D30">
              <w:rPr>
                <w:sz w:val="16"/>
                <w:szCs w:val="16"/>
              </w:rPr>
              <w:t xml:space="preserve">podíl </w:t>
            </w:r>
            <w:r w:rsidR="008841EC" w:rsidRPr="00B82D30">
              <w:rPr>
                <w:sz w:val="16"/>
                <w:szCs w:val="16"/>
              </w:rPr>
              <w:t>odvětví těžby a</w:t>
            </w:r>
            <w:r w:rsidR="007B65C1" w:rsidRPr="00B82D30">
              <w:rPr>
                <w:sz w:val="16"/>
                <w:szCs w:val="16"/>
              </w:rPr>
              <w:t> </w:t>
            </w:r>
            <w:r w:rsidR="008841EC" w:rsidRPr="00B82D30">
              <w:rPr>
                <w:sz w:val="16"/>
                <w:szCs w:val="16"/>
              </w:rPr>
              <w:t>dobývání</w:t>
            </w:r>
          </w:p>
        </w:tc>
        <w:tc>
          <w:tcPr>
            <w:tcW w:w="142" w:type="pct"/>
          </w:tcPr>
          <w:p w:rsidR="008841EC" w:rsidRPr="00B82D30" w:rsidRDefault="008841EC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841EC" w:rsidRPr="00B82D30" w:rsidRDefault="00CB7DCE" w:rsidP="003812F2">
            <w:pPr>
              <w:pStyle w:val="Textpoznpodarou"/>
              <w:jc w:val="both"/>
            </w:pPr>
            <w:r w:rsidRPr="00B82D30">
              <w:t>Mezi roky</w:t>
            </w:r>
            <w:r w:rsidR="008841EC" w:rsidRPr="00B82D30">
              <w:t xml:space="preserve"> 1993-2013 na významu z hlediska podílu na celkové HPH ztratil</w:t>
            </w:r>
            <w:r w:rsidR="00993262" w:rsidRPr="00B82D30">
              <w:t>o</w:t>
            </w:r>
            <w:r w:rsidR="008841EC" w:rsidRPr="00B82D30">
              <w:t xml:space="preserve"> jak významnější odvětví zemědělství, lesnictví a rybářství</w:t>
            </w:r>
            <w:r w:rsidR="00382B9D" w:rsidRPr="00B82D30">
              <w:t> (-1,9</w:t>
            </w:r>
            <w:r w:rsidR="008841EC" w:rsidRPr="00B82D30">
              <w:t> </w:t>
            </w:r>
            <w:proofErr w:type="spellStart"/>
            <w:r w:rsidR="008841EC" w:rsidRPr="00B82D30">
              <w:t>pb</w:t>
            </w:r>
            <w:proofErr w:type="spellEnd"/>
            <w:r w:rsidR="008841EC" w:rsidRPr="00B82D30">
              <w:t xml:space="preserve">.), tak odvětví méně významné těžby a dobývání (-1,8 </w:t>
            </w:r>
            <w:proofErr w:type="spellStart"/>
            <w:r w:rsidR="008841EC" w:rsidRPr="00B82D30">
              <w:t>pb</w:t>
            </w:r>
            <w:proofErr w:type="spellEnd"/>
            <w:r w:rsidR="008841EC" w:rsidRPr="00B82D30">
              <w:t>.). Jestliže se význam zemědělství, lesnictví a</w:t>
            </w:r>
            <w:r w:rsidR="009E6AF5" w:rsidRPr="00B82D30">
              <w:t> </w:t>
            </w:r>
            <w:r w:rsidR="008841EC" w:rsidRPr="00B82D30">
              <w:t>rybářství snižoval v letech 1994-2003 v průměru o 0,20 </w:t>
            </w:r>
            <w:proofErr w:type="spellStart"/>
            <w:r w:rsidR="008841EC" w:rsidRPr="00B82D30">
              <w:t>pb</w:t>
            </w:r>
            <w:proofErr w:type="spellEnd"/>
            <w:r w:rsidR="008841EC" w:rsidRPr="00B82D30">
              <w:t xml:space="preserve">. za rok, v letech </w:t>
            </w:r>
            <w:r w:rsidR="008841EC" w:rsidRPr="00B82D30">
              <w:lastRenderedPageBreak/>
              <w:t>2004-201</w:t>
            </w:r>
            <w:r w:rsidR="007E17CC" w:rsidRPr="00B82D30">
              <w:t>3</w:t>
            </w:r>
            <w:r w:rsidR="008841EC" w:rsidRPr="00B82D30">
              <w:t xml:space="preserve"> </w:t>
            </w:r>
            <w:r w:rsidR="00F029DC" w:rsidRPr="00B82D30">
              <w:t>už jen stagnoval</w:t>
            </w:r>
            <w:r w:rsidR="008841EC" w:rsidRPr="00B82D30">
              <w:t>. Ve stejných obdobích proporce hrubé přidané hodnoty odvětví těžby a dobývání oslabovala</w:t>
            </w:r>
            <w:r w:rsidR="00F51E7B" w:rsidRPr="00B82D30">
              <w:t xml:space="preserve"> v průměru</w:t>
            </w:r>
            <w:r w:rsidR="00F029DC" w:rsidRPr="00B82D30">
              <w:t xml:space="preserve"> o 0,17</w:t>
            </w:r>
            <w:r w:rsidR="008841EC" w:rsidRPr="00B82D30">
              <w:t xml:space="preserve"> </w:t>
            </w:r>
            <w:proofErr w:type="spellStart"/>
            <w:r w:rsidR="008841EC" w:rsidRPr="00B82D30">
              <w:t>pb</w:t>
            </w:r>
            <w:proofErr w:type="spellEnd"/>
            <w:r w:rsidR="008841EC" w:rsidRPr="00B82D30">
              <w:t xml:space="preserve">. </w:t>
            </w:r>
            <w:r w:rsidR="00B95613" w:rsidRPr="00B82D30">
              <w:t>respektive o</w:t>
            </w:r>
            <w:r w:rsidR="009E6AF5" w:rsidRPr="00B82D30">
              <w:t> </w:t>
            </w:r>
            <w:r w:rsidR="003812F2" w:rsidRPr="00B82D30">
              <w:t xml:space="preserve">0,01 </w:t>
            </w:r>
            <w:proofErr w:type="spellStart"/>
            <w:r w:rsidR="003812F2" w:rsidRPr="00B82D30">
              <w:t>pb</w:t>
            </w:r>
            <w:proofErr w:type="spellEnd"/>
            <w:r w:rsidR="003812F2" w:rsidRPr="00B82D30">
              <w:t>. za rok.</w:t>
            </w:r>
          </w:p>
          <w:p w:rsidR="003812F2" w:rsidRPr="00B82D30" w:rsidRDefault="003812F2" w:rsidP="003812F2">
            <w:pPr>
              <w:pStyle w:val="Textpoznpodarou"/>
              <w:jc w:val="both"/>
            </w:pPr>
          </w:p>
        </w:tc>
      </w:tr>
      <w:tr w:rsidR="008841EC" w:rsidRPr="00B82D30" w:rsidTr="000E63FC">
        <w:tc>
          <w:tcPr>
            <w:tcW w:w="1054" w:type="pct"/>
          </w:tcPr>
          <w:p w:rsidR="008841EC" w:rsidRPr="00B82D30" w:rsidRDefault="008841EC" w:rsidP="00011A6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Primární sektor silně os</w:t>
            </w:r>
            <w:r w:rsidR="009C7CE5" w:rsidRPr="00B82D30">
              <w:rPr>
                <w:sz w:val="16"/>
                <w:szCs w:val="16"/>
              </w:rPr>
              <w:t>labil</w:t>
            </w:r>
            <w:r w:rsidRPr="00B82D30">
              <w:rPr>
                <w:sz w:val="16"/>
                <w:szCs w:val="16"/>
              </w:rPr>
              <w:t xml:space="preserve"> i z hlediska podílu na</w:t>
            </w:r>
            <w:r w:rsidR="007B65C1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>celkové produkci</w:t>
            </w:r>
          </w:p>
          <w:p w:rsidR="008841EC" w:rsidRPr="00B82D30" w:rsidRDefault="008841EC" w:rsidP="00011A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8841EC" w:rsidRPr="00B82D30" w:rsidRDefault="008841EC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8841EC" w:rsidRPr="00B82D30" w:rsidRDefault="008841EC" w:rsidP="005D4E99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Význam primárního sektoru v české ekonomice klesal i z hlediska podílu na celkové produkci, která na rozdíl od hrubé přid</w:t>
            </w:r>
            <w:r w:rsidR="007B65C1" w:rsidRPr="00B82D30">
              <w:rPr>
                <w:spacing w:val="-2"/>
              </w:rPr>
              <w:t xml:space="preserve">ané hodnoty reflektuje </w:t>
            </w:r>
            <w:r w:rsidR="005D4E99" w:rsidRPr="00B82D30">
              <w:rPr>
                <w:spacing w:val="-2"/>
              </w:rPr>
              <w:t>úplnou</w:t>
            </w:r>
            <w:r w:rsidR="007B65C1" w:rsidRPr="00B82D30">
              <w:rPr>
                <w:spacing w:val="-2"/>
              </w:rPr>
              <w:t xml:space="preserve"> – nikoliv jen přidanou –</w:t>
            </w:r>
            <w:r w:rsidRPr="00B82D30">
              <w:rPr>
                <w:spacing w:val="-2"/>
              </w:rPr>
              <w:t xml:space="preserve"> hodnotu vyprodukovaného zboží a služeb. Jestliže v roce 1993 tvořila produkce primárního sektoru 6,7 % produkce celé ekonomiky, v</w:t>
            </w:r>
            <w:r w:rsidR="00BB769E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roce</w:t>
            </w:r>
            <w:r w:rsidR="00BB769E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201</w:t>
            </w:r>
            <w:r w:rsidR="00B2145B" w:rsidRPr="00B82D30">
              <w:rPr>
                <w:spacing w:val="-2"/>
              </w:rPr>
              <w:t>3 jen 3,4</w:t>
            </w:r>
            <w:r w:rsidR="007E2479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%. Propad významu primárního sektoru můžeme přičítat, stejně</w:t>
            </w:r>
            <w:r w:rsidR="00BB769E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jako v</w:t>
            </w:r>
            <w:r w:rsidR="009B75CC" w:rsidRPr="00B82D30">
              <w:rPr>
                <w:spacing w:val="-2"/>
              </w:rPr>
              <w:t> případě hrubé přidané hodnoty</w:t>
            </w:r>
            <w:r w:rsidR="00B95613" w:rsidRPr="00B82D30">
              <w:rPr>
                <w:spacing w:val="-2"/>
              </w:rPr>
              <w:t>, zejména období 199</w:t>
            </w:r>
            <w:r w:rsidRPr="00B82D30">
              <w:rPr>
                <w:spacing w:val="-2"/>
              </w:rPr>
              <w:t>4-2003.</w:t>
            </w:r>
          </w:p>
        </w:tc>
      </w:tr>
    </w:tbl>
    <w:p w:rsidR="00A03C37" w:rsidRPr="00B82D30" w:rsidRDefault="00A03C37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53"/>
        <w:gridCol w:w="3118"/>
        <w:gridCol w:w="1266"/>
        <w:gridCol w:w="851"/>
        <w:gridCol w:w="4006"/>
      </w:tblGrid>
      <w:tr w:rsidR="009C223B" w:rsidRPr="00B82D30" w:rsidTr="00367997">
        <w:tc>
          <w:tcPr>
            <w:tcW w:w="234" w:type="pct"/>
          </w:tcPr>
          <w:p w:rsidR="009C223B" w:rsidRPr="00B82D30" w:rsidRDefault="009C223B" w:rsidP="00011A65">
            <w:pPr>
              <w:pStyle w:val="Textpoznpodarou"/>
            </w:pPr>
            <w:r w:rsidRPr="00B82D30">
              <w:t>Graf č. 3</w:t>
            </w:r>
          </w:p>
        </w:tc>
        <w:tc>
          <w:tcPr>
            <w:tcW w:w="2261" w:type="pct"/>
            <w:gridSpan w:val="2"/>
          </w:tcPr>
          <w:p w:rsidR="009C223B" w:rsidRPr="00B82D30" w:rsidRDefault="009C223B" w:rsidP="009C223B">
            <w:pPr>
              <w:pStyle w:val="Textpoznpodarou"/>
              <w:rPr>
                <w:spacing w:val="-6"/>
              </w:rPr>
            </w:pPr>
            <w:r w:rsidRPr="00B82D30">
              <w:rPr>
                <w:b/>
                <w:spacing w:val="-6"/>
              </w:rPr>
              <w:t xml:space="preserve">Váha primárního, sekundárního, terciárního sektoru v ČR z hlediska HPH </w:t>
            </w:r>
            <w:r w:rsidRPr="00B82D30">
              <w:rPr>
                <w:spacing w:val="-6"/>
              </w:rPr>
              <w:t>(nominální hodnoty, v %</w:t>
            </w:r>
            <w:r w:rsidR="00A05577" w:rsidRPr="00B82D30">
              <w:rPr>
                <w:spacing w:val="-6"/>
              </w:rPr>
              <w:t xml:space="preserve">, prim. sektor na p. o., ostatní na l. </w:t>
            </w:r>
            <w:proofErr w:type="gramStart"/>
            <w:r w:rsidR="00A05577" w:rsidRPr="00B82D30">
              <w:rPr>
                <w:spacing w:val="-6"/>
              </w:rPr>
              <w:t>o.</w:t>
            </w:r>
            <w:r w:rsidR="00367997">
              <w:rPr>
                <w:spacing w:val="-6"/>
              </w:rPr>
              <w:t>***</w:t>
            </w:r>
            <w:r w:rsidRPr="00B82D30">
              <w:rPr>
                <w:spacing w:val="-6"/>
              </w:rPr>
              <w:t>)</w:t>
            </w:r>
            <w:proofErr w:type="gramEnd"/>
          </w:p>
        </w:tc>
        <w:tc>
          <w:tcPr>
            <w:tcW w:w="439" w:type="pct"/>
          </w:tcPr>
          <w:p w:rsidR="009C223B" w:rsidRPr="00B82D30" w:rsidRDefault="009C223B" w:rsidP="00011A65">
            <w:pPr>
              <w:pStyle w:val="Textpoznpodarou"/>
            </w:pPr>
            <w:r w:rsidRPr="00B82D30">
              <w:t>Graf č. 4</w:t>
            </w:r>
          </w:p>
        </w:tc>
        <w:tc>
          <w:tcPr>
            <w:tcW w:w="2066" w:type="pct"/>
          </w:tcPr>
          <w:p w:rsidR="009C223B" w:rsidRPr="00B82D30" w:rsidRDefault="007E17CC" w:rsidP="007E17CC">
            <w:pPr>
              <w:pStyle w:val="Textpoznpodarou"/>
              <w:rPr>
                <w:spacing w:val="-2"/>
              </w:rPr>
            </w:pPr>
            <w:r w:rsidRPr="00B82D30">
              <w:rPr>
                <w:b/>
                <w:spacing w:val="-2"/>
              </w:rPr>
              <w:t>Vývoj struktury</w:t>
            </w:r>
            <w:r w:rsidR="009C223B" w:rsidRPr="00B82D30">
              <w:rPr>
                <w:b/>
                <w:spacing w:val="-2"/>
              </w:rPr>
              <w:t xml:space="preserve"> </w:t>
            </w:r>
            <w:r w:rsidR="00A05577" w:rsidRPr="00B82D30">
              <w:rPr>
                <w:b/>
                <w:spacing w:val="-2"/>
              </w:rPr>
              <w:t>primárního sektoru</w:t>
            </w:r>
            <w:r w:rsidR="009C223B" w:rsidRPr="00B82D30">
              <w:rPr>
                <w:b/>
                <w:spacing w:val="-2"/>
              </w:rPr>
              <w:t xml:space="preserve"> ČR z</w:t>
            </w:r>
            <w:r w:rsidR="00090BDB" w:rsidRPr="00B82D30">
              <w:rPr>
                <w:b/>
                <w:spacing w:val="-2"/>
              </w:rPr>
              <w:t> </w:t>
            </w:r>
            <w:r w:rsidR="009C223B" w:rsidRPr="00B82D30">
              <w:rPr>
                <w:b/>
                <w:spacing w:val="-2"/>
              </w:rPr>
              <w:t>hlediska</w:t>
            </w:r>
            <w:r w:rsidR="00090BDB" w:rsidRPr="00B82D30">
              <w:rPr>
                <w:b/>
                <w:spacing w:val="-2"/>
              </w:rPr>
              <w:t xml:space="preserve"> </w:t>
            </w:r>
            <w:r w:rsidRPr="00B82D30">
              <w:rPr>
                <w:b/>
                <w:spacing w:val="-2"/>
              </w:rPr>
              <w:t>HPH</w:t>
            </w:r>
            <w:r w:rsidR="009C223B" w:rsidRPr="00B82D30">
              <w:rPr>
                <w:b/>
                <w:spacing w:val="-2"/>
              </w:rPr>
              <w:t xml:space="preserve"> </w:t>
            </w:r>
            <w:r w:rsidR="009C223B" w:rsidRPr="00B82D30">
              <w:rPr>
                <w:spacing w:val="-2"/>
              </w:rPr>
              <w:t>(nominální hodnoty, v %)</w:t>
            </w:r>
          </w:p>
        </w:tc>
      </w:tr>
      <w:tr w:rsidR="009C223B" w:rsidRPr="00B82D30" w:rsidTr="00367997">
        <w:tc>
          <w:tcPr>
            <w:tcW w:w="2495" w:type="pct"/>
            <w:gridSpan w:val="3"/>
          </w:tcPr>
          <w:p w:rsidR="009C223B" w:rsidRPr="00B82D30" w:rsidRDefault="00F029DC" w:rsidP="00011A65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2981325" cy="2181225"/>
                  <wp:effectExtent l="19050" t="0" r="9525" b="0"/>
                  <wp:docPr id="5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061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pct"/>
            <w:gridSpan w:val="2"/>
          </w:tcPr>
          <w:p w:rsidR="009C223B" w:rsidRPr="00B82D30" w:rsidRDefault="00F029DC" w:rsidP="00011A65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24086" cy="2181225"/>
                  <wp:effectExtent l="19050" t="0" r="4864" b="0"/>
                  <wp:docPr id="6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847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997" w:rsidRPr="00B82D30" w:rsidTr="00367997">
        <w:tc>
          <w:tcPr>
            <w:tcW w:w="1842" w:type="pct"/>
            <w:gridSpan w:val="2"/>
          </w:tcPr>
          <w:p w:rsidR="00367997" w:rsidRPr="00B82D30" w:rsidRDefault="00367997" w:rsidP="00367997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***p. o. – pravá osa, ***l. o. – levá osa</w:t>
            </w:r>
          </w:p>
        </w:tc>
        <w:tc>
          <w:tcPr>
            <w:tcW w:w="3158" w:type="pct"/>
            <w:gridSpan w:val="3"/>
          </w:tcPr>
          <w:p w:rsidR="00367997" w:rsidRPr="00B82D30" w:rsidRDefault="00367997" w:rsidP="00011A65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883533" w:rsidRPr="00B82D30" w:rsidRDefault="00883533" w:rsidP="000B7410">
      <w:pPr>
        <w:rPr>
          <w:szCs w:val="20"/>
        </w:rPr>
      </w:pPr>
    </w:p>
    <w:p w:rsidR="003341FD" w:rsidRPr="00B82D30" w:rsidRDefault="003341FD" w:rsidP="000B7410">
      <w:pPr>
        <w:rPr>
          <w:szCs w:val="20"/>
        </w:rPr>
      </w:pPr>
      <w:r w:rsidRPr="00B82D30">
        <w:rPr>
          <w:b/>
          <w:szCs w:val="20"/>
        </w:rPr>
        <w:t>1.1.1. Význam primárního sektoru z hlediska hrubé přidané hodnoty – mezinárodní srovnání</w:t>
      </w:r>
      <w:r w:rsidRPr="00B82D30">
        <w:rPr>
          <w:rStyle w:val="Znakapoznpodarou"/>
          <w:b/>
          <w:szCs w:val="20"/>
        </w:rPr>
        <w:footnoteReference w:id="2"/>
      </w:r>
    </w:p>
    <w:p w:rsidR="003341FD" w:rsidRPr="00B82D30" w:rsidRDefault="003341FD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79"/>
        <w:gridCol w:w="1165"/>
        <w:gridCol w:w="275"/>
        <w:gridCol w:w="7375"/>
      </w:tblGrid>
      <w:tr w:rsidR="009C223B" w:rsidRPr="00B82D30" w:rsidTr="000E63FC">
        <w:tc>
          <w:tcPr>
            <w:tcW w:w="1054" w:type="pct"/>
            <w:gridSpan w:val="2"/>
          </w:tcPr>
          <w:p w:rsidR="009C223B" w:rsidRPr="00B82D30" w:rsidRDefault="00F51E7B" w:rsidP="00373C67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Podíl</w:t>
            </w:r>
            <w:r w:rsidR="009F0218" w:rsidRPr="00B82D30">
              <w:rPr>
                <w:sz w:val="16"/>
                <w:szCs w:val="16"/>
              </w:rPr>
              <w:t xml:space="preserve"> HPH</w:t>
            </w:r>
            <w:r w:rsidR="009C223B" w:rsidRPr="00B82D30">
              <w:rPr>
                <w:sz w:val="16"/>
                <w:szCs w:val="16"/>
              </w:rPr>
              <w:t xml:space="preserve"> </w:t>
            </w:r>
            <w:r w:rsidR="00AB39E3" w:rsidRPr="00B82D30">
              <w:rPr>
                <w:sz w:val="16"/>
                <w:szCs w:val="16"/>
              </w:rPr>
              <w:t xml:space="preserve">odvětví </w:t>
            </w:r>
            <w:r w:rsidR="009C223B" w:rsidRPr="00B82D30">
              <w:rPr>
                <w:sz w:val="16"/>
                <w:szCs w:val="16"/>
              </w:rPr>
              <w:t>zemědělství, lesnictví a</w:t>
            </w:r>
            <w:r w:rsidR="00107DE5" w:rsidRPr="00B82D30">
              <w:rPr>
                <w:sz w:val="16"/>
                <w:szCs w:val="16"/>
              </w:rPr>
              <w:t> </w:t>
            </w:r>
            <w:r w:rsidR="009C223B" w:rsidRPr="00B82D30">
              <w:rPr>
                <w:sz w:val="16"/>
                <w:szCs w:val="16"/>
              </w:rPr>
              <w:t>rybářství</w:t>
            </w:r>
            <w:r w:rsidRPr="00B82D30">
              <w:rPr>
                <w:sz w:val="16"/>
                <w:szCs w:val="16"/>
              </w:rPr>
              <w:t xml:space="preserve"> na</w:t>
            </w:r>
            <w:r w:rsidR="009F0218" w:rsidRPr="00B82D30">
              <w:rPr>
                <w:sz w:val="16"/>
                <w:szCs w:val="16"/>
              </w:rPr>
              <w:t xml:space="preserve"> HPH celé ekonomiky </w:t>
            </w:r>
            <w:r w:rsidR="009C223B" w:rsidRPr="00B82D30">
              <w:rPr>
                <w:sz w:val="16"/>
                <w:szCs w:val="16"/>
              </w:rPr>
              <w:t>upadal jak v zemědělsky orientovaných zemích v čele s Rumunskem, tak v rozvinutých ekonomikách typu Německa</w:t>
            </w:r>
            <w:r w:rsidR="00C23048" w:rsidRPr="00B82D30">
              <w:rPr>
                <w:sz w:val="16"/>
                <w:szCs w:val="16"/>
              </w:rPr>
              <w:t>, Lucemburska</w:t>
            </w:r>
            <w:r w:rsidR="009C223B" w:rsidRPr="00B82D30">
              <w:rPr>
                <w:sz w:val="16"/>
                <w:szCs w:val="16"/>
              </w:rPr>
              <w:t xml:space="preserve"> či Belgie</w:t>
            </w:r>
          </w:p>
        </w:tc>
        <w:tc>
          <w:tcPr>
            <w:tcW w:w="142" w:type="pct"/>
          </w:tcPr>
          <w:p w:rsidR="009C223B" w:rsidRPr="00B82D30" w:rsidRDefault="009C223B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9C223B" w:rsidRPr="00B82D30" w:rsidRDefault="009C223B" w:rsidP="00011A65">
            <w:pPr>
              <w:pStyle w:val="Textpoznpodarou"/>
              <w:jc w:val="both"/>
            </w:pPr>
            <w:r w:rsidRPr="00B82D30">
              <w:t xml:space="preserve">Pokles významu </w:t>
            </w:r>
            <w:r w:rsidR="00AB39E3" w:rsidRPr="00B82D30">
              <w:t>odvětví</w:t>
            </w:r>
            <w:r w:rsidRPr="00B82D30">
              <w:t xml:space="preserve"> zemědělství, lesnictví a</w:t>
            </w:r>
            <w:r w:rsidR="00AB39E3" w:rsidRPr="00B82D30">
              <w:t> </w:t>
            </w:r>
            <w:r w:rsidRPr="00B82D30">
              <w:t>rybářství v tuzemské ekonomice</w:t>
            </w:r>
            <w:r w:rsidR="00F51E7B" w:rsidRPr="00B82D30">
              <w:t>, z hlediska podílu na celkové HPH,</w:t>
            </w:r>
            <w:r w:rsidRPr="00B82D30">
              <w:t xml:space="preserve"> nebyl v evropském kontextu nikterak ojedinělý. Z údajů za</w:t>
            </w:r>
            <w:r w:rsidR="00283347" w:rsidRPr="00B82D30">
              <w:t> </w:t>
            </w:r>
            <w:r w:rsidRPr="00B82D30">
              <w:t xml:space="preserve">roky 1995-2012 bylo možné vyčíst, že z jednotlivých zemí spadajících mezi současné členy EU28 na významu </w:t>
            </w:r>
            <w:r w:rsidR="00373C67" w:rsidRPr="00B82D30">
              <w:t>toto odvětví ztratilo</w:t>
            </w:r>
            <w:r w:rsidRPr="00B82D30">
              <w:t xml:space="preserve"> ve všech z nich, za které jsou</w:t>
            </w:r>
            <w:r w:rsidR="00C23048" w:rsidRPr="00B82D30">
              <w:t> </w:t>
            </w:r>
            <w:r w:rsidR="00AB39E3" w:rsidRPr="00B82D30">
              <w:t xml:space="preserve">dostupná </w:t>
            </w:r>
            <w:r w:rsidRPr="00B82D30">
              <w:t xml:space="preserve">data. Nejhlubší propady podílu </w:t>
            </w:r>
            <w:r w:rsidR="00C23048" w:rsidRPr="00B82D30">
              <w:t>HPH</w:t>
            </w:r>
            <w:r w:rsidRPr="00B82D30">
              <w:t xml:space="preserve"> zemědělství, lesnictví a</w:t>
            </w:r>
            <w:r w:rsidR="00D01ACC" w:rsidRPr="00B82D30">
              <w:t> </w:t>
            </w:r>
            <w:r w:rsidRPr="00B82D30">
              <w:t>rybářství na</w:t>
            </w:r>
            <w:r w:rsidR="00C23048" w:rsidRPr="00B82D30">
              <w:t> </w:t>
            </w:r>
            <w:r w:rsidRPr="00B82D30">
              <w:t xml:space="preserve">celkové </w:t>
            </w:r>
            <w:r w:rsidR="00C23048" w:rsidRPr="00B82D30">
              <w:t>HPH</w:t>
            </w:r>
            <w:r w:rsidR="00F51E7B" w:rsidRPr="00B82D30">
              <w:t> ekonomiky</w:t>
            </w:r>
            <w:r w:rsidRPr="00B82D30">
              <w:t xml:space="preserve"> zaznamenaly málo rozvinuté země</w:t>
            </w:r>
            <w:r w:rsidR="00C23048" w:rsidRPr="00B82D30">
              <w:t> </w:t>
            </w:r>
            <w:r w:rsidRPr="00B82D30">
              <w:t>s</w:t>
            </w:r>
            <w:r w:rsidR="00C23048" w:rsidRPr="00B82D30">
              <w:t> </w:t>
            </w:r>
            <w:r w:rsidRPr="00B82D30">
              <w:t>původně</w:t>
            </w:r>
            <w:r w:rsidR="00C23048" w:rsidRPr="00B82D30">
              <w:t> </w:t>
            </w:r>
            <w:r w:rsidR="00893DA5" w:rsidRPr="00B82D30">
              <w:t>velkým</w:t>
            </w:r>
            <w:r w:rsidRPr="00B82D30">
              <w:t> významem zemědělství – Rumunsko (</w:t>
            </w:r>
            <w:r w:rsidR="00C23048" w:rsidRPr="00B82D30">
              <w:t>-13,5</w:t>
            </w:r>
            <w:r w:rsidRPr="00B82D30">
              <w:t xml:space="preserve"> </w:t>
            </w:r>
            <w:proofErr w:type="spellStart"/>
            <w:r w:rsidRPr="00B82D30">
              <w:t>pb</w:t>
            </w:r>
            <w:proofErr w:type="spellEnd"/>
            <w:r w:rsidRPr="00B82D30">
              <w:t xml:space="preserve">.), </w:t>
            </w:r>
            <w:r w:rsidR="00C23048" w:rsidRPr="00B82D30">
              <w:t>Bulharsko (-8,3 </w:t>
            </w:r>
            <w:proofErr w:type="spellStart"/>
            <w:r w:rsidR="00C23048" w:rsidRPr="00B82D30">
              <w:t>pb</w:t>
            </w:r>
            <w:proofErr w:type="spellEnd"/>
            <w:r w:rsidR="00C23048" w:rsidRPr="00B82D30">
              <w:t xml:space="preserve">.) a </w:t>
            </w:r>
            <w:r w:rsidRPr="00B82D30">
              <w:t>Litva (-7</w:t>
            </w:r>
            <w:r w:rsidR="00C23048" w:rsidRPr="00B82D30">
              <w:t>,0</w:t>
            </w:r>
            <w:r w:rsidR="008E2DB4" w:rsidRPr="00B82D30">
              <w:t> </w:t>
            </w:r>
            <w:proofErr w:type="spellStart"/>
            <w:r w:rsidR="008E2DB4" w:rsidRPr="00B82D30">
              <w:t>pb</w:t>
            </w:r>
            <w:proofErr w:type="spellEnd"/>
            <w:r w:rsidR="008E2DB4" w:rsidRPr="00B82D30">
              <w:t xml:space="preserve">.) </w:t>
            </w:r>
            <w:r w:rsidRPr="00B82D30">
              <w:t>–, které se s postupným ekonomickým rozvojem začaly více orientovat na produkci zboží a služeb s vyšší přidanou</w:t>
            </w:r>
            <w:r w:rsidR="00D01ACC" w:rsidRPr="00B82D30">
              <w:t> </w:t>
            </w:r>
            <w:r w:rsidRPr="00B82D30">
              <w:t>hodnotou. Nejmenší pokles</w:t>
            </w:r>
            <w:r w:rsidR="00F51E7B" w:rsidRPr="00B82D30">
              <w:t>y</w:t>
            </w:r>
            <w:r w:rsidRPr="00B82D30">
              <w:t xml:space="preserve"> </w:t>
            </w:r>
            <w:r w:rsidR="00893DA5" w:rsidRPr="00B82D30">
              <w:t>podílu</w:t>
            </w:r>
            <w:r w:rsidRPr="00B82D30">
              <w:t xml:space="preserve"> </w:t>
            </w:r>
            <w:r w:rsidR="00893DA5" w:rsidRPr="00B82D30">
              <w:t>hrubé přidané hodnoty</w:t>
            </w:r>
            <w:r w:rsidRPr="00B82D30">
              <w:t xml:space="preserve"> zemědělství, lesnictví a</w:t>
            </w:r>
            <w:r w:rsidR="00D01ACC" w:rsidRPr="00B82D30">
              <w:t> </w:t>
            </w:r>
            <w:r w:rsidRPr="00B82D30">
              <w:t>rybářství</w:t>
            </w:r>
            <w:r w:rsidR="00893DA5" w:rsidRPr="00B82D30">
              <w:t xml:space="preserve"> na celku</w:t>
            </w:r>
            <w:r w:rsidRPr="00B82D30">
              <w:t xml:space="preserve"> evidovaly</w:t>
            </w:r>
            <w:r w:rsidR="006D4AFF" w:rsidRPr="00B82D30">
              <w:t xml:space="preserve"> naopak</w:t>
            </w:r>
            <w:r w:rsidRPr="00B82D30">
              <w:t xml:space="preserve"> rozvinuté země s již relativně nízkou váhou tohoto</w:t>
            </w:r>
            <w:r w:rsidR="00D01ACC" w:rsidRPr="00B82D30">
              <w:t> </w:t>
            </w:r>
            <w:r w:rsidR="00893DA5" w:rsidRPr="00B82D30">
              <w:t>odvětví v ekonomice</w:t>
            </w:r>
            <w:r w:rsidRPr="00B82D30">
              <w:t xml:space="preserve">. Jednalo se </w:t>
            </w:r>
            <w:r w:rsidR="008320BC" w:rsidRPr="00B82D30">
              <w:t>o</w:t>
            </w:r>
            <w:r w:rsidRPr="00B82D30">
              <w:t xml:space="preserve"> Německo</w:t>
            </w:r>
            <w:r w:rsidR="00C23048" w:rsidRPr="00B82D30">
              <w:t xml:space="preserve"> (-0,3</w:t>
            </w:r>
            <w:r w:rsidRPr="00B82D30">
              <w:t xml:space="preserve"> </w:t>
            </w:r>
            <w:proofErr w:type="spellStart"/>
            <w:r w:rsidRPr="00B82D30">
              <w:t>pb</w:t>
            </w:r>
            <w:proofErr w:type="spellEnd"/>
            <w:r w:rsidRPr="00B82D30">
              <w:t>.), do</w:t>
            </w:r>
            <w:r w:rsidR="006D4AFF" w:rsidRPr="00B82D30">
              <w:t> </w:t>
            </w:r>
            <w:r w:rsidRPr="00B82D30">
              <w:t>j</w:t>
            </w:r>
            <w:r w:rsidR="00107DE5" w:rsidRPr="00B82D30">
              <w:t>ednoho procentního bodu včetně z</w:t>
            </w:r>
            <w:r w:rsidR="003D2B0A" w:rsidRPr="00B82D30">
              <w:t>tratil i nejrozvinutější člen Evropské unie</w:t>
            </w:r>
            <w:r w:rsidR="00C23048" w:rsidRPr="00B82D30">
              <w:t xml:space="preserve"> Lucembursko,</w:t>
            </w:r>
            <w:r w:rsidR="00107DE5" w:rsidRPr="00B82D30">
              <w:t xml:space="preserve"> dále pak</w:t>
            </w:r>
            <w:r w:rsidRPr="00B82D30">
              <w:t> </w:t>
            </w:r>
            <w:r w:rsidR="00C23048" w:rsidRPr="00B82D30">
              <w:t xml:space="preserve">Belgie, </w:t>
            </w:r>
            <w:r w:rsidRPr="00B82D30">
              <w:t>Francie</w:t>
            </w:r>
            <w:r w:rsidR="00C23048" w:rsidRPr="00B82D30">
              <w:t xml:space="preserve"> a Rakousko.</w:t>
            </w:r>
          </w:p>
          <w:p w:rsidR="009C223B" w:rsidRPr="00B82D30" w:rsidRDefault="009C223B" w:rsidP="00011A65">
            <w:pPr>
              <w:pStyle w:val="Textpoznpodarou"/>
              <w:jc w:val="both"/>
            </w:pPr>
          </w:p>
        </w:tc>
      </w:tr>
      <w:tr w:rsidR="009C223B" w:rsidRPr="00B82D30" w:rsidTr="000E63FC">
        <w:tc>
          <w:tcPr>
            <w:tcW w:w="1054" w:type="pct"/>
            <w:gridSpan w:val="2"/>
          </w:tcPr>
          <w:p w:rsidR="009C223B" w:rsidRPr="00B82D30" w:rsidRDefault="009C223B" w:rsidP="006D4AFF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Mezi zeměmi, které vstupovaly do EU v roce 2004 a později, je Česko jednou z nejméně </w:t>
            </w:r>
            <w:r w:rsidR="006D4AFF" w:rsidRPr="00B82D30">
              <w:rPr>
                <w:sz w:val="16"/>
                <w:szCs w:val="16"/>
              </w:rPr>
              <w:t>„</w:t>
            </w:r>
            <w:r w:rsidRPr="00B82D30">
              <w:rPr>
                <w:sz w:val="16"/>
                <w:szCs w:val="16"/>
              </w:rPr>
              <w:t>zemědělsky</w:t>
            </w:r>
            <w:r w:rsidR="006D4AFF" w:rsidRPr="00B82D30">
              <w:rPr>
                <w:sz w:val="16"/>
                <w:szCs w:val="16"/>
              </w:rPr>
              <w:t>, lesnicky a rybářsky“ orientovaných</w:t>
            </w:r>
          </w:p>
        </w:tc>
        <w:tc>
          <w:tcPr>
            <w:tcW w:w="142" w:type="pct"/>
          </w:tcPr>
          <w:p w:rsidR="009C223B" w:rsidRPr="00B82D30" w:rsidRDefault="009C223B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9C223B" w:rsidRPr="00B82D30" w:rsidRDefault="009C223B" w:rsidP="00D01ACC">
            <w:pPr>
              <w:pStyle w:val="Textpoznpodarou"/>
              <w:jc w:val="both"/>
            </w:pPr>
            <w:r w:rsidRPr="00B82D30">
              <w:t xml:space="preserve">V roce 1995 tvořil podíl </w:t>
            </w:r>
            <w:r w:rsidR="00D01ACC" w:rsidRPr="00B82D30">
              <w:t>hrubé přidané hodnoty</w:t>
            </w:r>
            <w:r w:rsidRPr="00B82D30">
              <w:t xml:space="preserve"> zemědělství, lesnictví a rybářství 4</w:t>
            </w:r>
            <w:r w:rsidR="00066D1D" w:rsidRPr="00B82D30">
              <w:t>,5</w:t>
            </w:r>
            <w:r w:rsidRPr="00B82D30">
              <w:t xml:space="preserve"> % </w:t>
            </w:r>
            <w:r w:rsidR="00D01ACC" w:rsidRPr="00B82D30">
              <w:t>hrubé přidané hodnoty</w:t>
            </w:r>
            <w:r w:rsidRPr="00B82D30">
              <w:t xml:space="preserve"> ekonomiky</w:t>
            </w:r>
            <w:r w:rsidR="00F51E7B" w:rsidRPr="00B82D30">
              <w:t xml:space="preserve"> ČR</w:t>
            </w:r>
            <w:r w:rsidR="00066D1D" w:rsidRPr="00B82D30">
              <w:t>, což bylo s</w:t>
            </w:r>
            <w:r w:rsidR="00456523" w:rsidRPr="00B82D30">
              <w:t> </w:t>
            </w:r>
            <w:r w:rsidR="00066D1D" w:rsidRPr="00B82D30">
              <w:t>výjimkou</w:t>
            </w:r>
            <w:r w:rsidR="00456523" w:rsidRPr="00B82D30">
              <w:t> </w:t>
            </w:r>
            <w:r w:rsidR="00066D1D" w:rsidRPr="00B82D30">
              <w:t>Malty (2,7</w:t>
            </w:r>
            <w:r w:rsidRPr="00B82D30">
              <w:t xml:space="preserve"> %)</w:t>
            </w:r>
            <w:r w:rsidR="00066D1D" w:rsidRPr="00B82D30">
              <w:t>, Slovinska (4,4 %)</w:t>
            </w:r>
            <w:r w:rsidRPr="00B82D30">
              <w:t xml:space="preserve"> a </w:t>
            </w:r>
            <w:r w:rsidR="00D01ACC" w:rsidRPr="00B82D30">
              <w:t>Chorvatska</w:t>
            </w:r>
            <w:r w:rsidRPr="00B82D30">
              <w:t xml:space="preserve"> </w:t>
            </w:r>
            <w:r w:rsidR="00D01ACC" w:rsidRPr="00B82D30">
              <w:t>(</w:t>
            </w:r>
            <w:r w:rsidRPr="00B82D30">
              <w:t>za které nebyly údaje dostupné</w:t>
            </w:r>
            <w:r w:rsidR="00D01ACC" w:rsidRPr="00B82D30">
              <w:t>)</w:t>
            </w:r>
            <w:r w:rsidRPr="00B82D30">
              <w:t xml:space="preserve"> nejméně ze </w:t>
            </w:r>
            <w:r w:rsidR="00456523" w:rsidRPr="00B82D30">
              <w:t>všech nových členských zemí Evropské unie.</w:t>
            </w:r>
            <w:r w:rsidR="00D01ACC" w:rsidRPr="00B82D30">
              <w:t> </w:t>
            </w:r>
            <w:r w:rsidR="00456523" w:rsidRPr="00B82D30">
              <w:t>F</w:t>
            </w:r>
            <w:r w:rsidRPr="00B82D30">
              <w:t>akt, že</w:t>
            </w:r>
            <w:r w:rsidR="00964525" w:rsidRPr="00B82D30">
              <w:t> </w:t>
            </w:r>
            <w:r w:rsidRPr="00B82D30">
              <w:t xml:space="preserve">Česko </w:t>
            </w:r>
            <w:r w:rsidR="00D01ACC" w:rsidRPr="00B82D30">
              <w:t>patřilo</w:t>
            </w:r>
            <w:r w:rsidRPr="00B82D30">
              <w:t xml:space="preserve"> k</w:t>
            </w:r>
            <w:r w:rsidR="00456523" w:rsidRPr="00B82D30">
              <w:t> nej</w:t>
            </w:r>
            <w:r w:rsidRPr="00B82D30">
              <w:t xml:space="preserve">méně </w:t>
            </w:r>
            <w:r w:rsidR="006D4AFF" w:rsidRPr="00B82D30">
              <w:t>„</w:t>
            </w:r>
            <w:r w:rsidRPr="00B82D30">
              <w:t>zemědělsky</w:t>
            </w:r>
            <w:r w:rsidR="006D4AFF" w:rsidRPr="00B82D30">
              <w:t>, lesnicky a rybářsky“</w:t>
            </w:r>
            <w:r w:rsidRPr="00B82D30">
              <w:t xml:space="preserve"> orientovaným no</w:t>
            </w:r>
            <w:r w:rsidR="00456523" w:rsidRPr="00B82D30">
              <w:t>vým zemím EU, platil</w:t>
            </w:r>
            <w:r w:rsidRPr="00B82D30">
              <w:t xml:space="preserve"> </w:t>
            </w:r>
            <w:r w:rsidR="00456523" w:rsidRPr="00B82D30">
              <w:t>po celé období 1995-2012</w:t>
            </w:r>
            <w:r w:rsidRPr="00B82D30">
              <w:t>.</w:t>
            </w:r>
          </w:p>
          <w:p w:rsidR="00D01ACC" w:rsidRPr="00B82D30" w:rsidRDefault="00D01ACC" w:rsidP="00D01ACC">
            <w:pPr>
              <w:pStyle w:val="Textpoznpodarou"/>
              <w:jc w:val="both"/>
            </w:pPr>
          </w:p>
        </w:tc>
      </w:tr>
      <w:tr w:rsidR="00D01ACC" w:rsidRPr="00B82D30" w:rsidTr="000E63FC">
        <w:tc>
          <w:tcPr>
            <w:tcW w:w="1054" w:type="pct"/>
            <w:gridSpan w:val="2"/>
          </w:tcPr>
          <w:p w:rsidR="00D01ACC" w:rsidRPr="00B82D30" w:rsidRDefault="000649B7" w:rsidP="00F51E7B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Kypr a Finsko – i v těchto zemích má zemědělství, lesnictví a rybářství</w:t>
            </w:r>
            <w:r w:rsidR="006D4AFF" w:rsidRPr="00B82D30">
              <w:rPr>
                <w:sz w:val="16"/>
                <w:szCs w:val="16"/>
              </w:rPr>
              <w:t xml:space="preserve"> dlouhodobě</w:t>
            </w:r>
            <w:r w:rsidRPr="00B82D30">
              <w:rPr>
                <w:sz w:val="16"/>
                <w:szCs w:val="16"/>
              </w:rPr>
              <w:t xml:space="preserve"> </w:t>
            </w:r>
            <w:r w:rsidR="00F51E7B" w:rsidRPr="00B82D30">
              <w:rPr>
                <w:sz w:val="16"/>
                <w:szCs w:val="16"/>
              </w:rPr>
              <w:t>větší</w:t>
            </w:r>
            <w:r w:rsidRPr="00B82D30">
              <w:rPr>
                <w:sz w:val="16"/>
                <w:szCs w:val="16"/>
              </w:rPr>
              <w:t xml:space="preserve"> význam než v ČR</w:t>
            </w:r>
          </w:p>
        </w:tc>
        <w:tc>
          <w:tcPr>
            <w:tcW w:w="142" w:type="pct"/>
          </w:tcPr>
          <w:p w:rsidR="00D01ACC" w:rsidRPr="00B82D30" w:rsidRDefault="00D01ACC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B02739" w:rsidRPr="00B82D30" w:rsidRDefault="00AB0D97" w:rsidP="00F51E7B">
            <w:pPr>
              <w:pStyle w:val="Textpoznpodarou"/>
              <w:jc w:val="both"/>
              <w:rPr>
                <w:spacing w:val="-2"/>
              </w:rPr>
            </w:pPr>
            <w:r w:rsidRPr="00B82D30">
              <w:rPr>
                <w:spacing w:val="-2"/>
              </w:rPr>
              <w:t>Podíl</w:t>
            </w:r>
            <w:r w:rsidR="00D01ACC" w:rsidRPr="00B82D30">
              <w:rPr>
                <w:spacing w:val="-2"/>
              </w:rPr>
              <w:t xml:space="preserve"> HPH zemědělství, lesnictví a rybářství na celkové HPH </w:t>
            </w:r>
            <w:r w:rsidR="008F6AF9" w:rsidRPr="00B82D30">
              <w:rPr>
                <w:spacing w:val="-2"/>
              </w:rPr>
              <w:t>ekonomiky</w:t>
            </w:r>
            <w:r w:rsidR="003D2B0A" w:rsidRPr="00B82D30">
              <w:rPr>
                <w:spacing w:val="-2"/>
              </w:rPr>
              <w:t xml:space="preserve"> byl v České republice</w:t>
            </w:r>
            <w:r w:rsidR="00D01ACC" w:rsidRPr="00B82D30">
              <w:rPr>
                <w:spacing w:val="-2"/>
              </w:rPr>
              <w:t xml:space="preserve"> dlouhodobě menší i</w:t>
            </w:r>
            <w:r w:rsidR="00107DE5" w:rsidRPr="00B82D30">
              <w:rPr>
                <w:spacing w:val="-2"/>
              </w:rPr>
              <w:t xml:space="preserve"> v porovnání se zeměmi</w:t>
            </w:r>
            <w:r w:rsidRPr="00B82D30">
              <w:rPr>
                <w:spacing w:val="-2"/>
              </w:rPr>
              <w:t xml:space="preserve"> jako je Kypr či Finsko. Jestliže se zemědělství, lesnictví a rybářstv</w:t>
            </w:r>
            <w:r w:rsidR="003D2B0A" w:rsidRPr="00B82D30">
              <w:rPr>
                <w:spacing w:val="-2"/>
              </w:rPr>
              <w:t>í na celkové hrubé přidané hodnotě</w:t>
            </w:r>
            <w:r w:rsidR="000649B7" w:rsidRPr="00B82D30">
              <w:rPr>
                <w:spacing w:val="-2"/>
              </w:rPr>
              <w:t xml:space="preserve"> </w:t>
            </w:r>
            <w:r w:rsidR="00966FB5" w:rsidRPr="00B82D30">
              <w:rPr>
                <w:spacing w:val="-2"/>
              </w:rPr>
              <w:t>ekonomiky</w:t>
            </w:r>
            <w:r w:rsidR="000649B7" w:rsidRPr="00B82D30">
              <w:rPr>
                <w:spacing w:val="-2"/>
              </w:rPr>
              <w:t xml:space="preserve"> ČR</w:t>
            </w:r>
            <w:r w:rsidRPr="00B82D30">
              <w:rPr>
                <w:spacing w:val="-2"/>
              </w:rPr>
              <w:t xml:space="preserve"> v letech 1995-2012 podílelo v průměru 3</w:t>
            </w:r>
            <w:r w:rsidR="006D4AFF" w:rsidRPr="00B82D30">
              <w:rPr>
                <w:spacing w:val="-2"/>
              </w:rPr>
              <w:t>,0</w:t>
            </w:r>
            <w:r w:rsidRPr="00B82D30">
              <w:rPr>
                <w:spacing w:val="-2"/>
              </w:rPr>
              <w:t xml:space="preserve"> %, na Kypru a ve Finsku</w:t>
            </w:r>
            <w:r w:rsidR="00AB39E3" w:rsidRPr="00B82D30">
              <w:rPr>
                <w:spacing w:val="-2"/>
              </w:rPr>
              <w:t xml:space="preserve"> vyššími</w:t>
            </w:r>
            <w:r w:rsidRPr="00B82D30">
              <w:rPr>
                <w:spacing w:val="-2"/>
              </w:rPr>
              <w:t xml:space="preserve"> </w:t>
            </w:r>
            <w:r w:rsidR="00AB39E3" w:rsidRPr="00B82D30">
              <w:rPr>
                <w:spacing w:val="-2"/>
              </w:rPr>
              <w:t>3,3</w:t>
            </w:r>
            <w:r w:rsidR="00966FB5" w:rsidRPr="00B82D30">
              <w:rPr>
                <w:spacing w:val="-2"/>
              </w:rPr>
              <w:t> </w:t>
            </w:r>
            <w:r w:rsidR="00AB39E3" w:rsidRPr="00B82D30">
              <w:rPr>
                <w:spacing w:val="-2"/>
              </w:rPr>
              <w:t xml:space="preserve">% respektive </w:t>
            </w:r>
            <w:r w:rsidRPr="00B82D30">
              <w:rPr>
                <w:spacing w:val="-2"/>
              </w:rPr>
              <w:t>3,2 %. Obě země na</w:t>
            </w:r>
            <w:r w:rsidR="008841EC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rozdíl</w:t>
            </w:r>
            <w:r w:rsidR="008841EC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>od</w:t>
            </w:r>
            <w:r w:rsidR="00BE1098" w:rsidRPr="00B82D30">
              <w:rPr>
                <w:spacing w:val="-2"/>
              </w:rPr>
              <w:t> </w:t>
            </w:r>
            <w:r w:rsidRPr="00B82D30">
              <w:rPr>
                <w:spacing w:val="-2"/>
              </w:rPr>
              <w:t xml:space="preserve">ČR profitují s rybolovu, Kypr navíc z pěstování </w:t>
            </w:r>
            <w:r w:rsidR="00283347" w:rsidRPr="00B82D30">
              <w:rPr>
                <w:spacing w:val="-2"/>
              </w:rPr>
              <w:t>ovoce</w:t>
            </w:r>
            <w:r w:rsidRPr="00B82D30">
              <w:rPr>
                <w:spacing w:val="-2"/>
              </w:rPr>
              <w:t>, Finsko</w:t>
            </w:r>
            <w:r w:rsidR="00456523" w:rsidRPr="00B82D30">
              <w:rPr>
                <w:spacing w:val="-2"/>
              </w:rPr>
              <w:t xml:space="preserve"> z </w:t>
            </w:r>
            <w:r w:rsidR="00F51E7B" w:rsidRPr="00B82D30">
              <w:rPr>
                <w:spacing w:val="-2"/>
              </w:rPr>
              <w:t>velkých</w:t>
            </w:r>
            <w:r w:rsidR="00456523" w:rsidRPr="00B82D30">
              <w:rPr>
                <w:spacing w:val="-2"/>
              </w:rPr>
              <w:t xml:space="preserve"> objemů</w:t>
            </w:r>
            <w:r w:rsidR="00C55EC6" w:rsidRPr="00B82D30">
              <w:rPr>
                <w:spacing w:val="-2"/>
              </w:rPr>
              <w:t xml:space="preserve"> </w:t>
            </w:r>
            <w:r w:rsidR="00456523" w:rsidRPr="00B82D30">
              <w:rPr>
                <w:spacing w:val="-2"/>
              </w:rPr>
              <w:t>vytěženého dřeva</w:t>
            </w:r>
            <w:r w:rsidRPr="00B82D30">
              <w:rPr>
                <w:spacing w:val="-2"/>
              </w:rPr>
              <w:t>.</w:t>
            </w:r>
          </w:p>
        </w:tc>
      </w:tr>
      <w:tr w:rsidR="00B02739" w:rsidRPr="00B82D30" w:rsidTr="00011A65">
        <w:tc>
          <w:tcPr>
            <w:tcW w:w="453" w:type="pct"/>
          </w:tcPr>
          <w:p w:rsidR="00B02739" w:rsidRPr="00B82D30" w:rsidRDefault="00B02739" w:rsidP="00011A65">
            <w:pPr>
              <w:pStyle w:val="Textpoznpodarou"/>
            </w:pPr>
            <w:r w:rsidRPr="00B82D30">
              <w:lastRenderedPageBreak/>
              <w:t>Graf č. 5</w:t>
            </w:r>
          </w:p>
        </w:tc>
        <w:tc>
          <w:tcPr>
            <w:tcW w:w="4547" w:type="pct"/>
            <w:gridSpan w:val="3"/>
          </w:tcPr>
          <w:p w:rsidR="00B02739" w:rsidRPr="00B82D30" w:rsidRDefault="00B02739" w:rsidP="00011A65">
            <w:pPr>
              <w:pStyle w:val="Textpoznpodarou"/>
            </w:pPr>
            <w:r w:rsidRPr="00B82D30">
              <w:rPr>
                <w:b/>
              </w:rPr>
              <w:t>Podíl HPH zemědělství, lesnictví a rybářství na HPH celé ekonomiky v nových členských zemích EU</w:t>
            </w:r>
            <w:r w:rsidRPr="00B82D30">
              <w:t xml:space="preserve"> (nominální hodnoty, v %)</w:t>
            </w:r>
          </w:p>
        </w:tc>
      </w:tr>
    </w:tbl>
    <w:p w:rsidR="00B02739" w:rsidRPr="00B82D30" w:rsidRDefault="00B02739" w:rsidP="00B02739">
      <w:pPr>
        <w:rPr>
          <w:sz w:val="18"/>
          <w:szCs w:val="18"/>
        </w:rPr>
      </w:pPr>
      <w:r w:rsidRPr="00B82D30">
        <w:rPr>
          <w:noProof/>
          <w:sz w:val="18"/>
          <w:szCs w:val="18"/>
        </w:rPr>
        <w:drawing>
          <wp:inline distT="0" distB="0" distL="0" distR="0">
            <wp:extent cx="6120130" cy="2173475"/>
            <wp:effectExtent l="19050" t="0" r="0" b="0"/>
            <wp:docPr id="3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90"/>
        <w:gridCol w:w="4704"/>
      </w:tblGrid>
      <w:tr w:rsidR="00B02739" w:rsidRPr="00B82D30" w:rsidTr="00011A65">
        <w:tc>
          <w:tcPr>
            <w:tcW w:w="2574" w:type="pct"/>
          </w:tcPr>
          <w:p w:rsidR="00B02739" w:rsidRPr="00B82D30" w:rsidRDefault="00B02739" w:rsidP="00011A65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nedostupné údaje za Chorvatsko</w:t>
            </w:r>
            <w:r w:rsidR="00203DE2" w:rsidRPr="00B82D30">
              <w:rPr>
                <w:sz w:val="18"/>
                <w:szCs w:val="18"/>
              </w:rPr>
              <w:t>. V metodice ESA 95.</w:t>
            </w:r>
          </w:p>
        </w:tc>
        <w:tc>
          <w:tcPr>
            <w:tcW w:w="2426" w:type="pct"/>
          </w:tcPr>
          <w:p w:rsidR="00B02739" w:rsidRPr="00B82D30" w:rsidRDefault="00B02739" w:rsidP="00011A65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Zdroj: </w:t>
            </w:r>
            <w:proofErr w:type="spellStart"/>
            <w:r w:rsidRPr="00B82D30">
              <w:rPr>
                <w:sz w:val="18"/>
                <w:szCs w:val="18"/>
              </w:rPr>
              <w:t>Eurostat</w:t>
            </w:r>
            <w:proofErr w:type="spellEnd"/>
            <w:r w:rsidRPr="00B82D30">
              <w:rPr>
                <w:sz w:val="18"/>
                <w:szCs w:val="18"/>
              </w:rPr>
              <w:t>, vlastní propočty</w:t>
            </w:r>
          </w:p>
        </w:tc>
      </w:tr>
    </w:tbl>
    <w:p w:rsidR="00B02739" w:rsidRPr="00B82D30" w:rsidRDefault="00B02739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78"/>
        <w:gridCol w:w="8816"/>
      </w:tblGrid>
      <w:tr w:rsidR="003622E1" w:rsidRPr="00B82D30" w:rsidTr="00011A65">
        <w:tc>
          <w:tcPr>
            <w:tcW w:w="453" w:type="pct"/>
          </w:tcPr>
          <w:p w:rsidR="003622E1" w:rsidRPr="00B82D30" w:rsidRDefault="003622E1" w:rsidP="00011A65">
            <w:pPr>
              <w:pStyle w:val="Textpoznpodarou"/>
            </w:pPr>
            <w:r w:rsidRPr="00B82D30">
              <w:t>Graf č. </w:t>
            </w:r>
            <w:r w:rsidR="008E2DB4" w:rsidRPr="00B82D30">
              <w:t>6</w:t>
            </w:r>
          </w:p>
        </w:tc>
        <w:tc>
          <w:tcPr>
            <w:tcW w:w="4547" w:type="pct"/>
          </w:tcPr>
          <w:p w:rsidR="003622E1" w:rsidRPr="00B82D30" w:rsidRDefault="003622E1" w:rsidP="00E12CF4">
            <w:pPr>
              <w:pStyle w:val="Textpoznpodarou"/>
            </w:pPr>
            <w:r w:rsidRPr="00B82D30">
              <w:rPr>
                <w:b/>
              </w:rPr>
              <w:t xml:space="preserve">Podíl </w:t>
            </w:r>
            <w:r w:rsidR="00E12CF4" w:rsidRPr="00B82D30">
              <w:rPr>
                <w:b/>
              </w:rPr>
              <w:t>HPH</w:t>
            </w:r>
            <w:r w:rsidRPr="00B82D30">
              <w:rPr>
                <w:b/>
              </w:rPr>
              <w:t xml:space="preserve"> těžby a dobývání na </w:t>
            </w:r>
            <w:r w:rsidR="00E12CF4" w:rsidRPr="00B82D30">
              <w:rPr>
                <w:b/>
              </w:rPr>
              <w:t>HPH</w:t>
            </w:r>
            <w:r w:rsidRPr="00B82D30">
              <w:rPr>
                <w:b/>
              </w:rPr>
              <w:t xml:space="preserve"> celé ekonomiky v nových členských zemích EU</w:t>
            </w:r>
            <w:r w:rsidRPr="00B82D30">
              <w:t xml:space="preserve"> (nominální hodnoty, v %)</w:t>
            </w:r>
          </w:p>
        </w:tc>
      </w:tr>
    </w:tbl>
    <w:p w:rsidR="003622E1" w:rsidRPr="00B82D30" w:rsidRDefault="00E83D9B" w:rsidP="003622E1">
      <w:pPr>
        <w:rPr>
          <w:sz w:val="18"/>
          <w:szCs w:val="18"/>
        </w:rPr>
      </w:pPr>
      <w:r w:rsidRPr="00B82D30">
        <w:rPr>
          <w:noProof/>
          <w:sz w:val="18"/>
          <w:szCs w:val="18"/>
        </w:rPr>
        <w:drawing>
          <wp:inline distT="0" distB="0" distL="0" distR="0">
            <wp:extent cx="6120130" cy="2173475"/>
            <wp:effectExtent l="19050" t="0" r="0" b="0"/>
            <wp:docPr id="3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90"/>
        <w:gridCol w:w="4704"/>
      </w:tblGrid>
      <w:tr w:rsidR="003622E1" w:rsidRPr="00B82D30" w:rsidTr="00011A65">
        <w:tc>
          <w:tcPr>
            <w:tcW w:w="2574" w:type="pct"/>
          </w:tcPr>
          <w:p w:rsidR="003622E1" w:rsidRPr="00B82D30" w:rsidRDefault="003622E1" w:rsidP="00011A65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nedostupné údaje za Chorvatsko</w:t>
            </w:r>
            <w:r w:rsidR="00203DE2" w:rsidRPr="00B82D30">
              <w:rPr>
                <w:sz w:val="18"/>
                <w:szCs w:val="18"/>
              </w:rPr>
              <w:t>. V metodice ESA 95.</w:t>
            </w:r>
          </w:p>
        </w:tc>
        <w:tc>
          <w:tcPr>
            <w:tcW w:w="2426" w:type="pct"/>
          </w:tcPr>
          <w:p w:rsidR="003622E1" w:rsidRPr="00B82D30" w:rsidRDefault="003622E1" w:rsidP="00011A65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Zdroj: </w:t>
            </w:r>
            <w:proofErr w:type="spellStart"/>
            <w:r w:rsidRPr="00B82D30">
              <w:rPr>
                <w:sz w:val="18"/>
                <w:szCs w:val="18"/>
              </w:rPr>
              <w:t>Eurostat</w:t>
            </w:r>
            <w:proofErr w:type="spellEnd"/>
            <w:r w:rsidRPr="00B82D30">
              <w:rPr>
                <w:sz w:val="18"/>
                <w:szCs w:val="18"/>
              </w:rPr>
              <w:t>, vlastní propočty</w:t>
            </w:r>
          </w:p>
        </w:tc>
      </w:tr>
    </w:tbl>
    <w:p w:rsidR="00E12CF4" w:rsidRPr="00B82D30" w:rsidRDefault="00E12CF4" w:rsidP="000B74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79"/>
        <w:gridCol w:w="1165"/>
        <w:gridCol w:w="275"/>
        <w:gridCol w:w="7375"/>
      </w:tblGrid>
      <w:tr w:rsidR="00A004D1" w:rsidRPr="00B82D30" w:rsidTr="000E63FC">
        <w:tc>
          <w:tcPr>
            <w:tcW w:w="1054" w:type="pct"/>
            <w:gridSpan w:val="2"/>
          </w:tcPr>
          <w:p w:rsidR="00A004D1" w:rsidRPr="00B82D30" w:rsidRDefault="004C549C" w:rsidP="009C0DAC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Pokles podílu </w:t>
            </w:r>
            <w:r w:rsidR="00066D1D" w:rsidRPr="00B82D30">
              <w:rPr>
                <w:sz w:val="16"/>
                <w:szCs w:val="16"/>
              </w:rPr>
              <w:t xml:space="preserve">HPH </w:t>
            </w:r>
            <w:r w:rsidRPr="00B82D30">
              <w:rPr>
                <w:sz w:val="16"/>
                <w:szCs w:val="16"/>
              </w:rPr>
              <w:t>těžby a</w:t>
            </w:r>
            <w:r w:rsidR="007C31F5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>dobývání na</w:t>
            </w:r>
            <w:r w:rsidR="00E57C6E" w:rsidRPr="00B82D30">
              <w:rPr>
                <w:sz w:val="16"/>
                <w:szCs w:val="16"/>
              </w:rPr>
              <w:t> </w:t>
            </w:r>
            <w:r w:rsidRPr="00B82D30">
              <w:rPr>
                <w:sz w:val="16"/>
                <w:szCs w:val="16"/>
              </w:rPr>
              <w:t xml:space="preserve">celkové </w:t>
            </w:r>
            <w:r w:rsidR="00066D1D" w:rsidRPr="00B82D30">
              <w:rPr>
                <w:sz w:val="16"/>
                <w:szCs w:val="16"/>
              </w:rPr>
              <w:t>HPH</w:t>
            </w:r>
            <w:r w:rsidRPr="00B82D30">
              <w:rPr>
                <w:sz w:val="16"/>
                <w:szCs w:val="16"/>
              </w:rPr>
              <w:t xml:space="preserve"> ekonomiky nejvíce zasáhl </w:t>
            </w:r>
            <w:r w:rsidR="009C0DAC" w:rsidRPr="00B82D30">
              <w:rPr>
                <w:sz w:val="16"/>
                <w:szCs w:val="16"/>
              </w:rPr>
              <w:t>Rumunsko, Polsko</w:t>
            </w:r>
            <w:r w:rsidRPr="00B82D30">
              <w:rPr>
                <w:sz w:val="16"/>
                <w:szCs w:val="16"/>
              </w:rPr>
              <w:t xml:space="preserve"> a Česko</w:t>
            </w:r>
          </w:p>
        </w:tc>
        <w:tc>
          <w:tcPr>
            <w:tcW w:w="142" w:type="pct"/>
          </w:tcPr>
          <w:p w:rsidR="00A004D1" w:rsidRPr="00B82D30" w:rsidRDefault="00A004D1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A004D1" w:rsidRPr="00B82D30" w:rsidRDefault="00A004D1" w:rsidP="00373C67">
            <w:pPr>
              <w:pStyle w:val="Textpoznpodarou"/>
              <w:jc w:val="both"/>
            </w:pPr>
            <w:r w:rsidRPr="00B82D30">
              <w:t>Jestliže význam odvětví zeměděls</w:t>
            </w:r>
            <w:r w:rsidR="00DA0D06" w:rsidRPr="00B82D30">
              <w:t>tví, lesnictví a rybářství kles</w:t>
            </w:r>
            <w:r w:rsidRPr="00B82D30">
              <w:t>l</w:t>
            </w:r>
            <w:r w:rsidR="009C0DAC" w:rsidRPr="00B82D30">
              <w:t xml:space="preserve"> mezi rokem 1995</w:t>
            </w:r>
            <w:r w:rsidR="009F2937" w:rsidRPr="00B82D30">
              <w:t xml:space="preserve"> a</w:t>
            </w:r>
            <w:r w:rsidR="00373C67" w:rsidRPr="00B82D30">
              <w:t> </w:t>
            </w:r>
            <w:r w:rsidR="009F2937" w:rsidRPr="00B82D30">
              <w:t>2012</w:t>
            </w:r>
            <w:r w:rsidRPr="00B82D30">
              <w:t xml:space="preserve"> ve všech zemích </w:t>
            </w:r>
            <w:r w:rsidR="009C0DAC" w:rsidRPr="00B82D30">
              <w:t>Evropské unie</w:t>
            </w:r>
            <w:r w:rsidRPr="00B82D30">
              <w:t xml:space="preserve">, význam těžby a dobývání nikoliv. </w:t>
            </w:r>
            <w:r w:rsidR="00066D1D" w:rsidRPr="00B82D30">
              <w:t>O</w:t>
            </w:r>
            <w:r w:rsidR="009C0DAC" w:rsidRPr="00B82D30">
              <w:t> </w:t>
            </w:r>
            <w:r w:rsidR="00066D1D" w:rsidRPr="00B82D30">
              <w:t>2,7</w:t>
            </w:r>
            <w:r w:rsidR="009C0DAC" w:rsidRPr="00B82D30">
              <w:t> </w:t>
            </w:r>
            <w:proofErr w:type="spellStart"/>
            <w:r w:rsidR="00DA0D06" w:rsidRPr="00B82D30">
              <w:t>pb</w:t>
            </w:r>
            <w:proofErr w:type="spellEnd"/>
            <w:r w:rsidR="00DA0D06" w:rsidRPr="00B82D30">
              <w:t>.</w:t>
            </w:r>
            <w:r w:rsidR="00E4306D" w:rsidRPr="00B82D30">
              <w:t>, nejvíce ze</w:t>
            </w:r>
            <w:r w:rsidR="00964525" w:rsidRPr="00B82D30">
              <w:t> </w:t>
            </w:r>
            <w:r w:rsidR="00E4306D" w:rsidRPr="00B82D30">
              <w:t>všech zemí,</w:t>
            </w:r>
            <w:r w:rsidR="00DA0D06" w:rsidRPr="00B82D30">
              <w:t xml:space="preserve"> </w:t>
            </w:r>
            <w:r w:rsidR="00E4306D" w:rsidRPr="00B82D30">
              <w:t xml:space="preserve">narostl </w:t>
            </w:r>
            <w:r w:rsidR="00DA0D06" w:rsidRPr="00B82D30">
              <w:t>p</w:t>
            </w:r>
            <w:r w:rsidRPr="00B82D30">
              <w:t xml:space="preserve">odíl </w:t>
            </w:r>
            <w:r w:rsidR="00066D1D" w:rsidRPr="00B82D30">
              <w:t>HPH</w:t>
            </w:r>
            <w:r w:rsidRPr="00B82D30">
              <w:t xml:space="preserve"> těžby a dobývání na</w:t>
            </w:r>
            <w:r w:rsidR="009F2937" w:rsidRPr="00B82D30">
              <w:t> </w:t>
            </w:r>
            <w:r w:rsidRPr="00B82D30">
              <w:t xml:space="preserve">celkové </w:t>
            </w:r>
            <w:r w:rsidR="00066D1D" w:rsidRPr="00B82D30">
              <w:t>HPH</w:t>
            </w:r>
            <w:r w:rsidR="008E7D66" w:rsidRPr="00B82D30">
              <w:t xml:space="preserve"> </w:t>
            </w:r>
            <w:r w:rsidRPr="00B82D30">
              <w:t>ek</w:t>
            </w:r>
            <w:r w:rsidR="008E7D66" w:rsidRPr="00B82D30">
              <w:t>onomiky</w:t>
            </w:r>
            <w:r w:rsidRPr="00B82D30">
              <w:t xml:space="preserve"> v</w:t>
            </w:r>
            <w:r w:rsidR="00066D1D" w:rsidRPr="00B82D30">
              <w:t xml:space="preserve"> Dánsku, o 1,1 </w:t>
            </w:r>
            <w:proofErr w:type="spellStart"/>
            <w:r w:rsidR="00066D1D" w:rsidRPr="00B82D30">
              <w:t>pb</w:t>
            </w:r>
            <w:proofErr w:type="spellEnd"/>
            <w:r w:rsidR="00066D1D" w:rsidRPr="00B82D30">
              <w:t>.</w:t>
            </w:r>
            <w:r w:rsidR="008F6AF9" w:rsidRPr="00B82D30">
              <w:t xml:space="preserve"> se zvýšil</w:t>
            </w:r>
            <w:r w:rsidR="00066D1D" w:rsidRPr="00B82D30">
              <w:t xml:space="preserve"> v Nizozemsku</w:t>
            </w:r>
            <w:r w:rsidRPr="00B82D30">
              <w:t xml:space="preserve">. </w:t>
            </w:r>
            <w:r w:rsidR="009530A9" w:rsidRPr="00B82D30">
              <w:t>Mohl</w:t>
            </w:r>
            <w:r w:rsidR="00E8676F" w:rsidRPr="00B82D30">
              <w:t>o</w:t>
            </w:r>
            <w:r w:rsidR="009530A9" w:rsidRPr="00B82D30">
              <w:t xml:space="preserve"> se na tom podílet</w:t>
            </w:r>
            <w:r w:rsidRPr="00B82D30">
              <w:t xml:space="preserve"> </w:t>
            </w:r>
            <w:r w:rsidR="00E8676F" w:rsidRPr="00B82D30">
              <w:t>navýšení</w:t>
            </w:r>
            <w:r w:rsidRPr="00B82D30">
              <w:t xml:space="preserve"> cen</w:t>
            </w:r>
            <w:r w:rsidR="00E8676F" w:rsidRPr="00B82D30">
              <w:t>y</w:t>
            </w:r>
            <w:r w:rsidR="00117DC4" w:rsidRPr="00B82D30">
              <w:t xml:space="preserve"> ropy a</w:t>
            </w:r>
            <w:r w:rsidRPr="00B82D30">
              <w:t xml:space="preserve"> zemního plynu</w:t>
            </w:r>
            <w:r w:rsidR="00117DC4" w:rsidRPr="00B82D30">
              <w:t xml:space="preserve"> na komoditních trzích, surovin</w:t>
            </w:r>
            <w:r w:rsidRPr="00B82D30">
              <w:t xml:space="preserve">, </w:t>
            </w:r>
            <w:r w:rsidR="00117DC4" w:rsidRPr="00B82D30">
              <w:t>které</w:t>
            </w:r>
            <w:r w:rsidR="009530A9" w:rsidRPr="00B82D30">
              <w:t xml:space="preserve"> </w:t>
            </w:r>
            <w:r w:rsidR="00735F33" w:rsidRPr="00B82D30">
              <w:t>patři mezi hlavní nerostná</w:t>
            </w:r>
            <w:r w:rsidR="009530A9" w:rsidRPr="00B82D30">
              <w:t xml:space="preserve"> bohatství těchto přímořských zemí</w:t>
            </w:r>
            <w:r w:rsidRPr="00B82D30">
              <w:t>. Na</w:t>
            </w:r>
            <w:r w:rsidR="009F2937" w:rsidRPr="00B82D30">
              <w:t> </w:t>
            </w:r>
            <w:r w:rsidRPr="00B82D30">
              <w:t xml:space="preserve">významu </w:t>
            </w:r>
            <w:r w:rsidR="007C31F5" w:rsidRPr="00B82D30">
              <w:t xml:space="preserve">mírně </w:t>
            </w:r>
            <w:r w:rsidRPr="00B82D30">
              <w:t>získala těžba a dobýván</w:t>
            </w:r>
            <w:r w:rsidR="00066D1D" w:rsidRPr="00B82D30">
              <w:t>í i v Lotyšsku, ve Švédsku a</w:t>
            </w:r>
            <w:r w:rsidR="009F2937" w:rsidRPr="00B82D30">
              <w:t> </w:t>
            </w:r>
            <w:r w:rsidR="00066D1D" w:rsidRPr="00B82D30">
              <w:t>v</w:t>
            </w:r>
            <w:r w:rsidR="009F2937" w:rsidRPr="00B82D30">
              <w:t> </w:t>
            </w:r>
            <w:r w:rsidR="00066D1D" w:rsidRPr="00B82D30">
              <w:t xml:space="preserve">Rakousku. </w:t>
            </w:r>
            <w:r w:rsidRPr="00B82D30">
              <w:t xml:space="preserve">Nejvíce naopak </w:t>
            </w:r>
            <w:r w:rsidR="005F6328" w:rsidRPr="00B82D30">
              <w:t xml:space="preserve">váha </w:t>
            </w:r>
            <w:r w:rsidRPr="00B82D30">
              <w:t>odvětví těžby</w:t>
            </w:r>
            <w:r w:rsidR="00E8676F" w:rsidRPr="00B82D30">
              <w:t> </w:t>
            </w:r>
            <w:r w:rsidRPr="00B82D30">
              <w:t>a</w:t>
            </w:r>
            <w:r w:rsidR="002E1238" w:rsidRPr="00B82D30">
              <w:t> </w:t>
            </w:r>
            <w:r w:rsidRPr="00B82D30">
              <w:t xml:space="preserve">dobývání </w:t>
            </w:r>
            <w:r w:rsidR="00066D1D" w:rsidRPr="00B82D30">
              <w:t>osl</w:t>
            </w:r>
            <w:r w:rsidR="005F6328" w:rsidRPr="00B82D30">
              <w:t>abila</w:t>
            </w:r>
            <w:r w:rsidR="00066D1D" w:rsidRPr="00B82D30">
              <w:t xml:space="preserve"> v Rumunsku (o</w:t>
            </w:r>
            <w:r w:rsidR="009F2937" w:rsidRPr="00B82D30">
              <w:t> </w:t>
            </w:r>
            <w:r w:rsidR="00066D1D" w:rsidRPr="00B82D30">
              <w:t xml:space="preserve">1,7 </w:t>
            </w:r>
            <w:proofErr w:type="spellStart"/>
            <w:r w:rsidR="00066D1D" w:rsidRPr="00B82D30">
              <w:t>pb</w:t>
            </w:r>
            <w:proofErr w:type="spellEnd"/>
            <w:r w:rsidR="00066D1D" w:rsidRPr="00B82D30">
              <w:t>.)</w:t>
            </w:r>
            <w:r w:rsidR="00C06AFA" w:rsidRPr="00B82D30">
              <w:t xml:space="preserve">, které dlouhodobě omezovalo těžbu ropy a zemního plynu, a v Polsku (o 1,2 </w:t>
            </w:r>
            <w:proofErr w:type="spellStart"/>
            <w:r w:rsidR="00C06AFA" w:rsidRPr="00B82D30">
              <w:t>pb</w:t>
            </w:r>
            <w:proofErr w:type="spellEnd"/>
            <w:r w:rsidR="00C06AFA" w:rsidRPr="00B82D30">
              <w:t>.)</w:t>
            </w:r>
            <w:r w:rsidR="00E4306D" w:rsidRPr="00B82D30">
              <w:t>, které</w:t>
            </w:r>
            <w:r w:rsidR="00C06AFA" w:rsidRPr="00B82D30">
              <w:t> </w:t>
            </w:r>
            <w:r w:rsidR="00E4306D" w:rsidRPr="00B82D30">
              <w:t>stejně jako Česká republika</w:t>
            </w:r>
            <w:r w:rsidR="00C06AFA" w:rsidRPr="00B82D30">
              <w:t xml:space="preserve"> </w:t>
            </w:r>
            <w:r w:rsidR="00970837" w:rsidRPr="00B82D30">
              <w:t>redukovalo</w:t>
            </w:r>
            <w:r w:rsidRPr="00B82D30">
              <w:t xml:space="preserve"> těžbu uhlí.</w:t>
            </w:r>
          </w:p>
          <w:p w:rsidR="00A004D1" w:rsidRPr="00B82D30" w:rsidRDefault="00A004D1" w:rsidP="00011A65">
            <w:pPr>
              <w:pStyle w:val="Textpoznpodarou"/>
              <w:jc w:val="both"/>
            </w:pPr>
          </w:p>
        </w:tc>
      </w:tr>
      <w:tr w:rsidR="00A004D1" w:rsidRPr="00B82D30" w:rsidTr="000E63FC">
        <w:tc>
          <w:tcPr>
            <w:tcW w:w="1054" w:type="pct"/>
            <w:gridSpan w:val="2"/>
          </w:tcPr>
          <w:p w:rsidR="00A004D1" w:rsidRPr="00B82D30" w:rsidRDefault="007C31F5" w:rsidP="007C31F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Význam těžby a dobýv</w:t>
            </w:r>
            <w:r w:rsidR="008D5CCB" w:rsidRPr="00B82D30">
              <w:rPr>
                <w:sz w:val="16"/>
                <w:szCs w:val="16"/>
              </w:rPr>
              <w:t>ání, z hlediska podílu na HPH ekonomiky</w:t>
            </w:r>
            <w:r w:rsidRPr="00B82D30">
              <w:rPr>
                <w:sz w:val="16"/>
                <w:szCs w:val="16"/>
              </w:rPr>
              <w:t xml:space="preserve">, zůstal v Česku v kontextu </w:t>
            </w:r>
            <w:r w:rsidR="0063108B" w:rsidRPr="00B82D30">
              <w:rPr>
                <w:sz w:val="16"/>
                <w:szCs w:val="16"/>
              </w:rPr>
              <w:t xml:space="preserve">zemí </w:t>
            </w:r>
            <w:r w:rsidRPr="00B82D30">
              <w:rPr>
                <w:sz w:val="16"/>
                <w:szCs w:val="16"/>
              </w:rPr>
              <w:t>EU vysoce nadprůměrný</w:t>
            </w:r>
          </w:p>
        </w:tc>
        <w:tc>
          <w:tcPr>
            <w:tcW w:w="142" w:type="pct"/>
          </w:tcPr>
          <w:p w:rsidR="00A004D1" w:rsidRPr="00B82D30" w:rsidRDefault="00A004D1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93DEA" w:rsidRPr="00B82D30" w:rsidRDefault="00A004D1" w:rsidP="00011A65">
            <w:pPr>
              <w:pStyle w:val="Textpoznpodarou"/>
              <w:jc w:val="both"/>
            </w:pPr>
            <w:r w:rsidRPr="00B82D30">
              <w:t>V roce 1995 tvořil</w:t>
            </w:r>
            <w:r w:rsidR="000A1645" w:rsidRPr="00B82D30">
              <w:t>a</w:t>
            </w:r>
            <w:r w:rsidRPr="00B82D30">
              <w:t xml:space="preserve"> </w:t>
            </w:r>
            <w:r w:rsidR="00066D1D" w:rsidRPr="00B82D30">
              <w:t>HPH</w:t>
            </w:r>
            <w:r w:rsidRPr="00B82D30">
              <w:t xml:space="preserve"> těžby a dobývání</w:t>
            </w:r>
            <w:r w:rsidR="008E2DB4" w:rsidRPr="00B82D30">
              <w:t xml:space="preserve"> 2,2</w:t>
            </w:r>
            <w:r w:rsidRPr="00B82D30">
              <w:t xml:space="preserve"> % </w:t>
            </w:r>
            <w:r w:rsidR="00066D1D" w:rsidRPr="00B82D30">
              <w:t>HPH</w:t>
            </w:r>
            <w:r w:rsidR="007C31F5" w:rsidRPr="00B82D30">
              <w:t xml:space="preserve"> české</w:t>
            </w:r>
            <w:r w:rsidRPr="00B82D30">
              <w:t xml:space="preserve"> ekono</w:t>
            </w:r>
            <w:r w:rsidR="00B67D51" w:rsidRPr="00B82D30">
              <w:t>miky. Mezi zeměmi EU28, za které</w:t>
            </w:r>
            <w:r w:rsidRPr="00B82D30">
              <w:t xml:space="preserve"> jsou data dostupná, byl tento podíl </w:t>
            </w:r>
            <w:r w:rsidR="008E2DB4" w:rsidRPr="00B82D30">
              <w:t>šestý</w:t>
            </w:r>
            <w:r w:rsidRPr="00B82D30">
              <w:t xml:space="preserve"> nejvyšší. Přestože byl pokles významu těžby a dobývání v ČR</w:t>
            </w:r>
            <w:r w:rsidR="008E2DB4" w:rsidRPr="00B82D30">
              <w:t xml:space="preserve"> mezi roky 1995-2012</w:t>
            </w:r>
            <w:r w:rsidR="0063108B" w:rsidRPr="00B82D30">
              <w:t xml:space="preserve"> po</w:t>
            </w:r>
            <w:r w:rsidR="002E1238" w:rsidRPr="00B82D30">
              <w:t xml:space="preserve"> Rumunsku</w:t>
            </w:r>
            <w:r w:rsidR="0063108B" w:rsidRPr="00B82D30">
              <w:t xml:space="preserve"> a Polsku</w:t>
            </w:r>
            <w:r w:rsidRPr="00B82D30">
              <w:t xml:space="preserve"> třetí nejhlubší</w:t>
            </w:r>
            <w:r w:rsidR="00311844" w:rsidRPr="00B82D30">
              <w:t xml:space="preserve"> (o 1,0 </w:t>
            </w:r>
            <w:proofErr w:type="spellStart"/>
            <w:r w:rsidR="00311844" w:rsidRPr="00B82D30">
              <w:t>pb</w:t>
            </w:r>
            <w:proofErr w:type="spellEnd"/>
            <w:r w:rsidR="00311844" w:rsidRPr="00B82D30">
              <w:t>.)</w:t>
            </w:r>
            <w:r w:rsidRPr="00B82D30">
              <w:t xml:space="preserve">, z hlediska </w:t>
            </w:r>
            <w:r w:rsidR="0034621F" w:rsidRPr="00B82D30">
              <w:t xml:space="preserve">podílu </w:t>
            </w:r>
            <w:r w:rsidR="008E2DB4" w:rsidRPr="00B82D30">
              <w:t>HPH</w:t>
            </w:r>
            <w:r w:rsidR="0034621F" w:rsidRPr="00B82D30">
              <w:t xml:space="preserve"> těžby a dobývání na celkové </w:t>
            </w:r>
            <w:r w:rsidR="008E2DB4" w:rsidRPr="00B82D30">
              <w:t>HPH</w:t>
            </w:r>
            <w:r w:rsidRPr="00B82D30">
              <w:t xml:space="preserve"> si naše ekonomika</w:t>
            </w:r>
            <w:r w:rsidR="007C31F5" w:rsidRPr="00B82D30">
              <w:t xml:space="preserve"> mezi zeměmi Evropské unie</w:t>
            </w:r>
            <w:r w:rsidRPr="00B82D30">
              <w:t xml:space="preserve"> </w:t>
            </w:r>
            <w:r w:rsidR="008E2DB4" w:rsidRPr="00B82D30">
              <w:t>nijak ne</w:t>
            </w:r>
            <w:r w:rsidRPr="00B82D30">
              <w:t>pohoršila</w:t>
            </w:r>
            <w:r w:rsidR="005F6328" w:rsidRPr="00B82D30">
              <w:t xml:space="preserve">. Stále </w:t>
            </w:r>
            <w:r w:rsidR="00311844" w:rsidRPr="00B82D30">
              <w:t>se umisťovala na</w:t>
            </w:r>
            <w:r w:rsidR="005F6328" w:rsidRPr="00B82D30">
              <w:t xml:space="preserve"> šesté</w:t>
            </w:r>
            <w:r w:rsidR="00311844" w:rsidRPr="00B82D30">
              <w:t>m</w:t>
            </w:r>
            <w:r w:rsidR="005F6328" w:rsidRPr="00B82D30">
              <w:t xml:space="preserve"> </w:t>
            </w:r>
            <w:r w:rsidR="00311844" w:rsidRPr="00B82D30">
              <w:t>místě</w:t>
            </w:r>
            <w:r w:rsidR="005F6328" w:rsidRPr="00B82D30">
              <w:t>.</w:t>
            </w:r>
            <w:r w:rsidR="00A0712C" w:rsidRPr="00B82D30">
              <w:t xml:space="preserve"> Česko tak patřilo i v roce 2012</w:t>
            </w:r>
            <w:r w:rsidR="008F6AF9" w:rsidRPr="00B82D30">
              <w:t>, z hlediska významu tohoto odvětví v ekonomice, k</w:t>
            </w:r>
            <w:r w:rsidR="00950BB2" w:rsidRPr="00B82D30">
              <w:t xml:space="preserve"> unijním</w:t>
            </w:r>
            <w:r w:rsidR="008F6AF9" w:rsidRPr="00B82D30">
              <w:t> </w:t>
            </w:r>
            <w:r w:rsidR="00242465" w:rsidRPr="00B82D30">
              <w:t>„leaderům“</w:t>
            </w:r>
            <w:r w:rsidR="008F6AF9" w:rsidRPr="00B82D30">
              <w:t>.</w:t>
            </w:r>
          </w:p>
          <w:p w:rsidR="00A004D1" w:rsidRPr="00B82D30" w:rsidRDefault="00A004D1" w:rsidP="00011A65">
            <w:pPr>
              <w:pStyle w:val="Textpoznpodarou"/>
              <w:jc w:val="both"/>
            </w:pPr>
          </w:p>
        </w:tc>
      </w:tr>
      <w:tr w:rsidR="00A004D1" w:rsidRPr="00B82D30" w:rsidTr="000E63FC">
        <w:tc>
          <w:tcPr>
            <w:tcW w:w="1054" w:type="pct"/>
            <w:gridSpan w:val="2"/>
          </w:tcPr>
          <w:p w:rsidR="00A004D1" w:rsidRPr="00B82D30" w:rsidRDefault="00813C3D" w:rsidP="000A164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Význam primárního sektoru </w:t>
            </w:r>
            <w:r w:rsidR="000A1645" w:rsidRPr="00B82D30">
              <w:rPr>
                <w:sz w:val="16"/>
                <w:szCs w:val="16"/>
              </w:rPr>
              <w:t>se zmenšoval</w:t>
            </w:r>
            <w:r w:rsidRPr="00B82D30">
              <w:rPr>
                <w:sz w:val="16"/>
                <w:szCs w:val="16"/>
              </w:rPr>
              <w:t xml:space="preserve"> napříč celou EU, v konvergujících ekonomikách ovšem intenzivněji</w:t>
            </w:r>
          </w:p>
        </w:tc>
        <w:tc>
          <w:tcPr>
            <w:tcW w:w="142" w:type="pct"/>
          </w:tcPr>
          <w:p w:rsidR="00A004D1" w:rsidRPr="00B82D30" w:rsidRDefault="00A004D1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4906D8" w:rsidRPr="00B82D30" w:rsidRDefault="00A004D1" w:rsidP="00E00802">
            <w:pPr>
              <w:pStyle w:val="Textpoznpodarou"/>
              <w:jc w:val="both"/>
            </w:pPr>
            <w:r w:rsidRPr="00B82D30">
              <w:t>Význam primárního sektoru</w:t>
            </w:r>
            <w:r w:rsidR="00B80D54" w:rsidRPr="00B82D30">
              <w:t xml:space="preserve"> z</w:t>
            </w:r>
            <w:r w:rsidRPr="00B82D30">
              <w:t xml:space="preserve"> hlediska podílu na celkové </w:t>
            </w:r>
            <w:r w:rsidR="008E2DB4" w:rsidRPr="00B82D30">
              <w:t>HPH</w:t>
            </w:r>
            <w:r w:rsidR="000A1645" w:rsidRPr="00B82D30">
              <w:t xml:space="preserve"> ekonomiky</w:t>
            </w:r>
            <w:r w:rsidRPr="00B82D30">
              <w:t xml:space="preserve"> se</w:t>
            </w:r>
            <w:r w:rsidR="00B6123C" w:rsidRPr="00B82D30">
              <w:t> </w:t>
            </w:r>
            <w:r w:rsidR="00311844" w:rsidRPr="00B82D30">
              <w:t>mezi roky 1995 a 2012 zmenšil</w:t>
            </w:r>
            <w:r w:rsidRPr="00B82D30">
              <w:t xml:space="preserve"> jak v ČR, tak v ostatních </w:t>
            </w:r>
            <w:r w:rsidR="00B80D54" w:rsidRPr="00B82D30">
              <w:t>unijních</w:t>
            </w:r>
            <w:r w:rsidRPr="00B82D30">
              <w:t xml:space="preserve"> zemích</w:t>
            </w:r>
            <w:r w:rsidR="00796E4F" w:rsidRPr="00B82D30">
              <w:t xml:space="preserve"> (výjimkou bylo jen Dánsko)</w:t>
            </w:r>
            <w:r w:rsidRPr="00B82D30">
              <w:t>, bez ohledu na to,</w:t>
            </w:r>
            <w:r w:rsidR="00B80D54" w:rsidRPr="00B82D30">
              <w:t xml:space="preserve"> zda se jednalo</w:t>
            </w:r>
            <w:r w:rsidRPr="00B82D30">
              <w:t xml:space="preserve"> o země rozvinuté nebo konvergující. To již ale neplatí o</w:t>
            </w:r>
            <w:r w:rsidR="00B7399D" w:rsidRPr="00B82D30">
              <w:t> </w:t>
            </w:r>
            <w:r w:rsidRPr="00B82D30">
              <w:t xml:space="preserve">intenzitě zmenšování významu primárního sektoru. Ta </w:t>
            </w:r>
            <w:r w:rsidR="002E1238" w:rsidRPr="00B82D30">
              <w:t>byla</w:t>
            </w:r>
            <w:r w:rsidRPr="00B82D30">
              <w:t xml:space="preserve"> v konvergujících zemích, mezi</w:t>
            </w:r>
            <w:r w:rsidR="008E2DB4" w:rsidRPr="00B82D30">
              <w:t> </w:t>
            </w:r>
            <w:r w:rsidRPr="00B82D30">
              <w:t xml:space="preserve">které ČR spadá, </w:t>
            </w:r>
            <w:r w:rsidR="00E00802" w:rsidRPr="00B82D30">
              <w:t>větší</w:t>
            </w:r>
            <w:r w:rsidR="00C4687D" w:rsidRPr="00B82D30">
              <w:t xml:space="preserve"> než v rozvinutých zemích.</w:t>
            </w:r>
            <w:r w:rsidR="008E2DB4" w:rsidRPr="00B82D30">
              <w:t xml:space="preserve"> Ilustrací budiž graf</w:t>
            </w:r>
            <w:r w:rsidR="00D93DEA" w:rsidRPr="00B82D30">
              <w:t xml:space="preserve"> číslo</w:t>
            </w:r>
            <w:r w:rsidR="008E2DB4" w:rsidRPr="00B82D30">
              <w:t xml:space="preserve"> 7.</w:t>
            </w:r>
          </w:p>
        </w:tc>
      </w:tr>
      <w:tr w:rsidR="003341FD" w:rsidRPr="00B82D30" w:rsidTr="003341FD">
        <w:tc>
          <w:tcPr>
            <w:tcW w:w="453" w:type="pct"/>
          </w:tcPr>
          <w:p w:rsidR="003341FD" w:rsidRPr="00B82D30" w:rsidRDefault="003341FD" w:rsidP="003341FD">
            <w:pPr>
              <w:pStyle w:val="Textpoznpodarou"/>
            </w:pPr>
            <w:r w:rsidRPr="00B82D30">
              <w:lastRenderedPageBreak/>
              <w:t>Graf č. 7</w:t>
            </w:r>
          </w:p>
        </w:tc>
        <w:tc>
          <w:tcPr>
            <w:tcW w:w="4547" w:type="pct"/>
            <w:gridSpan w:val="3"/>
          </w:tcPr>
          <w:p w:rsidR="003341FD" w:rsidRPr="00B82D30" w:rsidRDefault="003341FD" w:rsidP="003341FD">
            <w:pPr>
              <w:pStyle w:val="Textpoznpodarou"/>
            </w:pPr>
            <w:r w:rsidRPr="00B82D30">
              <w:rPr>
                <w:b/>
              </w:rPr>
              <w:t>Podíl HPH primárního sektoru na HPH celé ekonomiky v zemích EU</w:t>
            </w:r>
            <w:r w:rsidRPr="00B82D30">
              <w:t xml:space="preserve"> (nominální hodnoty, v %)</w:t>
            </w:r>
          </w:p>
        </w:tc>
      </w:tr>
    </w:tbl>
    <w:p w:rsidR="003341FD" w:rsidRPr="00B82D30" w:rsidRDefault="003341FD" w:rsidP="003341FD">
      <w:pPr>
        <w:rPr>
          <w:szCs w:val="20"/>
        </w:rPr>
      </w:pPr>
      <w:r w:rsidRPr="00B82D30">
        <w:rPr>
          <w:noProof/>
          <w:szCs w:val="20"/>
        </w:rPr>
        <w:drawing>
          <wp:inline distT="0" distB="0" distL="0" distR="0">
            <wp:extent cx="6120130" cy="2173475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108"/>
        <w:gridCol w:w="1586"/>
      </w:tblGrid>
      <w:tr w:rsidR="003341FD" w:rsidRPr="00B82D30" w:rsidTr="003341FD">
        <w:tc>
          <w:tcPr>
            <w:tcW w:w="4182" w:type="pct"/>
          </w:tcPr>
          <w:p w:rsidR="003341FD" w:rsidRPr="00B82D30" w:rsidRDefault="003341FD" w:rsidP="002B38DC">
            <w:pPr>
              <w:pStyle w:val="Textpoznpodarou"/>
              <w:rPr>
                <w:spacing w:val="-6"/>
                <w:sz w:val="18"/>
                <w:szCs w:val="18"/>
              </w:rPr>
            </w:pPr>
            <w:r w:rsidRPr="00B82D30">
              <w:rPr>
                <w:spacing w:val="-6"/>
                <w:sz w:val="18"/>
                <w:szCs w:val="18"/>
              </w:rPr>
              <w:t xml:space="preserve">pozn. pro rok 1995 nedostupné údaje za Španělsko, pro rok 2012 nedostupné údaje za Portugalsko, UK, Řecko – údaje </w:t>
            </w:r>
            <w:r w:rsidR="002B38DC" w:rsidRPr="00B82D30">
              <w:rPr>
                <w:spacing w:val="-6"/>
                <w:sz w:val="18"/>
                <w:szCs w:val="18"/>
              </w:rPr>
              <w:t>byly nahrazeny nejbližšími roky</w:t>
            </w:r>
            <w:r w:rsidR="002B38DC" w:rsidRPr="00B82D30">
              <w:rPr>
                <w:spacing w:val="-6"/>
                <w:sz w:val="18"/>
                <w:szCs w:val="18"/>
                <w:lang w:val="en-US"/>
              </w:rPr>
              <w:t>.</w:t>
            </w:r>
            <w:r w:rsidR="002B38DC" w:rsidRPr="00B82D30">
              <w:rPr>
                <w:spacing w:val="-6"/>
                <w:sz w:val="18"/>
                <w:szCs w:val="18"/>
              </w:rPr>
              <w:t xml:space="preserve"> N</w:t>
            </w:r>
            <w:r w:rsidR="00E71C3F" w:rsidRPr="00B82D30">
              <w:rPr>
                <w:spacing w:val="-6"/>
                <w:sz w:val="18"/>
                <w:szCs w:val="18"/>
              </w:rPr>
              <w:t>edostupné údaje za</w:t>
            </w:r>
            <w:r w:rsidRPr="00B82D30">
              <w:rPr>
                <w:spacing w:val="-6"/>
                <w:sz w:val="18"/>
                <w:szCs w:val="18"/>
              </w:rPr>
              <w:t xml:space="preserve"> Chorvatsko</w:t>
            </w:r>
            <w:r w:rsidR="002B38DC" w:rsidRPr="00B82D30">
              <w:rPr>
                <w:spacing w:val="-6"/>
                <w:sz w:val="18"/>
                <w:szCs w:val="18"/>
              </w:rPr>
              <w:t>.</w:t>
            </w:r>
            <w:r w:rsidR="00203DE2" w:rsidRPr="00B82D30">
              <w:rPr>
                <w:spacing w:val="-6"/>
                <w:sz w:val="18"/>
                <w:szCs w:val="18"/>
              </w:rPr>
              <w:t xml:space="preserve"> V metodice ESA 95.</w:t>
            </w:r>
          </w:p>
        </w:tc>
        <w:tc>
          <w:tcPr>
            <w:tcW w:w="818" w:type="pct"/>
          </w:tcPr>
          <w:p w:rsidR="003341FD" w:rsidRPr="00B82D30" w:rsidRDefault="003341FD" w:rsidP="003341FD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 xml:space="preserve">Zdroj: </w:t>
            </w:r>
            <w:proofErr w:type="spellStart"/>
            <w:r w:rsidRPr="00B82D30">
              <w:rPr>
                <w:sz w:val="18"/>
                <w:szCs w:val="18"/>
              </w:rPr>
              <w:t>Eurostat</w:t>
            </w:r>
            <w:proofErr w:type="spellEnd"/>
            <w:r w:rsidRPr="00B82D30">
              <w:rPr>
                <w:sz w:val="18"/>
                <w:szCs w:val="18"/>
              </w:rPr>
              <w:t>, vlastní propočty</w:t>
            </w:r>
          </w:p>
        </w:tc>
      </w:tr>
    </w:tbl>
    <w:p w:rsidR="003341FD" w:rsidRPr="00B82D30" w:rsidRDefault="003341FD" w:rsidP="007A2F15">
      <w:pPr>
        <w:rPr>
          <w:b/>
          <w:sz w:val="16"/>
          <w:szCs w:val="16"/>
        </w:rPr>
      </w:pPr>
    </w:p>
    <w:p w:rsidR="008841EC" w:rsidRPr="00B82D30" w:rsidRDefault="007A2F15" w:rsidP="007A2F15">
      <w:pPr>
        <w:rPr>
          <w:szCs w:val="20"/>
        </w:rPr>
      </w:pPr>
      <w:r w:rsidRPr="00B82D30">
        <w:rPr>
          <w:b/>
          <w:sz w:val="22"/>
          <w:szCs w:val="22"/>
        </w:rPr>
        <w:t>1.2. Výkonnost primárního sektoru v čase</w:t>
      </w:r>
      <w:r w:rsidR="007E06A6" w:rsidRPr="00B82D30">
        <w:rPr>
          <w:rStyle w:val="Znakapoznpodarou"/>
          <w:b/>
          <w:sz w:val="22"/>
          <w:szCs w:val="22"/>
        </w:rPr>
        <w:footnoteReference w:id="3"/>
      </w:r>
    </w:p>
    <w:p w:rsidR="008841EC" w:rsidRPr="00B82D30" w:rsidRDefault="008841EC" w:rsidP="008841EC">
      <w:pPr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306C6E" w:rsidRPr="00B82D30" w:rsidTr="000E63FC">
        <w:tc>
          <w:tcPr>
            <w:tcW w:w="1054" w:type="pct"/>
          </w:tcPr>
          <w:p w:rsidR="00306C6E" w:rsidRPr="00B82D30" w:rsidRDefault="00A50456" w:rsidP="00A50456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P</w:t>
            </w:r>
            <w:r w:rsidR="0058102E" w:rsidRPr="00B82D30">
              <w:rPr>
                <w:sz w:val="16"/>
                <w:szCs w:val="16"/>
              </w:rPr>
              <w:t>rimární sektor ze</w:t>
            </w:r>
            <w:r w:rsidR="00373448" w:rsidRPr="00B82D30">
              <w:rPr>
                <w:sz w:val="16"/>
                <w:szCs w:val="16"/>
              </w:rPr>
              <w:t> </w:t>
            </w:r>
            <w:r w:rsidR="0058102E" w:rsidRPr="00B82D30">
              <w:rPr>
                <w:sz w:val="16"/>
                <w:szCs w:val="16"/>
              </w:rPr>
              <w:t>sv</w:t>
            </w:r>
            <w:r w:rsidR="00B6123C" w:rsidRPr="00B82D30">
              <w:rPr>
                <w:sz w:val="16"/>
                <w:szCs w:val="16"/>
              </w:rPr>
              <w:t>ého výkonu</w:t>
            </w:r>
            <w:r w:rsidRPr="00B82D30">
              <w:rPr>
                <w:sz w:val="16"/>
                <w:szCs w:val="16"/>
              </w:rPr>
              <w:t xml:space="preserve"> mezi rokem 1993 a 2013</w:t>
            </w:r>
            <w:r w:rsidR="00B6123C" w:rsidRPr="00B82D30">
              <w:rPr>
                <w:sz w:val="16"/>
                <w:szCs w:val="16"/>
              </w:rPr>
              <w:t xml:space="preserve"> </w:t>
            </w:r>
            <w:r w:rsidRPr="00B82D30">
              <w:rPr>
                <w:sz w:val="16"/>
                <w:szCs w:val="16"/>
              </w:rPr>
              <w:t>ztratil více než jednu čtvrtinu</w:t>
            </w:r>
            <w:r w:rsidR="0058102E" w:rsidRPr="00B82D30">
              <w:rPr>
                <w:sz w:val="16"/>
                <w:szCs w:val="16"/>
              </w:rPr>
              <w:t>, …</w:t>
            </w:r>
          </w:p>
        </w:tc>
        <w:tc>
          <w:tcPr>
            <w:tcW w:w="142" w:type="pct"/>
          </w:tcPr>
          <w:p w:rsidR="00306C6E" w:rsidRPr="00B82D30" w:rsidRDefault="00306C6E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306C6E" w:rsidRPr="00B82D30" w:rsidRDefault="00306C6E" w:rsidP="00FA7F32">
            <w:pPr>
              <w:pStyle w:val="Textpoznpodarou"/>
              <w:jc w:val="both"/>
            </w:pPr>
            <w:r w:rsidRPr="00B82D30">
              <w:t xml:space="preserve">Hrubá přidaná hodnota tuzemské ekonomiky vzrostla mezi rokem 1993 a </w:t>
            </w:r>
            <w:r w:rsidR="008E2017" w:rsidRPr="00B82D30">
              <w:t>2013 o 61,5</w:t>
            </w:r>
            <w:r w:rsidRPr="00B82D30">
              <w:t> %.</w:t>
            </w:r>
            <w:r w:rsidR="008E2017" w:rsidRPr="00B82D30">
              <w:t xml:space="preserve"> Z </w:t>
            </w:r>
            <w:r w:rsidRPr="00B82D30">
              <w:t>dvaceti hlavních odvětví v tomto období svůj výkon</w:t>
            </w:r>
            <w:r w:rsidR="00DF140F" w:rsidRPr="00B82D30">
              <w:t> </w:t>
            </w:r>
            <w:r w:rsidRPr="00B82D30">
              <w:t>navýšil</w:t>
            </w:r>
            <w:r w:rsidR="00C9178F" w:rsidRPr="00B82D30">
              <w:t>o</w:t>
            </w:r>
            <w:r w:rsidR="0052718C" w:rsidRPr="00B82D30">
              <w:t>, jak je patrné z</w:t>
            </w:r>
            <w:r w:rsidR="00874015" w:rsidRPr="00B82D30">
              <w:t xml:space="preserve"> grafu číslo 10</w:t>
            </w:r>
            <w:r w:rsidR="00DF140F" w:rsidRPr="00B82D30">
              <w:t>,</w:t>
            </w:r>
            <w:r w:rsidR="00C9178F" w:rsidRPr="00B82D30">
              <w:t xml:space="preserve"> </w:t>
            </w:r>
            <w:r w:rsidR="00FA7F32" w:rsidRPr="00B82D30">
              <w:t xml:space="preserve">pouhých </w:t>
            </w:r>
            <w:r w:rsidR="008E2017" w:rsidRPr="00B82D30">
              <w:t>devět</w:t>
            </w:r>
            <w:r w:rsidR="00C9178F" w:rsidRPr="00B82D30">
              <w:t xml:space="preserve">. Nejvíce, </w:t>
            </w:r>
            <w:r w:rsidR="008E2017" w:rsidRPr="00B82D30">
              <w:t>skoro na sedminásobek, n</w:t>
            </w:r>
            <w:r w:rsidR="00E57963" w:rsidRPr="00B82D30">
              <w:t>arostla hrubá přidaná hodnota specifického</w:t>
            </w:r>
            <w:r w:rsidR="008E2017" w:rsidRPr="00B82D30">
              <w:t xml:space="preserve"> </w:t>
            </w:r>
            <w:r w:rsidR="00E57963" w:rsidRPr="00B82D30">
              <w:t>a velmi málo významného</w:t>
            </w:r>
            <w:r w:rsidR="00D45043" w:rsidRPr="00B82D30">
              <w:t xml:space="preserve"> odvětví činnosti</w:t>
            </w:r>
            <w:r w:rsidR="008E2017" w:rsidRPr="00B82D30">
              <w:t xml:space="preserve"> domácností jako zaměstnavatelů a</w:t>
            </w:r>
            <w:r w:rsidR="009F7867" w:rsidRPr="00B82D30">
              <w:t> </w:t>
            </w:r>
            <w:r w:rsidR="008E2017" w:rsidRPr="00B82D30">
              <w:t>producentů pro vlastní potřebu. O 250,1 % výkon narostl v odvětví velkoobchodu a maloobchodu, o</w:t>
            </w:r>
            <w:r w:rsidR="00B25266" w:rsidRPr="00B82D30">
              <w:t> </w:t>
            </w:r>
            <w:r w:rsidR="008E2017" w:rsidRPr="00B82D30">
              <w:t>216,0</w:t>
            </w:r>
            <w:r w:rsidR="00B25266" w:rsidRPr="00B82D30">
              <w:t> </w:t>
            </w:r>
            <w:r w:rsidR="008E2017" w:rsidRPr="00B82D30">
              <w:t>% ve</w:t>
            </w:r>
            <w:r w:rsidR="00D45043" w:rsidRPr="00B82D30">
              <w:t> </w:t>
            </w:r>
            <w:r w:rsidR="008E2017" w:rsidRPr="00B82D30">
              <w:t>zpracovatelském průmyslu,</w:t>
            </w:r>
            <w:r w:rsidRPr="00B82D30">
              <w:t xml:space="preserve"> o</w:t>
            </w:r>
            <w:r w:rsidR="0031703C" w:rsidRPr="00B82D30">
              <w:t> </w:t>
            </w:r>
            <w:r w:rsidR="008E2017" w:rsidRPr="00B82D30">
              <w:t>186,0</w:t>
            </w:r>
            <w:r w:rsidR="0031703C" w:rsidRPr="00B82D30">
              <w:t> </w:t>
            </w:r>
            <w:r w:rsidR="0007163D" w:rsidRPr="00B82D30">
              <w:t>% výkon navýšil</w:t>
            </w:r>
            <w:r w:rsidR="008E2017" w:rsidRPr="00B82D30">
              <w:t>o odvětví informační</w:t>
            </w:r>
            <w:r w:rsidR="009F7867" w:rsidRPr="00B82D30">
              <w:t>ch</w:t>
            </w:r>
            <w:r w:rsidR="008E2017" w:rsidRPr="00B82D30">
              <w:t xml:space="preserve"> a komunikační</w:t>
            </w:r>
            <w:r w:rsidR="009F7867" w:rsidRPr="00B82D30">
              <w:t>ch</w:t>
            </w:r>
            <w:r w:rsidR="008E2017" w:rsidRPr="00B82D30">
              <w:t xml:space="preserve"> činnos</w:t>
            </w:r>
            <w:r w:rsidR="009F7867" w:rsidRPr="00B82D30">
              <w:t>tí</w:t>
            </w:r>
            <w:r w:rsidRPr="00B82D30">
              <w:t xml:space="preserve">. </w:t>
            </w:r>
            <w:r w:rsidR="00C55EC6" w:rsidRPr="00B82D30">
              <w:t>K</w:t>
            </w:r>
            <w:r w:rsidRPr="00B82D30">
              <w:t xml:space="preserve"> růstu </w:t>
            </w:r>
            <w:r w:rsidR="004D3752" w:rsidRPr="00B82D30">
              <w:t>hrubé přidané hodnoty</w:t>
            </w:r>
            <w:r w:rsidRPr="00B82D30">
              <w:t xml:space="preserve"> </w:t>
            </w:r>
            <w:r w:rsidR="00C55EC6" w:rsidRPr="00B82D30">
              <w:t>těchto</w:t>
            </w:r>
            <w:r w:rsidR="00A50456" w:rsidRPr="00B82D30">
              <w:t xml:space="preserve"> třech</w:t>
            </w:r>
            <w:r w:rsidR="00C55EC6" w:rsidRPr="00B82D30">
              <w:t xml:space="preserve"> odvětví </w:t>
            </w:r>
            <w:r w:rsidR="00A75A95" w:rsidRPr="00B82D30">
              <w:t xml:space="preserve">významně </w:t>
            </w:r>
            <w:r w:rsidRPr="00B82D30">
              <w:t>přispěla vyšší produktivita práce</w:t>
            </w:r>
            <w:r w:rsidR="00C9178F" w:rsidRPr="00B82D30">
              <w:t xml:space="preserve"> </w:t>
            </w:r>
            <w:r w:rsidR="00FA7F32" w:rsidRPr="00B82D30">
              <w:t>(</w:t>
            </w:r>
            <w:r w:rsidR="00C9178F" w:rsidRPr="00B82D30">
              <w:t>ve</w:t>
            </w:r>
            <w:r w:rsidR="009F7867" w:rsidRPr="00B82D30">
              <w:t> </w:t>
            </w:r>
            <w:r w:rsidR="00C9178F" w:rsidRPr="00B82D30">
              <w:t>zpracovatelském průmyslu podpořená</w:t>
            </w:r>
            <w:r w:rsidR="004D3752" w:rsidRPr="00B82D30">
              <w:t xml:space="preserve"> silným</w:t>
            </w:r>
            <w:r w:rsidR="00C9178F" w:rsidRPr="00B82D30">
              <w:t xml:space="preserve"> přílivem přímých zahraničních investic</w:t>
            </w:r>
            <w:r w:rsidR="00FA7F32" w:rsidRPr="00B82D30">
              <w:t>)</w:t>
            </w:r>
            <w:r w:rsidRPr="00B82D30">
              <w:t>.</w:t>
            </w:r>
            <w:r w:rsidR="00A50456" w:rsidRPr="00B82D30">
              <w:t xml:space="preserve"> Oba</w:t>
            </w:r>
            <w:r w:rsidR="00FA7F32" w:rsidRPr="00B82D30">
              <w:t xml:space="preserve"> </w:t>
            </w:r>
            <w:r w:rsidR="004D3752" w:rsidRPr="00B82D30">
              <w:t>segmenty</w:t>
            </w:r>
            <w:r w:rsidR="00FA7F32" w:rsidRPr="00B82D30">
              <w:t xml:space="preserve"> </w:t>
            </w:r>
            <w:r w:rsidR="004D3752" w:rsidRPr="00B82D30">
              <w:t xml:space="preserve">primárního sektoru </w:t>
            </w:r>
            <w:r w:rsidR="00B44ADF" w:rsidRPr="00B82D30">
              <w:t>nicméně</w:t>
            </w:r>
            <w:r w:rsidR="0058102E" w:rsidRPr="00B82D30">
              <w:t xml:space="preserve"> patřily mezi ta odvětví,</w:t>
            </w:r>
            <w:r w:rsidR="004D3752" w:rsidRPr="00B82D30">
              <w:t xml:space="preserve"> </w:t>
            </w:r>
            <w:r w:rsidR="0058102E" w:rsidRPr="00B82D30">
              <w:t>jejichž výkon klesl</w:t>
            </w:r>
            <w:r w:rsidR="004D3752" w:rsidRPr="00B82D30">
              <w:t>.</w:t>
            </w:r>
            <w:r w:rsidRPr="00B82D30">
              <w:t xml:space="preserve"> </w:t>
            </w:r>
            <w:r w:rsidR="00A46C47" w:rsidRPr="00B82D30">
              <w:t>O</w:t>
            </w:r>
            <w:r w:rsidRPr="00B82D30">
              <w:t>dvětví zemědělství, lesnictví a</w:t>
            </w:r>
            <w:r w:rsidR="0031703C" w:rsidRPr="00B82D30">
              <w:t> </w:t>
            </w:r>
            <w:r w:rsidRPr="00B82D30">
              <w:t>rybářství mezi</w:t>
            </w:r>
            <w:r w:rsidR="00373448" w:rsidRPr="00B82D30">
              <w:t> </w:t>
            </w:r>
            <w:r w:rsidRPr="00B82D30">
              <w:t>rokem 1993 a 2013</w:t>
            </w:r>
            <w:r w:rsidR="00A75A95" w:rsidRPr="00B82D30">
              <w:t xml:space="preserve"> ze</w:t>
            </w:r>
            <w:r w:rsidR="009F7867" w:rsidRPr="00B82D30">
              <w:t> </w:t>
            </w:r>
            <w:r w:rsidR="00A75A95" w:rsidRPr="00B82D30">
              <w:t>svého výkonu ztratil</w:t>
            </w:r>
            <w:r w:rsidR="00A46C47" w:rsidRPr="00B82D30">
              <w:t>o</w:t>
            </w:r>
            <w:r w:rsidR="00A50456" w:rsidRPr="00B82D30">
              <w:t xml:space="preserve"> 14,0</w:t>
            </w:r>
            <w:r w:rsidR="00A75A95" w:rsidRPr="00B82D30">
              <w:t xml:space="preserve"> %. Hrubá přidaná hodnota těžby</w:t>
            </w:r>
            <w:r w:rsidRPr="00B82D30">
              <w:t xml:space="preserve"> a</w:t>
            </w:r>
            <w:r w:rsidR="0031703C" w:rsidRPr="00B82D30">
              <w:t> </w:t>
            </w:r>
            <w:r w:rsidRPr="00B82D30">
              <w:t>dobývání</w:t>
            </w:r>
            <w:r w:rsidR="00A75A95" w:rsidRPr="00B82D30">
              <w:t xml:space="preserve"> propadla</w:t>
            </w:r>
            <w:r w:rsidR="00B25266" w:rsidRPr="00B82D30">
              <w:t xml:space="preserve"> o</w:t>
            </w:r>
            <w:r w:rsidR="00D45043" w:rsidRPr="00B82D30">
              <w:t> </w:t>
            </w:r>
            <w:r w:rsidR="00B25266" w:rsidRPr="00B82D30">
              <w:t>s</w:t>
            </w:r>
            <w:r w:rsidR="00A50456" w:rsidRPr="00B82D30">
              <w:t>koro</w:t>
            </w:r>
            <w:r w:rsidR="00B25266" w:rsidRPr="00B82D30">
              <w:t> </w:t>
            </w:r>
            <w:r w:rsidR="00A50456" w:rsidRPr="00B82D30">
              <w:t>čtyřnásobně hlubokých 53,0</w:t>
            </w:r>
            <w:r w:rsidR="004D3752" w:rsidRPr="00B82D30">
              <w:t xml:space="preserve"> %</w:t>
            </w:r>
            <w:r w:rsidR="009F7867" w:rsidRPr="00B82D30">
              <w:t xml:space="preserve">, </w:t>
            </w:r>
            <w:r w:rsidR="00B25266" w:rsidRPr="00B82D30">
              <w:t>což byl</w:t>
            </w:r>
            <w:r w:rsidR="009F7867" w:rsidRPr="00B82D30">
              <w:t xml:space="preserve"> zároveň jednoznačně</w:t>
            </w:r>
            <w:r w:rsidR="0058102E" w:rsidRPr="00B82D30">
              <w:t> nejhlubší propad</w:t>
            </w:r>
            <w:r w:rsidR="00874015" w:rsidRPr="00B82D30">
              <w:t xml:space="preserve"> ze všech odvětví. Výkon p</w:t>
            </w:r>
            <w:r w:rsidRPr="00B82D30">
              <w:t>rimární</w:t>
            </w:r>
            <w:r w:rsidR="00874015" w:rsidRPr="00B82D30">
              <w:t>ho</w:t>
            </w:r>
            <w:r w:rsidRPr="00B82D30">
              <w:t xml:space="preserve"> sektor</w:t>
            </w:r>
            <w:r w:rsidR="00874015" w:rsidRPr="00B82D30">
              <w:t>u jako cel</w:t>
            </w:r>
            <w:r w:rsidRPr="00B82D30">
              <w:t>k</w:t>
            </w:r>
            <w:r w:rsidR="00874015" w:rsidRPr="00B82D30">
              <w:t>u</w:t>
            </w:r>
            <w:r w:rsidRPr="00B82D30">
              <w:t xml:space="preserve"> </w:t>
            </w:r>
            <w:r w:rsidR="00874015" w:rsidRPr="00B82D30">
              <w:t>byl</w:t>
            </w:r>
            <w:r w:rsidRPr="00B82D30">
              <w:t xml:space="preserve"> v roce 2013 </w:t>
            </w:r>
            <w:r w:rsidR="006206BC" w:rsidRPr="00B82D30">
              <w:t xml:space="preserve">v porovnání s rokem 1993 </w:t>
            </w:r>
            <w:r w:rsidR="00A50456" w:rsidRPr="00B82D30">
              <w:t>ani ne tříčtvrtinový</w:t>
            </w:r>
            <w:r w:rsidRPr="00B82D30">
              <w:t>.</w:t>
            </w:r>
          </w:p>
        </w:tc>
      </w:tr>
    </w:tbl>
    <w:p w:rsidR="0006538F" w:rsidRPr="00B82D30" w:rsidRDefault="0006538F" w:rsidP="00C9178F">
      <w:pPr>
        <w:rPr>
          <w:sz w:val="14"/>
          <w:szCs w:val="1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79"/>
        <w:gridCol w:w="3977"/>
        <w:gridCol w:w="847"/>
        <w:gridCol w:w="990"/>
        <w:gridCol w:w="3001"/>
      </w:tblGrid>
      <w:tr w:rsidR="0006538F" w:rsidRPr="00B82D30" w:rsidTr="0006538F">
        <w:tc>
          <w:tcPr>
            <w:tcW w:w="453" w:type="pct"/>
          </w:tcPr>
          <w:p w:rsidR="0006538F" w:rsidRPr="00B82D30" w:rsidRDefault="0006538F" w:rsidP="00407B74">
            <w:pPr>
              <w:pStyle w:val="Textpoznpodarou"/>
            </w:pPr>
            <w:r w:rsidRPr="00B82D30">
              <w:t>Graf č. 8</w:t>
            </w:r>
          </w:p>
        </w:tc>
        <w:tc>
          <w:tcPr>
            <w:tcW w:w="2048" w:type="pct"/>
          </w:tcPr>
          <w:p w:rsidR="0006538F" w:rsidRPr="00B82D30" w:rsidRDefault="0006538F" w:rsidP="00407B74">
            <w:pPr>
              <w:pStyle w:val="Textpoznpodarou"/>
              <w:rPr>
                <w:spacing w:val="-6"/>
              </w:rPr>
            </w:pPr>
            <w:r w:rsidRPr="00B82D30">
              <w:rPr>
                <w:b/>
              </w:rPr>
              <w:t>Hrubá přidaná hodnota zemědělství, lesnictví a rybářství</w:t>
            </w:r>
            <w:r w:rsidR="009F7867" w:rsidRPr="00B82D30">
              <w:t xml:space="preserve"> (ceny roku 2010</w:t>
            </w:r>
            <w:r w:rsidRPr="00B82D30">
              <w:t>, v mld. korun)</w:t>
            </w:r>
          </w:p>
        </w:tc>
        <w:tc>
          <w:tcPr>
            <w:tcW w:w="438" w:type="pct"/>
          </w:tcPr>
          <w:p w:rsidR="0006538F" w:rsidRPr="00B82D30" w:rsidRDefault="0006538F" w:rsidP="00407B74">
            <w:pPr>
              <w:pStyle w:val="Textpoznpodarou"/>
            </w:pPr>
            <w:r w:rsidRPr="00B82D30">
              <w:t>Graf č. 9</w:t>
            </w:r>
          </w:p>
        </w:tc>
        <w:tc>
          <w:tcPr>
            <w:tcW w:w="2061" w:type="pct"/>
            <w:gridSpan w:val="2"/>
          </w:tcPr>
          <w:p w:rsidR="0006538F" w:rsidRPr="00B82D30" w:rsidRDefault="0006538F" w:rsidP="0006538F">
            <w:pPr>
              <w:pStyle w:val="Textpoznpodarou"/>
              <w:rPr>
                <w:spacing w:val="-2"/>
              </w:rPr>
            </w:pPr>
            <w:r w:rsidRPr="00B82D30">
              <w:rPr>
                <w:b/>
              </w:rPr>
              <w:t>Hrubá přidaná hodnota těžby a dobývání</w:t>
            </w:r>
            <w:r w:rsidR="009F7867" w:rsidRPr="00B82D30">
              <w:t xml:space="preserve"> (ceny roku 2010</w:t>
            </w:r>
            <w:r w:rsidRPr="00B82D30">
              <w:t>, v mld. korun)</w:t>
            </w:r>
          </w:p>
        </w:tc>
      </w:tr>
      <w:tr w:rsidR="0006538F" w:rsidRPr="00B82D30" w:rsidTr="0006538F">
        <w:tc>
          <w:tcPr>
            <w:tcW w:w="2501" w:type="pct"/>
            <w:gridSpan w:val="2"/>
          </w:tcPr>
          <w:p w:rsidR="0006538F" w:rsidRPr="00B82D30" w:rsidRDefault="00A50456" w:rsidP="00407B74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3019425" cy="2181225"/>
                  <wp:effectExtent l="19050" t="0" r="9525" b="0"/>
                  <wp:docPr id="6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183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</w:tcPr>
          <w:p w:rsidR="0006538F" w:rsidRPr="00B82D30" w:rsidRDefault="00A50456" w:rsidP="00407B74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14561" cy="2181225"/>
                  <wp:effectExtent l="19050" t="0" r="0" b="0"/>
                  <wp:docPr id="69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316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38F" w:rsidRPr="00B82D30" w:rsidTr="0006538F">
        <w:tc>
          <w:tcPr>
            <w:tcW w:w="3451" w:type="pct"/>
            <w:gridSpan w:val="4"/>
          </w:tcPr>
          <w:p w:rsidR="0006538F" w:rsidRPr="00B82D30" w:rsidRDefault="0006538F" w:rsidP="00407B74">
            <w:pPr>
              <w:pStyle w:val="Textpoznpodarou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pozn. Zemědělství = CZ-NACE 01 Rostlinná a živočišná výroba, myslivost a související činnosti</w:t>
            </w:r>
          </w:p>
        </w:tc>
        <w:tc>
          <w:tcPr>
            <w:tcW w:w="1549" w:type="pct"/>
          </w:tcPr>
          <w:p w:rsidR="0006538F" w:rsidRPr="00B82D30" w:rsidRDefault="0006538F" w:rsidP="00407B74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A50456" w:rsidRPr="00B82D30" w:rsidRDefault="00A50456" w:rsidP="00C9178F">
      <w:pPr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DF140F" w:rsidRPr="00B82D30" w:rsidTr="000E63FC">
        <w:tc>
          <w:tcPr>
            <w:tcW w:w="1054" w:type="pct"/>
          </w:tcPr>
          <w:p w:rsidR="00DF140F" w:rsidRPr="00B82D30" w:rsidRDefault="0058102E" w:rsidP="00FA7F32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a to vlivem razantního propadu zemědělství</w:t>
            </w:r>
            <w:r w:rsidR="00FA7F32" w:rsidRPr="00B82D30">
              <w:rPr>
                <w:sz w:val="16"/>
                <w:szCs w:val="16"/>
              </w:rPr>
              <w:t xml:space="preserve">, </w:t>
            </w:r>
            <w:r w:rsidR="00D06CBA" w:rsidRPr="00B82D30">
              <w:rPr>
                <w:sz w:val="16"/>
                <w:szCs w:val="16"/>
              </w:rPr>
              <w:t>…</w:t>
            </w:r>
          </w:p>
        </w:tc>
        <w:tc>
          <w:tcPr>
            <w:tcW w:w="142" w:type="pct"/>
          </w:tcPr>
          <w:p w:rsidR="00DF140F" w:rsidRPr="00B82D30" w:rsidRDefault="00DF140F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06538F" w:rsidRPr="00CA6E40" w:rsidRDefault="00DF140F" w:rsidP="00A46C47">
            <w:pPr>
              <w:pStyle w:val="Textpoznpodarou"/>
              <w:jc w:val="both"/>
              <w:rPr>
                <w:spacing w:val="-6"/>
              </w:rPr>
            </w:pPr>
            <w:r w:rsidRPr="00CA6E40">
              <w:rPr>
                <w:spacing w:val="-6"/>
              </w:rPr>
              <w:t>Propad výkonnosti odvětví</w:t>
            </w:r>
            <w:r w:rsidR="00441881" w:rsidRPr="00CA6E40">
              <w:rPr>
                <w:spacing w:val="-6"/>
              </w:rPr>
              <w:t xml:space="preserve"> </w:t>
            </w:r>
            <w:r w:rsidRPr="00CA6E40">
              <w:rPr>
                <w:spacing w:val="-6"/>
              </w:rPr>
              <w:t xml:space="preserve">zemědělství, lesnictví a rybářství byl dán </w:t>
            </w:r>
            <w:r w:rsidR="00F578E2" w:rsidRPr="00CA6E40">
              <w:rPr>
                <w:spacing w:val="-6"/>
              </w:rPr>
              <w:t>výlučně</w:t>
            </w:r>
            <w:r w:rsidRPr="00CA6E40">
              <w:rPr>
                <w:spacing w:val="-6"/>
              </w:rPr>
              <w:t xml:space="preserve"> negativním vývojem v</w:t>
            </w:r>
            <w:r w:rsidR="00CA6E40" w:rsidRPr="00CA6E40">
              <w:rPr>
                <w:spacing w:val="-6"/>
              </w:rPr>
              <w:t>e váhově</w:t>
            </w:r>
            <w:r w:rsidRPr="00CA6E40">
              <w:rPr>
                <w:spacing w:val="-6"/>
              </w:rPr>
              <w:t xml:space="preserve"> nejvýznamnějším zemědělství</w:t>
            </w:r>
            <w:r w:rsidR="00216009" w:rsidRPr="00CA6E40">
              <w:rPr>
                <w:rStyle w:val="Znakapoznpodarou"/>
                <w:spacing w:val="-6"/>
              </w:rPr>
              <w:footnoteReference w:id="4"/>
            </w:r>
            <w:r w:rsidRPr="00CA6E40">
              <w:rPr>
                <w:spacing w:val="-6"/>
              </w:rPr>
              <w:t>, které za</w:t>
            </w:r>
            <w:r w:rsidR="00373448" w:rsidRPr="00CA6E40">
              <w:rPr>
                <w:spacing w:val="-6"/>
              </w:rPr>
              <w:t> </w:t>
            </w:r>
            <w:r w:rsidRPr="00CA6E40">
              <w:rPr>
                <w:spacing w:val="-6"/>
              </w:rPr>
              <w:t xml:space="preserve">posledních dvacet let ze </w:t>
            </w:r>
            <w:r w:rsidRPr="00CA6E40">
              <w:rPr>
                <w:spacing w:val="-6"/>
              </w:rPr>
              <w:lastRenderedPageBreak/>
              <w:t>svého výkonu ztratilo</w:t>
            </w:r>
            <w:r w:rsidR="001C0B8C" w:rsidRPr="00CA6E40">
              <w:rPr>
                <w:spacing w:val="-6"/>
              </w:rPr>
              <w:t xml:space="preserve"> 38,2</w:t>
            </w:r>
            <w:r w:rsidRPr="00CA6E40">
              <w:rPr>
                <w:spacing w:val="-6"/>
              </w:rPr>
              <w:t xml:space="preserve"> %. Zbývající </w:t>
            </w:r>
            <w:r w:rsidR="00A46C47" w:rsidRPr="00CA6E40">
              <w:rPr>
                <w:spacing w:val="-6"/>
              </w:rPr>
              <w:t xml:space="preserve">dva </w:t>
            </w:r>
            <w:r w:rsidRPr="00CA6E40">
              <w:rPr>
                <w:spacing w:val="-6"/>
              </w:rPr>
              <w:t>segmenty,</w:t>
            </w:r>
            <w:r w:rsidR="00A46C47" w:rsidRPr="00CA6E40">
              <w:rPr>
                <w:spacing w:val="-6"/>
              </w:rPr>
              <w:t xml:space="preserve"> tj.</w:t>
            </w:r>
            <w:r w:rsidRPr="00CA6E40">
              <w:rPr>
                <w:spacing w:val="-6"/>
              </w:rPr>
              <w:t xml:space="preserve"> </w:t>
            </w:r>
            <w:r w:rsidR="00FA7F32" w:rsidRPr="00CA6E40">
              <w:rPr>
                <w:spacing w:val="-6"/>
              </w:rPr>
              <w:t>lesnictví a těžba dřeva respektive rybolov a akvakultura</w:t>
            </w:r>
            <w:r w:rsidR="00441881" w:rsidRPr="00CA6E40">
              <w:rPr>
                <w:spacing w:val="-6"/>
              </w:rPr>
              <w:t>, které se na</w:t>
            </w:r>
            <w:r w:rsidR="005A3570" w:rsidRPr="00CA6E40">
              <w:rPr>
                <w:spacing w:val="-6"/>
              </w:rPr>
              <w:t xml:space="preserve"> dnešním</w:t>
            </w:r>
            <w:r w:rsidR="00441881" w:rsidRPr="00CA6E40">
              <w:rPr>
                <w:spacing w:val="-6"/>
              </w:rPr>
              <w:t xml:space="preserve"> výkonu</w:t>
            </w:r>
            <w:r w:rsidR="00F578E2" w:rsidRPr="00CA6E40">
              <w:rPr>
                <w:spacing w:val="-6"/>
              </w:rPr>
              <w:t xml:space="preserve"> celého odvětví</w:t>
            </w:r>
            <w:r w:rsidRPr="00CA6E40">
              <w:rPr>
                <w:spacing w:val="-6"/>
              </w:rPr>
              <w:t xml:space="preserve"> zemědělství, lesnictví a rybářství podílí </w:t>
            </w:r>
            <w:r w:rsidR="005A3570" w:rsidRPr="00CA6E40">
              <w:rPr>
                <w:spacing w:val="-6"/>
              </w:rPr>
              <w:t>třemi desetinami</w:t>
            </w:r>
            <w:r w:rsidRPr="00CA6E40">
              <w:rPr>
                <w:spacing w:val="-6"/>
              </w:rPr>
              <w:t xml:space="preserve"> </w:t>
            </w:r>
            <w:r w:rsidR="00FA7F32" w:rsidRPr="00CA6E40">
              <w:rPr>
                <w:spacing w:val="-6"/>
              </w:rPr>
              <w:t>a</w:t>
            </w:r>
            <w:r w:rsidRPr="00CA6E40">
              <w:rPr>
                <w:spacing w:val="-6"/>
              </w:rPr>
              <w:t xml:space="preserve"> téměř zanedbatelným necelým jedním procentem, výkon navýšily o poměrně </w:t>
            </w:r>
            <w:r w:rsidR="006206BC" w:rsidRPr="00CA6E40">
              <w:rPr>
                <w:spacing w:val="-6"/>
              </w:rPr>
              <w:t xml:space="preserve">vysokých </w:t>
            </w:r>
            <w:r w:rsidR="001C0B8C" w:rsidRPr="00CA6E40">
              <w:rPr>
                <w:spacing w:val="-6"/>
              </w:rPr>
              <w:t>81,1 % a 99,7</w:t>
            </w:r>
            <w:r w:rsidRPr="00CA6E40">
              <w:rPr>
                <w:spacing w:val="-6"/>
              </w:rPr>
              <w:t xml:space="preserve"> %.</w:t>
            </w:r>
          </w:p>
          <w:p w:rsidR="00A50456" w:rsidRPr="00B82D30" w:rsidRDefault="00A50456" w:rsidP="00A46C47">
            <w:pPr>
              <w:pStyle w:val="Textpoznpodarou"/>
              <w:jc w:val="both"/>
              <w:rPr>
                <w:spacing w:val="-4"/>
              </w:rPr>
            </w:pPr>
          </w:p>
        </w:tc>
      </w:tr>
      <w:tr w:rsidR="00DF140F" w:rsidRPr="00B82D30" w:rsidTr="000E63FC">
        <w:tc>
          <w:tcPr>
            <w:tcW w:w="1054" w:type="pct"/>
          </w:tcPr>
          <w:p w:rsidR="00DF140F" w:rsidRPr="00B82D30" w:rsidRDefault="00FA7F32" w:rsidP="00011A65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 xml:space="preserve">… </w:t>
            </w:r>
            <w:r w:rsidR="00D06CBA" w:rsidRPr="00B82D30">
              <w:rPr>
                <w:sz w:val="16"/>
                <w:szCs w:val="16"/>
              </w:rPr>
              <w:t>těžby a úpravy černého a hnědého uhlí</w:t>
            </w:r>
            <w:r w:rsidRPr="00B82D30">
              <w:rPr>
                <w:sz w:val="16"/>
                <w:szCs w:val="16"/>
              </w:rPr>
              <w:t>, těžby a úpravy rud, podpůrných činností při těžbě</w:t>
            </w:r>
          </w:p>
        </w:tc>
        <w:tc>
          <w:tcPr>
            <w:tcW w:w="142" w:type="pct"/>
          </w:tcPr>
          <w:p w:rsidR="00DF140F" w:rsidRPr="00B82D30" w:rsidRDefault="00DF140F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F140F" w:rsidRPr="00B82D30" w:rsidRDefault="00DF140F" w:rsidP="00F578E2">
            <w:pPr>
              <w:pStyle w:val="Textpoznpodarou"/>
              <w:jc w:val="both"/>
            </w:pPr>
            <w:r w:rsidRPr="00B82D30">
              <w:t>O značný propad hrubé přidané hodnoty odvětví těžby a</w:t>
            </w:r>
            <w:r w:rsidR="001C0B8C" w:rsidRPr="00B82D30">
              <w:t xml:space="preserve"> dobývání mezi rokem 1993 a 2013</w:t>
            </w:r>
            <w:r w:rsidRPr="00B82D30">
              <w:t xml:space="preserve"> se přičinila především těžba a úprava černého a hnědého uhlí</w:t>
            </w:r>
            <w:r w:rsidR="001C0B8C" w:rsidRPr="00B82D30">
              <w:t xml:space="preserve"> (-62,0</w:t>
            </w:r>
            <w:r w:rsidRPr="00B82D30">
              <w:t xml:space="preserve"> %), </w:t>
            </w:r>
            <w:r w:rsidR="00735DB7" w:rsidRPr="00B82D30">
              <w:t xml:space="preserve">dobývající </w:t>
            </w:r>
            <w:r w:rsidR="00F578E2" w:rsidRPr="00B82D30">
              <w:t>pro českou ekonomiku stále jednu z nejdůležitějších surovin</w:t>
            </w:r>
            <w:r w:rsidR="00A46C47" w:rsidRPr="00B82D30">
              <w:t>.</w:t>
            </w:r>
            <w:r w:rsidR="00F578E2" w:rsidRPr="00B82D30">
              <w:t> </w:t>
            </w:r>
            <w:r w:rsidR="00A46C47" w:rsidRPr="00B82D30">
              <w:t>Na</w:t>
            </w:r>
            <w:r w:rsidRPr="00B82D30">
              <w:t xml:space="preserve"> poklesu </w:t>
            </w:r>
            <w:r w:rsidR="00A46C47" w:rsidRPr="00B82D30">
              <w:t>se podílela ale</w:t>
            </w:r>
            <w:r w:rsidRPr="00B82D30">
              <w:t xml:space="preserve"> i</w:t>
            </w:r>
            <w:r w:rsidR="001C0B8C" w:rsidRPr="00B82D30">
              <w:t xml:space="preserve"> dnes již velmi</w:t>
            </w:r>
            <w:r w:rsidRPr="00B82D30">
              <w:t xml:space="preserve"> </w:t>
            </w:r>
            <w:r w:rsidR="00A46C47" w:rsidRPr="00B82D30">
              <w:t>málo významná těžba</w:t>
            </w:r>
            <w:r w:rsidR="00F01506" w:rsidRPr="00B82D30">
              <w:t xml:space="preserve"> a úprava</w:t>
            </w:r>
            <w:r w:rsidRPr="00B82D30">
              <w:t xml:space="preserve"> rud</w:t>
            </w:r>
            <w:r w:rsidR="001C0B8C" w:rsidRPr="00B82D30">
              <w:t xml:space="preserve"> (-96,7</w:t>
            </w:r>
            <w:r w:rsidRPr="00B82D30">
              <w:t xml:space="preserve"> %) a</w:t>
            </w:r>
            <w:r w:rsidR="00A46C47" w:rsidRPr="00B82D30">
              <w:t xml:space="preserve"> segment</w:t>
            </w:r>
            <w:r w:rsidRPr="00B82D30">
              <w:t xml:space="preserve"> podpůrných činností při</w:t>
            </w:r>
            <w:r w:rsidR="00B6123C" w:rsidRPr="00B82D30">
              <w:t> </w:t>
            </w:r>
            <w:r w:rsidRPr="00B82D30">
              <w:t>těžbě</w:t>
            </w:r>
            <w:r w:rsidR="005A3570" w:rsidRPr="00B82D30">
              <w:t xml:space="preserve"> (-87,5</w:t>
            </w:r>
            <w:r w:rsidRPr="00B82D30">
              <w:t xml:space="preserve"> %), kam spadají </w:t>
            </w:r>
            <w:r w:rsidR="00A46C47" w:rsidRPr="00B82D30">
              <w:t>podniky zabývající se například průzkumnými pra</w:t>
            </w:r>
            <w:r w:rsidRPr="00B82D30">
              <w:t>ce</w:t>
            </w:r>
            <w:r w:rsidR="00A46C47" w:rsidRPr="00B82D30">
              <w:t>mi</w:t>
            </w:r>
            <w:r w:rsidRPr="00B82D30">
              <w:t>, čištění</w:t>
            </w:r>
            <w:r w:rsidR="00A46C47" w:rsidRPr="00B82D30">
              <w:t>m</w:t>
            </w:r>
            <w:r w:rsidRPr="00B82D30">
              <w:t xml:space="preserve"> dolů, budování</w:t>
            </w:r>
            <w:r w:rsidR="00DF28E9" w:rsidRPr="00B82D30">
              <w:t>m</w:t>
            </w:r>
            <w:r w:rsidRPr="00B82D30">
              <w:t xml:space="preserve"> základů pro vrty atd.</w:t>
            </w:r>
          </w:p>
        </w:tc>
      </w:tr>
    </w:tbl>
    <w:p w:rsidR="00CC4E04" w:rsidRPr="00B82D30" w:rsidRDefault="00CC4E04" w:rsidP="00C9178F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22"/>
        <w:gridCol w:w="8672"/>
      </w:tblGrid>
      <w:tr w:rsidR="00C9178F" w:rsidRPr="00B82D30" w:rsidTr="0006538F">
        <w:tc>
          <w:tcPr>
            <w:tcW w:w="527" w:type="pct"/>
          </w:tcPr>
          <w:p w:rsidR="00C9178F" w:rsidRPr="00B82D30" w:rsidRDefault="00C9178F" w:rsidP="00011A65">
            <w:pPr>
              <w:pStyle w:val="Textpoznpodarou"/>
              <w:rPr>
                <w:spacing w:val="-2"/>
              </w:rPr>
            </w:pPr>
            <w:r w:rsidRPr="00B82D30">
              <w:rPr>
                <w:spacing w:val="-2"/>
              </w:rPr>
              <w:t>Graf č. </w:t>
            </w:r>
            <w:r w:rsidR="0006538F" w:rsidRPr="00B82D30">
              <w:rPr>
                <w:spacing w:val="-2"/>
              </w:rPr>
              <w:t>10</w:t>
            </w:r>
          </w:p>
        </w:tc>
        <w:tc>
          <w:tcPr>
            <w:tcW w:w="4473" w:type="pct"/>
          </w:tcPr>
          <w:p w:rsidR="00C9178F" w:rsidRPr="00B82D30" w:rsidRDefault="004A1B7B" w:rsidP="004A1B7B">
            <w:pPr>
              <w:pStyle w:val="Textpoznpodarou"/>
              <w:rPr>
                <w:spacing w:val="-2"/>
              </w:rPr>
            </w:pPr>
            <w:r w:rsidRPr="00B82D30">
              <w:rPr>
                <w:b/>
                <w:spacing w:val="-2"/>
              </w:rPr>
              <w:t xml:space="preserve">Změna hrubé přidané hodnoty tuzemských odvětví mezi rokem 1993 a 2013 </w:t>
            </w:r>
            <w:r w:rsidR="00C9178F" w:rsidRPr="00B82D30">
              <w:rPr>
                <w:spacing w:val="-2"/>
              </w:rPr>
              <w:t>(</w:t>
            </w:r>
            <w:r w:rsidR="0034783C" w:rsidRPr="00B82D30">
              <w:rPr>
                <w:spacing w:val="-2"/>
              </w:rPr>
              <w:t xml:space="preserve">reálně, </w:t>
            </w:r>
            <w:r w:rsidR="00C9178F" w:rsidRPr="00B82D30">
              <w:rPr>
                <w:spacing w:val="-2"/>
              </w:rPr>
              <w:t>v %)</w:t>
            </w:r>
          </w:p>
        </w:tc>
      </w:tr>
    </w:tbl>
    <w:p w:rsidR="006344BA" w:rsidRPr="00B82D30" w:rsidRDefault="00BA29D5" w:rsidP="00C9178F">
      <w:pPr>
        <w:rPr>
          <w:noProof/>
          <w:szCs w:val="20"/>
        </w:rPr>
      </w:pPr>
      <w:r w:rsidRPr="00B82D30">
        <w:rPr>
          <w:noProof/>
          <w:szCs w:val="20"/>
        </w:rPr>
        <w:drawing>
          <wp:inline distT="0" distB="0" distL="0" distR="0">
            <wp:extent cx="6090285" cy="2542540"/>
            <wp:effectExtent l="19050" t="0" r="5715" b="0"/>
            <wp:docPr id="7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F6" w:rsidRPr="00B82D30" w:rsidRDefault="00ED71F6" w:rsidP="00ED71F6">
      <w:pPr>
        <w:jc w:val="right"/>
        <w:rPr>
          <w:sz w:val="18"/>
          <w:szCs w:val="18"/>
        </w:rPr>
      </w:pPr>
      <w:r w:rsidRPr="00B82D30">
        <w:rPr>
          <w:sz w:val="18"/>
          <w:szCs w:val="18"/>
        </w:rPr>
        <w:t>Zdroj: ČSÚ, vlastní propočty</w:t>
      </w:r>
    </w:p>
    <w:p w:rsidR="00BA29D5" w:rsidRPr="00B82D30" w:rsidRDefault="00BA29D5" w:rsidP="00C9178F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3341FD" w:rsidRPr="00B82D30" w:rsidTr="000E63FC">
        <w:tc>
          <w:tcPr>
            <w:tcW w:w="1054" w:type="pct"/>
          </w:tcPr>
          <w:p w:rsidR="003341FD" w:rsidRPr="00B82D30" w:rsidRDefault="003341FD" w:rsidP="003341F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Výkony zemědělství, lesnictví a rybářství nereagují na aktuální fázi hospodářského cyklu. Potvrzovaly to jak roky konjunktury, …</w:t>
            </w:r>
          </w:p>
        </w:tc>
        <w:tc>
          <w:tcPr>
            <w:tcW w:w="142" w:type="pct"/>
          </w:tcPr>
          <w:p w:rsidR="003341FD" w:rsidRPr="00B82D30" w:rsidRDefault="003341FD" w:rsidP="003341FD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A46C47" w:rsidRPr="00B82D30" w:rsidRDefault="003341FD" w:rsidP="00A46C47">
            <w:pPr>
              <w:pStyle w:val="Textpoznpodarou"/>
              <w:jc w:val="both"/>
            </w:pPr>
            <w:r w:rsidRPr="00B82D30">
              <w:t xml:space="preserve">V letech </w:t>
            </w:r>
            <w:r w:rsidR="00A46C47" w:rsidRPr="00B82D30">
              <w:t xml:space="preserve">2005-2008, </w:t>
            </w:r>
            <w:r w:rsidR="00226508" w:rsidRPr="00B82D30">
              <w:t xml:space="preserve">v </w:t>
            </w:r>
            <w:r w:rsidR="00A46C47" w:rsidRPr="00B82D30">
              <w:t>období konjunktury České republiky</w:t>
            </w:r>
            <w:r w:rsidRPr="00B82D30">
              <w:t xml:space="preserve">, narůstala hrubá přidaná hodnota ekonomiky v průměru o </w:t>
            </w:r>
            <w:r w:rsidR="00B25266" w:rsidRPr="00B82D30">
              <w:t>5,7</w:t>
            </w:r>
            <w:r w:rsidRPr="00B82D30">
              <w:t xml:space="preserve"> % za rok. </w:t>
            </w:r>
            <w:r w:rsidR="00A46C47" w:rsidRPr="00B82D30">
              <w:t>H</w:t>
            </w:r>
            <w:r w:rsidRPr="00B82D30">
              <w:t>rubá přidaná</w:t>
            </w:r>
            <w:r w:rsidR="00A46C47" w:rsidRPr="00B82D30">
              <w:t> </w:t>
            </w:r>
            <w:r w:rsidRPr="00B82D30">
              <w:t>hodnota těžby a dobývání v tomto období</w:t>
            </w:r>
            <w:r w:rsidR="00A46C47" w:rsidRPr="00B82D30">
              <w:t xml:space="preserve"> ale</w:t>
            </w:r>
            <w:r w:rsidR="00B25266" w:rsidRPr="00B82D30">
              <w:t xml:space="preserve"> o 4,3</w:t>
            </w:r>
            <w:r w:rsidRPr="00B82D30">
              <w:t xml:space="preserve"> % klesala, stejné platilo i pro zemědělství, lesnictví a rybářství, které s každým rokem ztrácelo v průměru</w:t>
            </w:r>
            <w:r w:rsidR="00B25266" w:rsidRPr="00B82D30">
              <w:t xml:space="preserve"> 4,9</w:t>
            </w:r>
            <w:r w:rsidRPr="00B82D30">
              <w:t xml:space="preserve"> %. </w:t>
            </w:r>
          </w:p>
          <w:p w:rsidR="00A46C47" w:rsidRPr="00B82D30" w:rsidRDefault="00A46C47" w:rsidP="00A46C47">
            <w:pPr>
              <w:pStyle w:val="Textpoznpodarou"/>
              <w:jc w:val="both"/>
            </w:pPr>
          </w:p>
          <w:p w:rsidR="003341FD" w:rsidRPr="00B82D30" w:rsidRDefault="003341FD" w:rsidP="00A46C47">
            <w:pPr>
              <w:pStyle w:val="Textpoznpodarou"/>
              <w:jc w:val="both"/>
            </w:pPr>
            <w:r w:rsidRPr="00B82D30">
              <w:t>Jestliže se v celém období 1994-2013 hrubá přidaná hodnota těžby a dobývání snižovala v průměru o</w:t>
            </w:r>
            <w:r w:rsidR="00B25266" w:rsidRPr="00B82D30">
              <w:t xml:space="preserve"> 3,7</w:t>
            </w:r>
            <w:r w:rsidRPr="00B82D30">
              <w:t xml:space="preserve"> % za rok, v letech 2005-2008, kdy se tuzemské ekonomice nadmíru dařilo, propad</w:t>
            </w:r>
            <w:r w:rsidR="00B25266" w:rsidRPr="00B82D30">
              <w:t xml:space="preserve"> mírně</w:t>
            </w:r>
            <w:r w:rsidRPr="00B82D30">
              <w:t xml:space="preserve"> </w:t>
            </w:r>
            <w:r w:rsidR="00B25266" w:rsidRPr="00B82D30">
              <w:t>prohloubil</w:t>
            </w:r>
            <w:r w:rsidRPr="00B82D30">
              <w:t>. I to byl ovšem dobrý výsledek v porovnání se zemědělst</w:t>
            </w:r>
            <w:r w:rsidR="00A46C47" w:rsidRPr="00B82D30">
              <w:t>vím, lesnictvím a rybářstvím, kde </w:t>
            </w:r>
            <w:r w:rsidRPr="00B82D30">
              <w:t xml:space="preserve"> hrubá přidaná hod</w:t>
            </w:r>
            <w:r w:rsidR="00B25266" w:rsidRPr="00B82D30">
              <w:t>nota v celém období 1994</w:t>
            </w:r>
            <w:r w:rsidRPr="00B82D30">
              <w:t>-2013</w:t>
            </w:r>
            <w:r w:rsidR="00A46C47" w:rsidRPr="00B82D30">
              <w:t xml:space="preserve"> klesala v průměru</w:t>
            </w:r>
            <w:r w:rsidR="00B25266" w:rsidRPr="00B82D30">
              <w:t xml:space="preserve"> o 0,8</w:t>
            </w:r>
            <w:r w:rsidR="00A46C47" w:rsidRPr="00B82D30">
              <w:t xml:space="preserve"> % za rok a</w:t>
            </w:r>
            <w:r w:rsidR="004A2498" w:rsidRPr="00B82D30">
              <w:t> </w:t>
            </w:r>
            <w:r w:rsidR="00B25266" w:rsidRPr="00B82D30">
              <w:t>propad v letech 2005</w:t>
            </w:r>
            <w:r w:rsidRPr="00B82D30">
              <w:t>-2008</w:t>
            </w:r>
            <w:r w:rsidR="00A46C47" w:rsidRPr="00B82D30">
              <w:t xml:space="preserve"> tedy</w:t>
            </w:r>
            <w:r w:rsidRPr="00B82D30">
              <w:t xml:space="preserve"> zrychlil</w:t>
            </w:r>
            <w:r w:rsidR="00B25266" w:rsidRPr="00B82D30">
              <w:t xml:space="preserve"> výrazně. D</w:t>
            </w:r>
            <w:r w:rsidR="00A46C47" w:rsidRPr="00B82D30">
              <w:t>á</w:t>
            </w:r>
            <w:r w:rsidR="00B25266" w:rsidRPr="00B82D30">
              <w:t xml:space="preserve"> se z toho</w:t>
            </w:r>
            <w:r w:rsidR="00A46C47" w:rsidRPr="00B82D30">
              <w:t xml:space="preserve"> dovozovat</w:t>
            </w:r>
            <w:r w:rsidRPr="00B82D30">
              <w:t>, že vývoj výkonnosti zemědělství, lesnictví a</w:t>
            </w:r>
            <w:r w:rsidR="00A46C47" w:rsidRPr="00B82D30">
              <w:t> </w:t>
            </w:r>
            <w:r w:rsidRPr="00B82D30">
              <w:t xml:space="preserve">rybářství </w:t>
            </w:r>
            <w:r w:rsidR="00A46C47" w:rsidRPr="00B82D30">
              <w:t xml:space="preserve">s fází hospodářského cyklu </w:t>
            </w:r>
            <w:r w:rsidR="001F7A25" w:rsidRPr="00B82D30">
              <w:t xml:space="preserve">příliš </w:t>
            </w:r>
            <w:r w:rsidR="00A46C47" w:rsidRPr="00B82D30">
              <w:t>nesouvisí</w:t>
            </w:r>
            <w:r w:rsidRPr="00B82D30">
              <w:t xml:space="preserve">, ale spíše se v něm projevuje </w:t>
            </w:r>
            <w:r w:rsidR="00B25266" w:rsidRPr="00B82D30">
              <w:t>síla zemědělství, jehož výkon</w:t>
            </w:r>
            <w:r w:rsidR="000B7598" w:rsidRPr="00B82D30">
              <w:t xml:space="preserve"> je</w:t>
            </w:r>
            <w:r w:rsidR="001F7A25" w:rsidRPr="00B82D30">
              <w:t xml:space="preserve"> z části</w:t>
            </w:r>
            <w:r w:rsidRPr="00B82D30">
              <w:t xml:space="preserve"> </w:t>
            </w:r>
            <w:r w:rsidR="000B7598" w:rsidRPr="00B82D30">
              <w:t>závislý na</w:t>
            </w:r>
            <w:r w:rsidR="00B25266" w:rsidRPr="00B82D30">
              <w:t xml:space="preserve"> úrod</w:t>
            </w:r>
            <w:r w:rsidR="000B7598" w:rsidRPr="00B82D30">
              <w:t>ě</w:t>
            </w:r>
            <w:r w:rsidR="001F7A25" w:rsidRPr="00B82D30">
              <w:t xml:space="preserve"> zemědělských plodin</w:t>
            </w:r>
            <w:r w:rsidR="00184671" w:rsidRPr="00B82D30">
              <w:t>, zejména ale pak</w:t>
            </w:r>
            <w:r w:rsidR="00B25266" w:rsidRPr="00B82D30">
              <w:t xml:space="preserve"> závisí na</w:t>
            </w:r>
            <w:r w:rsidRPr="00B82D30">
              <w:t> dlouhodobé poptávce potravinářů po surovinách</w:t>
            </w:r>
            <w:r w:rsidR="00A46C47" w:rsidRPr="00B82D30">
              <w:t>,</w:t>
            </w:r>
            <w:r w:rsidR="00B25266" w:rsidRPr="00B82D30">
              <w:t xml:space="preserve"> a to jak rostlinného, tak</w:t>
            </w:r>
            <w:r w:rsidR="00A46C47" w:rsidRPr="00B82D30">
              <w:t xml:space="preserve"> živočišného charakteru.</w:t>
            </w:r>
          </w:p>
          <w:p w:rsidR="00A46C47" w:rsidRPr="00B82D30" w:rsidRDefault="00A46C47" w:rsidP="00A46C47">
            <w:pPr>
              <w:pStyle w:val="Textpoznpodarou"/>
              <w:jc w:val="both"/>
            </w:pPr>
          </w:p>
        </w:tc>
      </w:tr>
      <w:tr w:rsidR="003341FD" w:rsidRPr="00B82D30" w:rsidTr="000E63FC">
        <w:tc>
          <w:tcPr>
            <w:tcW w:w="1054" w:type="pct"/>
          </w:tcPr>
          <w:p w:rsidR="003341FD" w:rsidRPr="00B82D30" w:rsidRDefault="003341FD" w:rsidP="003341FD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tak jednotlivá období recese, kterými tuzemská ekonomika ve své historii prošla</w:t>
            </w:r>
          </w:p>
        </w:tc>
        <w:tc>
          <w:tcPr>
            <w:tcW w:w="142" w:type="pct"/>
          </w:tcPr>
          <w:p w:rsidR="003341FD" w:rsidRPr="00B82D30" w:rsidRDefault="003341FD" w:rsidP="003341FD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A50456" w:rsidRPr="00B82D30" w:rsidRDefault="003341FD" w:rsidP="00FA7F32">
            <w:pPr>
              <w:pStyle w:val="Textpoznpodarou"/>
              <w:jc w:val="both"/>
            </w:pPr>
            <w:r w:rsidRPr="00B82D30">
              <w:t xml:space="preserve">To, že se výkony odvětví zemědělství, lesnictví a rybářství v průběhu času vyvíjí nezávisle na stavu </w:t>
            </w:r>
            <w:r w:rsidR="004A2498" w:rsidRPr="00B82D30">
              <w:t>hospodářství</w:t>
            </w:r>
            <w:r w:rsidRPr="00B82D30">
              <w:t xml:space="preserve">, potvrzují i období recese, kterými </w:t>
            </w:r>
            <w:r w:rsidR="004A2498" w:rsidRPr="00B82D30">
              <w:t>česká ekonomika</w:t>
            </w:r>
            <w:r w:rsidRPr="00B82D30">
              <w:t xml:space="preserve"> ve své historii prošla. </w:t>
            </w:r>
            <w:r w:rsidR="004A2498" w:rsidRPr="00B82D30">
              <w:t>Pokles</w:t>
            </w:r>
            <w:r w:rsidRPr="00B82D30">
              <w:t xml:space="preserve"> ekonomiky v rocích bezprostředně navazujících na měnovou krizi (v letech 1997 a 1998), měřeno poklesem hrubé přidané hodnoty,</w:t>
            </w:r>
            <w:r w:rsidR="000B7598" w:rsidRPr="00B82D30">
              <w:t xml:space="preserve"> dosáhl v úhrnu 1,8</w:t>
            </w:r>
            <w:r w:rsidRPr="00B82D30">
              <w:t> %. Zemědělství, lesnictví a rybářství v tomto období kleslo taktéž, ovšem jen</w:t>
            </w:r>
            <w:r w:rsidR="000B7598" w:rsidRPr="00B82D30">
              <w:t xml:space="preserve"> o 0</w:t>
            </w:r>
            <w:r w:rsidRPr="00B82D30">
              <w:t xml:space="preserve">,7 %. Hluboká recese v roce 2009, jejíž prvotní příčinou byl výrazný výpadek zahraniční poptávky, </w:t>
            </w:r>
            <w:r w:rsidR="000B7598" w:rsidRPr="00B82D30">
              <w:t>srazila HPH celé ekonomiky o 5,5</w:t>
            </w:r>
            <w:r w:rsidRPr="00B82D30">
              <w:t xml:space="preserve"> %. Zemědělství, lesnictví a rybářství v tomto roce naopak zaznamenalo nárůst výkonu</w:t>
            </w:r>
            <w:r w:rsidR="000B7598" w:rsidRPr="00B82D30">
              <w:t xml:space="preserve"> o 20,8</w:t>
            </w:r>
            <w:r w:rsidRPr="00B82D30">
              <w:t xml:space="preserve"> % (daný rekordní</w:t>
            </w:r>
            <w:r w:rsidR="000B7598" w:rsidRPr="00B82D30">
              <w:t>m posílením HPH zemědělství o 29,2</w:t>
            </w:r>
            <w:r w:rsidRPr="00B82D30">
              <w:t xml:space="preserve"> %). Recese z let 2012 a 2013, která byla nejdelší v historii Č</w:t>
            </w:r>
            <w:r w:rsidR="001F7A25" w:rsidRPr="00B82D30">
              <w:t>eské republiky</w:t>
            </w:r>
            <w:r w:rsidRPr="00B82D30">
              <w:t xml:space="preserve">, snížila </w:t>
            </w:r>
            <w:r w:rsidR="001F7A25" w:rsidRPr="00B82D30">
              <w:t>hrubou přidanou hodnotu</w:t>
            </w:r>
            <w:r w:rsidRPr="00B82D30">
              <w:t> tuzemské ekonomiky o</w:t>
            </w:r>
            <w:r w:rsidR="001F7A25" w:rsidRPr="00B82D30">
              <w:t> celkových</w:t>
            </w:r>
            <w:r w:rsidR="000B7598" w:rsidRPr="00B82D30">
              <w:t xml:space="preserve"> 1,3</w:t>
            </w:r>
            <w:r w:rsidR="001F7A25" w:rsidRPr="00B82D30">
              <w:t xml:space="preserve"> %. Z</w:t>
            </w:r>
            <w:r w:rsidRPr="00B82D30">
              <w:t>eměděls</w:t>
            </w:r>
            <w:r w:rsidR="00573D58" w:rsidRPr="00B82D30">
              <w:t>tví, lesnictví a rybářství</w:t>
            </w:r>
            <w:r w:rsidR="000B7598" w:rsidRPr="00B82D30">
              <w:t xml:space="preserve"> </w:t>
            </w:r>
            <w:r w:rsidR="00573D58" w:rsidRPr="00B82D30">
              <w:t>za tyto dva roku v úhrnu ztratilo, vlivem poklesu HPH v roce 2013, mnohem výraznějších</w:t>
            </w:r>
            <w:r w:rsidR="000B7598" w:rsidRPr="00B82D30">
              <w:t xml:space="preserve"> 6,6</w:t>
            </w:r>
            <w:r w:rsidRPr="00B82D30">
              <w:t xml:space="preserve"> %.</w:t>
            </w:r>
          </w:p>
        </w:tc>
      </w:tr>
      <w:tr w:rsidR="00145BB9" w:rsidRPr="00B82D30" w:rsidTr="000E63FC">
        <w:tc>
          <w:tcPr>
            <w:tcW w:w="1054" w:type="pct"/>
          </w:tcPr>
          <w:p w:rsidR="00145BB9" w:rsidRPr="00B82D30" w:rsidRDefault="006C4F0D" w:rsidP="002811CA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lastRenderedPageBreak/>
              <w:t>Rostoucí dovozy finálních potravin</w:t>
            </w:r>
            <w:r w:rsidR="002811CA" w:rsidRPr="00B82D30">
              <w:rPr>
                <w:sz w:val="16"/>
                <w:szCs w:val="16"/>
              </w:rPr>
              <w:t xml:space="preserve"> a polotovarů </w:t>
            </w:r>
            <w:r w:rsidRPr="00B82D30">
              <w:rPr>
                <w:sz w:val="16"/>
                <w:szCs w:val="16"/>
              </w:rPr>
              <w:t>ze zahraničí oslabují výkony tuzemského zemědělství, …</w:t>
            </w:r>
          </w:p>
        </w:tc>
        <w:tc>
          <w:tcPr>
            <w:tcW w:w="142" w:type="pct"/>
          </w:tcPr>
          <w:p w:rsidR="00145BB9" w:rsidRPr="00B82D30" w:rsidRDefault="00145BB9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07B7A" w:rsidRPr="00B82D30" w:rsidRDefault="00145BB9" w:rsidP="00145BB9">
            <w:pPr>
              <w:pStyle w:val="Textpoznpodarou"/>
              <w:jc w:val="both"/>
            </w:pPr>
            <w:r w:rsidRPr="00B82D30">
              <w:t xml:space="preserve">Hrubá přidaná hodnota odvětví zemědělství, lesnictví a rybářství </w:t>
            </w:r>
            <w:r w:rsidR="00E07B7A" w:rsidRPr="00B82D30">
              <w:t xml:space="preserve">byla v roce 2013 v porovnání s rokem 2009 nižší o 20,4 %. </w:t>
            </w:r>
            <w:r w:rsidR="00FA7F32" w:rsidRPr="00B82D30">
              <w:t>Tato nepříznivá relace byla důsledkem vývoje v</w:t>
            </w:r>
            <w:r w:rsidRPr="00B82D30">
              <w:t xml:space="preserve"> samotné</w:t>
            </w:r>
            <w:r w:rsidR="00FA7F32" w:rsidRPr="00B82D30">
              <w:t>m</w:t>
            </w:r>
            <w:r w:rsidRPr="00B82D30">
              <w:t xml:space="preserve"> zemědělství, které, jak již bylo zmíněno, má v tomto </w:t>
            </w:r>
            <w:r w:rsidR="00E41DE7" w:rsidRPr="00B82D30">
              <w:t>odvětví</w:t>
            </w:r>
            <w:r w:rsidRPr="00B82D30">
              <w:t xml:space="preserve"> </w:t>
            </w:r>
            <w:r w:rsidR="00FA7F32" w:rsidRPr="00B82D30">
              <w:t xml:space="preserve">zároveň </w:t>
            </w:r>
            <w:r w:rsidRPr="00B82D30">
              <w:t xml:space="preserve">největší váhu. </w:t>
            </w:r>
            <w:r w:rsidR="00E07B7A" w:rsidRPr="00B82D30">
              <w:t>Nejenže byl výkon</w:t>
            </w:r>
            <w:r w:rsidR="00E41DE7" w:rsidRPr="00B82D30">
              <w:t xml:space="preserve"> zemědělství</w:t>
            </w:r>
            <w:r w:rsidR="007648D4" w:rsidRPr="00B82D30">
              <w:t xml:space="preserve"> z roku 2013 </w:t>
            </w:r>
            <w:r w:rsidR="00E07B7A" w:rsidRPr="00B82D30">
              <w:t>o 29,7 % nižší</w:t>
            </w:r>
            <w:r w:rsidR="007648D4" w:rsidRPr="00B82D30">
              <w:t xml:space="preserve"> než v roce 2009</w:t>
            </w:r>
            <w:r w:rsidR="00E07B7A" w:rsidRPr="00B82D30">
              <w:t xml:space="preserve">, </w:t>
            </w:r>
            <w:r w:rsidR="007648D4" w:rsidRPr="00B82D30">
              <w:t>byl rovněž nejnižší za dobu existence České republiky. Nikdy dříve, alespoň co se týče novodobé historie, nevytvořili domácí zemědělci tak nízkou hodnotu jako v roce 2013.</w:t>
            </w:r>
          </w:p>
          <w:p w:rsidR="00E07B7A" w:rsidRPr="00B82D30" w:rsidRDefault="00E07B7A" w:rsidP="00145BB9">
            <w:pPr>
              <w:pStyle w:val="Textpoznpodarou"/>
              <w:jc w:val="both"/>
            </w:pPr>
          </w:p>
          <w:p w:rsidR="00145BB9" w:rsidRPr="00B82D30" w:rsidRDefault="00145BB9" w:rsidP="00145BB9">
            <w:pPr>
              <w:pStyle w:val="Textpoznpodarou"/>
              <w:jc w:val="both"/>
            </w:pPr>
            <w:r w:rsidRPr="00B82D30">
              <w:t xml:space="preserve">Hlavní </w:t>
            </w:r>
            <w:r w:rsidR="007648D4" w:rsidRPr="00B82D30">
              <w:t>příčinou</w:t>
            </w:r>
            <w:r w:rsidRPr="00B82D30">
              <w:t> </w:t>
            </w:r>
            <w:r w:rsidR="007648D4" w:rsidRPr="00B82D30">
              <w:t>nízké</w:t>
            </w:r>
            <w:r w:rsidRPr="00B82D30">
              <w:t xml:space="preserve"> výkonnosti </w:t>
            </w:r>
            <w:r w:rsidR="001F4FBF" w:rsidRPr="00B82D30">
              <w:t>českého</w:t>
            </w:r>
            <w:r w:rsidRPr="00B82D30">
              <w:t xml:space="preserve"> zemědělství patrně </w:t>
            </w:r>
            <w:r w:rsidR="00EC024F" w:rsidRPr="00B82D30">
              <w:t xml:space="preserve">byla nedostatečná cenová </w:t>
            </w:r>
            <w:r w:rsidR="0039336F" w:rsidRPr="00B82D30">
              <w:t xml:space="preserve">konkurenceschopnost prvovýrobců, která </w:t>
            </w:r>
            <w:r w:rsidR="00EC024F" w:rsidRPr="00B82D30">
              <w:t>vedla k tomu, že poptávka</w:t>
            </w:r>
            <w:r w:rsidR="00D85DF4" w:rsidRPr="00B82D30">
              <w:t xml:space="preserve"> zpracovatelů</w:t>
            </w:r>
            <w:r w:rsidR="00EC024F" w:rsidRPr="00B82D30">
              <w:t xml:space="preserve"> po jejich výrobcích klesala</w:t>
            </w:r>
            <w:r w:rsidR="0039336F" w:rsidRPr="00B82D30">
              <w:t>.</w:t>
            </w:r>
            <w:r w:rsidR="00EC024F" w:rsidRPr="00B82D30">
              <w:t xml:space="preserve"> </w:t>
            </w:r>
            <w:r w:rsidR="0039336F" w:rsidRPr="00B82D30">
              <w:t>Finální potraviny</w:t>
            </w:r>
            <w:r w:rsidR="00853A46" w:rsidRPr="00B82D30">
              <w:t xml:space="preserve"> ale i meziprodukty</w:t>
            </w:r>
            <w:r w:rsidR="0039336F" w:rsidRPr="00B82D30">
              <w:t xml:space="preserve"> byly </w:t>
            </w:r>
            <w:r w:rsidR="00D85DF4" w:rsidRPr="00B82D30">
              <w:t>nahrazovány dodavateli</w:t>
            </w:r>
            <w:r w:rsidR="0039336F" w:rsidRPr="00B82D30">
              <w:t xml:space="preserve"> z jiných zemí. </w:t>
            </w:r>
            <w:r w:rsidR="007648D4" w:rsidRPr="00B82D30">
              <w:t>Jak vyplývá ze statistiky zahraničního obchodu, finální potraviny</w:t>
            </w:r>
            <w:r w:rsidR="00D85DF4" w:rsidRPr="00B82D30">
              <w:t xml:space="preserve"> a meziprodukty sloužící k výrobě finálních potravin</w:t>
            </w:r>
            <w:r w:rsidR="007648D4" w:rsidRPr="00B82D30">
              <w:t xml:space="preserve"> do Česka</w:t>
            </w:r>
            <w:r w:rsidR="00C173CD" w:rsidRPr="00B82D30">
              <w:t xml:space="preserve"> </w:t>
            </w:r>
            <w:r w:rsidR="009D0B74" w:rsidRPr="00B82D30">
              <w:t>směřovaly</w:t>
            </w:r>
            <w:r w:rsidR="00C173CD" w:rsidRPr="00B82D30">
              <w:t xml:space="preserve"> </w:t>
            </w:r>
            <w:r w:rsidRPr="00B82D30">
              <w:t>zejména z Německa a</w:t>
            </w:r>
            <w:r w:rsidR="007648D4" w:rsidRPr="00B82D30">
              <w:t xml:space="preserve"> z</w:t>
            </w:r>
            <w:r w:rsidR="00E41DE7" w:rsidRPr="00B82D30">
              <w:t> </w:t>
            </w:r>
            <w:r w:rsidRPr="00B82D30">
              <w:t>Polska</w:t>
            </w:r>
            <w:r w:rsidR="00E41DE7" w:rsidRPr="00B82D30">
              <w:t>, na významu tyto dovoz</w:t>
            </w:r>
            <w:r w:rsidR="0039336F" w:rsidRPr="00B82D30">
              <w:t xml:space="preserve">y získávaly </w:t>
            </w:r>
            <w:r w:rsidR="002811CA" w:rsidRPr="00B82D30">
              <w:t>především</w:t>
            </w:r>
            <w:r w:rsidR="0039336F" w:rsidRPr="00B82D30">
              <w:t xml:space="preserve"> po vstupu České republiky</w:t>
            </w:r>
            <w:r w:rsidR="00E41DE7" w:rsidRPr="00B82D30">
              <w:t xml:space="preserve"> do Evropské unie</w:t>
            </w:r>
            <w:r w:rsidRPr="00B82D30">
              <w:t>.</w:t>
            </w:r>
          </w:p>
          <w:p w:rsidR="00145BB9" w:rsidRPr="00B82D30" w:rsidRDefault="00145BB9" w:rsidP="00CB110A">
            <w:pPr>
              <w:pStyle w:val="Textpoznpodarou"/>
              <w:jc w:val="both"/>
            </w:pPr>
          </w:p>
        </w:tc>
      </w:tr>
      <w:tr w:rsidR="00CB110A" w:rsidRPr="00B82D30" w:rsidTr="000E63FC">
        <w:tc>
          <w:tcPr>
            <w:tcW w:w="1054" w:type="pct"/>
          </w:tcPr>
          <w:p w:rsidR="00CB110A" w:rsidRPr="00B82D30" w:rsidRDefault="00A45309" w:rsidP="00FD7FC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 xml:space="preserve">… </w:t>
            </w:r>
            <w:r w:rsidR="006C4F0D" w:rsidRPr="00B82D30">
              <w:rPr>
                <w:sz w:val="16"/>
                <w:szCs w:val="16"/>
              </w:rPr>
              <w:t>slabá poptávka po uhlí</w:t>
            </w:r>
            <w:r w:rsidR="00C23DE1" w:rsidRPr="00B82D30">
              <w:rPr>
                <w:sz w:val="16"/>
                <w:szCs w:val="16"/>
              </w:rPr>
              <w:t xml:space="preserve"> a jeho nízké ceny na trhu prohlubují</w:t>
            </w:r>
            <w:r w:rsidR="006C4F0D" w:rsidRPr="00B82D30">
              <w:rPr>
                <w:sz w:val="16"/>
                <w:szCs w:val="16"/>
              </w:rPr>
              <w:t xml:space="preserve"> </w:t>
            </w:r>
            <w:r w:rsidR="00675BCE" w:rsidRPr="00B82D30">
              <w:rPr>
                <w:sz w:val="16"/>
                <w:szCs w:val="16"/>
              </w:rPr>
              <w:t>problémy těžby a</w:t>
            </w:r>
            <w:r w:rsidR="00C23DE1" w:rsidRPr="00B82D30">
              <w:rPr>
                <w:sz w:val="16"/>
                <w:szCs w:val="16"/>
              </w:rPr>
              <w:t> </w:t>
            </w:r>
            <w:r w:rsidR="00675BCE" w:rsidRPr="00B82D30">
              <w:rPr>
                <w:sz w:val="16"/>
                <w:szCs w:val="16"/>
              </w:rPr>
              <w:t xml:space="preserve">úpravy černého </w:t>
            </w:r>
            <w:r w:rsidR="006C4F0D" w:rsidRPr="00B82D30">
              <w:rPr>
                <w:sz w:val="16"/>
                <w:szCs w:val="16"/>
              </w:rPr>
              <w:t>a</w:t>
            </w:r>
            <w:r w:rsidR="00675BCE" w:rsidRPr="00B82D30">
              <w:rPr>
                <w:sz w:val="16"/>
                <w:szCs w:val="16"/>
              </w:rPr>
              <w:t> </w:t>
            </w:r>
            <w:r w:rsidR="006C4F0D" w:rsidRPr="00B82D30">
              <w:rPr>
                <w:sz w:val="16"/>
                <w:szCs w:val="16"/>
              </w:rPr>
              <w:t>hnědého uhlí</w:t>
            </w:r>
            <w:r w:rsidR="001C5E7D" w:rsidRPr="00B82D30">
              <w:rPr>
                <w:sz w:val="16"/>
                <w:szCs w:val="16"/>
              </w:rPr>
              <w:t>. To se výrazně podepisuje na</w:t>
            </w:r>
            <w:r w:rsidR="00FD7FC3" w:rsidRPr="00B82D30">
              <w:rPr>
                <w:sz w:val="16"/>
                <w:szCs w:val="16"/>
              </w:rPr>
              <w:t> výkonu celého primárního sektoru, …</w:t>
            </w:r>
          </w:p>
        </w:tc>
        <w:tc>
          <w:tcPr>
            <w:tcW w:w="142" w:type="pct"/>
          </w:tcPr>
          <w:p w:rsidR="00CB110A" w:rsidRPr="00B82D30" w:rsidRDefault="00CB110A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E41DE7" w:rsidRPr="00B82D30" w:rsidRDefault="00C7760C" w:rsidP="00011A65">
            <w:pPr>
              <w:pStyle w:val="Textpoznpodarou"/>
              <w:jc w:val="both"/>
            </w:pPr>
            <w:r w:rsidRPr="00B82D30">
              <w:t>Společnosti podnikající</w:t>
            </w:r>
            <w:r w:rsidR="009D0B74" w:rsidRPr="00B82D30">
              <w:t xml:space="preserve"> v</w:t>
            </w:r>
            <w:r w:rsidRPr="00B82D30">
              <w:t xml:space="preserve"> těžbě a dobývání strádají. Vyplývá to z faktu, že HPH tohoto odvětví klesala v roc</w:t>
            </w:r>
            <w:r w:rsidR="00E41DE7" w:rsidRPr="00B82D30">
              <w:t>e 2013 už sedmým rokem v řadě.</w:t>
            </w:r>
            <w:r w:rsidR="00BF3E07" w:rsidRPr="00B82D30">
              <w:t xml:space="preserve"> </w:t>
            </w:r>
            <w:r w:rsidR="00E41DE7" w:rsidRPr="00B82D30">
              <w:t>V porovnání s rokem 2006 byla nižší o</w:t>
            </w:r>
            <w:r w:rsidR="00EF1A62" w:rsidRPr="00B82D30">
              <w:t xml:space="preserve"> 37</w:t>
            </w:r>
            <w:r w:rsidR="005220C9" w:rsidRPr="00B82D30">
              <w:t>,0</w:t>
            </w:r>
            <w:r w:rsidR="00EF1A62" w:rsidRPr="00B82D30">
              <w:t xml:space="preserve"> %</w:t>
            </w:r>
            <w:r w:rsidR="009E1554" w:rsidRPr="00B82D30">
              <w:t>.</w:t>
            </w:r>
            <w:r w:rsidR="00C66FC1" w:rsidRPr="00B82D30">
              <w:t xml:space="preserve"> </w:t>
            </w:r>
          </w:p>
          <w:p w:rsidR="00E41DE7" w:rsidRPr="00B82D30" w:rsidRDefault="00E41DE7" w:rsidP="00011A65">
            <w:pPr>
              <w:pStyle w:val="Textpoznpodarou"/>
              <w:jc w:val="both"/>
            </w:pPr>
          </w:p>
          <w:p w:rsidR="00CB110A" w:rsidRPr="00B82D30" w:rsidRDefault="00C66FC1" w:rsidP="00011A65">
            <w:pPr>
              <w:pStyle w:val="Textpoznpodarou"/>
              <w:jc w:val="both"/>
            </w:pPr>
            <w:r w:rsidRPr="00B82D30">
              <w:t>Hrubá přidaná hodnota</w:t>
            </w:r>
            <w:r w:rsidR="00BF3E07" w:rsidRPr="00B82D30">
              <w:t xml:space="preserve"> nejvýznamnější</w:t>
            </w:r>
            <w:r w:rsidRPr="00B82D30">
              <w:t xml:space="preserve"> těžby </w:t>
            </w:r>
            <w:r w:rsidR="0097300B" w:rsidRPr="00B82D30">
              <w:t>a</w:t>
            </w:r>
            <w:r w:rsidR="00BF3E07" w:rsidRPr="00B82D30">
              <w:t> </w:t>
            </w:r>
            <w:r w:rsidR="0097300B" w:rsidRPr="00B82D30">
              <w:t>úpravy černého a hnědého uhlí –</w:t>
            </w:r>
            <w:r w:rsidRPr="00B82D30">
              <w:t xml:space="preserve"> v posledních letech zasažená </w:t>
            </w:r>
            <w:r w:rsidR="0097300B" w:rsidRPr="00B82D30">
              <w:t xml:space="preserve">jak </w:t>
            </w:r>
            <w:r w:rsidR="00FA7F32" w:rsidRPr="00B82D30">
              <w:t>slabou</w:t>
            </w:r>
            <w:r w:rsidRPr="00B82D30">
              <w:t xml:space="preserve"> poptávkou po uhlí </w:t>
            </w:r>
            <w:r w:rsidR="00FA7F32" w:rsidRPr="00B82D30">
              <w:t>v Evropě</w:t>
            </w:r>
            <w:r w:rsidR="0097300B" w:rsidRPr="00B82D30">
              <w:t>, tak</w:t>
            </w:r>
            <w:r w:rsidR="009131C0" w:rsidRPr="00B82D30">
              <w:t> </w:t>
            </w:r>
            <w:r w:rsidR="0097300B" w:rsidRPr="00B82D30">
              <w:t>nízkými cenami, které vedou</w:t>
            </w:r>
            <w:r w:rsidR="006206BC" w:rsidRPr="00B82D30">
              <w:t xml:space="preserve"> k</w:t>
            </w:r>
            <w:r w:rsidR="0097300B" w:rsidRPr="00B82D30">
              <w:t xml:space="preserve"> nerentabilní těžbě –</w:t>
            </w:r>
            <w:r w:rsidR="00EF1A62" w:rsidRPr="00B82D30">
              <w:t xml:space="preserve"> klesla</w:t>
            </w:r>
            <w:r w:rsidR="00E41DE7" w:rsidRPr="00B82D30">
              <w:t xml:space="preserve"> mezi rokem 2006 a 2013</w:t>
            </w:r>
            <w:r w:rsidR="007364AF" w:rsidRPr="00B82D30">
              <w:t xml:space="preserve"> </w:t>
            </w:r>
            <w:r w:rsidR="00EF1A62" w:rsidRPr="00B82D30">
              <w:t>o</w:t>
            </w:r>
            <w:r w:rsidR="00FA7F32" w:rsidRPr="00B82D30">
              <w:t> </w:t>
            </w:r>
            <w:r w:rsidR="00EF1A62" w:rsidRPr="00B82D30">
              <w:t>43,0</w:t>
            </w:r>
            <w:r w:rsidR="00FA7F32" w:rsidRPr="00B82D30">
              <w:t> </w:t>
            </w:r>
            <w:r w:rsidRPr="00B82D30">
              <w:t xml:space="preserve">%. </w:t>
            </w:r>
            <w:r w:rsidR="00BF3E07" w:rsidRPr="00B82D30">
              <w:t>P</w:t>
            </w:r>
            <w:r w:rsidRPr="00B82D30">
              <w:t>ropad</w:t>
            </w:r>
            <w:r w:rsidR="00BF3E07" w:rsidRPr="00B82D30">
              <w:t xml:space="preserve"> výkonnosti</w:t>
            </w:r>
            <w:r w:rsidRPr="00B82D30">
              <w:t xml:space="preserve"> v tomto období se</w:t>
            </w:r>
            <w:r w:rsidR="00BF3E07" w:rsidRPr="00B82D30">
              <w:t xml:space="preserve"> nicméně</w:t>
            </w:r>
            <w:r w:rsidRPr="00B82D30">
              <w:t xml:space="preserve"> nevyhnul</w:t>
            </w:r>
            <w:r w:rsidR="00BF3E07" w:rsidRPr="00B82D30">
              <w:t xml:space="preserve"> ani ostatním, byť méně</w:t>
            </w:r>
            <w:r w:rsidR="009131C0" w:rsidRPr="00B82D30">
              <w:t> </w:t>
            </w:r>
            <w:r w:rsidR="00BF3E07" w:rsidRPr="00B82D30">
              <w:t>významným</w:t>
            </w:r>
            <w:r w:rsidRPr="00B82D30">
              <w:t xml:space="preserve"> segmentů</w:t>
            </w:r>
            <w:r w:rsidR="00BF3E07" w:rsidRPr="00B82D30">
              <w:t>m</w:t>
            </w:r>
            <w:r w:rsidRPr="00B82D30">
              <w:t xml:space="preserve"> těžebního průmyslu</w:t>
            </w:r>
            <w:r w:rsidR="00BF3E07" w:rsidRPr="00B82D30">
              <w:t>.</w:t>
            </w:r>
            <w:r w:rsidR="00731273" w:rsidRPr="00B82D30">
              <w:t xml:space="preserve"> </w:t>
            </w:r>
            <w:r w:rsidR="009131C0" w:rsidRPr="00B82D30">
              <w:t>Hrubá přidaná hodnota</w:t>
            </w:r>
            <w:r w:rsidR="00BF3E07" w:rsidRPr="00B82D30">
              <w:t xml:space="preserve"> t</w:t>
            </w:r>
            <w:r w:rsidR="00731273" w:rsidRPr="00B82D30">
              <w:t>ě</w:t>
            </w:r>
            <w:r w:rsidR="00E41DE7" w:rsidRPr="00B82D30">
              <w:t>žby</w:t>
            </w:r>
            <w:r w:rsidRPr="00B82D30">
              <w:t xml:space="preserve"> ropy a</w:t>
            </w:r>
            <w:r w:rsidR="0097300B" w:rsidRPr="00B82D30">
              <w:t> </w:t>
            </w:r>
            <w:r w:rsidR="00BF3E07" w:rsidRPr="00B82D30">
              <w:t xml:space="preserve">zemního plynu </w:t>
            </w:r>
            <w:r w:rsidR="00EF1A62" w:rsidRPr="00B82D30">
              <w:t>byla v roce 2013 v porovnání s rokem 2006 nižší o</w:t>
            </w:r>
            <w:r w:rsidR="000E068E" w:rsidRPr="00B82D30">
              <w:t> </w:t>
            </w:r>
            <w:r w:rsidR="00EF1A62" w:rsidRPr="00B82D30">
              <w:t>15,8 %</w:t>
            </w:r>
            <w:r w:rsidR="00BF3E07" w:rsidRPr="00B82D30">
              <w:t>, těžby a úpravy</w:t>
            </w:r>
            <w:r w:rsidR="00731273" w:rsidRPr="00B82D30">
              <w:t xml:space="preserve"> rud</w:t>
            </w:r>
            <w:r w:rsidR="00EF1A62" w:rsidRPr="00B82D30">
              <w:t xml:space="preserve"> o</w:t>
            </w:r>
            <w:r w:rsidR="00E41DE7" w:rsidRPr="00B82D30">
              <w:t> </w:t>
            </w:r>
            <w:r w:rsidR="00EF1A62" w:rsidRPr="00B82D30">
              <w:t>52,2</w:t>
            </w:r>
            <w:r w:rsidR="00E41DE7" w:rsidRPr="00B82D30">
              <w:t> </w:t>
            </w:r>
            <w:r w:rsidR="00BF3E07" w:rsidRPr="00B82D30">
              <w:t>%.</w:t>
            </w:r>
            <w:r w:rsidR="00731273" w:rsidRPr="00B82D30">
              <w:t xml:space="preserve"> </w:t>
            </w:r>
            <w:r w:rsidR="005220C9" w:rsidRPr="00B82D30">
              <w:t>Výkon</w:t>
            </w:r>
            <w:r w:rsidR="00BF3E07" w:rsidRPr="00B82D30">
              <w:t xml:space="preserve"> ostatní těžby</w:t>
            </w:r>
            <w:r w:rsidR="00731273" w:rsidRPr="00B82D30">
              <w:t xml:space="preserve"> a</w:t>
            </w:r>
            <w:r w:rsidR="00437DD4" w:rsidRPr="00B82D30">
              <w:t> </w:t>
            </w:r>
            <w:r w:rsidR="00731273" w:rsidRPr="00B82D30">
              <w:t>dobývání</w:t>
            </w:r>
            <w:r w:rsidR="005220C9" w:rsidRPr="00B82D30">
              <w:t xml:space="preserve"> poklesl</w:t>
            </w:r>
            <w:r w:rsidR="00EF1A62" w:rsidRPr="00B82D30">
              <w:t xml:space="preserve"> o</w:t>
            </w:r>
            <w:r w:rsidR="00FA7F32" w:rsidRPr="00B82D30">
              <w:t> </w:t>
            </w:r>
            <w:r w:rsidR="00EF1A62" w:rsidRPr="00B82D30">
              <w:t>32,8</w:t>
            </w:r>
            <w:r w:rsidR="00BF3E07" w:rsidRPr="00B82D30">
              <w:t xml:space="preserve"> %, podpůrných </w:t>
            </w:r>
            <w:r w:rsidR="00EF1A62" w:rsidRPr="00B82D30">
              <w:t>činností</w:t>
            </w:r>
            <w:r w:rsidR="00BF3E07" w:rsidRPr="00B82D30">
              <w:t xml:space="preserve"> při</w:t>
            </w:r>
            <w:r w:rsidR="009131C0" w:rsidRPr="00B82D30">
              <w:t> </w:t>
            </w:r>
            <w:r w:rsidR="00EF1A62" w:rsidRPr="00B82D30">
              <w:t>těžbě o 26,2</w:t>
            </w:r>
            <w:r w:rsidR="00BF3E07" w:rsidRPr="00B82D30">
              <w:t xml:space="preserve"> %</w:t>
            </w:r>
            <w:r w:rsidR="00731273" w:rsidRPr="00B82D30">
              <w:t>.</w:t>
            </w:r>
          </w:p>
          <w:p w:rsidR="00D859C4" w:rsidRPr="00B82D30" w:rsidRDefault="00D859C4" w:rsidP="00011A65">
            <w:pPr>
              <w:pStyle w:val="Textpoznpodarou"/>
              <w:jc w:val="both"/>
            </w:pPr>
          </w:p>
        </w:tc>
      </w:tr>
      <w:tr w:rsidR="00D859C4" w:rsidRPr="00B82D30" w:rsidTr="000E63FC">
        <w:tc>
          <w:tcPr>
            <w:tcW w:w="1054" w:type="pct"/>
          </w:tcPr>
          <w:p w:rsidR="00D859C4" w:rsidRPr="00B82D30" w:rsidRDefault="00FD7FC3" w:rsidP="00FD7FC3">
            <w:pPr>
              <w:jc w:val="left"/>
              <w:rPr>
                <w:sz w:val="16"/>
                <w:szCs w:val="16"/>
              </w:rPr>
            </w:pPr>
            <w:r w:rsidRPr="00B82D30">
              <w:rPr>
                <w:sz w:val="16"/>
                <w:szCs w:val="16"/>
              </w:rPr>
              <w:t>… kte</w:t>
            </w:r>
            <w:r w:rsidR="000E068E" w:rsidRPr="00B82D30">
              <w:rPr>
                <w:sz w:val="16"/>
                <w:szCs w:val="16"/>
              </w:rPr>
              <w:t>rý byl v roce 2013 o 19,6</w:t>
            </w:r>
            <w:r w:rsidRPr="00B82D30">
              <w:rPr>
                <w:sz w:val="16"/>
                <w:szCs w:val="16"/>
              </w:rPr>
              <w:t xml:space="preserve"> % nižší než v roce 2009</w:t>
            </w:r>
          </w:p>
        </w:tc>
        <w:tc>
          <w:tcPr>
            <w:tcW w:w="142" w:type="pct"/>
          </w:tcPr>
          <w:p w:rsidR="00D859C4" w:rsidRPr="00B82D30" w:rsidRDefault="00D859C4" w:rsidP="00011A65">
            <w:pPr>
              <w:pStyle w:val="Textpoznpodarou"/>
              <w:jc w:val="both"/>
            </w:pPr>
          </w:p>
        </w:tc>
        <w:tc>
          <w:tcPr>
            <w:tcW w:w="3804" w:type="pct"/>
          </w:tcPr>
          <w:p w:rsidR="00D859C4" w:rsidRPr="00B82D30" w:rsidRDefault="00BF183D" w:rsidP="000E068E">
            <w:pPr>
              <w:pStyle w:val="Textpoznpodarou"/>
              <w:jc w:val="both"/>
            </w:pPr>
            <w:r w:rsidRPr="00B82D30">
              <w:t>Výše uvedené jevy</w:t>
            </w:r>
            <w:r w:rsidR="00731273" w:rsidRPr="00B82D30">
              <w:t xml:space="preserve"> – </w:t>
            </w:r>
            <w:r w:rsidRPr="00B82D30">
              <w:t>rostoucí dovoz</w:t>
            </w:r>
            <w:r w:rsidR="00E41DE7" w:rsidRPr="00B82D30">
              <w:t>y</w:t>
            </w:r>
            <w:r w:rsidR="00731273" w:rsidRPr="00B82D30">
              <w:t xml:space="preserve"> finálních potravin</w:t>
            </w:r>
            <w:r w:rsidR="002811CA" w:rsidRPr="00B82D30">
              <w:t xml:space="preserve"> a meziproduktů</w:t>
            </w:r>
            <w:r w:rsidR="00731273" w:rsidRPr="00B82D30">
              <w:t xml:space="preserve"> do</w:t>
            </w:r>
            <w:r w:rsidR="00B6123C" w:rsidRPr="00B82D30">
              <w:t> </w:t>
            </w:r>
            <w:r w:rsidR="0097300B" w:rsidRPr="00B82D30">
              <w:t>Česka</w:t>
            </w:r>
            <w:r w:rsidRPr="00B82D30">
              <w:t>, slabá poptávka</w:t>
            </w:r>
            <w:r w:rsidR="00731273" w:rsidRPr="00B82D30">
              <w:t xml:space="preserve"> po</w:t>
            </w:r>
            <w:r w:rsidR="0097300B" w:rsidRPr="00B82D30">
              <w:t xml:space="preserve"> </w:t>
            </w:r>
            <w:r w:rsidR="00731273" w:rsidRPr="00B82D30">
              <w:t>uhlí</w:t>
            </w:r>
            <w:r w:rsidR="0097300B" w:rsidRPr="00B82D30">
              <w:t xml:space="preserve"> v</w:t>
            </w:r>
            <w:r w:rsidRPr="00B82D30">
              <w:t> </w:t>
            </w:r>
            <w:r w:rsidR="0097300B" w:rsidRPr="00B82D30">
              <w:t>Evropě</w:t>
            </w:r>
            <w:r w:rsidRPr="00B82D30">
              <w:t xml:space="preserve"> a nízké ceny uhlí na trhu – drtivě dopadaly na celý tuzemský primární sektor. </w:t>
            </w:r>
            <w:r w:rsidR="00731273" w:rsidRPr="00B82D30">
              <w:t xml:space="preserve">V roce 2010 </w:t>
            </w:r>
            <w:r w:rsidR="009D0B74" w:rsidRPr="00B82D30">
              <w:t>hrubá přidaná hodnota</w:t>
            </w:r>
            <w:r w:rsidR="00731273" w:rsidRPr="00B82D30">
              <w:t xml:space="preserve"> primárního sektoru klesla o</w:t>
            </w:r>
            <w:r w:rsidR="009D0B74" w:rsidRPr="00B82D30">
              <w:t> </w:t>
            </w:r>
            <w:r w:rsidR="000E068E" w:rsidRPr="00B82D30">
              <w:t>11</w:t>
            </w:r>
            <w:r w:rsidR="00731273" w:rsidRPr="00B82D30">
              <w:t>,2 %, v roce 2011</w:t>
            </w:r>
            <w:r w:rsidR="000E068E" w:rsidRPr="00B82D30">
              <w:t xml:space="preserve"> o 1,3 %. Rok 2012 přinesl drobné oživení (+1,0 %), to ale v roce 2013 nepokračovalo (-9,1 %). </w:t>
            </w:r>
            <w:r w:rsidR="00EB3A00" w:rsidRPr="00B82D30">
              <w:t>Rok</w:t>
            </w:r>
            <w:r w:rsidR="00731273" w:rsidRPr="00B82D30">
              <w:t xml:space="preserve"> hluboké recese</w:t>
            </w:r>
            <w:r w:rsidR="009D0B74" w:rsidRPr="00B82D30">
              <w:t xml:space="preserve"> 2009</w:t>
            </w:r>
            <w:r w:rsidR="00EB3A00" w:rsidRPr="00B82D30">
              <w:t>, který</w:t>
            </w:r>
            <w:r w:rsidR="00881AD7" w:rsidRPr="00B82D30">
              <w:t> </w:t>
            </w:r>
            <w:r w:rsidR="00EB3A00" w:rsidRPr="00B82D30">
              <w:t>„vytvářel“ pro sekundární a terciární sektor nízkou srovnávací základnu,</w:t>
            </w:r>
            <w:r w:rsidR="00731273" w:rsidRPr="00B82D30">
              <w:t xml:space="preserve"> </w:t>
            </w:r>
            <w:r w:rsidR="00EB3A00" w:rsidRPr="00B82D30">
              <w:t xml:space="preserve">byl pro primární sektor </w:t>
            </w:r>
            <w:r w:rsidR="001F0763" w:rsidRPr="00B82D30">
              <w:t>již vzdáleným</w:t>
            </w:r>
            <w:r w:rsidR="00916DC5" w:rsidRPr="00B82D30">
              <w:t xml:space="preserve"> vrcholem</w:t>
            </w:r>
            <w:r w:rsidR="00EB3A00" w:rsidRPr="00B82D30">
              <w:t xml:space="preserve">. </w:t>
            </w:r>
            <w:r w:rsidR="00475F0D" w:rsidRPr="00B82D30">
              <w:t xml:space="preserve">Jestliže </w:t>
            </w:r>
            <w:r w:rsidR="00881AD7" w:rsidRPr="00B82D30">
              <w:t>HPH sekundárního sektoru za</w:t>
            </w:r>
            <w:r w:rsidR="00D73993" w:rsidRPr="00B82D30">
              <w:t> </w:t>
            </w:r>
            <w:r w:rsidR="00881AD7" w:rsidRPr="00B82D30">
              <w:t>roky 2010-2013 posílila</w:t>
            </w:r>
            <w:r w:rsidR="00475F0D" w:rsidRPr="00B82D30">
              <w:t xml:space="preserve"> v úhrnu o</w:t>
            </w:r>
            <w:r w:rsidR="000E068E" w:rsidRPr="00B82D30">
              <w:t xml:space="preserve"> 6,5</w:t>
            </w:r>
            <w:r w:rsidR="00881AD7" w:rsidRPr="00B82D30">
              <w:t xml:space="preserve"> %, HPH terciárního sektoru</w:t>
            </w:r>
            <w:r w:rsidRPr="00B82D30">
              <w:t> </w:t>
            </w:r>
            <w:r w:rsidR="00881AD7" w:rsidRPr="00B82D30">
              <w:t>o</w:t>
            </w:r>
            <w:r w:rsidR="009804EC" w:rsidRPr="00B82D30">
              <w:t> </w:t>
            </w:r>
            <w:r w:rsidR="000E068E" w:rsidRPr="00B82D30">
              <w:t>3,1</w:t>
            </w:r>
            <w:r w:rsidR="009804EC" w:rsidRPr="00B82D30">
              <w:t> </w:t>
            </w:r>
            <w:r w:rsidR="00881AD7" w:rsidRPr="00B82D30">
              <w:t xml:space="preserve">%. </w:t>
            </w:r>
            <w:r w:rsidR="00475F0D" w:rsidRPr="00B82D30">
              <w:t>Naproti tomu p</w:t>
            </w:r>
            <w:r w:rsidR="00731273" w:rsidRPr="00B82D30">
              <w:t>rimárnímu sektoru</w:t>
            </w:r>
            <w:r w:rsidR="00475F0D" w:rsidRPr="00B82D30">
              <w:t xml:space="preserve"> </w:t>
            </w:r>
            <w:r w:rsidR="00731273" w:rsidRPr="00B82D30">
              <w:t>scházelo z jeho výkonu</w:t>
            </w:r>
            <w:r w:rsidR="00EB3A00" w:rsidRPr="00B82D30">
              <w:t xml:space="preserve"> v</w:t>
            </w:r>
            <w:r w:rsidR="00881AD7" w:rsidRPr="00B82D30">
              <w:t> </w:t>
            </w:r>
            <w:r w:rsidR="00EB3A00" w:rsidRPr="00B82D30">
              <w:t>roce</w:t>
            </w:r>
            <w:r w:rsidR="00881AD7" w:rsidRPr="00B82D30">
              <w:t> </w:t>
            </w:r>
            <w:r w:rsidR="00EB3A00" w:rsidRPr="00B82D30">
              <w:t>2009</w:t>
            </w:r>
            <w:r w:rsidR="00475F0D" w:rsidRPr="00B82D30">
              <w:t xml:space="preserve"> celých</w:t>
            </w:r>
            <w:r w:rsidR="000E068E" w:rsidRPr="00B82D30">
              <w:t xml:space="preserve"> 19,6</w:t>
            </w:r>
            <w:r w:rsidR="00881AD7" w:rsidRPr="00B82D30">
              <w:t> </w:t>
            </w:r>
            <w:r w:rsidR="00731273" w:rsidRPr="00B82D30">
              <w:t>%.</w:t>
            </w:r>
          </w:p>
        </w:tc>
      </w:tr>
    </w:tbl>
    <w:p w:rsidR="00232A10" w:rsidRPr="00B82D30" w:rsidRDefault="00232A10" w:rsidP="00232A10">
      <w:pPr>
        <w:rPr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879"/>
        <w:gridCol w:w="3978"/>
        <w:gridCol w:w="847"/>
        <w:gridCol w:w="989"/>
        <w:gridCol w:w="3001"/>
      </w:tblGrid>
      <w:tr w:rsidR="005475BF" w:rsidRPr="00B82D30" w:rsidTr="0039336F">
        <w:tc>
          <w:tcPr>
            <w:tcW w:w="453" w:type="pct"/>
          </w:tcPr>
          <w:p w:rsidR="005475BF" w:rsidRPr="00B82D30" w:rsidRDefault="005475BF" w:rsidP="00DF28E9">
            <w:pPr>
              <w:pStyle w:val="Textpoznpodarou"/>
            </w:pPr>
            <w:r w:rsidRPr="00B82D30">
              <w:t>Graf č. 11</w:t>
            </w:r>
          </w:p>
        </w:tc>
        <w:tc>
          <w:tcPr>
            <w:tcW w:w="2051" w:type="pct"/>
          </w:tcPr>
          <w:p w:rsidR="005475BF" w:rsidRPr="00B82D30" w:rsidRDefault="005475BF" w:rsidP="005475BF">
            <w:pPr>
              <w:pStyle w:val="Textpoznpodarou"/>
              <w:rPr>
                <w:spacing w:val="-6"/>
              </w:rPr>
            </w:pPr>
            <w:r w:rsidRPr="00B82D30">
              <w:rPr>
                <w:b/>
              </w:rPr>
              <w:t>Změna v hrubé přidané hodnotě mezi rokem 2009 a 2013 v jednotlivých sektorech</w:t>
            </w:r>
            <w:r w:rsidRPr="00B82D30">
              <w:t xml:space="preserve"> (reálně, v %)</w:t>
            </w:r>
          </w:p>
        </w:tc>
        <w:tc>
          <w:tcPr>
            <w:tcW w:w="437" w:type="pct"/>
          </w:tcPr>
          <w:p w:rsidR="005475BF" w:rsidRPr="00B82D30" w:rsidRDefault="005475BF" w:rsidP="00DF28E9">
            <w:pPr>
              <w:pStyle w:val="Textpoznpodarou"/>
            </w:pPr>
            <w:r w:rsidRPr="00B82D30">
              <w:t>Graf č. 12</w:t>
            </w:r>
          </w:p>
        </w:tc>
        <w:tc>
          <w:tcPr>
            <w:tcW w:w="2058" w:type="pct"/>
            <w:gridSpan w:val="2"/>
          </w:tcPr>
          <w:p w:rsidR="005475BF" w:rsidRPr="00B82D30" w:rsidRDefault="005475BF" w:rsidP="005475BF">
            <w:pPr>
              <w:pStyle w:val="Textpoznpodarou"/>
              <w:rPr>
                <w:spacing w:val="-2"/>
              </w:rPr>
            </w:pPr>
            <w:r w:rsidRPr="00B82D30">
              <w:rPr>
                <w:b/>
              </w:rPr>
              <w:t>Změna v hrubé přidané hodnotě mezi rokem 2009 a 2013 v odvětvích primárního sektoru</w:t>
            </w:r>
            <w:r w:rsidRPr="00B82D30">
              <w:t xml:space="preserve"> (reálně, v %)</w:t>
            </w:r>
          </w:p>
        </w:tc>
      </w:tr>
      <w:tr w:rsidR="005475BF" w:rsidRPr="00B82D30" w:rsidTr="0039336F">
        <w:tc>
          <w:tcPr>
            <w:tcW w:w="2505" w:type="pct"/>
            <w:gridSpan w:val="2"/>
          </w:tcPr>
          <w:p w:rsidR="005475BF" w:rsidRPr="00B82D30" w:rsidRDefault="005475BF" w:rsidP="00DF28E9">
            <w:pPr>
              <w:pStyle w:val="Textpoznpodarou"/>
            </w:pPr>
            <w:r w:rsidRPr="00B82D30">
              <w:rPr>
                <w:noProof/>
              </w:rPr>
              <w:drawing>
                <wp:inline distT="0" distB="0" distL="0" distR="0">
                  <wp:extent cx="2981325" cy="2181225"/>
                  <wp:effectExtent l="19050" t="0" r="9525" b="0"/>
                  <wp:docPr id="8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061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gridSpan w:val="3"/>
          </w:tcPr>
          <w:p w:rsidR="005475BF" w:rsidRPr="00B82D30" w:rsidRDefault="005475BF" w:rsidP="00DF28E9">
            <w:pPr>
              <w:pStyle w:val="Textpoznpodarou"/>
              <w:jc w:val="right"/>
            </w:pPr>
            <w:r w:rsidRPr="00B82D30">
              <w:rPr>
                <w:noProof/>
              </w:rPr>
              <w:drawing>
                <wp:inline distT="0" distB="0" distL="0" distR="0">
                  <wp:extent cx="3005036" cy="2181225"/>
                  <wp:effectExtent l="19050" t="0" r="4864" b="0"/>
                  <wp:docPr id="84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86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5BF" w:rsidRPr="00B82D30" w:rsidTr="0039336F">
        <w:tc>
          <w:tcPr>
            <w:tcW w:w="3452" w:type="pct"/>
            <w:gridSpan w:val="4"/>
          </w:tcPr>
          <w:p w:rsidR="005475BF" w:rsidRPr="00B82D30" w:rsidRDefault="005475BF" w:rsidP="00DF28E9">
            <w:pPr>
              <w:pStyle w:val="Textpoznpodarou"/>
              <w:rPr>
                <w:sz w:val="18"/>
                <w:szCs w:val="18"/>
              </w:rPr>
            </w:pPr>
          </w:p>
        </w:tc>
        <w:tc>
          <w:tcPr>
            <w:tcW w:w="1548" w:type="pct"/>
          </w:tcPr>
          <w:p w:rsidR="005475BF" w:rsidRPr="00B82D30" w:rsidRDefault="005475BF" w:rsidP="00DF28E9">
            <w:pPr>
              <w:pStyle w:val="Textpoznpodarou"/>
              <w:jc w:val="right"/>
              <w:rPr>
                <w:sz w:val="18"/>
                <w:szCs w:val="18"/>
              </w:rPr>
            </w:pPr>
            <w:r w:rsidRPr="00B82D30">
              <w:rPr>
                <w:sz w:val="18"/>
                <w:szCs w:val="18"/>
              </w:rPr>
              <w:t>Zdroj: ČSÚ, vlastní propočty</w:t>
            </w:r>
          </w:p>
        </w:tc>
      </w:tr>
    </w:tbl>
    <w:p w:rsidR="005475BF" w:rsidRPr="00B82D30" w:rsidRDefault="005475BF" w:rsidP="0074629C">
      <w:pPr>
        <w:rPr>
          <w:szCs w:val="20"/>
        </w:rPr>
      </w:pPr>
    </w:p>
    <w:p w:rsidR="00573D58" w:rsidRPr="00B82D30" w:rsidRDefault="00573D58" w:rsidP="0074629C">
      <w:pPr>
        <w:rPr>
          <w:szCs w:val="20"/>
        </w:rPr>
      </w:pPr>
    </w:p>
    <w:p w:rsidR="00ED71F6" w:rsidRPr="00B82D30" w:rsidRDefault="00ED71F6" w:rsidP="0074629C">
      <w:pPr>
        <w:rPr>
          <w:szCs w:val="20"/>
        </w:rPr>
      </w:pPr>
    </w:p>
    <w:sectPr w:rsidR="00ED71F6" w:rsidRPr="00B82D30" w:rsidSect="00747369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1134" w:bottom="1134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B9" w:rsidRDefault="00A46BB9" w:rsidP="000B7410">
      <w:r>
        <w:separator/>
      </w:r>
    </w:p>
  </w:endnote>
  <w:endnote w:type="continuationSeparator" w:id="0">
    <w:p w:rsidR="00A46BB9" w:rsidRDefault="00A46BB9" w:rsidP="000B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A22301" w:rsidP="00011A65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45.7pt;margin-top:-4.15pt;width:36.75pt;height:17.25pt;z-index:251661312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9E48D7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747369">
      <w:rPr>
        <w:rFonts w:ascii="Arial" w:hAnsi="Arial" w:cs="Arial"/>
        <w:noProof/>
        <w:sz w:val="16"/>
        <w:szCs w:val="16"/>
      </w:rPr>
      <w:t>8</w:t>
    </w:r>
    <w:r w:rsidRPr="005A21E0">
      <w:rPr>
        <w:rFonts w:ascii="Arial" w:hAnsi="Arial" w:cs="Arial"/>
        <w:sz w:val="16"/>
        <w:szCs w:val="16"/>
      </w:rPr>
      <w:fldChar w:fldCharType="end"/>
    </w:r>
    <w:r w:rsidR="009E48D7">
      <w:rPr>
        <w:rFonts w:ascii="Arial" w:hAnsi="Arial" w:cs="Arial"/>
        <w:sz w:val="16"/>
        <w:szCs w:val="16"/>
      </w:rPr>
      <w:tab/>
      <w:t>2014</w:t>
    </w:r>
    <w:r w:rsidR="009E48D7">
      <w:tab/>
    </w:r>
    <w:r w:rsidR="009E48D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D7" w:rsidRDefault="00A22301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pt;margin-top:7.1pt;width:39pt;height:21pt;z-index:251660288">
          <v:imagedata r:id="rId1" o:title="3"/>
        </v:shape>
      </w:pict>
    </w:r>
    <w:r w:rsidR="009E48D7">
      <w:tab/>
    </w:r>
    <w:r w:rsidR="009E48D7">
      <w:tab/>
    </w:r>
  </w:p>
  <w:p w:rsidR="009E48D7" w:rsidRDefault="009E48D7" w:rsidP="00011A65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 w:rsidR="00A22301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A22301" w:rsidRPr="00B6608F">
      <w:rPr>
        <w:rFonts w:ascii="Arial" w:hAnsi="Arial" w:cs="Arial"/>
        <w:sz w:val="16"/>
        <w:szCs w:val="16"/>
      </w:rPr>
      <w:fldChar w:fldCharType="separate"/>
    </w:r>
    <w:r w:rsidR="00747369">
      <w:rPr>
        <w:rFonts w:ascii="Arial" w:hAnsi="Arial" w:cs="Arial"/>
        <w:noProof/>
        <w:sz w:val="16"/>
        <w:szCs w:val="16"/>
      </w:rPr>
      <w:t>9</w:t>
    </w:r>
    <w:r w:rsidR="00A2230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B9" w:rsidRDefault="00A46BB9" w:rsidP="000B7410">
      <w:r>
        <w:separator/>
      </w:r>
    </w:p>
  </w:footnote>
  <w:footnote w:type="continuationSeparator" w:id="0">
    <w:p w:rsidR="00A46BB9" w:rsidRDefault="00A46BB9" w:rsidP="000B7410">
      <w:r>
        <w:continuationSeparator/>
      </w:r>
    </w:p>
  </w:footnote>
  <w:footnote w:id="1">
    <w:p w:rsidR="009E48D7" w:rsidRPr="00044157" w:rsidRDefault="009E48D7" w:rsidP="000B7410">
      <w:pPr>
        <w:pStyle w:val="Textpoznpodarou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Vychází z nominálních údajů. V metodice ESA 2010.</w:t>
      </w:r>
    </w:p>
  </w:footnote>
  <w:footnote w:id="2">
    <w:p w:rsidR="009E48D7" w:rsidRPr="008836C3" w:rsidRDefault="009E48D7" w:rsidP="003341FD">
      <w:pPr>
        <w:pStyle w:val="Textpoznpodarou"/>
        <w:rPr>
          <w:sz w:val="18"/>
          <w:szCs w:val="18"/>
        </w:rPr>
      </w:pPr>
      <w:r w:rsidRPr="008836C3">
        <w:rPr>
          <w:rStyle w:val="Znakapoznpodarou"/>
          <w:sz w:val="18"/>
          <w:szCs w:val="18"/>
        </w:rPr>
        <w:footnoteRef/>
      </w:r>
      <w:r w:rsidRPr="008836C3">
        <w:rPr>
          <w:sz w:val="18"/>
          <w:szCs w:val="18"/>
        </w:rPr>
        <w:t xml:space="preserve"> Vychází z nominálních údajů. V metodice ESA 95.</w:t>
      </w:r>
    </w:p>
  </w:footnote>
  <w:footnote w:id="3">
    <w:p w:rsidR="009E48D7" w:rsidRPr="00044157" w:rsidRDefault="009E48D7">
      <w:pPr>
        <w:pStyle w:val="Textpoznpodarou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V reálném vyjádření. V metodice ESA 2010.</w:t>
      </w:r>
    </w:p>
  </w:footnote>
  <w:footnote w:id="4">
    <w:p w:rsidR="009E48D7" w:rsidRPr="00044157" w:rsidRDefault="009E48D7">
      <w:pPr>
        <w:pStyle w:val="Textpoznpodarou"/>
        <w:rPr>
          <w:sz w:val="18"/>
          <w:szCs w:val="18"/>
        </w:rPr>
      </w:pPr>
      <w:r w:rsidRPr="00044157">
        <w:rPr>
          <w:rStyle w:val="Znakapoznpodarou"/>
          <w:sz w:val="18"/>
          <w:szCs w:val="18"/>
        </w:rPr>
        <w:footnoteRef/>
      </w:r>
      <w:r w:rsidRPr="00044157">
        <w:rPr>
          <w:sz w:val="18"/>
          <w:szCs w:val="18"/>
        </w:rPr>
        <w:t xml:space="preserve"> CZ-NACE 01 Rostlinná a živočišná výroba, myslivost a související činnosti.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011A65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9E48D7" w:rsidRPr="00E53687" w:rsidTr="00011A65">
      <w:tc>
        <w:tcPr>
          <w:tcW w:w="6518" w:type="dxa"/>
        </w:tcPr>
        <w:p w:rsidR="009E48D7" w:rsidRPr="00E53687" w:rsidRDefault="009E48D7" w:rsidP="00F4688E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Postavení primárního sektoru v ekonomice ČR</w:t>
          </w:r>
        </w:p>
      </w:tc>
      <w:tc>
        <w:tcPr>
          <w:tcW w:w="3260" w:type="dxa"/>
        </w:tcPr>
        <w:p w:rsidR="009E48D7" w:rsidRPr="00E53687" w:rsidRDefault="00F36223" w:rsidP="0061385B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kód 320258-14</w:t>
          </w:r>
        </w:p>
      </w:tc>
    </w:tr>
  </w:tbl>
  <w:p w:rsidR="009E48D7" w:rsidRPr="00190394" w:rsidRDefault="009E48D7" w:rsidP="00011A65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FA"/>
    <w:multiLevelType w:val="hybridMultilevel"/>
    <w:tmpl w:val="8144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C05"/>
    <w:multiLevelType w:val="hybridMultilevel"/>
    <w:tmpl w:val="64520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4F19D3"/>
    <w:multiLevelType w:val="hybridMultilevel"/>
    <w:tmpl w:val="41BA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58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410"/>
    <w:rsid w:val="000013CA"/>
    <w:rsid w:val="00001ECA"/>
    <w:rsid w:val="0000383C"/>
    <w:rsid w:val="00006F9E"/>
    <w:rsid w:val="000110F2"/>
    <w:rsid w:val="0001190D"/>
    <w:rsid w:val="00011A65"/>
    <w:rsid w:val="00011EBF"/>
    <w:rsid w:val="00014719"/>
    <w:rsid w:val="0001562B"/>
    <w:rsid w:val="00016382"/>
    <w:rsid w:val="000172C6"/>
    <w:rsid w:val="00017AAC"/>
    <w:rsid w:val="000219E8"/>
    <w:rsid w:val="000220FC"/>
    <w:rsid w:val="0002335A"/>
    <w:rsid w:val="00023BC3"/>
    <w:rsid w:val="00024537"/>
    <w:rsid w:val="000255A0"/>
    <w:rsid w:val="0003029D"/>
    <w:rsid w:val="00030C7A"/>
    <w:rsid w:val="000348E2"/>
    <w:rsid w:val="00034ED0"/>
    <w:rsid w:val="000350A2"/>
    <w:rsid w:val="00036435"/>
    <w:rsid w:val="00036823"/>
    <w:rsid w:val="0003729F"/>
    <w:rsid w:val="00040BB2"/>
    <w:rsid w:val="00040D21"/>
    <w:rsid w:val="00041C37"/>
    <w:rsid w:val="00041CAE"/>
    <w:rsid w:val="00042A8C"/>
    <w:rsid w:val="00044157"/>
    <w:rsid w:val="00044651"/>
    <w:rsid w:val="0004470E"/>
    <w:rsid w:val="00044F12"/>
    <w:rsid w:val="0004586E"/>
    <w:rsid w:val="00050103"/>
    <w:rsid w:val="000523C1"/>
    <w:rsid w:val="0005268C"/>
    <w:rsid w:val="0005577F"/>
    <w:rsid w:val="0006357D"/>
    <w:rsid w:val="0006373C"/>
    <w:rsid w:val="00063A52"/>
    <w:rsid w:val="00063B2D"/>
    <w:rsid w:val="00064085"/>
    <w:rsid w:val="000649B7"/>
    <w:rsid w:val="0006538F"/>
    <w:rsid w:val="00066811"/>
    <w:rsid w:val="00066D1D"/>
    <w:rsid w:val="000713C2"/>
    <w:rsid w:val="0007163D"/>
    <w:rsid w:val="00071AE2"/>
    <w:rsid w:val="00071D99"/>
    <w:rsid w:val="000728D2"/>
    <w:rsid w:val="00072C11"/>
    <w:rsid w:val="00076AAD"/>
    <w:rsid w:val="000771E1"/>
    <w:rsid w:val="00083504"/>
    <w:rsid w:val="00083FCE"/>
    <w:rsid w:val="000842FF"/>
    <w:rsid w:val="00084510"/>
    <w:rsid w:val="0008626A"/>
    <w:rsid w:val="00086DE1"/>
    <w:rsid w:val="0008777D"/>
    <w:rsid w:val="00090BDB"/>
    <w:rsid w:val="00091DEA"/>
    <w:rsid w:val="00091FF5"/>
    <w:rsid w:val="00093FAF"/>
    <w:rsid w:val="00094697"/>
    <w:rsid w:val="00094DF8"/>
    <w:rsid w:val="000A1645"/>
    <w:rsid w:val="000A1816"/>
    <w:rsid w:val="000A29CD"/>
    <w:rsid w:val="000A44C9"/>
    <w:rsid w:val="000A47DD"/>
    <w:rsid w:val="000A49F5"/>
    <w:rsid w:val="000A4EAE"/>
    <w:rsid w:val="000A60AC"/>
    <w:rsid w:val="000A773E"/>
    <w:rsid w:val="000B0097"/>
    <w:rsid w:val="000B04AA"/>
    <w:rsid w:val="000B20E3"/>
    <w:rsid w:val="000B33E7"/>
    <w:rsid w:val="000B377D"/>
    <w:rsid w:val="000B426B"/>
    <w:rsid w:val="000B4BBC"/>
    <w:rsid w:val="000B5559"/>
    <w:rsid w:val="000B57F6"/>
    <w:rsid w:val="000B671B"/>
    <w:rsid w:val="000B67EB"/>
    <w:rsid w:val="000B7410"/>
    <w:rsid w:val="000B7598"/>
    <w:rsid w:val="000C07BD"/>
    <w:rsid w:val="000C1FD8"/>
    <w:rsid w:val="000C27F4"/>
    <w:rsid w:val="000C2B73"/>
    <w:rsid w:val="000C3C26"/>
    <w:rsid w:val="000C4E4E"/>
    <w:rsid w:val="000C559D"/>
    <w:rsid w:val="000C6967"/>
    <w:rsid w:val="000C6CF1"/>
    <w:rsid w:val="000C785C"/>
    <w:rsid w:val="000C7B9E"/>
    <w:rsid w:val="000D037D"/>
    <w:rsid w:val="000D0827"/>
    <w:rsid w:val="000D3514"/>
    <w:rsid w:val="000D4639"/>
    <w:rsid w:val="000D687F"/>
    <w:rsid w:val="000D74EE"/>
    <w:rsid w:val="000E0274"/>
    <w:rsid w:val="000E068E"/>
    <w:rsid w:val="000E0F77"/>
    <w:rsid w:val="000E4E05"/>
    <w:rsid w:val="000E52FF"/>
    <w:rsid w:val="000E63FC"/>
    <w:rsid w:val="000E6A79"/>
    <w:rsid w:val="000F08EC"/>
    <w:rsid w:val="000F22CC"/>
    <w:rsid w:val="000F234D"/>
    <w:rsid w:val="000F2BD5"/>
    <w:rsid w:val="000F478C"/>
    <w:rsid w:val="000F49F7"/>
    <w:rsid w:val="000F4BEB"/>
    <w:rsid w:val="001024AE"/>
    <w:rsid w:val="00103913"/>
    <w:rsid w:val="00103A88"/>
    <w:rsid w:val="00103C46"/>
    <w:rsid w:val="0010595E"/>
    <w:rsid w:val="00106DB4"/>
    <w:rsid w:val="00107DE5"/>
    <w:rsid w:val="00111433"/>
    <w:rsid w:val="0011361F"/>
    <w:rsid w:val="00114E19"/>
    <w:rsid w:val="001152C7"/>
    <w:rsid w:val="00117DC4"/>
    <w:rsid w:val="0012025A"/>
    <w:rsid w:val="0012115B"/>
    <w:rsid w:val="00124E03"/>
    <w:rsid w:val="00125AE2"/>
    <w:rsid w:val="00130C54"/>
    <w:rsid w:val="00130E74"/>
    <w:rsid w:val="00131A85"/>
    <w:rsid w:val="00132A89"/>
    <w:rsid w:val="0013346F"/>
    <w:rsid w:val="00133B34"/>
    <w:rsid w:val="0013534C"/>
    <w:rsid w:val="001368F6"/>
    <w:rsid w:val="00137B4F"/>
    <w:rsid w:val="00137DC1"/>
    <w:rsid w:val="0014188A"/>
    <w:rsid w:val="00141C0F"/>
    <w:rsid w:val="00142964"/>
    <w:rsid w:val="00145BB9"/>
    <w:rsid w:val="00150055"/>
    <w:rsid w:val="00150BE0"/>
    <w:rsid w:val="001514E8"/>
    <w:rsid w:val="001528FB"/>
    <w:rsid w:val="001534B8"/>
    <w:rsid w:val="00154411"/>
    <w:rsid w:val="00154784"/>
    <w:rsid w:val="00154C5A"/>
    <w:rsid w:val="001625DA"/>
    <w:rsid w:val="00163626"/>
    <w:rsid w:val="00163A89"/>
    <w:rsid w:val="00164A6A"/>
    <w:rsid w:val="0016675C"/>
    <w:rsid w:val="001712D8"/>
    <w:rsid w:val="00172587"/>
    <w:rsid w:val="001748F0"/>
    <w:rsid w:val="0017582B"/>
    <w:rsid w:val="00175C1A"/>
    <w:rsid w:val="00180448"/>
    <w:rsid w:val="001812F0"/>
    <w:rsid w:val="001820FA"/>
    <w:rsid w:val="00183209"/>
    <w:rsid w:val="001834C2"/>
    <w:rsid w:val="00184671"/>
    <w:rsid w:val="001854C7"/>
    <w:rsid w:val="0019177E"/>
    <w:rsid w:val="00192BF2"/>
    <w:rsid w:val="00193806"/>
    <w:rsid w:val="001957DC"/>
    <w:rsid w:val="001968A2"/>
    <w:rsid w:val="00196C31"/>
    <w:rsid w:val="001A08EE"/>
    <w:rsid w:val="001A28A0"/>
    <w:rsid w:val="001A3369"/>
    <w:rsid w:val="001A42AA"/>
    <w:rsid w:val="001A4C80"/>
    <w:rsid w:val="001A5FB3"/>
    <w:rsid w:val="001A67FD"/>
    <w:rsid w:val="001B26F3"/>
    <w:rsid w:val="001B5E62"/>
    <w:rsid w:val="001B7DEB"/>
    <w:rsid w:val="001C0B8C"/>
    <w:rsid w:val="001C3393"/>
    <w:rsid w:val="001C3DFB"/>
    <w:rsid w:val="001C4D84"/>
    <w:rsid w:val="001C5E7D"/>
    <w:rsid w:val="001C6E7C"/>
    <w:rsid w:val="001D0395"/>
    <w:rsid w:val="001D0F08"/>
    <w:rsid w:val="001D17C8"/>
    <w:rsid w:val="001D26AF"/>
    <w:rsid w:val="001D2DD1"/>
    <w:rsid w:val="001D395E"/>
    <w:rsid w:val="001D5666"/>
    <w:rsid w:val="001D5B34"/>
    <w:rsid w:val="001D5DB0"/>
    <w:rsid w:val="001D75D3"/>
    <w:rsid w:val="001E084D"/>
    <w:rsid w:val="001E0BAD"/>
    <w:rsid w:val="001E3332"/>
    <w:rsid w:val="001E399A"/>
    <w:rsid w:val="001E51CD"/>
    <w:rsid w:val="001E5B5A"/>
    <w:rsid w:val="001E6BF8"/>
    <w:rsid w:val="001E7309"/>
    <w:rsid w:val="001E7733"/>
    <w:rsid w:val="001E7DCD"/>
    <w:rsid w:val="001F0763"/>
    <w:rsid w:val="001F1357"/>
    <w:rsid w:val="001F2575"/>
    <w:rsid w:val="001F30B9"/>
    <w:rsid w:val="001F3A98"/>
    <w:rsid w:val="001F4FBF"/>
    <w:rsid w:val="001F5B8E"/>
    <w:rsid w:val="001F791F"/>
    <w:rsid w:val="001F7A25"/>
    <w:rsid w:val="00200C07"/>
    <w:rsid w:val="002021B0"/>
    <w:rsid w:val="00203129"/>
    <w:rsid w:val="002033A0"/>
    <w:rsid w:val="00203D0C"/>
    <w:rsid w:val="00203DE2"/>
    <w:rsid w:val="00204E06"/>
    <w:rsid w:val="00204EAA"/>
    <w:rsid w:val="00206626"/>
    <w:rsid w:val="00210493"/>
    <w:rsid w:val="00210E6D"/>
    <w:rsid w:val="0021266A"/>
    <w:rsid w:val="002141C7"/>
    <w:rsid w:val="00215582"/>
    <w:rsid w:val="00216009"/>
    <w:rsid w:val="002176C9"/>
    <w:rsid w:val="00220317"/>
    <w:rsid w:val="002208F4"/>
    <w:rsid w:val="00220A5E"/>
    <w:rsid w:val="00221D3D"/>
    <w:rsid w:val="00222A59"/>
    <w:rsid w:val="00224882"/>
    <w:rsid w:val="00224B1F"/>
    <w:rsid w:val="00226508"/>
    <w:rsid w:val="002266B1"/>
    <w:rsid w:val="00227058"/>
    <w:rsid w:val="002274DE"/>
    <w:rsid w:val="00230DDC"/>
    <w:rsid w:val="00232A10"/>
    <w:rsid w:val="00232D47"/>
    <w:rsid w:val="00234A46"/>
    <w:rsid w:val="0023547E"/>
    <w:rsid w:val="00236052"/>
    <w:rsid w:val="002372AA"/>
    <w:rsid w:val="00237C0F"/>
    <w:rsid w:val="00237FC7"/>
    <w:rsid w:val="00241340"/>
    <w:rsid w:val="002417B3"/>
    <w:rsid w:val="00242465"/>
    <w:rsid w:val="00242CDE"/>
    <w:rsid w:val="00242F2C"/>
    <w:rsid w:val="00244C1F"/>
    <w:rsid w:val="0024569D"/>
    <w:rsid w:val="00245BE7"/>
    <w:rsid w:val="00246155"/>
    <w:rsid w:val="002464A0"/>
    <w:rsid w:val="002505EC"/>
    <w:rsid w:val="00250AFD"/>
    <w:rsid w:val="00251226"/>
    <w:rsid w:val="00252D30"/>
    <w:rsid w:val="00253E84"/>
    <w:rsid w:val="002541AC"/>
    <w:rsid w:val="00254945"/>
    <w:rsid w:val="00254C38"/>
    <w:rsid w:val="00255F00"/>
    <w:rsid w:val="00255F20"/>
    <w:rsid w:val="002571AF"/>
    <w:rsid w:val="00262096"/>
    <w:rsid w:val="002621D4"/>
    <w:rsid w:val="00262F49"/>
    <w:rsid w:val="00264A2C"/>
    <w:rsid w:val="00264DD6"/>
    <w:rsid w:val="0026642C"/>
    <w:rsid w:val="0027000B"/>
    <w:rsid w:val="00273074"/>
    <w:rsid w:val="00273882"/>
    <w:rsid w:val="00273AE8"/>
    <w:rsid w:val="00273AF5"/>
    <w:rsid w:val="00274665"/>
    <w:rsid w:val="002746D7"/>
    <w:rsid w:val="002770B0"/>
    <w:rsid w:val="0027773F"/>
    <w:rsid w:val="0028021B"/>
    <w:rsid w:val="00280C20"/>
    <w:rsid w:val="00280D81"/>
    <w:rsid w:val="002811CA"/>
    <w:rsid w:val="00281C5D"/>
    <w:rsid w:val="002827DB"/>
    <w:rsid w:val="00282FDF"/>
    <w:rsid w:val="00283347"/>
    <w:rsid w:val="002838CF"/>
    <w:rsid w:val="00285E8A"/>
    <w:rsid w:val="0028680D"/>
    <w:rsid w:val="00286C4B"/>
    <w:rsid w:val="00290FDB"/>
    <w:rsid w:val="00292234"/>
    <w:rsid w:val="002922CA"/>
    <w:rsid w:val="00294989"/>
    <w:rsid w:val="00294AEF"/>
    <w:rsid w:val="0029578A"/>
    <w:rsid w:val="002961D1"/>
    <w:rsid w:val="00296A93"/>
    <w:rsid w:val="002A112B"/>
    <w:rsid w:val="002A53E7"/>
    <w:rsid w:val="002A62D9"/>
    <w:rsid w:val="002B0CB3"/>
    <w:rsid w:val="002B141B"/>
    <w:rsid w:val="002B2623"/>
    <w:rsid w:val="002B3089"/>
    <w:rsid w:val="002B38DC"/>
    <w:rsid w:val="002B3E38"/>
    <w:rsid w:val="002B3F6D"/>
    <w:rsid w:val="002B3FF4"/>
    <w:rsid w:val="002B4D1B"/>
    <w:rsid w:val="002B5A83"/>
    <w:rsid w:val="002C20A7"/>
    <w:rsid w:val="002C2FD5"/>
    <w:rsid w:val="002C317E"/>
    <w:rsid w:val="002C521C"/>
    <w:rsid w:val="002C6A22"/>
    <w:rsid w:val="002C6EE3"/>
    <w:rsid w:val="002C70F3"/>
    <w:rsid w:val="002C725B"/>
    <w:rsid w:val="002C79A6"/>
    <w:rsid w:val="002D2944"/>
    <w:rsid w:val="002D2B1D"/>
    <w:rsid w:val="002D3429"/>
    <w:rsid w:val="002D6C7D"/>
    <w:rsid w:val="002D6D82"/>
    <w:rsid w:val="002E0864"/>
    <w:rsid w:val="002E1238"/>
    <w:rsid w:val="002E2C01"/>
    <w:rsid w:val="002E36FE"/>
    <w:rsid w:val="002E3BB8"/>
    <w:rsid w:val="002E4247"/>
    <w:rsid w:val="002E4A46"/>
    <w:rsid w:val="002E6D5B"/>
    <w:rsid w:val="002E6F53"/>
    <w:rsid w:val="002E79D7"/>
    <w:rsid w:val="002F089C"/>
    <w:rsid w:val="002F125E"/>
    <w:rsid w:val="002F1447"/>
    <w:rsid w:val="002F3711"/>
    <w:rsid w:val="002F46AE"/>
    <w:rsid w:val="002F507B"/>
    <w:rsid w:val="00300F07"/>
    <w:rsid w:val="00302134"/>
    <w:rsid w:val="003032CC"/>
    <w:rsid w:val="00304028"/>
    <w:rsid w:val="00305F33"/>
    <w:rsid w:val="00306C6E"/>
    <w:rsid w:val="00310BF1"/>
    <w:rsid w:val="00311844"/>
    <w:rsid w:val="00312135"/>
    <w:rsid w:val="00314F29"/>
    <w:rsid w:val="00315F45"/>
    <w:rsid w:val="0031703C"/>
    <w:rsid w:val="00317613"/>
    <w:rsid w:val="00320171"/>
    <w:rsid w:val="00321A74"/>
    <w:rsid w:val="003228A6"/>
    <w:rsid w:val="00322A11"/>
    <w:rsid w:val="0032473C"/>
    <w:rsid w:val="00324905"/>
    <w:rsid w:val="00327CB8"/>
    <w:rsid w:val="0033036A"/>
    <w:rsid w:val="00330397"/>
    <w:rsid w:val="00334073"/>
    <w:rsid w:val="003341FD"/>
    <w:rsid w:val="00334F7E"/>
    <w:rsid w:val="0034055D"/>
    <w:rsid w:val="003408EF"/>
    <w:rsid w:val="00342290"/>
    <w:rsid w:val="00342C91"/>
    <w:rsid w:val="0034304B"/>
    <w:rsid w:val="00343355"/>
    <w:rsid w:val="003447D6"/>
    <w:rsid w:val="0034621F"/>
    <w:rsid w:val="00346E0D"/>
    <w:rsid w:val="0034783C"/>
    <w:rsid w:val="00350555"/>
    <w:rsid w:val="00352866"/>
    <w:rsid w:val="003532E0"/>
    <w:rsid w:val="003542C1"/>
    <w:rsid w:val="00355BE6"/>
    <w:rsid w:val="00356342"/>
    <w:rsid w:val="00361F08"/>
    <w:rsid w:val="003622E1"/>
    <w:rsid w:val="003663F1"/>
    <w:rsid w:val="003676C4"/>
    <w:rsid w:val="00367997"/>
    <w:rsid w:val="003713FC"/>
    <w:rsid w:val="0037227E"/>
    <w:rsid w:val="0037310A"/>
    <w:rsid w:val="00373448"/>
    <w:rsid w:val="00373C67"/>
    <w:rsid w:val="00373E35"/>
    <w:rsid w:val="0037644F"/>
    <w:rsid w:val="0037709F"/>
    <w:rsid w:val="003776AF"/>
    <w:rsid w:val="0038005F"/>
    <w:rsid w:val="003811FC"/>
    <w:rsid w:val="003812F2"/>
    <w:rsid w:val="0038148B"/>
    <w:rsid w:val="00381AA2"/>
    <w:rsid w:val="00382114"/>
    <w:rsid w:val="003826D9"/>
    <w:rsid w:val="00382B9D"/>
    <w:rsid w:val="00383A9C"/>
    <w:rsid w:val="003846D5"/>
    <w:rsid w:val="0038588B"/>
    <w:rsid w:val="003869C6"/>
    <w:rsid w:val="00386BC8"/>
    <w:rsid w:val="00386D45"/>
    <w:rsid w:val="00387BB9"/>
    <w:rsid w:val="0039336F"/>
    <w:rsid w:val="00393955"/>
    <w:rsid w:val="00394952"/>
    <w:rsid w:val="003955DD"/>
    <w:rsid w:val="00396223"/>
    <w:rsid w:val="003965AB"/>
    <w:rsid w:val="00396DD9"/>
    <w:rsid w:val="00397DFD"/>
    <w:rsid w:val="003A0E4D"/>
    <w:rsid w:val="003A2E04"/>
    <w:rsid w:val="003A4369"/>
    <w:rsid w:val="003A4EC3"/>
    <w:rsid w:val="003A516C"/>
    <w:rsid w:val="003A5C55"/>
    <w:rsid w:val="003A6A75"/>
    <w:rsid w:val="003A7F60"/>
    <w:rsid w:val="003B0FCD"/>
    <w:rsid w:val="003B16D8"/>
    <w:rsid w:val="003B287E"/>
    <w:rsid w:val="003B2BE1"/>
    <w:rsid w:val="003B2E4D"/>
    <w:rsid w:val="003B3991"/>
    <w:rsid w:val="003B5002"/>
    <w:rsid w:val="003B6C82"/>
    <w:rsid w:val="003C0578"/>
    <w:rsid w:val="003C0801"/>
    <w:rsid w:val="003C0C2A"/>
    <w:rsid w:val="003C2891"/>
    <w:rsid w:val="003C28CE"/>
    <w:rsid w:val="003C2CAC"/>
    <w:rsid w:val="003C3969"/>
    <w:rsid w:val="003C5612"/>
    <w:rsid w:val="003C5879"/>
    <w:rsid w:val="003C5EF9"/>
    <w:rsid w:val="003C7C15"/>
    <w:rsid w:val="003D0EB5"/>
    <w:rsid w:val="003D209F"/>
    <w:rsid w:val="003D2B0A"/>
    <w:rsid w:val="003D344F"/>
    <w:rsid w:val="003D3727"/>
    <w:rsid w:val="003D3BC0"/>
    <w:rsid w:val="003D6024"/>
    <w:rsid w:val="003D6D37"/>
    <w:rsid w:val="003E0354"/>
    <w:rsid w:val="003E41C8"/>
    <w:rsid w:val="003E43E0"/>
    <w:rsid w:val="003E44E2"/>
    <w:rsid w:val="003E4A5A"/>
    <w:rsid w:val="003E58AA"/>
    <w:rsid w:val="003E63A7"/>
    <w:rsid w:val="003E7A6D"/>
    <w:rsid w:val="003F078F"/>
    <w:rsid w:val="003F1574"/>
    <w:rsid w:val="003F3207"/>
    <w:rsid w:val="003F3258"/>
    <w:rsid w:val="003F3357"/>
    <w:rsid w:val="003F384E"/>
    <w:rsid w:val="003F3C82"/>
    <w:rsid w:val="003F5080"/>
    <w:rsid w:val="003F54E9"/>
    <w:rsid w:val="003F6239"/>
    <w:rsid w:val="004012F8"/>
    <w:rsid w:val="004013C3"/>
    <w:rsid w:val="004013C7"/>
    <w:rsid w:val="004019FC"/>
    <w:rsid w:val="00402375"/>
    <w:rsid w:val="004076E8"/>
    <w:rsid w:val="00407B74"/>
    <w:rsid w:val="00414507"/>
    <w:rsid w:val="004146AE"/>
    <w:rsid w:val="004159D1"/>
    <w:rsid w:val="004163D8"/>
    <w:rsid w:val="00416737"/>
    <w:rsid w:val="00416B79"/>
    <w:rsid w:val="00416FB6"/>
    <w:rsid w:val="00417A0A"/>
    <w:rsid w:val="00420392"/>
    <w:rsid w:val="004207AC"/>
    <w:rsid w:val="00421DE7"/>
    <w:rsid w:val="00424FB9"/>
    <w:rsid w:val="00425758"/>
    <w:rsid w:val="0042595B"/>
    <w:rsid w:val="004270CE"/>
    <w:rsid w:val="00427761"/>
    <w:rsid w:val="00427948"/>
    <w:rsid w:val="004307C7"/>
    <w:rsid w:val="004312C5"/>
    <w:rsid w:val="00432ECA"/>
    <w:rsid w:val="0043369E"/>
    <w:rsid w:val="0043394E"/>
    <w:rsid w:val="00433A93"/>
    <w:rsid w:val="00436BC9"/>
    <w:rsid w:val="00437826"/>
    <w:rsid w:val="00437DD4"/>
    <w:rsid w:val="00441881"/>
    <w:rsid w:val="00442A39"/>
    <w:rsid w:val="00447412"/>
    <w:rsid w:val="00451ED3"/>
    <w:rsid w:val="00452A38"/>
    <w:rsid w:val="0045363D"/>
    <w:rsid w:val="00453BCC"/>
    <w:rsid w:val="00453D9A"/>
    <w:rsid w:val="00456509"/>
    <w:rsid w:val="00456523"/>
    <w:rsid w:val="0045694D"/>
    <w:rsid w:val="00457C6E"/>
    <w:rsid w:val="0046026B"/>
    <w:rsid w:val="004624B0"/>
    <w:rsid w:val="0046278B"/>
    <w:rsid w:val="00463B65"/>
    <w:rsid w:val="00464CD1"/>
    <w:rsid w:val="004652EE"/>
    <w:rsid w:val="004657CC"/>
    <w:rsid w:val="00465858"/>
    <w:rsid w:val="00467260"/>
    <w:rsid w:val="004703B8"/>
    <w:rsid w:val="00471067"/>
    <w:rsid w:val="00471669"/>
    <w:rsid w:val="0047269A"/>
    <w:rsid w:val="00472CFA"/>
    <w:rsid w:val="004745FA"/>
    <w:rsid w:val="00475F0D"/>
    <w:rsid w:val="004769D1"/>
    <w:rsid w:val="0048251A"/>
    <w:rsid w:val="00482A56"/>
    <w:rsid w:val="00482AC2"/>
    <w:rsid w:val="004834DA"/>
    <w:rsid w:val="004846B5"/>
    <w:rsid w:val="004849E3"/>
    <w:rsid w:val="00486F86"/>
    <w:rsid w:val="00487A16"/>
    <w:rsid w:val="00487B3A"/>
    <w:rsid w:val="00487B55"/>
    <w:rsid w:val="00487C11"/>
    <w:rsid w:val="004906D8"/>
    <w:rsid w:val="00490A9B"/>
    <w:rsid w:val="00491893"/>
    <w:rsid w:val="00491F82"/>
    <w:rsid w:val="004922B8"/>
    <w:rsid w:val="00492454"/>
    <w:rsid w:val="00493C40"/>
    <w:rsid w:val="00495F90"/>
    <w:rsid w:val="004A0D25"/>
    <w:rsid w:val="004A1B7B"/>
    <w:rsid w:val="004A2498"/>
    <w:rsid w:val="004A26DF"/>
    <w:rsid w:val="004A2D46"/>
    <w:rsid w:val="004A4363"/>
    <w:rsid w:val="004A5008"/>
    <w:rsid w:val="004A5264"/>
    <w:rsid w:val="004A54A8"/>
    <w:rsid w:val="004A6E87"/>
    <w:rsid w:val="004A73CA"/>
    <w:rsid w:val="004A7C40"/>
    <w:rsid w:val="004B0358"/>
    <w:rsid w:val="004B09D6"/>
    <w:rsid w:val="004B0A86"/>
    <w:rsid w:val="004B3A05"/>
    <w:rsid w:val="004B3E7E"/>
    <w:rsid w:val="004B4877"/>
    <w:rsid w:val="004B496A"/>
    <w:rsid w:val="004B4D85"/>
    <w:rsid w:val="004B54E6"/>
    <w:rsid w:val="004B6040"/>
    <w:rsid w:val="004B6127"/>
    <w:rsid w:val="004B675A"/>
    <w:rsid w:val="004B6A8C"/>
    <w:rsid w:val="004B7064"/>
    <w:rsid w:val="004B71D3"/>
    <w:rsid w:val="004B771C"/>
    <w:rsid w:val="004C1EEB"/>
    <w:rsid w:val="004C2808"/>
    <w:rsid w:val="004C459A"/>
    <w:rsid w:val="004C5332"/>
    <w:rsid w:val="004C549C"/>
    <w:rsid w:val="004C6A27"/>
    <w:rsid w:val="004C763A"/>
    <w:rsid w:val="004C79C6"/>
    <w:rsid w:val="004D2BFD"/>
    <w:rsid w:val="004D3053"/>
    <w:rsid w:val="004D3752"/>
    <w:rsid w:val="004D6B76"/>
    <w:rsid w:val="004D76B3"/>
    <w:rsid w:val="004E049D"/>
    <w:rsid w:val="004E0B2C"/>
    <w:rsid w:val="004E0DF3"/>
    <w:rsid w:val="004E1FB2"/>
    <w:rsid w:val="004E367F"/>
    <w:rsid w:val="004E4220"/>
    <w:rsid w:val="004E4524"/>
    <w:rsid w:val="004E5791"/>
    <w:rsid w:val="004E623B"/>
    <w:rsid w:val="004E6860"/>
    <w:rsid w:val="004F0270"/>
    <w:rsid w:val="004F2217"/>
    <w:rsid w:val="004F23DD"/>
    <w:rsid w:val="004F3184"/>
    <w:rsid w:val="004F3BD7"/>
    <w:rsid w:val="004F4E92"/>
    <w:rsid w:val="004F70B1"/>
    <w:rsid w:val="004F784B"/>
    <w:rsid w:val="004F7BB7"/>
    <w:rsid w:val="0050082D"/>
    <w:rsid w:val="00500CAF"/>
    <w:rsid w:val="00502269"/>
    <w:rsid w:val="00502F4E"/>
    <w:rsid w:val="00503008"/>
    <w:rsid w:val="005045E2"/>
    <w:rsid w:val="0050519C"/>
    <w:rsid w:val="005061C5"/>
    <w:rsid w:val="00506F33"/>
    <w:rsid w:val="00512800"/>
    <w:rsid w:val="00513635"/>
    <w:rsid w:val="00513C0D"/>
    <w:rsid w:val="00514C9E"/>
    <w:rsid w:val="0051571D"/>
    <w:rsid w:val="00516153"/>
    <w:rsid w:val="0051772E"/>
    <w:rsid w:val="00517F0C"/>
    <w:rsid w:val="005220C9"/>
    <w:rsid w:val="00522696"/>
    <w:rsid w:val="005234D1"/>
    <w:rsid w:val="00523D72"/>
    <w:rsid w:val="005249BD"/>
    <w:rsid w:val="00525ADE"/>
    <w:rsid w:val="0052718C"/>
    <w:rsid w:val="005300AA"/>
    <w:rsid w:val="005301EC"/>
    <w:rsid w:val="0053055B"/>
    <w:rsid w:val="00531824"/>
    <w:rsid w:val="00532592"/>
    <w:rsid w:val="00533441"/>
    <w:rsid w:val="005344B1"/>
    <w:rsid w:val="00534BBE"/>
    <w:rsid w:val="005368B2"/>
    <w:rsid w:val="0053701D"/>
    <w:rsid w:val="00537AA0"/>
    <w:rsid w:val="00541098"/>
    <w:rsid w:val="005412B8"/>
    <w:rsid w:val="00541596"/>
    <w:rsid w:val="0054314D"/>
    <w:rsid w:val="00543714"/>
    <w:rsid w:val="00543BA1"/>
    <w:rsid w:val="00544430"/>
    <w:rsid w:val="00544F69"/>
    <w:rsid w:val="00544FAA"/>
    <w:rsid w:val="005456F5"/>
    <w:rsid w:val="00545FB7"/>
    <w:rsid w:val="005475BF"/>
    <w:rsid w:val="005506FB"/>
    <w:rsid w:val="005533C6"/>
    <w:rsid w:val="00554B79"/>
    <w:rsid w:val="00554D83"/>
    <w:rsid w:val="00555513"/>
    <w:rsid w:val="00556D55"/>
    <w:rsid w:val="005600EA"/>
    <w:rsid w:val="00561320"/>
    <w:rsid w:val="0056164A"/>
    <w:rsid w:val="005620B7"/>
    <w:rsid w:val="00562529"/>
    <w:rsid w:val="00562C94"/>
    <w:rsid w:val="00563C67"/>
    <w:rsid w:val="005649B3"/>
    <w:rsid w:val="00565A50"/>
    <w:rsid w:val="00567EE5"/>
    <w:rsid w:val="00571EA2"/>
    <w:rsid w:val="00573D58"/>
    <w:rsid w:val="00574B7E"/>
    <w:rsid w:val="00574E47"/>
    <w:rsid w:val="00577010"/>
    <w:rsid w:val="005774A0"/>
    <w:rsid w:val="0058102E"/>
    <w:rsid w:val="00582445"/>
    <w:rsid w:val="00583DED"/>
    <w:rsid w:val="00584062"/>
    <w:rsid w:val="00585819"/>
    <w:rsid w:val="005865CC"/>
    <w:rsid w:val="005876C1"/>
    <w:rsid w:val="005905A4"/>
    <w:rsid w:val="00590ED8"/>
    <w:rsid w:val="00591576"/>
    <w:rsid w:val="00591C64"/>
    <w:rsid w:val="00592011"/>
    <w:rsid w:val="0059211F"/>
    <w:rsid w:val="00593D34"/>
    <w:rsid w:val="005962E6"/>
    <w:rsid w:val="00596D87"/>
    <w:rsid w:val="005972BC"/>
    <w:rsid w:val="00597808"/>
    <w:rsid w:val="005A016A"/>
    <w:rsid w:val="005A0C2E"/>
    <w:rsid w:val="005A3570"/>
    <w:rsid w:val="005A38FA"/>
    <w:rsid w:val="005A3941"/>
    <w:rsid w:val="005A6B13"/>
    <w:rsid w:val="005B0348"/>
    <w:rsid w:val="005B05B6"/>
    <w:rsid w:val="005B1D93"/>
    <w:rsid w:val="005B2438"/>
    <w:rsid w:val="005B3474"/>
    <w:rsid w:val="005B427B"/>
    <w:rsid w:val="005B4898"/>
    <w:rsid w:val="005B4F81"/>
    <w:rsid w:val="005C0280"/>
    <w:rsid w:val="005C093D"/>
    <w:rsid w:val="005C113A"/>
    <w:rsid w:val="005C13A2"/>
    <w:rsid w:val="005C31A9"/>
    <w:rsid w:val="005C3A77"/>
    <w:rsid w:val="005C4480"/>
    <w:rsid w:val="005C5C52"/>
    <w:rsid w:val="005C68EC"/>
    <w:rsid w:val="005C721F"/>
    <w:rsid w:val="005C72E4"/>
    <w:rsid w:val="005C7A5B"/>
    <w:rsid w:val="005D12F3"/>
    <w:rsid w:val="005D2FA8"/>
    <w:rsid w:val="005D35AD"/>
    <w:rsid w:val="005D4E99"/>
    <w:rsid w:val="005D790C"/>
    <w:rsid w:val="005D7AD8"/>
    <w:rsid w:val="005E08EE"/>
    <w:rsid w:val="005E0E85"/>
    <w:rsid w:val="005E2E2D"/>
    <w:rsid w:val="005E3462"/>
    <w:rsid w:val="005E4D6E"/>
    <w:rsid w:val="005E5074"/>
    <w:rsid w:val="005E5DA8"/>
    <w:rsid w:val="005E7692"/>
    <w:rsid w:val="005F1185"/>
    <w:rsid w:val="005F32C8"/>
    <w:rsid w:val="005F3A5C"/>
    <w:rsid w:val="005F43EF"/>
    <w:rsid w:val="005F473A"/>
    <w:rsid w:val="005F477C"/>
    <w:rsid w:val="005F4B5E"/>
    <w:rsid w:val="005F6328"/>
    <w:rsid w:val="00604538"/>
    <w:rsid w:val="00605743"/>
    <w:rsid w:val="00606634"/>
    <w:rsid w:val="00606B0A"/>
    <w:rsid w:val="00606ED2"/>
    <w:rsid w:val="00607C37"/>
    <w:rsid w:val="00610775"/>
    <w:rsid w:val="00610A47"/>
    <w:rsid w:val="006118DC"/>
    <w:rsid w:val="006119FB"/>
    <w:rsid w:val="00612002"/>
    <w:rsid w:val="0061320B"/>
    <w:rsid w:val="0061385B"/>
    <w:rsid w:val="00615473"/>
    <w:rsid w:val="006158EA"/>
    <w:rsid w:val="006165C4"/>
    <w:rsid w:val="006206BC"/>
    <w:rsid w:val="006220F3"/>
    <w:rsid w:val="006224CB"/>
    <w:rsid w:val="00623FFB"/>
    <w:rsid w:val="006240FB"/>
    <w:rsid w:val="00625149"/>
    <w:rsid w:val="006260E6"/>
    <w:rsid w:val="0063108B"/>
    <w:rsid w:val="00631DF5"/>
    <w:rsid w:val="00632BAB"/>
    <w:rsid w:val="006344BA"/>
    <w:rsid w:val="0063472A"/>
    <w:rsid w:val="006351C7"/>
    <w:rsid w:val="00635A90"/>
    <w:rsid w:val="00636B30"/>
    <w:rsid w:val="00637CFD"/>
    <w:rsid w:val="006403D5"/>
    <w:rsid w:val="00642034"/>
    <w:rsid w:val="00643854"/>
    <w:rsid w:val="00646500"/>
    <w:rsid w:val="00646942"/>
    <w:rsid w:val="00650D76"/>
    <w:rsid w:val="006514A5"/>
    <w:rsid w:val="0065318E"/>
    <w:rsid w:val="00656670"/>
    <w:rsid w:val="00660508"/>
    <w:rsid w:val="006627CA"/>
    <w:rsid w:val="00662D9C"/>
    <w:rsid w:val="00662FB1"/>
    <w:rsid w:val="00664EBB"/>
    <w:rsid w:val="00664F0B"/>
    <w:rsid w:val="006651A8"/>
    <w:rsid w:val="00665A02"/>
    <w:rsid w:val="00665DB5"/>
    <w:rsid w:val="00670943"/>
    <w:rsid w:val="006709D2"/>
    <w:rsid w:val="00670E66"/>
    <w:rsid w:val="006711BF"/>
    <w:rsid w:val="00672C00"/>
    <w:rsid w:val="006743AF"/>
    <w:rsid w:val="00675BCE"/>
    <w:rsid w:val="00675EBE"/>
    <w:rsid w:val="006809B4"/>
    <w:rsid w:val="0068157C"/>
    <w:rsid w:val="00683F3C"/>
    <w:rsid w:val="006846B3"/>
    <w:rsid w:val="006856D6"/>
    <w:rsid w:val="00687716"/>
    <w:rsid w:val="00687AC3"/>
    <w:rsid w:val="00696CA3"/>
    <w:rsid w:val="006977AF"/>
    <w:rsid w:val="00697E74"/>
    <w:rsid w:val="006A0324"/>
    <w:rsid w:val="006A054A"/>
    <w:rsid w:val="006A11E8"/>
    <w:rsid w:val="006A2CFD"/>
    <w:rsid w:val="006A2E9E"/>
    <w:rsid w:val="006A3959"/>
    <w:rsid w:val="006A40D8"/>
    <w:rsid w:val="006A5AEB"/>
    <w:rsid w:val="006A5BDF"/>
    <w:rsid w:val="006A60B7"/>
    <w:rsid w:val="006B00F5"/>
    <w:rsid w:val="006B083C"/>
    <w:rsid w:val="006B0CBF"/>
    <w:rsid w:val="006B10D4"/>
    <w:rsid w:val="006B111E"/>
    <w:rsid w:val="006B193E"/>
    <w:rsid w:val="006B2C6A"/>
    <w:rsid w:val="006B358A"/>
    <w:rsid w:val="006B3E6D"/>
    <w:rsid w:val="006B6005"/>
    <w:rsid w:val="006B7EB2"/>
    <w:rsid w:val="006C3090"/>
    <w:rsid w:val="006C4F0D"/>
    <w:rsid w:val="006C4F39"/>
    <w:rsid w:val="006C6A8C"/>
    <w:rsid w:val="006D05DA"/>
    <w:rsid w:val="006D0871"/>
    <w:rsid w:val="006D31B2"/>
    <w:rsid w:val="006D4218"/>
    <w:rsid w:val="006D4AFF"/>
    <w:rsid w:val="006D4CE5"/>
    <w:rsid w:val="006D53FC"/>
    <w:rsid w:val="006E1B6D"/>
    <w:rsid w:val="006E3D8D"/>
    <w:rsid w:val="006E487A"/>
    <w:rsid w:val="006E4E9C"/>
    <w:rsid w:val="006E57B7"/>
    <w:rsid w:val="006E5C26"/>
    <w:rsid w:val="006F0263"/>
    <w:rsid w:val="006F1E3F"/>
    <w:rsid w:val="006F2111"/>
    <w:rsid w:val="006F3D01"/>
    <w:rsid w:val="006F43B3"/>
    <w:rsid w:val="006F62D6"/>
    <w:rsid w:val="006F6A00"/>
    <w:rsid w:val="006F7329"/>
    <w:rsid w:val="0070030C"/>
    <w:rsid w:val="0070235D"/>
    <w:rsid w:val="00702461"/>
    <w:rsid w:val="007045A5"/>
    <w:rsid w:val="00704A89"/>
    <w:rsid w:val="00704E49"/>
    <w:rsid w:val="00706D5D"/>
    <w:rsid w:val="0071184F"/>
    <w:rsid w:val="00712A81"/>
    <w:rsid w:val="00714338"/>
    <w:rsid w:val="0071433C"/>
    <w:rsid w:val="00714891"/>
    <w:rsid w:val="007236E7"/>
    <w:rsid w:val="007260B4"/>
    <w:rsid w:val="00727DC1"/>
    <w:rsid w:val="0073018A"/>
    <w:rsid w:val="00730E8D"/>
    <w:rsid w:val="00731273"/>
    <w:rsid w:val="00731AA8"/>
    <w:rsid w:val="00732851"/>
    <w:rsid w:val="0073327A"/>
    <w:rsid w:val="00735DB7"/>
    <w:rsid w:val="00735F33"/>
    <w:rsid w:val="007364AF"/>
    <w:rsid w:val="00737DF9"/>
    <w:rsid w:val="007409F8"/>
    <w:rsid w:val="007420FC"/>
    <w:rsid w:val="007422D3"/>
    <w:rsid w:val="007431A1"/>
    <w:rsid w:val="007444F3"/>
    <w:rsid w:val="00745D34"/>
    <w:rsid w:val="0074629C"/>
    <w:rsid w:val="00746E96"/>
    <w:rsid w:val="00747369"/>
    <w:rsid w:val="00747763"/>
    <w:rsid w:val="00747BEF"/>
    <w:rsid w:val="00747E7B"/>
    <w:rsid w:val="00750E6C"/>
    <w:rsid w:val="007514D0"/>
    <w:rsid w:val="00751E8B"/>
    <w:rsid w:val="00753B72"/>
    <w:rsid w:val="00753C90"/>
    <w:rsid w:val="007558A3"/>
    <w:rsid w:val="00756E2A"/>
    <w:rsid w:val="00757187"/>
    <w:rsid w:val="00757CD2"/>
    <w:rsid w:val="00760E64"/>
    <w:rsid w:val="00761946"/>
    <w:rsid w:val="00761B9C"/>
    <w:rsid w:val="007622D6"/>
    <w:rsid w:val="00762B60"/>
    <w:rsid w:val="007648D4"/>
    <w:rsid w:val="00764C0A"/>
    <w:rsid w:val="0076619C"/>
    <w:rsid w:val="00766711"/>
    <w:rsid w:val="0076700A"/>
    <w:rsid w:val="007701AE"/>
    <w:rsid w:val="00770835"/>
    <w:rsid w:val="00770A47"/>
    <w:rsid w:val="00771AF4"/>
    <w:rsid w:val="00772006"/>
    <w:rsid w:val="00772B0B"/>
    <w:rsid w:val="0077315D"/>
    <w:rsid w:val="0077321D"/>
    <w:rsid w:val="00773F45"/>
    <w:rsid w:val="0077421B"/>
    <w:rsid w:val="00780870"/>
    <w:rsid w:val="00781378"/>
    <w:rsid w:val="00783A72"/>
    <w:rsid w:val="00785FBA"/>
    <w:rsid w:val="00786D8B"/>
    <w:rsid w:val="00790646"/>
    <w:rsid w:val="007915DA"/>
    <w:rsid w:val="0079227F"/>
    <w:rsid w:val="007927F1"/>
    <w:rsid w:val="00792DFC"/>
    <w:rsid w:val="00794AB7"/>
    <w:rsid w:val="00796E4F"/>
    <w:rsid w:val="007A0938"/>
    <w:rsid w:val="007A2F15"/>
    <w:rsid w:val="007A371A"/>
    <w:rsid w:val="007A427C"/>
    <w:rsid w:val="007B0CEF"/>
    <w:rsid w:val="007B185D"/>
    <w:rsid w:val="007B3A81"/>
    <w:rsid w:val="007B65C1"/>
    <w:rsid w:val="007B7DC5"/>
    <w:rsid w:val="007C02F9"/>
    <w:rsid w:val="007C31F5"/>
    <w:rsid w:val="007C503A"/>
    <w:rsid w:val="007C51E2"/>
    <w:rsid w:val="007C6DE8"/>
    <w:rsid w:val="007D2380"/>
    <w:rsid w:val="007D25CF"/>
    <w:rsid w:val="007D2AC2"/>
    <w:rsid w:val="007D2D3B"/>
    <w:rsid w:val="007D4133"/>
    <w:rsid w:val="007D681C"/>
    <w:rsid w:val="007D69F0"/>
    <w:rsid w:val="007D71E1"/>
    <w:rsid w:val="007E034E"/>
    <w:rsid w:val="007E054A"/>
    <w:rsid w:val="007E06A6"/>
    <w:rsid w:val="007E0B59"/>
    <w:rsid w:val="007E17CC"/>
    <w:rsid w:val="007E2479"/>
    <w:rsid w:val="007E2817"/>
    <w:rsid w:val="007E3638"/>
    <w:rsid w:val="007E475E"/>
    <w:rsid w:val="007E4795"/>
    <w:rsid w:val="007E6CC2"/>
    <w:rsid w:val="007F1C55"/>
    <w:rsid w:val="007F1DB1"/>
    <w:rsid w:val="007F3BB5"/>
    <w:rsid w:val="007F6931"/>
    <w:rsid w:val="007F698D"/>
    <w:rsid w:val="007F789F"/>
    <w:rsid w:val="007F7EA8"/>
    <w:rsid w:val="00801043"/>
    <w:rsid w:val="008021F4"/>
    <w:rsid w:val="008038D9"/>
    <w:rsid w:val="00806E3F"/>
    <w:rsid w:val="00810137"/>
    <w:rsid w:val="00810A8A"/>
    <w:rsid w:val="00813A5B"/>
    <w:rsid w:val="00813C3D"/>
    <w:rsid w:val="008143B7"/>
    <w:rsid w:val="00814532"/>
    <w:rsid w:val="0081474C"/>
    <w:rsid w:val="00815097"/>
    <w:rsid w:val="0081608D"/>
    <w:rsid w:val="00816205"/>
    <w:rsid w:val="00822827"/>
    <w:rsid w:val="00823209"/>
    <w:rsid w:val="008234EF"/>
    <w:rsid w:val="008251F4"/>
    <w:rsid w:val="00825453"/>
    <w:rsid w:val="00825C53"/>
    <w:rsid w:val="008319DC"/>
    <w:rsid w:val="008320BC"/>
    <w:rsid w:val="00833138"/>
    <w:rsid w:val="0083373B"/>
    <w:rsid w:val="00833C11"/>
    <w:rsid w:val="008366FB"/>
    <w:rsid w:val="00836F06"/>
    <w:rsid w:val="00840408"/>
    <w:rsid w:val="00840C81"/>
    <w:rsid w:val="00840D9E"/>
    <w:rsid w:val="0084233E"/>
    <w:rsid w:val="00842DF5"/>
    <w:rsid w:val="008448FF"/>
    <w:rsid w:val="00844A18"/>
    <w:rsid w:val="00845238"/>
    <w:rsid w:val="00846272"/>
    <w:rsid w:val="00846828"/>
    <w:rsid w:val="008503B2"/>
    <w:rsid w:val="008503F9"/>
    <w:rsid w:val="008513F5"/>
    <w:rsid w:val="00851C18"/>
    <w:rsid w:val="008524B5"/>
    <w:rsid w:val="0085252B"/>
    <w:rsid w:val="00853127"/>
    <w:rsid w:val="00853A46"/>
    <w:rsid w:val="00853C55"/>
    <w:rsid w:val="00856AD3"/>
    <w:rsid w:val="00857725"/>
    <w:rsid w:val="00861C17"/>
    <w:rsid w:val="008620AB"/>
    <w:rsid w:val="00863140"/>
    <w:rsid w:val="008632D8"/>
    <w:rsid w:val="0086408E"/>
    <w:rsid w:val="00864378"/>
    <w:rsid w:val="00865CD1"/>
    <w:rsid w:val="008661C4"/>
    <w:rsid w:val="0086624B"/>
    <w:rsid w:val="008663D3"/>
    <w:rsid w:val="008679FD"/>
    <w:rsid w:val="00872527"/>
    <w:rsid w:val="00872BFD"/>
    <w:rsid w:val="00874015"/>
    <w:rsid w:val="0087414B"/>
    <w:rsid w:val="008745BC"/>
    <w:rsid w:val="00875C11"/>
    <w:rsid w:val="008818E0"/>
    <w:rsid w:val="00881AD7"/>
    <w:rsid w:val="0088335C"/>
    <w:rsid w:val="00883533"/>
    <w:rsid w:val="008836C3"/>
    <w:rsid w:val="008836CD"/>
    <w:rsid w:val="008841EC"/>
    <w:rsid w:val="008864A9"/>
    <w:rsid w:val="00886C7F"/>
    <w:rsid w:val="00886F9A"/>
    <w:rsid w:val="0089125A"/>
    <w:rsid w:val="00892F15"/>
    <w:rsid w:val="00892FDF"/>
    <w:rsid w:val="00893AF9"/>
    <w:rsid w:val="00893DA5"/>
    <w:rsid w:val="008950E1"/>
    <w:rsid w:val="00895A34"/>
    <w:rsid w:val="008967F5"/>
    <w:rsid w:val="00896B77"/>
    <w:rsid w:val="00896D34"/>
    <w:rsid w:val="00897FE8"/>
    <w:rsid w:val="008A12DA"/>
    <w:rsid w:val="008A3E0C"/>
    <w:rsid w:val="008A407A"/>
    <w:rsid w:val="008A4E23"/>
    <w:rsid w:val="008A52B2"/>
    <w:rsid w:val="008A73B5"/>
    <w:rsid w:val="008B08FB"/>
    <w:rsid w:val="008B1AA3"/>
    <w:rsid w:val="008B465C"/>
    <w:rsid w:val="008B56A1"/>
    <w:rsid w:val="008B7477"/>
    <w:rsid w:val="008C24DD"/>
    <w:rsid w:val="008C3AA4"/>
    <w:rsid w:val="008C62FD"/>
    <w:rsid w:val="008C6B6C"/>
    <w:rsid w:val="008C6DE2"/>
    <w:rsid w:val="008D0566"/>
    <w:rsid w:val="008D1F55"/>
    <w:rsid w:val="008D2BB2"/>
    <w:rsid w:val="008D45A7"/>
    <w:rsid w:val="008D4A75"/>
    <w:rsid w:val="008D4F80"/>
    <w:rsid w:val="008D5CCB"/>
    <w:rsid w:val="008E2017"/>
    <w:rsid w:val="008E2CDF"/>
    <w:rsid w:val="008E2DB4"/>
    <w:rsid w:val="008E4993"/>
    <w:rsid w:val="008E4CDF"/>
    <w:rsid w:val="008E6484"/>
    <w:rsid w:val="008E7D66"/>
    <w:rsid w:val="008F043B"/>
    <w:rsid w:val="008F0F3C"/>
    <w:rsid w:val="008F2465"/>
    <w:rsid w:val="008F2FE5"/>
    <w:rsid w:val="008F3425"/>
    <w:rsid w:val="008F5A14"/>
    <w:rsid w:val="008F5A24"/>
    <w:rsid w:val="008F5E09"/>
    <w:rsid w:val="008F5EF2"/>
    <w:rsid w:val="008F5F64"/>
    <w:rsid w:val="008F6AF9"/>
    <w:rsid w:val="008F7A53"/>
    <w:rsid w:val="0090094B"/>
    <w:rsid w:val="0090550B"/>
    <w:rsid w:val="00905FAD"/>
    <w:rsid w:val="00906E20"/>
    <w:rsid w:val="00907C90"/>
    <w:rsid w:val="00910CDB"/>
    <w:rsid w:val="00911725"/>
    <w:rsid w:val="009131C0"/>
    <w:rsid w:val="00913B71"/>
    <w:rsid w:val="00915911"/>
    <w:rsid w:val="00916998"/>
    <w:rsid w:val="00916DC5"/>
    <w:rsid w:val="00921096"/>
    <w:rsid w:val="00922626"/>
    <w:rsid w:val="00923BD2"/>
    <w:rsid w:val="00923F38"/>
    <w:rsid w:val="00923F63"/>
    <w:rsid w:val="009241C2"/>
    <w:rsid w:val="00924F47"/>
    <w:rsid w:val="009265D5"/>
    <w:rsid w:val="00927BD7"/>
    <w:rsid w:val="00932D01"/>
    <w:rsid w:val="009351FA"/>
    <w:rsid w:val="00936AB0"/>
    <w:rsid w:val="00937571"/>
    <w:rsid w:val="009375F5"/>
    <w:rsid w:val="0094081F"/>
    <w:rsid w:val="00942532"/>
    <w:rsid w:val="009425FA"/>
    <w:rsid w:val="00943972"/>
    <w:rsid w:val="0094459D"/>
    <w:rsid w:val="00945805"/>
    <w:rsid w:val="0094621C"/>
    <w:rsid w:val="00946CD3"/>
    <w:rsid w:val="00950BB2"/>
    <w:rsid w:val="009513CC"/>
    <w:rsid w:val="009519A2"/>
    <w:rsid w:val="00951F3D"/>
    <w:rsid w:val="009530A9"/>
    <w:rsid w:val="00953741"/>
    <w:rsid w:val="00953762"/>
    <w:rsid w:val="0095423B"/>
    <w:rsid w:val="00955336"/>
    <w:rsid w:val="009567FC"/>
    <w:rsid w:val="00957441"/>
    <w:rsid w:val="00957EA6"/>
    <w:rsid w:val="00961020"/>
    <w:rsid w:val="009619CF"/>
    <w:rsid w:val="00961C93"/>
    <w:rsid w:val="009622CF"/>
    <w:rsid w:val="009639F7"/>
    <w:rsid w:val="00963EB0"/>
    <w:rsid w:val="00964525"/>
    <w:rsid w:val="0096684E"/>
    <w:rsid w:val="00966FB5"/>
    <w:rsid w:val="00970324"/>
    <w:rsid w:val="00970837"/>
    <w:rsid w:val="00970B81"/>
    <w:rsid w:val="00971DFA"/>
    <w:rsid w:val="0097300B"/>
    <w:rsid w:val="009739AD"/>
    <w:rsid w:val="0097419D"/>
    <w:rsid w:val="009768EC"/>
    <w:rsid w:val="00976EE8"/>
    <w:rsid w:val="00976F9F"/>
    <w:rsid w:val="00977C3B"/>
    <w:rsid w:val="00977F8B"/>
    <w:rsid w:val="009804EC"/>
    <w:rsid w:val="00980D35"/>
    <w:rsid w:val="009856E9"/>
    <w:rsid w:val="009860EC"/>
    <w:rsid w:val="00986B35"/>
    <w:rsid w:val="0098767B"/>
    <w:rsid w:val="009878A6"/>
    <w:rsid w:val="00987FD7"/>
    <w:rsid w:val="0099053D"/>
    <w:rsid w:val="009910BB"/>
    <w:rsid w:val="009929CD"/>
    <w:rsid w:val="00992AE6"/>
    <w:rsid w:val="00993262"/>
    <w:rsid w:val="0099443F"/>
    <w:rsid w:val="00995FE0"/>
    <w:rsid w:val="00997717"/>
    <w:rsid w:val="009A06C4"/>
    <w:rsid w:val="009A10E3"/>
    <w:rsid w:val="009A1BCE"/>
    <w:rsid w:val="009A1D5D"/>
    <w:rsid w:val="009A2674"/>
    <w:rsid w:val="009A2FF5"/>
    <w:rsid w:val="009A4D76"/>
    <w:rsid w:val="009A4E59"/>
    <w:rsid w:val="009A50C2"/>
    <w:rsid w:val="009A600D"/>
    <w:rsid w:val="009A65B9"/>
    <w:rsid w:val="009B0F7D"/>
    <w:rsid w:val="009B110F"/>
    <w:rsid w:val="009B1396"/>
    <w:rsid w:val="009B1D9D"/>
    <w:rsid w:val="009B4E40"/>
    <w:rsid w:val="009B5A1F"/>
    <w:rsid w:val="009B6074"/>
    <w:rsid w:val="009B68E9"/>
    <w:rsid w:val="009B6FD3"/>
    <w:rsid w:val="009B75CC"/>
    <w:rsid w:val="009C0128"/>
    <w:rsid w:val="009C0DAC"/>
    <w:rsid w:val="009C11F0"/>
    <w:rsid w:val="009C223B"/>
    <w:rsid w:val="009C286B"/>
    <w:rsid w:val="009C3D39"/>
    <w:rsid w:val="009C53A0"/>
    <w:rsid w:val="009C5F13"/>
    <w:rsid w:val="009C6020"/>
    <w:rsid w:val="009C7CE5"/>
    <w:rsid w:val="009D0177"/>
    <w:rsid w:val="009D0B74"/>
    <w:rsid w:val="009D4473"/>
    <w:rsid w:val="009D5407"/>
    <w:rsid w:val="009D5E12"/>
    <w:rsid w:val="009D6D4B"/>
    <w:rsid w:val="009D769E"/>
    <w:rsid w:val="009D7BD7"/>
    <w:rsid w:val="009E0F47"/>
    <w:rsid w:val="009E1554"/>
    <w:rsid w:val="009E2F48"/>
    <w:rsid w:val="009E3BBA"/>
    <w:rsid w:val="009E48D7"/>
    <w:rsid w:val="009E4AAF"/>
    <w:rsid w:val="009E4FDF"/>
    <w:rsid w:val="009E53AA"/>
    <w:rsid w:val="009E5835"/>
    <w:rsid w:val="009E5912"/>
    <w:rsid w:val="009E6240"/>
    <w:rsid w:val="009E6AF5"/>
    <w:rsid w:val="009E6E2B"/>
    <w:rsid w:val="009F0218"/>
    <w:rsid w:val="009F0317"/>
    <w:rsid w:val="009F0E10"/>
    <w:rsid w:val="009F1C86"/>
    <w:rsid w:val="009F2937"/>
    <w:rsid w:val="009F4FE4"/>
    <w:rsid w:val="009F53BD"/>
    <w:rsid w:val="009F6FFD"/>
    <w:rsid w:val="009F7867"/>
    <w:rsid w:val="009F7975"/>
    <w:rsid w:val="00A0011F"/>
    <w:rsid w:val="00A004D1"/>
    <w:rsid w:val="00A02B27"/>
    <w:rsid w:val="00A03141"/>
    <w:rsid w:val="00A03C37"/>
    <w:rsid w:val="00A04B3A"/>
    <w:rsid w:val="00A05002"/>
    <w:rsid w:val="00A05577"/>
    <w:rsid w:val="00A05DE5"/>
    <w:rsid w:val="00A06418"/>
    <w:rsid w:val="00A064E5"/>
    <w:rsid w:val="00A06F32"/>
    <w:rsid w:val="00A0712C"/>
    <w:rsid w:val="00A1031E"/>
    <w:rsid w:val="00A1057B"/>
    <w:rsid w:val="00A10A19"/>
    <w:rsid w:val="00A11067"/>
    <w:rsid w:val="00A1128A"/>
    <w:rsid w:val="00A143AA"/>
    <w:rsid w:val="00A14857"/>
    <w:rsid w:val="00A1512C"/>
    <w:rsid w:val="00A16892"/>
    <w:rsid w:val="00A17847"/>
    <w:rsid w:val="00A17B08"/>
    <w:rsid w:val="00A201EB"/>
    <w:rsid w:val="00A20F1A"/>
    <w:rsid w:val="00A21271"/>
    <w:rsid w:val="00A21692"/>
    <w:rsid w:val="00A21B8B"/>
    <w:rsid w:val="00A221E2"/>
    <w:rsid w:val="00A22301"/>
    <w:rsid w:val="00A22C95"/>
    <w:rsid w:val="00A24F24"/>
    <w:rsid w:val="00A25826"/>
    <w:rsid w:val="00A25EC9"/>
    <w:rsid w:val="00A26C9E"/>
    <w:rsid w:val="00A30E9C"/>
    <w:rsid w:val="00A310A9"/>
    <w:rsid w:val="00A31366"/>
    <w:rsid w:val="00A34D7B"/>
    <w:rsid w:val="00A35B0C"/>
    <w:rsid w:val="00A35D17"/>
    <w:rsid w:val="00A36C87"/>
    <w:rsid w:val="00A37681"/>
    <w:rsid w:val="00A40A43"/>
    <w:rsid w:val="00A41B48"/>
    <w:rsid w:val="00A43F30"/>
    <w:rsid w:val="00A44083"/>
    <w:rsid w:val="00A45309"/>
    <w:rsid w:val="00A454C9"/>
    <w:rsid w:val="00A4585D"/>
    <w:rsid w:val="00A46BB9"/>
    <w:rsid w:val="00A46C47"/>
    <w:rsid w:val="00A47382"/>
    <w:rsid w:val="00A50456"/>
    <w:rsid w:val="00A566F2"/>
    <w:rsid w:val="00A570EC"/>
    <w:rsid w:val="00A61EB5"/>
    <w:rsid w:val="00A62A4F"/>
    <w:rsid w:val="00A62D39"/>
    <w:rsid w:val="00A6362F"/>
    <w:rsid w:val="00A63657"/>
    <w:rsid w:val="00A638BB"/>
    <w:rsid w:val="00A643EC"/>
    <w:rsid w:val="00A64C1F"/>
    <w:rsid w:val="00A6760D"/>
    <w:rsid w:val="00A7074A"/>
    <w:rsid w:val="00A708A6"/>
    <w:rsid w:val="00A7394C"/>
    <w:rsid w:val="00A74E4B"/>
    <w:rsid w:val="00A75290"/>
    <w:rsid w:val="00A75A95"/>
    <w:rsid w:val="00A77323"/>
    <w:rsid w:val="00A80358"/>
    <w:rsid w:val="00A8093B"/>
    <w:rsid w:val="00A812AF"/>
    <w:rsid w:val="00A81524"/>
    <w:rsid w:val="00A82708"/>
    <w:rsid w:val="00A82967"/>
    <w:rsid w:val="00A83746"/>
    <w:rsid w:val="00A840BD"/>
    <w:rsid w:val="00A8448D"/>
    <w:rsid w:val="00A8537B"/>
    <w:rsid w:val="00A85BCD"/>
    <w:rsid w:val="00A868EA"/>
    <w:rsid w:val="00A87C9D"/>
    <w:rsid w:val="00A92105"/>
    <w:rsid w:val="00A94965"/>
    <w:rsid w:val="00A94E43"/>
    <w:rsid w:val="00A954C2"/>
    <w:rsid w:val="00A956C9"/>
    <w:rsid w:val="00A97589"/>
    <w:rsid w:val="00A97F39"/>
    <w:rsid w:val="00AA28AF"/>
    <w:rsid w:val="00AA4EBA"/>
    <w:rsid w:val="00AA536B"/>
    <w:rsid w:val="00AA57C2"/>
    <w:rsid w:val="00AB0D97"/>
    <w:rsid w:val="00AB10DC"/>
    <w:rsid w:val="00AB1C83"/>
    <w:rsid w:val="00AB20F6"/>
    <w:rsid w:val="00AB39E3"/>
    <w:rsid w:val="00AB3B48"/>
    <w:rsid w:val="00AB4103"/>
    <w:rsid w:val="00AB4B7D"/>
    <w:rsid w:val="00AB69C0"/>
    <w:rsid w:val="00AC001D"/>
    <w:rsid w:val="00AC016A"/>
    <w:rsid w:val="00AC0472"/>
    <w:rsid w:val="00AC0AA9"/>
    <w:rsid w:val="00AC282B"/>
    <w:rsid w:val="00AC378A"/>
    <w:rsid w:val="00AC3DD3"/>
    <w:rsid w:val="00AC6AC6"/>
    <w:rsid w:val="00AC7781"/>
    <w:rsid w:val="00AC77C9"/>
    <w:rsid w:val="00AD1CAB"/>
    <w:rsid w:val="00AD2067"/>
    <w:rsid w:val="00AD2EC7"/>
    <w:rsid w:val="00AD310D"/>
    <w:rsid w:val="00AD5579"/>
    <w:rsid w:val="00AD591D"/>
    <w:rsid w:val="00AD6154"/>
    <w:rsid w:val="00AD6623"/>
    <w:rsid w:val="00AD72B2"/>
    <w:rsid w:val="00AD7877"/>
    <w:rsid w:val="00AE1DD3"/>
    <w:rsid w:val="00AE2F22"/>
    <w:rsid w:val="00AE3E63"/>
    <w:rsid w:val="00AE46E8"/>
    <w:rsid w:val="00AE4759"/>
    <w:rsid w:val="00AE4E64"/>
    <w:rsid w:val="00AE4FAA"/>
    <w:rsid w:val="00AF0A5C"/>
    <w:rsid w:val="00AF2BB3"/>
    <w:rsid w:val="00AF2DC6"/>
    <w:rsid w:val="00AF5850"/>
    <w:rsid w:val="00AF590E"/>
    <w:rsid w:val="00AF5967"/>
    <w:rsid w:val="00AF65F9"/>
    <w:rsid w:val="00AF6DAE"/>
    <w:rsid w:val="00B007C9"/>
    <w:rsid w:val="00B02739"/>
    <w:rsid w:val="00B02EFB"/>
    <w:rsid w:val="00B032B9"/>
    <w:rsid w:val="00B03FC7"/>
    <w:rsid w:val="00B06257"/>
    <w:rsid w:val="00B07690"/>
    <w:rsid w:val="00B101A4"/>
    <w:rsid w:val="00B10358"/>
    <w:rsid w:val="00B10576"/>
    <w:rsid w:val="00B12017"/>
    <w:rsid w:val="00B14013"/>
    <w:rsid w:val="00B20079"/>
    <w:rsid w:val="00B2145B"/>
    <w:rsid w:val="00B2284E"/>
    <w:rsid w:val="00B241B8"/>
    <w:rsid w:val="00B244F8"/>
    <w:rsid w:val="00B25266"/>
    <w:rsid w:val="00B2723D"/>
    <w:rsid w:val="00B33C98"/>
    <w:rsid w:val="00B3649B"/>
    <w:rsid w:val="00B37D24"/>
    <w:rsid w:val="00B41B64"/>
    <w:rsid w:val="00B42D5E"/>
    <w:rsid w:val="00B44ADF"/>
    <w:rsid w:val="00B46135"/>
    <w:rsid w:val="00B461C6"/>
    <w:rsid w:val="00B569BD"/>
    <w:rsid w:val="00B6087B"/>
    <w:rsid w:val="00B60CE2"/>
    <w:rsid w:val="00B6123C"/>
    <w:rsid w:val="00B6394F"/>
    <w:rsid w:val="00B650FE"/>
    <w:rsid w:val="00B655BD"/>
    <w:rsid w:val="00B65B19"/>
    <w:rsid w:val="00B678E8"/>
    <w:rsid w:val="00B67D51"/>
    <w:rsid w:val="00B70639"/>
    <w:rsid w:val="00B70814"/>
    <w:rsid w:val="00B7139D"/>
    <w:rsid w:val="00B723C5"/>
    <w:rsid w:val="00B724DC"/>
    <w:rsid w:val="00B7268A"/>
    <w:rsid w:val="00B7399D"/>
    <w:rsid w:val="00B740DB"/>
    <w:rsid w:val="00B75A68"/>
    <w:rsid w:val="00B80D54"/>
    <w:rsid w:val="00B813A3"/>
    <w:rsid w:val="00B82D30"/>
    <w:rsid w:val="00B84F2B"/>
    <w:rsid w:val="00B87B60"/>
    <w:rsid w:val="00B87C41"/>
    <w:rsid w:val="00B87EA7"/>
    <w:rsid w:val="00B93BD0"/>
    <w:rsid w:val="00B94ABE"/>
    <w:rsid w:val="00B95613"/>
    <w:rsid w:val="00B95FEF"/>
    <w:rsid w:val="00B96ACB"/>
    <w:rsid w:val="00BA14F0"/>
    <w:rsid w:val="00BA29D5"/>
    <w:rsid w:val="00BA42E3"/>
    <w:rsid w:val="00BA621D"/>
    <w:rsid w:val="00BA674F"/>
    <w:rsid w:val="00BB0BCB"/>
    <w:rsid w:val="00BB1FA1"/>
    <w:rsid w:val="00BB4EDE"/>
    <w:rsid w:val="00BB5144"/>
    <w:rsid w:val="00BB525F"/>
    <w:rsid w:val="00BB573A"/>
    <w:rsid w:val="00BB5EDC"/>
    <w:rsid w:val="00BB769E"/>
    <w:rsid w:val="00BB7E9A"/>
    <w:rsid w:val="00BC383A"/>
    <w:rsid w:val="00BC3899"/>
    <w:rsid w:val="00BC4B03"/>
    <w:rsid w:val="00BC5705"/>
    <w:rsid w:val="00BC6EF4"/>
    <w:rsid w:val="00BC7034"/>
    <w:rsid w:val="00BD0C2B"/>
    <w:rsid w:val="00BD1B8C"/>
    <w:rsid w:val="00BD214B"/>
    <w:rsid w:val="00BD46D2"/>
    <w:rsid w:val="00BD481A"/>
    <w:rsid w:val="00BD4AAF"/>
    <w:rsid w:val="00BD6085"/>
    <w:rsid w:val="00BD7DA9"/>
    <w:rsid w:val="00BE036B"/>
    <w:rsid w:val="00BE099A"/>
    <w:rsid w:val="00BE0EF1"/>
    <w:rsid w:val="00BE1098"/>
    <w:rsid w:val="00BE17AA"/>
    <w:rsid w:val="00BE29FF"/>
    <w:rsid w:val="00BE346A"/>
    <w:rsid w:val="00BE3ECE"/>
    <w:rsid w:val="00BE5E32"/>
    <w:rsid w:val="00BE6955"/>
    <w:rsid w:val="00BF1544"/>
    <w:rsid w:val="00BF183D"/>
    <w:rsid w:val="00BF1E10"/>
    <w:rsid w:val="00BF353E"/>
    <w:rsid w:val="00BF3CAD"/>
    <w:rsid w:val="00BF3E07"/>
    <w:rsid w:val="00BF3EAF"/>
    <w:rsid w:val="00BF5BBE"/>
    <w:rsid w:val="00BF697A"/>
    <w:rsid w:val="00BF72E2"/>
    <w:rsid w:val="00BF794E"/>
    <w:rsid w:val="00BF7AD2"/>
    <w:rsid w:val="00C006A9"/>
    <w:rsid w:val="00C02C4E"/>
    <w:rsid w:val="00C0366C"/>
    <w:rsid w:val="00C05390"/>
    <w:rsid w:val="00C06AFA"/>
    <w:rsid w:val="00C073D7"/>
    <w:rsid w:val="00C07483"/>
    <w:rsid w:val="00C07CA8"/>
    <w:rsid w:val="00C10E8B"/>
    <w:rsid w:val="00C11401"/>
    <w:rsid w:val="00C125D3"/>
    <w:rsid w:val="00C12A84"/>
    <w:rsid w:val="00C12B6D"/>
    <w:rsid w:val="00C132FB"/>
    <w:rsid w:val="00C13D1C"/>
    <w:rsid w:val="00C15451"/>
    <w:rsid w:val="00C16E30"/>
    <w:rsid w:val="00C173CD"/>
    <w:rsid w:val="00C17B6C"/>
    <w:rsid w:val="00C20175"/>
    <w:rsid w:val="00C20498"/>
    <w:rsid w:val="00C207D2"/>
    <w:rsid w:val="00C2117B"/>
    <w:rsid w:val="00C22563"/>
    <w:rsid w:val="00C23048"/>
    <w:rsid w:val="00C23210"/>
    <w:rsid w:val="00C236A9"/>
    <w:rsid w:val="00C23DE1"/>
    <w:rsid w:val="00C26B34"/>
    <w:rsid w:val="00C27F7D"/>
    <w:rsid w:val="00C32A57"/>
    <w:rsid w:val="00C337A7"/>
    <w:rsid w:val="00C34524"/>
    <w:rsid w:val="00C3538B"/>
    <w:rsid w:val="00C3670A"/>
    <w:rsid w:val="00C41395"/>
    <w:rsid w:val="00C44EA7"/>
    <w:rsid w:val="00C454CA"/>
    <w:rsid w:val="00C46697"/>
    <w:rsid w:val="00C4687D"/>
    <w:rsid w:val="00C4794B"/>
    <w:rsid w:val="00C47B3E"/>
    <w:rsid w:val="00C5004B"/>
    <w:rsid w:val="00C52766"/>
    <w:rsid w:val="00C55055"/>
    <w:rsid w:val="00C55EC6"/>
    <w:rsid w:val="00C5689C"/>
    <w:rsid w:val="00C570D6"/>
    <w:rsid w:val="00C5716B"/>
    <w:rsid w:val="00C579B3"/>
    <w:rsid w:val="00C60A11"/>
    <w:rsid w:val="00C61825"/>
    <w:rsid w:val="00C62A85"/>
    <w:rsid w:val="00C62F2E"/>
    <w:rsid w:val="00C6392B"/>
    <w:rsid w:val="00C65095"/>
    <w:rsid w:val="00C66D14"/>
    <w:rsid w:val="00C66E68"/>
    <w:rsid w:val="00C66FC1"/>
    <w:rsid w:val="00C67362"/>
    <w:rsid w:val="00C677F4"/>
    <w:rsid w:val="00C71B9B"/>
    <w:rsid w:val="00C725B1"/>
    <w:rsid w:val="00C72C91"/>
    <w:rsid w:val="00C744B6"/>
    <w:rsid w:val="00C7760C"/>
    <w:rsid w:val="00C8000E"/>
    <w:rsid w:val="00C805BE"/>
    <w:rsid w:val="00C81ECC"/>
    <w:rsid w:val="00C82443"/>
    <w:rsid w:val="00C8711C"/>
    <w:rsid w:val="00C87272"/>
    <w:rsid w:val="00C8728D"/>
    <w:rsid w:val="00C872B1"/>
    <w:rsid w:val="00C87CEB"/>
    <w:rsid w:val="00C91742"/>
    <w:rsid w:val="00C9178F"/>
    <w:rsid w:val="00C924AC"/>
    <w:rsid w:val="00C927D4"/>
    <w:rsid w:val="00C92FBC"/>
    <w:rsid w:val="00C93339"/>
    <w:rsid w:val="00C97215"/>
    <w:rsid w:val="00C97EBB"/>
    <w:rsid w:val="00CA2C91"/>
    <w:rsid w:val="00CA3A79"/>
    <w:rsid w:val="00CA6E40"/>
    <w:rsid w:val="00CB110A"/>
    <w:rsid w:val="00CB145D"/>
    <w:rsid w:val="00CB32BA"/>
    <w:rsid w:val="00CB3968"/>
    <w:rsid w:val="00CB5025"/>
    <w:rsid w:val="00CB5B27"/>
    <w:rsid w:val="00CB5E04"/>
    <w:rsid w:val="00CB5EB9"/>
    <w:rsid w:val="00CB7DCE"/>
    <w:rsid w:val="00CC20A0"/>
    <w:rsid w:val="00CC2DB6"/>
    <w:rsid w:val="00CC4E04"/>
    <w:rsid w:val="00CC56AD"/>
    <w:rsid w:val="00CD1583"/>
    <w:rsid w:val="00CD58F1"/>
    <w:rsid w:val="00CD5AB9"/>
    <w:rsid w:val="00CD6B51"/>
    <w:rsid w:val="00CD713B"/>
    <w:rsid w:val="00CD7171"/>
    <w:rsid w:val="00CD7A6F"/>
    <w:rsid w:val="00CE0978"/>
    <w:rsid w:val="00CE101F"/>
    <w:rsid w:val="00CE1FF5"/>
    <w:rsid w:val="00CE2814"/>
    <w:rsid w:val="00CE2BE4"/>
    <w:rsid w:val="00CE3B13"/>
    <w:rsid w:val="00CE3CC5"/>
    <w:rsid w:val="00CE46F7"/>
    <w:rsid w:val="00CE4B46"/>
    <w:rsid w:val="00CE588B"/>
    <w:rsid w:val="00CE61AB"/>
    <w:rsid w:val="00CF0F5B"/>
    <w:rsid w:val="00CF2EA3"/>
    <w:rsid w:val="00CF7A62"/>
    <w:rsid w:val="00CF7A7B"/>
    <w:rsid w:val="00D01ACC"/>
    <w:rsid w:val="00D02F25"/>
    <w:rsid w:val="00D0353E"/>
    <w:rsid w:val="00D0434D"/>
    <w:rsid w:val="00D04352"/>
    <w:rsid w:val="00D054B5"/>
    <w:rsid w:val="00D056AE"/>
    <w:rsid w:val="00D05B0F"/>
    <w:rsid w:val="00D06CBA"/>
    <w:rsid w:val="00D06E32"/>
    <w:rsid w:val="00D126F7"/>
    <w:rsid w:val="00D1351E"/>
    <w:rsid w:val="00D13B3B"/>
    <w:rsid w:val="00D14E48"/>
    <w:rsid w:val="00D154E7"/>
    <w:rsid w:val="00D165DB"/>
    <w:rsid w:val="00D16FA1"/>
    <w:rsid w:val="00D172D1"/>
    <w:rsid w:val="00D17CD5"/>
    <w:rsid w:val="00D17F74"/>
    <w:rsid w:val="00D20576"/>
    <w:rsid w:val="00D2092A"/>
    <w:rsid w:val="00D24B14"/>
    <w:rsid w:val="00D25D57"/>
    <w:rsid w:val="00D26268"/>
    <w:rsid w:val="00D31909"/>
    <w:rsid w:val="00D341FB"/>
    <w:rsid w:val="00D34BBF"/>
    <w:rsid w:val="00D3718E"/>
    <w:rsid w:val="00D404A5"/>
    <w:rsid w:val="00D41B61"/>
    <w:rsid w:val="00D43BD6"/>
    <w:rsid w:val="00D45043"/>
    <w:rsid w:val="00D46D95"/>
    <w:rsid w:val="00D475A8"/>
    <w:rsid w:val="00D47AD3"/>
    <w:rsid w:val="00D543EE"/>
    <w:rsid w:val="00D55149"/>
    <w:rsid w:val="00D55282"/>
    <w:rsid w:val="00D554AC"/>
    <w:rsid w:val="00D5576E"/>
    <w:rsid w:val="00D561A3"/>
    <w:rsid w:val="00D56C34"/>
    <w:rsid w:val="00D570B5"/>
    <w:rsid w:val="00D6142D"/>
    <w:rsid w:val="00D62AE5"/>
    <w:rsid w:val="00D637FE"/>
    <w:rsid w:val="00D64DE4"/>
    <w:rsid w:val="00D65A20"/>
    <w:rsid w:val="00D678E0"/>
    <w:rsid w:val="00D70DFF"/>
    <w:rsid w:val="00D72C37"/>
    <w:rsid w:val="00D73993"/>
    <w:rsid w:val="00D741A3"/>
    <w:rsid w:val="00D74DAF"/>
    <w:rsid w:val="00D80E87"/>
    <w:rsid w:val="00D8299E"/>
    <w:rsid w:val="00D82AD4"/>
    <w:rsid w:val="00D84C7B"/>
    <w:rsid w:val="00D859C4"/>
    <w:rsid w:val="00D85DF4"/>
    <w:rsid w:val="00D90F6D"/>
    <w:rsid w:val="00D93DEA"/>
    <w:rsid w:val="00D96636"/>
    <w:rsid w:val="00D9673A"/>
    <w:rsid w:val="00DA0D06"/>
    <w:rsid w:val="00DA19CE"/>
    <w:rsid w:val="00DA222E"/>
    <w:rsid w:val="00DA265B"/>
    <w:rsid w:val="00DA451C"/>
    <w:rsid w:val="00DA4608"/>
    <w:rsid w:val="00DA4BD6"/>
    <w:rsid w:val="00DA4D6B"/>
    <w:rsid w:val="00DB01F8"/>
    <w:rsid w:val="00DB02EA"/>
    <w:rsid w:val="00DB0729"/>
    <w:rsid w:val="00DB1BBE"/>
    <w:rsid w:val="00DB3796"/>
    <w:rsid w:val="00DB630D"/>
    <w:rsid w:val="00DB640D"/>
    <w:rsid w:val="00DC010C"/>
    <w:rsid w:val="00DC11F0"/>
    <w:rsid w:val="00DC41A9"/>
    <w:rsid w:val="00DC7ADC"/>
    <w:rsid w:val="00DD0D13"/>
    <w:rsid w:val="00DD27D3"/>
    <w:rsid w:val="00DD45E2"/>
    <w:rsid w:val="00DD532A"/>
    <w:rsid w:val="00DD7455"/>
    <w:rsid w:val="00DD7A95"/>
    <w:rsid w:val="00DE087B"/>
    <w:rsid w:val="00DE1959"/>
    <w:rsid w:val="00DE493D"/>
    <w:rsid w:val="00DE59D8"/>
    <w:rsid w:val="00DF140F"/>
    <w:rsid w:val="00DF28E9"/>
    <w:rsid w:val="00DF2921"/>
    <w:rsid w:val="00DF2BA9"/>
    <w:rsid w:val="00DF47F1"/>
    <w:rsid w:val="00DF4942"/>
    <w:rsid w:val="00DF6363"/>
    <w:rsid w:val="00DF6D47"/>
    <w:rsid w:val="00DF747B"/>
    <w:rsid w:val="00E00802"/>
    <w:rsid w:val="00E01C3B"/>
    <w:rsid w:val="00E032B4"/>
    <w:rsid w:val="00E03C9C"/>
    <w:rsid w:val="00E066CE"/>
    <w:rsid w:val="00E07B7A"/>
    <w:rsid w:val="00E10C9B"/>
    <w:rsid w:val="00E12014"/>
    <w:rsid w:val="00E12CF4"/>
    <w:rsid w:val="00E14D45"/>
    <w:rsid w:val="00E166B3"/>
    <w:rsid w:val="00E16744"/>
    <w:rsid w:val="00E21CAB"/>
    <w:rsid w:val="00E2247A"/>
    <w:rsid w:val="00E23856"/>
    <w:rsid w:val="00E254AE"/>
    <w:rsid w:val="00E25C12"/>
    <w:rsid w:val="00E25D67"/>
    <w:rsid w:val="00E30C5A"/>
    <w:rsid w:val="00E311E0"/>
    <w:rsid w:val="00E31BCE"/>
    <w:rsid w:val="00E31EC9"/>
    <w:rsid w:val="00E32149"/>
    <w:rsid w:val="00E3275B"/>
    <w:rsid w:val="00E32E22"/>
    <w:rsid w:val="00E345A5"/>
    <w:rsid w:val="00E37623"/>
    <w:rsid w:val="00E40047"/>
    <w:rsid w:val="00E40317"/>
    <w:rsid w:val="00E40ED5"/>
    <w:rsid w:val="00E41331"/>
    <w:rsid w:val="00E41DE7"/>
    <w:rsid w:val="00E422A9"/>
    <w:rsid w:val="00E4306D"/>
    <w:rsid w:val="00E43CF4"/>
    <w:rsid w:val="00E43F1B"/>
    <w:rsid w:val="00E44A99"/>
    <w:rsid w:val="00E44C04"/>
    <w:rsid w:val="00E5006F"/>
    <w:rsid w:val="00E52CD8"/>
    <w:rsid w:val="00E534C8"/>
    <w:rsid w:val="00E536CE"/>
    <w:rsid w:val="00E54497"/>
    <w:rsid w:val="00E54FE5"/>
    <w:rsid w:val="00E55287"/>
    <w:rsid w:val="00E56510"/>
    <w:rsid w:val="00E57103"/>
    <w:rsid w:val="00E57453"/>
    <w:rsid w:val="00E57963"/>
    <w:rsid w:val="00E57C6E"/>
    <w:rsid w:val="00E60375"/>
    <w:rsid w:val="00E64680"/>
    <w:rsid w:val="00E64F96"/>
    <w:rsid w:val="00E6605D"/>
    <w:rsid w:val="00E66710"/>
    <w:rsid w:val="00E671C3"/>
    <w:rsid w:val="00E67679"/>
    <w:rsid w:val="00E7045D"/>
    <w:rsid w:val="00E70624"/>
    <w:rsid w:val="00E71C3F"/>
    <w:rsid w:val="00E73E66"/>
    <w:rsid w:val="00E749F2"/>
    <w:rsid w:val="00E766A6"/>
    <w:rsid w:val="00E7736C"/>
    <w:rsid w:val="00E81E1A"/>
    <w:rsid w:val="00E830D6"/>
    <w:rsid w:val="00E83D9B"/>
    <w:rsid w:val="00E86277"/>
    <w:rsid w:val="00E8676F"/>
    <w:rsid w:val="00E902D9"/>
    <w:rsid w:val="00E9263D"/>
    <w:rsid w:val="00E92C64"/>
    <w:rsid w:val="00E93DE8"/>
    <w:rsid w:val="00E94694"/>
    <w:rsid w:val="00E94EF1"/>
    <w:rsid w:val="00E95C3E"/>
    <w:rsid w:val="00E96401"/>
    <w:rsid w:val="00E97FAD"/>
    <w:rsid w:val="00EA1279"/>
    <w:rsid w:val="00EA1700"/>
    <w:rsid w:val="00EA180D"/>
    <w:rsid w:val="00EA2FEA"/>
    <w:rsid w:val="00EA3233"/>
    <w:rsid w:val="00EA3DC8"/>
    <w:rsid w:val="00EA4E4E"/>
    <w:rsid w:val="00EA5D83"/>
    <w:rsid w:val="00EA66F7"/>
    <w:rsid w:val="00EB06A5"/>
    <w:rsid w:val="00EB0C26"/>
    <w:rsid w:val="00EB313C"/>
    <w:rsid w:val="00EB348E"/>
    <w:rsid w:val="00EB3A00"/>
    <w:rsid w:val="00EB4D5C"/>
    <w:rsid w:val="00EB5CB4"/>
    <w:rsid w:val="00EB6AC7"/>
    <w:rsid w:val="00EB72F3"/>
    <w:rsid w:val="00EB735C"/>
    <w:rsid w:val="00EB74A4"/>
    <w:rsid w:val="00EB7C7B"/>
    <w:rsid w:val="00EB7ED9"/>
    <w:rsid w:val="00EC024F"/>
    <w:rsid w:val="00EC0D2A"/>
    <w:rsid w:val="00EC1408"/>
    <w:rsid w:val="00EC2219"/>
    <w:rsid w:val="00EC361D"/>
    <w:rsid w:val="00EC4218"/>
    <w:rsid w:val="00EC48D2"/>
    <w:rsid w:val="00EC5B2B"/>
    <w:rsid w:val="00EC6B5D"/>
    <w:rsid w:val="00EC75D1"/>
    <w:rsid w:val="00EC766B"/>
    <w:rsid w:val="00ED08A9"/>
    <w:rsid w:val="00ED0908"/>
    <w:rsid w:val="00ED3136"/>
    <w:rsid w:val="00ED3C87"/>
    <w:rsid w:val="00ED3CD9"/>
    <w:rsid w:val="00ED5838"/>
    <w:rsid w:val="00ED7084"/>
    <w:rsid w:val="00ED71F6"/>
    <w:rsid w:val="00ED7E9C"/>
    <w:rsid w:val="00EE07CC"/>
    <w:rsid w:val="00EE08CC"/>
    <w:rsid w:val="00EE094F"/>
    <w:rsid w:val="00EE121A"/>
    <w:rsid w:val="00EE1974"/>
    <w:rsid w:val="00EE2B60"/>
    <w:rsid w:val="00EE417E"/>
    <w:rsid w:val="00EE4D50"/>
    <w:rsid w:val="00EE62DD"/>
    <w:rsid w:val="00EE7715"/>
    <w:rsid w:val="00EF1A62"/>
    <w:rsid w:val="00EF4D1A"/>
    <w:rsid w:val="00EF5131"/>
    <w:rsid w:val="00EF7813"/>
    <w:rsid w:val="00F01506"/>
    <w:rsid w:val="00F0297E"/>
    <w:rsid w:val="00F029DC"/>
    <w:rsid w:val="00F02F9A"/>
    <w:rsid w:val="00F041CA"/>
    <w:rsid w:val="00F058DA"/>
    <w:rsid w:val="00F06D8F"/>
    <w:rsid w:val="00F07D6B"/>
    <w:rsid w:val="00F11928"/>
    <w:rsid w:val="00F130DD"/>
    <w:rsid w:val="00F13BB8"/>
    <w:rsid w:val="00F151E0"/>
    <w:rsid w:val="00F15848"/>
    <w:rsid w:val="00F158FB"/>
    <w:rsid w:val="00F24172"/>
    <w:rsid w:val="00F2495D"/>
    <w:rsid w:val="00F24E76"/>
    <w:rsid w:val="00F26802"/>
    <w:rsid w:val="00F26D04"/>
    <w:rsid w:val="00F30476"/>
    <w:rsid w:val="00F316B2"/>
    <w:rsid w:val="00F31A68"/>
    <w:rsid w:val="00F3288C"/>
    <w:rsid w:val="00F34D57"/>
    <w:rsid w:val="00F36223"/>
    <w:rsid w:val="00F363DD"/>
    <w:rsid w:val="00F423FB"/>
    <w:rsid w:val="00F4384E"/>
    <w:rsid w:val="00F438CD"/>
    <w:rsid w:val="00F4545C"/>
    <w:rsid w:val="00F4591D"/>
    <w:rsid w:val="00F4688E"/>
    <w:rsid w:val="00F46DD0"/>
    <w:rsid w:val="00F46F07"/>
    <w:rsid w:val="00F5151E"/>
    <w:rsid w:val="00F51E7B"/>
    <w:rsid w:val="00F52399"/>
    <w:rsid w:val="00F52702"/>
    <w:rsid w:val="00F5352A"/>
    <w:rsid w:val="00F54B46"/>
    <w:rsid w:val="00F578E2"/>
    <w:rsid w:val="00F63A34"/>
    <w:rsid w:val="00F64BE7"/>
    <w:rsid w:val="00F64C39"/>
    <w:rsid w:val="00F7052D"/>
    <w:rsid w:val="00F706F7"/>
    <w:rsid w:val="00F75063"/>
    <w:rsid w:val="00F7573A"/>
    <w:rsid w:val="00F76277"/>
    <w:rsid w:val="00F76598"/>
    <w:rsid w:val="00F76BEA"/>
    <w:rsid w:val="00F77203"/>
    <w:rsid w:val="00F825D5"/>
    <w:rsid w:val="00F82F1A"/>
    <w:rsid w:val="00F838C1"/>
    <w:rsid w:val="00F83E3F"/>
    <w:rsid w:val="00F84FD2"/>
    <w:rsid w:val="00F854B5"/>
    <w:rsid w:val="00F85CDC"/>
    <w:rsid w:val="00F865F1"/>
    <w:rsid w:val="00F86ED5"/>
    <w:rsid w:val="00F9365F"/>
    <w:rsid w:val="00F96650"/>
    <w:rsid w:val="00FA1C8F"/>
    <w:rsid w:val="00FA2889"/>
    <w:rsid w:val="00FA2A65"/>
    <w:rsid w:val="00FA2B87"/>
    <w:rsid w:val="00FA2D81"/>
    <w:rsid w:val="00FA2EDF"/>
    <w:rsid w:val="00FA338E"/>
    <w:rsid w:val="00FA39AF"/>
    <w:rsid w:val="00FA46A9"/>
    <w:rsid w:val="00FA7F32"/>
    <w:rsid w:val="00FB2BC1"/>
    <w:rsid w:val="00FB37C3"/>
    <w:rsid w:val="00FB3DD2"/>
    <w:rsid w:val="00FB5E70"/>
    <w:rsid w:val="00FB63C5"/>
    <w:rsid w:val="00FB6B60"/>
    <w:rsid w:val="00FB7207"/>
    <w:rsid w:val="00FB7633"/>
    <w:rsid w:val="00FC18DB"/>
    <w:rsid w:val="00FC2443"/>
    <w:rsid w:val="00FC25B2"/>
    <w:rsid w:val="00FC2F6D"/>
    <w:rsid w:val="00FC5A81"/>
    <w:rsid w:val="00FC7039"/>
    <w:rsid w:val="00FD0D4C"/>
    <w:rsid w:val="00FD7FC3"/>
    <w:rsid w:val="00FE012C"/>
    <w:rsid w:val="00FE0289"/>
    <w:rsid w:val="00FE1D8B"/>
    <w:rsid w:val="00FE33A4"/>
    <w:rsid w:val="00FE4CF7"/>
    <w:rsid w:val="00FE646B"/>
    <w:rsid w:val="00FF011D"/>
    <w:rsid w:val="00FF1B81"/>
    <w:rsid w:val="00FF40B7"/>
    <w:rsid w:val="00FF46DE"/>
    <w:rsid w:val="00FF6E8D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B74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7410"/>
    <w:pPr>
      <w:keepNext/>
      <w:numPr>
        <w:numId w:val="1"/>
      </w:numPr>
      <w:ind w:left="1134" w:hanging="1134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410"/>
    <w:rPr>
      <w:rFonts w:ascii="Arial" w:eastAsia="Times New Roman" w:hAnsi="Arial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B741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0B7410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0B7410"/>
    <w:rPr>
      <w:rFonts w:ascii="Calibri" w:eastAsia="Calibri" w:hAnsi="Calibri" w:cs="Times New Roman"/>
    </w:rPr>
  </w:style>
  <w:style w:type="paragraph" w:styleId="Textpoznpodarou">
    <w:name w:val="footnote text"/>
    <w:aliases w:val="Text pozn. pod čarou_martin_ang"/>
    <w:basedOn w:val="Normln"/>
    <w:link w:val="TextpoznpodarouChar"/>
    <w:rsid w:val="000B7410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semiHidden/>
    <w:rsid w:val="000B7410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semiHidden/>
    <w:rsid w:val="000B741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7701AE"/>
    <w:pPr>
      <w:ind w:left="720"/>
      <w:contextualSpacing/>
    </w:pPr>
  </w:style>
  <w:style w:type="paragraph" w:customStyle="1" w:styleId="Styl1">
    <w:name w:val="Styl1"/>
    <w:rsid w:val="006F7329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dpisobsahu">
    <w:name w:val="TOC Heading"/>
    <w:basedOn w:val="Nadpis1"/>
    <w:next w:val="Normln"/>
    <w:qFormat/>
    <w:rsid w:val="006F7329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1">
    <w:name w:val="toc 1"/>
    <w:basedOn w:val="Normln"/>
    <w:next w:val="Normln"/>
    <w:autoRedefine/>
    <w:unhideWhenUsed/>
    <w:qFormat/>
    <w:rsid w:val="006F7329"/>
    <w:pPr>
      <w:spacing w:line="360" w:lineRule="auto"/>
      <w:jc w:val="left"/>
    </w:pPr>
    <w:rPr>
      <w:b/>
      <w:szCs w:val="22"/>
    </w:rPr>
  </w:style>
  <w:style w:type="table" w:styleId="Mkatabulky">
    <w:name w:val="Table Grid"/>
    <w:basedOn w:val="Normlntabulka"/>
    <w:uiPriority w:val="59"/>
    <w:rsid w:val="006F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181BB-A840-4F0A-968B-7F1EB39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6</Pages>
  <Words>2554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kucera4376</dc:creator>
  <cp:lastModifiedBy>kucera4376</cp:lastModifiedBy>
  <cp:revision>279</cp:revision>
  <dcterms:created xsi:type="dcterms:W3CDTF">2014-10-03T12:24:00Z</dcterms:created>
  <dcterms:modified xsi:type="dcterms:W3CDTF">2014-11-28T10:03:00Z</dcterms:modified>
</cp:coreProperties>
</file>