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9D" w:rsidRPr="0018209D" w:rsidRDefault="002625D5" w:rsidP="008147D0">
      <w:pPr>
        <w:pStyle w:val="Nadpis1"/>
        <w:spacing w:after="160"/>
        <w:ind w:left="357" w:hanging="357"/>
      </w:pPr>
      <w:r w:rsidRPr="00731B8C">
        <w:t>VÝDAJE NA VÝZKUM A VÝVOJ</w:t>
      </w:r>
    </w:p>
    <w:p w:rsidR="0018209D" w:rsidRDefault="003C2EFC" w:rsidP="00774774">
      <w:pPr>
        <w:pStyle w:val="Odstavecseseznamem"/>
        <w:spacing w:after="60" w:line="252" w:lineRule="auto"/>
        <w:ind w:left="425" w:hanging="357"/>
        <w:contextualSpacing w:val="0"/>
      </w:pPr>
      <w:bookmarkStart w:id="0" w:name="_Toc246493280"/>
      <w:bookmarkStart w:id="1" w:name="_Toc343782426"/>
      <w:r w:rsidRPr="00396BB5">
        <w:t>Celkové výdaje na VaV zahrnují veškeré neinvestiční a investiční výdaje vynaložené ve sledovaném roce na VaV prováděný na území daného státu, a to bez ohledu na zdroj jejich financování.</w:t>
      </w:r>
      <w:r>
        <w:t xml:space="preserve"> </w:t>
      </w:r>
      <w:r w:rsidRPr="00765D85">
        <w:t xml:space="preserve">Celkové výdaje </w:t>
      </w:r>
      <w:r>
        <w:t>na VaV provedený v roce 2012 na území České republiky činily 72</w:t>
      </w:r>
      <w:r w:rsidR="006D718D">
        <w:t>,4 mld. Kč, což odpovídalo 1,88</w:t>
      </w:r>
      <w:r>
        <w:t xml:space="preserve">% podílu na HDP. </w:t>
      </w:r>
      <w:r w:rsidRPr="00713C39">
        <w:t xml:space="preserve">V obou případech jde o nejvyšší zaznamenané hodnoty za celé sledované období. </w:t>
      </w:r>
      <w:r>
        <w:t>Mezi lety 2010-2012 došlo ke značnému nárůstu těchto výdajů, a to téměř o 20 mld. Kč (37 %)</w:t>
      </w:r>
    </w:p>
    <w:p w:rsidR="0018209D" w:rsidRDefault="0018209D" w:rsidP="00774774">
      <w:pPr>
        <w:pStyle w:val="Odstavecseseznamem"/>
        <w:spacing w:after="60" w:line="252" w:lineRule="auto"/>
        <w:ind w:left="425" w:hanging="357"/>
        <w:contextualSpacing w:val="0"/>
      </w:pPr>
      <w:r>
        <w:t>Největším dílem se na nárůstu výdajů v posledních 2 letech podílely zahraniční veřejné zdroje, které ve zmíněném období vzrostly pětinásobně na stávajících 11,6 mld. Kč. Znatelného nárůstu doznalo i financování z tuzems</w:t>
      </w:r>
      <w:r w:rsidR="006D718D">
        <w:t>kých podnikatelských zdrojů (11</w:t>
      </w:r>
      <w:r>
        <w:t>% meziroční nárůst na 26,3 mld. Kč). Výdaje státního rozpočtu určené na VaV zůstaly v roce 2012 přibližně na stejné úrovni jako v roce 2011.</w:t>
      </w:r>
    </w:p>
    <w:p w:rsidR="003C2EFC" w:rsidRDefault="003C2EFC" w:rsidP="00774774">
      <w:pPr>
        <w:pStyle w:val="Odstavecseseznamem"/>
        <w:spacing w:after="60" w:line="252" w:lineRule="auto"/>
        <w:ind w:left="425" w:hanging="357"/>
        <w:contextualSpacing w:val="0"/>
      </w:pPr>
      <w:r>
        <w:t>Až do roku 2008 se na financování VaV provedeného v ČR podílely podnikatelské (soukromé) zdroje</w:t>
      </w:r>
      <w:r w:rsidRPr="003C2EFC">
        <w:t xml:space="preserve"> </w:t>
      </w:r>
      <w:r>
        <w:t xml:space="preserve">nadpoloviční většinou. V následujících letech, nejprve především díky poklesu domácích podnikatelských zdrojů a nárůstu financování VaV ze státního rozpočtu ČR, v posledních dvou letech pak především díky narůstajícím zdrojům z EU, u nás ve financování VaV převládly veřejné zdroje. </w:t>
      </w:r>
      <w:r w:rsidR="006D718D">
        <w:t>V </w:t>
      </w:r>
      <w:r>
        <w:t xml:space="preserve">roce 2012 dosáhl jejich podíl na financování VaV provedeného v ČR již 54 %.  </w:t>
      </w:r>
    </w:p>
    <w:p w:rsidR="0018209D" w:rsidRDefault="0018209D" w:rsidP="00774774">
      <w:pPr>
        <w:pStyle w:val="Odstavecseseznamem"/>
        <w:spacing w:after="60" w:line="252" w:lineRule="auto"/>
        <w:ind w:left="425" w:hanging="357"/>
        <w:contextualSpacing w:val="0"/>
      </w:pPr>
      <w:r>
        <w:t>Na VaV se nejvíce peněz vynakládá v podnikatelském sektoru (38,8 mld. Kč v roce 2012). Na financování výzkumu v tomto sektoru se podílí především podniky svými vlastními zdroji a dále pak účelová podpora státního rozpočtu a dotace Evropské unie, především ze strukturálních fondů EU prostřednictvím Operačního program</w:t>
      </w:r>
      <w:r w:rsidR="006D718D">
        <w:t>u</w:t>
      </w:r>
      <w:r>
        <w:t xml:space="preserve"> Podnikání a inovace. Jen pozvolna narůstají výdaje na VaV ve vládním sektoru. Ve srovnání s rokem 2007 se v roce 2012 vydalo na VaV v tomto sektoru o 2 mld. Kč více. Naopak výdaje na VaV ve vysokoškolském sektoru rostou v posledních 2 letech doslova raketově. Důvodem je zvýšené čerpání prostředků ze strukturálních fondů EU, zvláště prostřednictvím Operačního programu Výzkum a vývoj pro inovace.</w:t>
      </w:r>
    </w:p>
    <w:p w:rsidR="003C2EFC" w:rsidRDefault="003C2EFC" w:rsidP="00774774">
      <w:pPr>
        <w:pStyle w:val="Odstavecseseznamem"/>
        <w:spacing w:after="60" w:line="252" w:lineRule="auto"/>
        <w:ind w:left="425" w:hanging="357"/>
        <w:contextualSpacing w:val="0"/>
      </w:pPr>
      <w:r w:rsidRPr="00713C39">
        <w:t>Podstatná část výdajů na VaV je v ČR tvořena mzdovými a ostatními neinvestičními náklady. Mzdové náklady byly až do roku 2010 vůbec nejrychleji rostoucí nákladovou položkou VaV</w:t>
      </w:r>
      <w:r>
        <w:t xml:space="preserve">. </w:t>
      </w:r>
      <w:r w:rsidR="008548CF">
        <w:t>Od roku</w:t>
      </w:r>
      <w:r w:rsidRPr="00713C39">
        <w:t xml:space="preserve"> 2011 </w:t>
      </w:r>
      <w:r w:rsidR="008548CF">
        <w:t>dochází k dynamickému</w:t>
      </w:r>
      <w:r w:rsidRPr="00713C39">
        <w:t xml:space="preserve"> nárůstu investičních </w:t>
      </w:r>
      <w:r w:rsidR="006D718D">
        <w:t>výdajů (75</w:t>
      </w:r>
      <w:r w:rsidR="008548CF">
        <w:t>% meziroční nárůst).</w:t>
      </w:r>
      <w:r w:rsidRPr="00713C39">
        <w:t xml:space="preserve"> Tento trend se prohloubil i v následujícím roce v</w:t>
      </w:r>
      <w:r w:rsidR="00774774">
        <w:t xml:space="preserve"> souvislosti </w:t>
      </w:r>
      <w:r w:rsidRPr="00713C39">
        <w:t>se zrychleným čerpáním finančních prostředků ze Strukturálních fondů EU, a to především ve vysokoškolském sektoru. Ve vysokoškolském sektoru se tak investiční výdaje na VaV v roce 2012 podílely z 36 % na celkových výdajích na VaV v tomto sektoru.</w:t>
      </w:r>
    </w:p>
    <w:p w:rsidR="0018209D" w:rsidRDefault="0018209D" w:rsidP="00774774">
      <w:pPr>
        <w:pStyle w:val="Odstavecseseznamem"/>
        <w:spacing w:after="60" w:line="252" w:lineRule="auto"/>
        <w:ind w:left="425" w:hanging="357"/>
        <w:contextualSpacing w:val="0"/>
      </w:pPr>
      <w:r>
        <w:t>Poměrně rovnoměrně jsou v České republice zastoupeny jednotlivé typy VaV činností. Ve všech třech činnostech došlo k meziročnímu nárůstu výdajů, a to v rozmezí od 11 % do 20 %.</w:t>
      </w:r>
    </w:p>
    <w:p w:rsidR="0018209D" w:rsidRDefault="0018209D" w:rsidP="00774774">
      <w:pPr>
        <w:pStyle w:val="Odstavecseseznamem"/>
        <w:spacing w:after="60" w:line="252" w:lineRule="auto"/>
        <w:ind w:left="425" w:hanging="357"/>
        <w:contextualSpacing w:val="0"/>
      </w:pPr>
      <w:r>
        <w:t xml:space="preserve">Z hlediska vědních oblastí byly největší peníze vynaloženy v technických a </w:t>
      </w:r>
      <w:r w:rsidR="006D718D">
        <w:t xml:space="preserve">přírodních vědách (dohromady 82 </w:t>
      </w:r>
      <w:r>
        <w:t xml:space="preserve">% podíl na výdajích). Ve zmíněných vědních oblastech došlo i k největšímu meziročnímu nárůstu výdajů na VaV (o 13 % v technických a 23 % v přírodních vědách). </w:t>
      </w:r>
    </w:p>
    <w:p w:rsidR="0018209D" w:rsidRDefault="0018209D" w:rsidP="00774774">
      <w:pPr>
        <w:pStyle w:val="Odstavecseseznamem"/>
        <w:spacing w:after="60" w:line="252" w:lineRule="auto"/>
        <w:ind w:left="425" w:hanging="357"/>
        <w:contextualSpacing w:val="0"/>
      </w:pPr>
      <w:r>
        <w:t xml:space="preserve">Nejvýznamnějšími kraji z hlediska výše výdajů na VaV byly Praha a </w:t>
      </w:r>
      <w:r w:rsidR="006D718D">
        <w:t>Jihomoravský kraj s celkovým 55 </w:t>
      </w:r>
      <w:r>
        <w:t>% podílem na celkových výdajích vynaložených na VaV na území České republiky</w:t>
      </w:r>
      <w:r w:rsidRPr="004675A9">
        <w:t xml:space="preserve"> </w:t>
      </w:r>
      <w:r>
        <w:t>v roce 2012. Jihomoravský kraj doznal významného meziročního nárůstu výdajů na VaV ve výši 31 %. Třetí na pomyslném žebříčku je Středočeský kraj, a to především kvůli</w:t>
      </w:r>
      <w:r w:rsidR="006D718D">
        <w:t xml:space="preserve"> výdajům na VaV v automobilovém</w:t>
      </w:r>
      <w:r>
        <w:t xml:space="preserve"> průmyslu.</w:t>
      </w:r>
    </w:p>
    <w:p w:rsidR="0018209D" w:rsidRDefault="0018209D" w:rsidP="00774774">
      <w:pPr>
        <w:pStyle w:val="Odstavecseseznamem"/>
        <w:spacing w:after="60" w:line="252" w:lineRule="auto"/>
        <w:ind w:left="425" w:hanging="357"/>
        <w:contextualSpacing w:val="0"/>
      </w:pPr>
      <w:r>
        <w:t>Celkové výdaje na VaV ve státech EU28 byly v roce 2011 246 mld. E</w:t>
      </w:r>
      <w:r w:rsidR="00391840">
        <w:t>ur, nejvíce z toho v Německu 75 </w:t>
      </w:r>
      <w:r>
        <w:t xml:space="preserve">mld. Eur. V Německu a Francii byla utracena téměř polovina všech výdajů určených na VaV ve státech </w:t>
      </w:r>
      <w:r w:rsidR="00391840">
        <w:t>EU28</w:t>
      </w:r>
      <w:r>
        <w:t>. Česká republika s 2,5 mld. Eur</w:t>
      </w:r>
      <w:r w:rsidR="00391840">
        <w:t xml:space="preserve"> výdajů na VaV roce 2011 měla 1</w:t>
      </w:r>
      <w:r>
        <w:t>% podíl na EU28.</w:t>
      </w:r>
    </w:p>
    <w:p w:rsidR="0018209D" w:rsidRDefault="0018209D" w:rsidP="00774774">
      <w:pPr>
        <w:pStyle w:val="Odstavecseseznamem"/>
        <w:spacing w:after="60" w:line="252" w:lineRule="auto"/>
        <w:ind w:left="425" w:hanging="357"/>
        <w:contextualSpacing w:val="0"/>
      </w:pPr>
      <w:r>
        <w:t>Podíl výdajů na VaV n</w:t>
      </w:r>
      <w:r w:rsidR="00774774">
        <w:t>a HDP v roce 2011 byl v EU28 1,9 %. Česká republika se s 1,</w:t>
      </w:r>
      <w:r w:rsidR="006D718D">
        <w:t>6</w:t>
      </w:r>
      <w:r>
        <w:t>%</w:t>
      </w:r>
      <w:r w:rsidR="00774774">
        <w:t xml:space="preserve"> podílem</w:t>
      </w:r>
      <w:r>
        <w:t xml:space="preserve"> nacházela lehce pod tímto průměrem. Přes 3 % se v EU28 dostaly jen severské státy Finsko, Švédsko a Dánsko, na opačném konci žebříčku se nacházelo Rumunsko, Bulharsko a Řecko s méně než 0,6 %.</w:t>
      </w:r>
    </w:p>
    <w:p w:rsidR="008147D0" w:rsidRPr="008147D0" w:rsidRDefault="002625D5" w:rsidP="008147D0">
      <w:pPr>
        <w:pStyle w:val="Titulek"/>
        <w:spacing w:after="60"/>
        <w:rPr>
          <w:sz w:val="18"/>
          <w:szCs w:val="18"/>
        </w:rPr>
      </w:pPr>
      <w:r w:rsidRPr="0018209D">
        <w:rPr>
          <w:sz w:val="18"/>
          <w:szCs w:val="18"/>
        </w:rPr>
        <w:t xml:space="preserve">Graf </w:t>
      </w:r>
      <w:r w:rsidR="00C8514E" w:rsidRPr="0018209D">
        <w:rPr>
          <w:sz w:val="18"/>
          <w:szCs w:val="18"/>
        </w:rPr>
        <w:fldChar w:fldCharType="begin"/>
      </w:r>
      <w:r w:rsidRPr="0018209D">
        <w:rPr>
          <w:sz w:val="18"/>
          <w:szCs w:val="18"/>
        </w:rPr>
        <w:instrText xml:space="preserve"> STYLEREF 1 \s </w:instrText>
      </w:r>
      <w:r w:rsidR="00C8514E" w:rsidRPr="0018209D">
        <w:rPr>
          <w:sz w:val="18"/>
          <w:szCs w:val="18"/>
        </w:rPr>
        <w:fldChar w:fldCharType="separate"/>
      </w:r>
      <w:r w:rsidR="00CF5AFD">
        <w:rPr>
          <w:noProof/>
          <w:sz w:val="18"/>
          <w:szCs w:val="18"/>
        </w:rPr>
        <w:t>4</w:t>
      </w:r>
      <w:r w:rsidR="00C8514E" w:rsidRPr="0018209D">
        <w:rPr>
          <w:sz w:val="18"/>
          <w:szCs w:val="18"/>
        </w:rPr>
        <w:fldChar w:fldCharType="end"/>
      </w:r>
      <w:r w:rsidRPr="0018209D">
        <w:rPr>
          <w:sz w:val="18"/>
          <w:szCs w:val="18"/>
        </w:rPr>
        <w:t>.</w:t>
      </w:r>
      <w:r w:rsidR="00C8514E" w:rsidRPr="0018209D">
        <w:rPr>
          <w:sz w:val="18"/>
          <w:szCs w:val="18"/>
        </w:rPr>
        <w:fldChar w:fldCharType="begin"/>
      </w:r>
      <w:r w:rsidR="00C8514E" w:rsidRPr="0018209D">
        <w:rPr>
          <w:sz w:val="18"/>
          <w:szCs w:val="18"/>
        </w:rPr>
        <w:instrText xml:space="preserve"> SEQ Graf \* ARABIC \s 1 </w:instrText>
      </w:r>
      <w:r w:rsidR="00C8514E" w:rsidRPr="0018209D">
        <w:rPr>
          <w:sz w:val="18"/>
          <w:szCs w:val="18"/>
        </w:rPr>
        <w:fldChar w:fldCharType="separate"/>
      </w:r>
      <w:r w:rsidR="00CF5AFD">
        <w:rPr>
          <w:noProof/>
          <w:sz w:val="18"/>
          <w:szCs w:val="18"/>
        </w:rPr>
        <w:t>1</w:t>
      </w:r>
      <w:r w:rsidR="00C8514E" w:rsidRPr="0018209D">
        <w:rPr>
          <w:sz w:val="18"/>
          <w:szCs w:val="18"/>
        </w:rPr>
        <w:fldChar w:fldCharType="end"/>
      </w:r>
      <w:r w:rsidRPr="0018209D">
        <w:rPr>
          <w:sz w:val="18"/>
          <w:szCs w:val="18"/>
        </w:rPr>
        <w:t>: Výdaje na VaV pod</w:t>
      </w:r>
      <w:r w:rsidR="00A0372A" w:rsidRPr="0018209D">
        <w:rPr>
          <w:sz w:val="18"/>
          <w:szCs w:val="18"/>
        </w:rPr>
        <w:t>le zdroj</w:t>
      </w:r>
      <w:r w:rsidR="00EA0CB2">
        <w:rPr>
          <w:sz w:val="18"/>
          <w:szCs w:val="18"/>
        </w:rPr>
        <w:t>ů</w:t>
      </w:r>
      <w:r w:rsidR="00A0372A" w:rsidRPr="0018209D">
        <w:rPr>
          <w:sz w:val="18"/>
          <w:szCs w:val="18"/>
        </w:rPr>
        <w:t xml:space="preserve"> jejich financování (</w:t>
      </w:r>
      <w:r w:rsidRPr="0018209D">
        <w:rPr>
          <w:sz w:val="18"/>
          <w:szCs w:val="18"/>
        </w:rPr>
        <w:t>mld. Kč)</w:t>
      </w:r>
      <w:bookmarkEnd w:id="0"/>
      <w:bookmarkEnd w:id="1"/>
    </w:p>
    <w:p w:rsidR="0081756B" w:rsidRPr="004A3E06" w:rsidRDefault="00774774" w:rsidP="004A3E06">
      <w:pPr>
        <w:spacing w:line="240" w:lineRule="auto"/>
      </w:pPr>
      <w:r>
        <w:rPr>
          <w:noProof/>
          <w:lang w:eastAsia="cs-CZ"/>
        </w:rPr>
        <w:t xml:space="preserve">       </w:t>
      </w:r>
      <w:r w:rsidR="00DD730E" w:rsidRPr="00A43A99">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0.75pt;height:110.25pt;visibility:visible">
            <v:imagedata r:id="rId8" o:title=""/>
          </v:shape>
        </w:pict>
      </w:r>
      <w:bookmarkStart w:id="2" w:name="_Toc343781864"/>
    </w:p>
    <w:p w:rsidR="008147D0" w:rsidRDefault="008147D0" w:rsidP="00FF75DD">
      <w:pPr>
        <w:pStyle w:val="Titulektabulky"/>
        <w:spacing w:before="0" w:after="0"/>
        <w:rPr>
          <w:sz w:val="18"/>
          <w:szCs w:val="18"/>
        </w:rPr>
      </w:pPr>
    </w:p>
    <w:p w:rsidR="00FF75DD" w:rsidRPr="0018209D" w:rsidRDefault="00FF75DD" w:rsidP="00FF75DD">
      <w:pPr>
        <w:pStyle w:val="Titulektabulky"/>
        <w:spacing w:before="0" w:after="0"/>
        <w:rPr>
          <w:sz w:val="18"/>
          <w:szCs w:val="18"/>
        </w:rPr>
      </w:pPr>
      <w:r w:rsidRPr="0018209D">
        <w:rPr>
          <w:sz w:val="18"/>
          <w:szCs w:val="18"/>
        </w:rPr>
        <w:lastRenderedPageBreak/>
        <w:t xml:space="preserve">Tab. </w:t>
      </w:r>
      <w:r w:rsidR="00C8514E" w:rsidRPr="0018209D">
        <w:rPr>
          <w:sz w:val="18"/>
          <w:szCs w:val="18"/>
        </w:rPr>
        <w:fldChar w:fldCharType="begin"/>
      </w:r>
      <w:r w:rsidRPr="0018209D">
        <w:rPr>
          <w:sz w:val="18"/>
          <w:szCs w:val="18"/>
        </w:rPr>
        <w:instrText xml:space="preserve"> STYLEREF 1 \s </w:instrText>
      </w:r>
      <w:r w:rsidR="00C8514E" w:rsidRPr="0018209D">
        <w:rPr>
          <w:sz w:val="18"/>
          <w:szCs w:val="18"/>
        </w:rPr>
        <w:fldChar w:fldCharType="separate"/>
      </w:r>
      <w:r w:rsidR="00CF5AFD">
        <w:rPr>
          <w:noProof/>
          <w:sz w:val="18"/>
          <w:szCs w:val="18"/>
        </w:rPr>
        <w:t>4</w:t>
      </w:r>
      <w:r w:rsidR="00C8514E" w:rsidRPr="0018209D">
        <w:rPr>
          <w:sz w:val="18"/>
          <w:szCs w:val="18"/>
        </w:rPr>
        <w:fldChar w:fldCharType="end"/>
      </w:r>
      <w:r w:rsidRPr="0018209D">
        <w:rPr>
          <w:sz w:val="18"/>
          <w:szCs w:val="18"/>
        </w:rPr>
        <w:t>.</w:t>
      </w:r>
      <w:r w:rsidR="00C8514E" w:rsidRPr="0018209D">
        <w:rPr>
          <w:sz w:val="18"/>
          <w:szCs w:val="18"/>
        </w:rPr>
        <w:fldChar w:fldCharType="begin"/>
      </w:r>
      <w:r w:rsidR="00C8514E" w:rsidRPr="0018209D">
        <w:rPr>
          <w:sz w:val="18"/>
          <w:szCs w:val="18"/>
        </w:rPr>
        <w:instrText xml:space="preserve"> SEQ Tab. \* ARABIC \s 1 </w:instrText>
      </w:r>
      <w:r w:rsidR="00C8514E" w:rsidRPr="0018209D">
        <w:rPr>
          <w:sz w:val="18"/>
          <w:szCs w:val="18"/>
        </w:rPr>
        <w:fldChar w:fldCharType="separate"/>
      </w:r>
      <w:r w:rsidR="00CF5AFD">
        <w:rPr>
          <w:noProof/>
          <w:sz w:val="18"/>
          <w:szCs w:val="18"/>
        </w:rPr>
        <w:t>1</w:t>
      </w:r>
      <w:r w:rsidR="00C8514E" w:rsidRPr="0018209D">
        <w:rPr>
          <w:sz w:val="18"/>
          <w:szCs w:val="18"/>
        </w:rPr>
        <w:fldChar w:fldCharType="end"/>
      </w:r>
      <w:r w:rsidRPr="0018209D">
        <w:rPr>
          <w:sz w:val="18"/>
          <w:szCs w:val="18"/>
        </w:rPr>
        <w:t xml:space="preserve">: </w:t>
      </w:r>
      <w:r w:rsidR="00071572" w:rsidRPr="0018209D">
        <w:rPr>
          <w:sz w:val="18"/>
          <w:szCs w:val="18"/>
        </w:rPr>
        <w:t>Celkové v</w:t>
      </w:r>
      <w:r w:rsidRPr="0018209D">
        <w:rPr>
          <w:sz w:val="18"/>
          <w:szCs w:val="18"/>
        </w:rPr>
        <w:t>ýdaje na VaV v ČR, 200</w:t>
      </w:r>
      <w:r w:rsidR="00B73842" w:rsidRPr="0018209D">
        <w:rPr>
          <w:sz w:val="18"/>
          <w:szCs w:val="18"/>
        </w:rPr>
        <w:t>7</w:t>
      </w:r>
      <w:r w:rsidRPr="0018209D">
        <w:rPr>
          <w:sz w:val="18"/>
          <w:szCs w:val="18"/>
        </w:rPr>
        <w:t>–201</w:t>
      </w:r>
      <w:r w:rsidR="00B73842" w:rsidRPr="0018209D">
        <w:rPr>
          <w:sz w:val="18"/>
          <w:szCs w:val="18"/>
        </w:rPr>
        <w:t>2</w:t>
      </w:r>
      <w:bookmarkEnd w:id="2"/>
    </w:p>
    <w:tbl>
      <w:tblPr>
        <w:tblW w:w="9535" w:type="dxa"/>
        <w:tblInd w:w="55" w:type="dxa"/>
        <w:tblLayout w:type="fixed"/>
        <w:tblCellMar>
          <w:left w:w="70" w:type="dxa"/>
          <w:right w:w="70" w:type="dxa"/>
        </w:tblCellMar>
        <w:tblLook w:val="04A0"/>
      </w:tblPr>
      <w:tblGrid>
        <w:gridCol w:w="1858"/>
        <w:gridCol w:w="700"/>
        <w:gridCol w:w="620"/>
        <w:gridCol w:w="81"/>
        <w:gridCol w:w="701"/>
        <w:gridCol w:w="700"/>
        <w:gridCol w:w="701"/>
        <w:gridCol w:w="701"/>
        <w:gridCol w:w="294"/>
        <w:gridCol w:w="284"/>
        <w:gridCol w:w="579"/>
        <w:gridCol w:w="579"/>
        <w:gridCol w:w="579"/>
        <w:gridCol w:w="579"/>
        <w:gridCol w:w="579"/>
      </w:tblGrid>
      <w:tr w:rsidR="00FF75DD" w:rsidRPr="006929E0" w:rsidTr="001268AF">
        <w:trPr>
          <w:trHeight w:val="255"/>
        </w:trPr>
        <w:tc>
          <w:tcPr>
            <w:tcW w:w="1858" w:type="dxa"/>
            <w:vMerge w:val="restart"/>
            <w:tcBorders>
              <w:top w:val="single" w:sz="8" w:space="0" w:color="auto"/>
              <w:left w:val="nil"/>
              <w:right w:val="nil"/>
            </w:tcBorders>
            <w:shd w:val="clear" w:color="000000" w:fill="000099"/>
            <w:vAlign w:val="center"/>
            <w:hideMark/>
          </w:tcPr>
          <w:p w:rsidR="00FF75DD" w:rsidRPr="006929E0" w:rsidRDefault="00FF75DD" w:rsidP="00D42965">
            <w:pPr>
              <w:spacing w:line="240" w:lineRule="auto"/>
              <w:rPr>
                <w:rFonts w:eastAsia="Times New Roman" w:cs="Arial"/>
                <w:b/>
                <w:bCs/>
                <w:color w:val="FFFFFF"/>
                <w:sz w:val="16"/>
                <w:szCs w:val="16"/>
                <w:lang w:eastAsia="cs-CZ"/>
              </w:rPr>
            </w:pPr>
          </w:p>
        </w:tc>
        <w:tc>
          <w:tcPr>
            <w:tcW w:w="4204" w:type="dxa"/>
            <w:gridSpan w:val="7"/>
            <w:tcBorders>
              <w:top w:val="single" w:sz="8" w:space="0" w:color="auto"/>
              <w:left w:val="nil"/>
              <w:bottom w:val="nil"/>
              <w:right w:val="dotted" w:sz="4" w:space="0" w:color="auto"/>
            </w:tcBorders>
            <w:shd w:val="clear" w:color="000000" w:fill="000099"/>
            <w:noWrap/>
            <w:vAlign w:val="center"/>
            <w:hideMark/>
          </w:tcPr>
          <w:p w:rsidR="00FF75DD" w:rsidRPr="006929E0" w:rsidRDefault="00FF75DD" w:rsidP="00D42965">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mil. Kč – běžné ceny</w:t>
            </w:r>
          </w:p>
        </w:tc>
        <w:tc>
          <w:tcPr>
            <w:tcW w:w="3473" w:type="dxa"/>
            <w:gridSpan w:val="7"/>
            <w:tcBorders>
              <w:top w:val="single" w:sz="8" w:space="0" w:color="auto"/>
              <w:left w:val="dotted" w:sz="4" w:space="0" w:color="auto"/>
              <w:bottom w:val="nil"/>
              <w:right w:val="nil"/>
            </w:tcBorders>
            <w:shd w:val="clear" w:color="000000" w:fill="000099"/>
            <w:vAlign w:val="center"/>
            <w:hideMark/>
          </w:tcPr>
          <w:p w:rsidR="00FF75DD" w:rsidRPr="006929E0" w:rsidRDefault="002648EC" w:rsidP="00D42965">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s</w:t>
            </w:r>
            <w:r w:rsidR="00FF75DD" w:rsidRPr="006929E0">
              <w:rPr>
                <w:rFonts w:eastAsia="Times New Roman" w:cs="Arial"/>
                <w:b/>
                <w:bCs/>
                <w:color w:val="FFFFFF"/>
                <w:sz w:val="16"/>
                <w:szCs w:val="16"/>
                <w:lang w:eastAsia="cs-CZ"/>
              </w:rPr>
              <w:t>truktura</w:t>
            </w:r>
          </w:p>
        </w:tc>
      </w:tr>
      <w:tr w:rsidR="00D42965" w:rsidRPr="006929E0" w:rsidTr="002648EC">
        <w:trPr>
          <w:trHeight w:val="260"/>
        </w:trPr>
        <w:tc>
          <w:tcPr>
            <w:tcW w:w="1858" w:type="dxa"/>
            <w:vMerge/>
            <w:tcBorders>
              <w:left w:val="nil"/>
              <w:bottom w:val="single" w:sz="8" w:space="0" w:color="auto"/>
              <w:right w:val="nil"/>
            </w:tcBorders>
            <w:shd w:val="clear" w:color="000000" w:fill="000099"/>
            <w:vAlign w:val="center"/>
            <w:hideMark/>
          </w:tcPr>
          <w:p w:rsidR="00D42965" w:rsidRPr="006929E0" w:rsidRDefault="00D42965" w:rsidP="00D42965">
            <w:pPr>
              <w:spacing w:line="240" w:lineRule="auto"/>
              <w:rPr>
                <w:rFonts w:eastAsia="Times New Roman" w:cs="Arial"/>
                <w:b/>
                <w:bCs/>
                <w:color w:val="FFFFFF"/>
                <w:sz w:val="16"/>
                <w:szCs w:val="16"/>
                <w:lang w:eastAsia="cs-CZ"/>
              </w:rPr>
            </w:pPr>
          </w:p>
        </w:tc>
        <w:tc>
          <w:tcPr>
            <w:tcW w:w="700" w:type="dxa"/>
            <w:tcBorders>
              <w:top w:val="nil"/>
              <w:left w:val="nil"/>
              <w:bottom w:val="nil"/>
              <w:right w:val="nil"/>
            </w:tcBorders>
            <w:shd w:val="clear" w:color="000000" w:fill="000099"/>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7</w:t>
            </w:r>
          </w:p>
        </w:tc>
        <w:tc>
          <w:tcPr>
            <w:tcW w:w="701" w:type="dxa"/>
            <w:gridSpan w:val="2"/>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8</w:t>
            </w:r>
          </w:p>
        </w:tc>
        <w:tc>
          <w:tcPr>
            <w:tcW w:w="701"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9</w:t>
            </w:r>
          </w:p>
        </w:tc>
        <w:tc>
          <w:tcPr>
            <w:tcW w:w="700" w:type="dxa"/>
            <w:tcBorders>
              <w:top w:val="nil"/>
              <w:left w:val="nil"/>
              <w:bottom w:val="nil"/>
              <w:right w:val="nil"/>
            </w:tcBorders>
            <w:shd w:val="clear" w:color="000000" w:fill="000099"/>
            <w:noWrap/>
            <w:vAlign w:val="center"/>
            <w:hideMark/>
          </w:tcPr>
          <w:p w:rsidR="00D42965" w:rsidRPr="006929E0" w:rsidRDefault="00B73842"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2010</w:t>
            </w:r>
          </w:p>
        </w:tc>
        <w:tc>
          <w:tcPr>
            <w:tcW w:w="701"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sidR="00B73842">
              <w:rPr>
                <w:rFonts w:eastAsia="Times New Roman" w:cs="Arial"/>
                <w:b/>
                <w:bCs/>
                <w:color w:val="FFFFFF"/>
                <w:sz w:val="16"/>
                <w:szCs w:val="16"/>
                <w:lang w:eastAsia="cs-CZ"/>
              </w:rPr>
              <w:t>1</w:t>
            </w:r>
          </w:p>
        </w:tc>
        <w:tc>
          <w:tcPr>
            <w:tcW w:w="701" w:type="dxa"/>
            <w:tcBorders>
              <w:top w:val="nil"/>
              <w:left w:val="nil"/>
              <w:bottom w:val="nil"/>
              <w:right w:val="dotted" w:sz="4" w:space="0" w:color="auto"/>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sidR="00B73842">
              <w:rPr>
                <w:rFonts w:eastAsia="Times New Roman" w:cs="Arial"/>
                <w:b/>
                <w:bCs/>
                <w:color w:val="FFFFFF"/>
                <w:sz w:val="16"/>
                <w:szCs w:val="16"/>
                <w:lang w:eastAsia="cs-CZ"/>
              </w:rPr>
              <w:t>2</w:t>
            </w:r>
          </w:p>
        </w:tc>
        <w:tc>
          <w:tcPr>
            <w:tcW w:w="578" w:type="dxa"/>
            <w:gridSpan w:val="2"/>
            <w:tcBorders>
              <w:top w:val="nil"/>
              <w:left w:val="dotted" w:sz="4" w:space="0" w:color="auto"/>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7</w:t>
            </w:r>
          </w:p>
        </w:tc>
        <w:tc>
          <w:tcPr>
            <w:tcW w:w="579"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8</w:t>
            </w:r>
          </w:p>
        </w:tc>
        <w:tc>
          <w:tcPr>
            <w:tcW w:w="579"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sidR="00B73842">
              <w:rPr>
                <w:rFonts w:eastAsia="Times New Roman" w:cs="Arial"/>
                <w:b/>
                <w:bCs/>
                <w:color w:val="FFFFFF"/>
                <w:sz w:val="16"/>
                <w:szCs w:val="16"/>
                <w:lang w:eastAsia="cs-CZ"/>
              </w:rPr>
              <w:t>9</w:t>
            </w:r>
          </w:p>
        </w:tc>
        <w:tc>
          <w:tcPr>
            <w:tcW w:w="579" w:type="dxa"/>
            <w:tcBorders>
              <w:top w:val="nil"/>
              <w:left w:val="nil"/>
              <w:bottom w:val="nil"/>
              <w:right w:val="nil"/>
            </w:tcBorders>
            <w:shd w:val="clear" w:color="000000" w:fill="000099"/>
            <w:noWrap/>
            <w:vAlign w:val="center"/>
            <w:hideMark/>
          </w:tcPr>
          <w:p w:rsidR="00D42965" w:rsidRPr="006929E0" w:rsidRDefault="00B73842"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2010</w:t>
            </w:r>
          </w:p>
        </w:tc>
        <w:tc>
          <w:tcPr>
            <w:tcW w:w="579"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sidR="00B73842">
              <w:rPr>
                <w:rFonts w:eastAsia="Times New Roman" w:cs="Arial"/>
                <w:b/>
                <w:bCs/>
                <w:color w:val="FFFFFF"/>
                <w:sz w:val="16"/>
                <w:szCs w:val="16"/>
                <w:lang w:eastAsia="cs-CZ"/>
              </w:rPr>
              <w:t>1</w:t>
            </w:r>
          </w:p>
        </w:tc>
        <w:tc>
          <w:tcPr>
            <w:tcW w:w="579" w:type="dxa"/>
            <w:tcBorders>
              <w:top w:val="nil"/>
              <w:left w:val="nil"/>
              <w:bottom w:val="nil"/>
              <w:right w:val="nil"/>
            </w:tcBorders>
            <w:shd w:val="clear" w:color="000000" w:fill="000099"/>
            <w:noWrap/>
            <w:vAlign w:val="center"/>
            <w:hideMark/>
          </w:tcPr>
          <w:p w:rsidR="00D42965" w:rsidRPr="006929E0" w:rsidRDefault="00D42965"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sidR="00B73842">
              <w:rPr>
                <w:rFonts w:eastAsia="Times New Roman" w:cs="Arial"/>
                <w:b/>
                <w:bCs/>
                <w:color w:val="FFFFFF"/>
                <w:sz w:val="16"/>
                <w:szCs w:val="16"/>
                <w:lang w:eastAsia="cs-CZ"/>
              </w:rPr>
              <w:t>2</w:t>
            </w:r>
          </w:p>
        </w:tc>
      </w:tr>
      <w:tr w:rsidR="00B73842" w:rsidRPr="006929E0" w:rsidTr="001268AF">
        <w:trPr>
          <w:trHeight w:val="244"/>
        </w:trPr>
        <w:tc>
          <w:tcPr>
            <w:tcW w:w="1858" w:type="dxa"/>
            <w:tcBorders>
              <w:top w:val="nil"/>
              <w:left w:val="nil"/>
              <w:bottom w:val="single" w:sz="8" w:space="0" w:color="auto"/>
              <w:right w:val="nil"/>
            </w:tcBorders>
            <w:shd w:val="clear" w:color="000000" w:fill="8DB4E3"/>
            <w:vAlign w:val="bottom"/>
            <w:hideMark/>
          </w:tcPr>
          <w:p w:rsidR="00B73842" w:rsidRDefault="00B73842">
            <w:pPr>
              <w:rPr>
                <w:rFonts w:cs="Arial"/>
                <w:b/>
                <w:bCs/>
                <w:color w:val="000000"/>
                <w:sz w:val="16"/>
                <w:szCs w:val="16"/>
              </w:rPr>
            </w:pPr>
            <w:r>
              <w:rPr>
                <w:rFonts w:cs="Arial"/>
                <w:b/>
                <w:bCs/>
                <w:color w:val="000000"/>
                <w:sz w:val="16"/>
                <w:szCs w:val="16"/>
              </w:rPr>
              <w:t>Celkem</w:t>
            </w:r>
          </w:p>
        </w:tc>
        <w:tc>
          <w:tcPr>
            <w:tcW w:w="700"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50 009</w:t>
            </w:r>
          </w:p>
        </w:tc>
        <w:tc>
          <w:tcPr>
            <w:tcW w:w="701" w:type="dxa"/>
            <w:gridSpan w:val="2"/>
            <w:tcBorders>
              <w:top w:val="single" w:sz="8" w:space="0" w:color="auto"/>
              <w:left w:val="nil"/>
              <w:bottom w:val="single" w:sz="8" w:space="0" w:color="auto"/>
              <w:right w:val="nil"/>
            </w:tcBorders>
            <w:shd w:val="clear" w:color="000000" w:fill="8DB4E3"/>
            <w:noWrap/>
            <w:vAlign w:val="bottom"/>
            <w:hideMark/>
          </w:tcPr>
          <w:p w:rsidR="00B73842" w:rsidRDefault="00B73842">
            <w:pPr>
              <w:jc w:val="right"/>
              <w:rPr>
                <w:rFonts w:cs="Arial"/>
                <w:b/>
                <w:bCs/>
                <w:color w:val="000000"/>
                <w:sz w:val="16"/>
                <w:szCs w:val="16"/>
              </w:rPr>
            </w:pPr>
            <w:r>
              <w:rPr>
                <w:rFonts w:cs="Arial"/>
                <w:b/>
                <w:bCs/>
                <w:color w:val="000000"/>
                <w:sz w:val="16"/>
                <w:szCs w:val="16"/>
              </w:rPr>
              <w:t>49 872</w:t>
            </w:r>
          </w:p>
        </w:tc>
        <w:tc>
          <w:tcPr>
            <w:tcW w:w="701" w:type="dxa"/>
            <w:tcBorders>
              <w:top w:val="single" w:sz="8" w:space="0" w:color="auto"/>
              <w:left w:val="nil"/>
              <w:bottom w:val="single" w:sz="8" w:space="0" w:color="auto"/>
              <w:right w:val="nil"/>
            </w:tcBorders>
            <w:shd w:val="clear" w:color="000000" w:fill="8DB4E3"/>
            <w:noWrap/>
            <w:vAlign w:val="bottom"/>
            <w:hideMark/>
          </w:tcPr>
          <w:p w:rsidR="00B73842" w:rsidRDefault="00B73842">
            <w:pPr>
              <w:jc w:val="right"/>
              <w:rPr>
                <w:rFonts w:cs="Arial"/>
                <w:b/>
                <w:bCs/>
                <w:color w:val="000000"/>
                <w:sz w:val="16"/>
                <w:szCs w:val="16"/>
              </w:rPr>
            </w:pPr>
            <w:r>
              <w:rPr>
                <w:rFonts w:cs="Arial"/>
                <w:b/>
                <w:bCs/>
                <w:color w:val="000000"/>
                <w:sz w:val="16"/>
                <w:szCs w:val="16"/>
              </w:rPr>
              <w:t>50 875</w:t>
            </w:r>
          </w:p>
        </w:tc>
        <w:tc>
          <w:tcPr>
            <w:tcW w:w="700" w:type="dxa"/>
            <w:tcBorders>
              <w:top w:val="single" w:sz="8" w:space="0" w:color="auto"/>
              <w:left w:val="nil"/>
              <w:bottom w:val="single" w:sz="8" w:space="0" w:color="auto"/>
              <w:right w:val="nil"/>
            </w:tcBorders>
            <w:shd w:val="clear" w:color="000000" w:fill="8DB4E3"/>
            <w:noWrap/>
            <w:vAlign w:val="bottom"/>
            <w:hideMark/>
          </w:tcPr>
          <w:p w:rsidR="00B73842" w:rsidRDefault="00B73842">
            <w:pPr>
              <w:jc w:val="right"/>
              <w:rPr>
                <w:rFonts w:cs="Arial"/>
                <w:b/>
                <w:bCs/>
                <w:color w:val="000000"/>
                <w:sz w:val="16"/>
                <w:szCs w:val="16"/>
              </w:rPr>
            </w:pPr>
            <w:r>
              <w:rPr>
                <w:rFonts w:cs="Arial"/>
                <w:b/>
                <w:bCs/>
                <w:color w:val="000000"/>
                <w:sz w:val="16"/>
                <w:szCs w:val="16"/>
              </w:rPr>
              <w:t>52 974</w:t>
            </w:r>
          </w:p>
        </w:tc>
        <w:tc>
          <w:tcPr>
            <w:tcW w:w="701" w:type="dxa"/>
            <w:tcBorders>
              <w:top w:val="single" w:sz="8" w:space="0" w:color="auto"/>
              <w:left w:val="nil"/>
              <w:bottom w:val="single" w:sz="8" w:space="0" w:color="auto"/>
              <w:right w:val="nil"/>
            </w:tcBorders>
            <w:shd w:val="clear" w:color="000000" w:fill="8DB4E3"/>
            <w:noWrap/>
            <w:vAlign w:val="bottom"/>
            <w:hideMark/>
          </w:tcPr>
          <w:p w:rsidR="00B73842" w:rsidRDefault="00B73842">
            <w:pPr>
              <w:jc w:val="right"/>
              <w:rPr>
                <w:rFonts w:cs="Arial"/>
                <w:b/>
                <w:bCs/>
                <w:color w:val="000000"/>
                <w:sz w:val="16"/>
                <w:szCs w:val="16"/>
              </w:rPr>
            </w:pPr>
            <w:r>
              <w:rPr>
                <w:rFonts w:cs="Arial"/>
                <w:b/>
                <w:bCs/>
                <w:color w:val="000000"/>
                <w:sz w:val="16"/>
                <w:szCs w:val="16"/>
              </w:rPr>
              <w:t>62 753</w:t>
            </w:r>
          </w:p>
        </w:tc>
        <w:tc>
          <w:tcPr>
            <w:tcW w:w="701" w:type="dxa"/>
            <w:tcBorders>
              <w:top w:val="single" w:sz="8" w:space="0" w:color="auto"/>
              <w:left w:val="nil"/>
              <w:bottom w:val="single" w:sz="8" w:space="0" w:color="auto"/>
              <w:right w:val="dotted" w:sz="4" w:space="0" w:color="auto"/>
            </w:tcBorders>
            <w:shd w:val="clear" w:color="000000" w:fill="8DB4E3"/>
            <w:noWrap/>
            <w:vAlign w:val="bottom"/>
            <w:hideMark/>
          </w:tcPr>
          <w:p w:rsidR="00B73842" w:rsidRDefault="00B73842">
            <w:pPr>
              <w:jc w:val="right"/>
              <w:rPr>
                <w:rFonts w:cs="Arial"/>
                <w:b/>
                <w:bCs/>
                <w:color w:val="000000"/>
                <w:sz w:val="16"/>
                <w:szCs w:val="16"/>
              </w:rPr>
            </w:pPr>
            <w:r>
              <w:rPr>
                <w:rFonts w:cs="Arial"/>
                <w:b/>
                <w:bCs/>
                <w:color w:val="000000"/>
                <w:sz w:val="16"/>
                <w:szCs w:val="16"/>
              </w:rPr>
              <w:t>72 360</w:t>
            </w:r>
          </w:p>
        </w:tc>
        <w:tc>
          <w:tcPr>
            <w:tcW w:w="578" w:type="dxa"/>
            <w:gridSpan w:val="2"/>
            <w:tcBorders>
              <w:top w:val="single" w:sz="8" w:space="0" w:color="auto"/>
              <w:left w:val="dotted" w:sz="4" w:space="0" w:color="auto"/>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c>
          <w:tcPr>
            <w:tcW w:w="579"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c>
          <w:tcPr>
            <w:tcW w:w="579"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c>
          <w:tcPr>
            <w:tcW w:w="579"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c>
          <w:tcPr>
            <w:tcW w:w="579"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c>
          <w:tcPr>
            <w:tcW w:w="579" w:type="dxa"/>
            <w:tcBorders>
              <w:top w:val="single" w:sz="8" w:space="0" w:color="auto"/>
              <w:left w:val="nil"/>
              <w:bottom w:val="single" w:sz="8" w:space="0" w:color="auto"/>
              <w:right w:val="nil"/>
            </w:tcBorders>
            <w:shd w:val="clear" w:color="000000" w:fill="8DB4E3"/>
            <w:vAlign w:val="bottom"/>
            <w:hideMark/>
          </w:tcPr>
          <w:p w:rsidR="00B73842" w:rsidRDefault="00B73842">
            <w:pPr>
              <w:jc w:val="right"/>
              <w:rPr>
                <w:rFonts w:cs="Arial"/>
                <w:b/>
                <w:bCs/>
                <w:color w:val="000000"/>
                <w:sz w:val="16"/>
                <w:szCs w:val="16"/>
              </w:rPr>
            </w:pPr>
            <w:r>
              <w:rPr>
                <w:rFonts w:cs="Arial"/>
                <w:b/>
                <w:bCs/>
                <w:color w:val="000000"/>
                <w:sz w:val="16"/>
                <w:szCs w:val="16"/>
              </w:rPr>
              <w:t>100%</w:t>
            </w:r>
          </w:p>
        </w:tc>
      </w:tr>
      <w:tr w:rsidR="001268AF" w:rsidRPr="006929E0" w:rsidTr="001268AF">
        <w:trPr>
          <w:trHeight w:val="244"/>
        </w:trPr>
        <w:tc>
          <w:tcPr>
            <w:tcW w:w="3178" w:type="dxa"/>
            <w:gridSpan w:val="3"/>
            <w:tcBorders>
              <w:top w:val="nil"/>
              <w:left w:val="nil"/>
              <w:bottom w:val="nil"/>
              <w:right w:val="nil"/>
            </w:tcBorders>
            <w:shd w:val="clear" w:color="000000" w:fill="C5D9F1"/>
            <w:noWrap/>
            <w:vAlign w:val="center"/>
            <w:hideMark/>
          </w:tcPr>
          <w:p w:rsidR="001268AF" w:rsidRPr="006929E0" w:rsidRDefault="001268AF" w:rsidP="00D42965">
            <w:pPr>
              <w:tabs>
                <w:tab w:val="left" w:pos="2315"/>
                <w:tab w:val="left" w:pos="2615"/>
              </w:tabs>
              <w:spacing w:line="240" w:lineRule="auto"/>
              <w:rPr>
                <w:rFonts w:eastAsia="Times New Roman" w:cs="Arial"/>
                <w:color w:val="000000"/>
                <w:sz w:val="16"/>
                <w:szCs w:val="16"/>
                <w:lang w:eastAsia="cs-CZ"/>
              </w:rPr>
            </w:pPr>
            <w:r w:rsidRPr="006929E0">
              <w:rPr>
                <w:rFonts w:eastAsia="Times New Roman" w:cs="Arial"/>
                <w:b/>
                <w:bCs/>
                <w:color w:val="000000"/>
                <w:sz w:val="16"/>
                <w:szCs w:val="16"/>
                <w:lang w:eastAsia="cs-CZ"/>
              </w:rPr>
              <w:t>podle zdroje financování</w:t>
            </w:r>
          </w:p>
        </w:tc>
        <w:tc>
          <w:tcPr>
            <w:tcW w:w="3178" w:type="dxa"/>
            <w:gridSpan w:val="6"/>
            <w:tcBorders>
              <w:top w:val="nil"/>
              <w:left w:val="nil"/>
              <w:bottom w:val="nil"/>
              <w:right w:val="nil"/>
            </w:tcBorders>
            <w:shd w:val="clear" w:color="000000" w:fill="C5D9F1"/>
            <w:vAlign w:val="center"/>
          </w:tcPr>
          <w:p w:rsidR="001268AF" w:rsidRPr="006929E0" w:rsidRDefault="001268AF" w:rsidP="00D42965">
            <w:pPr>
              <w:tabs>
                <w:tab w:val="left" w:pos="2315"/>
                <w:tab w:val="left" w:pos="2615"/>
              </w:tabs>
              <w:spacing w:line="240" w:lineRule="auto"/>
              <w:rPr>
                <w:rFonts w:eastAsia="Times New Roman" w:cs="Arial"/>
                <w:color w:val="000000"/>
                <w:sz w:val="16"/>
                <w:szCs w:val="16"/>
                <w:lang w:eastAsia="cs-CZ"/>
              </w:rPr>
            </w:pPr>
          </w:p>
        </w:tc>
        <w:tc>
          <w:tcPr>
            <w:tcW w:w="3179" w:type="dxa"/>
            <w:gridSpan w:val="6"/>
            <w:tcBorders>
              <w:top w:val="nil"/>
              <w:left w:val="nil"/>
              <w:bottom w:val="nil"/>
              <w:right w:val="nil"/>
            </w:tcBorders>
            <w:shd w:val="clear" w:color="000000" w:fill="C5D9F1"/>
            <w:vAlign w:val="center"/>
          </w:tcPr>
          <w:p w:rsidR="001268AF" w:rsidRPr="006929E0" w:rsidRDefault="001268AF" w:rsidP="00D42965">
            <w:pPr>
              <w:tabs>
                <w:tab w:val="left" w:pos="2315"/>
                <w:tab w:val="left" w:pos="2615"/>
              </w:tabs>
              <w:spacing w:line="240" w:lineRule="auto"/>
              <w:rPr>
                <w:rFonts w:eastAsia="Times New Roman" w:cs="Arial"/>
                <w:color w:val="000000"/>
                <w:sz w:val="16"/>
                <w:szCs w:val="16"/>
                <w:lang w:eastAsia="cs-CZ"/>
              </w:rPr>
            </w:pPr>
          </w:p>
        </w:tc>
      </w:tr>
      <w:tr w:rsidR="00B73842" w:rsidRPr="006929E0"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Podnikatelské z ČR</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23 592</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22 467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20 226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21 597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23 648</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26 328</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47%</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36%</w:t>
            </w:r>
          </w:p>
        </w:tc>
      </w:tr>
      <w:tr w:rsidR="00B73842" w:rsidRPr="006929E0"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Podnikatelské </w:t>
            </w:r>
            <w:r>
              <w:rPr>
                <w:rFonts w:cs="Arial"/>
                <w:color w:val="000000"/>
                <w:sz w:val="16"/>
                <w:szCs w:val="16"/>
              </w:rPr>
              <w:br/>
              <w:t>ze zahraničí</w:t>
            </w:r>
          </w:p>
        </w:tc>
        <w:tc>
          <w:tcPr>
            <w:tcW w:w="700"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2 707</w:t>
            </w:r>
          </w:p>
        </w:tc>
        <w:tc>
          <w:tcPr>
            <w:tcW w:w="701" w:type="dxa"/>
            <w:gridSpan w:val="2"/>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3 467</w:t>
            </w:r>
          </w:p>
        </w:tc>
        <w:tc>
          <w:tcPr>
            <w:tcW w:w="701"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4 431</w:t>
            </w:r>
          </w:p>
        </w:tc>
        <w:tc>
          <w:tcPr>
            <w:tcW w:w="700"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5 160</w:t>
            </w:r>
          </w:p>
        </w:tc>
        <w:tc>
          <w:tcPr>
            <w:tcW w:w="701"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6 242</w:t>
            </w:r>
          </w:p>
        </w:tc>
        <w:tc>
          <w:tcPr>
            <w:tcW w:w="701" w:type="dxa"/>
            <w:tcBorders>
              <w:top w:val="nil"/>
              <w:left w:val="nil"/>
              <w:bottom w:val="nil"/>
              <w:right w:val="dotted" w:sz="4" w:space="0" w:color="auto"/>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7 136</w:t>
            </w:r>
          </w:p>
        </w:tc>
        <w:tc>
          <w:tcPr>
            <w:tcW w:w="578" w:type="dxa"/>
            <w:gridSpan w:val="2"/>
            <w:tcBorders>
              <w:top w:val="nil"/>
              <w:left w:val="dotted" w:sz="4" w:space="0" w:color="auto"/>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5%</w:t>
            </w:r>
          </w:p>
        </w:tc>
        <w:tc>
          <w:tcPr>
            <w:tcW w:w="579"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7%</w:t>
            </w:r>
          </w:p>
        </w:tc>
        <w:tc>
          <w:tcPr>
            <w:tcW w:w="579"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9%</w:t>
            </w:r>
          </w:p>
        </w:tc>
        <w:tc>
          <w:tcPr>
            <w:tcW w:w="579"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10%</w:t>
            </w:r>
          </w:p>
        </w:tc>
        <w:tc>
          <w:tcPr>
            <w:tcW w:w="579"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10%</w:t>
            </w:r>
          </w:p>
        </w:tc>
        <w:tc>
          <w:tcPr>
            <w:tcW w:w="579" w:type="dxa"/>
            <w:tcBorders>
              <w:top w:val="nil"/>
              <w:left w:val="nil"/>
              <w:bottom w:val="nil"/>
              <w:right w:val="nil"/>
            </w:tcBorders>
            <w:shd w:val="clear" w:color="auto" w:fill="auto"/>
            <w:noWrap/>
            <w:vAlign w:val="center"/>
            <w:hideMark/>
          </w:tcPr>
          <w:p w:rsidR="00B73842" w:rsidRDefault="00B73842" w:rsidP="004766FB">
            <w:pPr>
              <w:jc w:val="right"/>
              <w:rPr>
                <w:rFonts w:cs="Arial"/>
                <w:color w:val="000000"/>
                <w:sz w:val="16"/>
                <w:szCs w:val="16"/>
              </w:rPr>
            </w:pPr>
            <w:r>
              <w:rPr>
                <w:rFonts w:cs="Arial"/>
                <w:color w:val="000000"/>
                <w:sz w:val="16"/>
                <w:szCs w:val="16"/>
              </w:rPr>
              <w:t>10%</w:t>
            </w:r>
          </w:p>
        </w:tc>
      </w:tr>
      <w:tr w:rsidR="00B73842" w:rsidRPr="006929E0"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Veřejné z ČR</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22 362</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22 342</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24 301</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23 539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26 179</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26 616</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37%</w:t>
            </w:r>
          </w:p>
        </w:tc>
      </w:tr>
      <w:tr w:rsidR="00B73842" w:rsidRPr="006929E0"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Veřejné ze zahraničí</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925</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964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1 305</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2 216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6 093</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11 622</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w:t>
            </w:r>
          </w:p>
        </w:tc>
      </w:tr>
      <w:tr w:rsidR="00B73842" w:rsidRPr="006929E0"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Ostatní z ČR</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423</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631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612</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461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591</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658</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r>
      <w:tr w:rsidR="00FB625C" w:rsidRPr="00A3037E" w:rsidTr="001268AF">
        <w:trPr>
          <w:trHeight w:val="244"/>
        </w:trPr>
        <w:tc>
          <w:tcPr>
            <w:tcW w:w="9535" w:type="dxa"/>
            <w:gridSpan w:val="15"/>
            <w:tcBorders>
              <w:top w:val="nil"/>
              <w:left w:val="nil"/>
              <w:bottom w:val="nil"/>
              <w:right w:val="nil"/>
            </w:tcBorders>
            <w:shd w:val="clear" w:color="000000" w:fill="C5D9F1"/>
            <w:noWrap/>
            <w:vAlign w:val="center"/>
            <w:hideMark/>
          </w:tcPr>
          <w:p w:rsidR="00FB625C" w:rsidRPr="00A3037E" w:rsidRDefault="00FB625C" w:rsidP="00A3037E">
            <w:pPr>
              <w:spacing w:line="240" w:lineRule="auto"/>
              <w:rPr>
                <w:rFonts w:eastAsia="Times New Roman" w:cs="Arial"/>
                <w:b/>
                <w:color w:val="000000"/>
                <w:sz w:val="16"/>
                <w:szCs w:val="16"/>
                <w:lang w:eastAsia="cs-CZ"/>
              </w:rPr>
            </w:pPr>
            <w:r w:rsidRPr="00A3037E">
              <w:rPr>
                <w:rFonts w:eastAsia="Times New Roman" w:cs="Arial"/>
                <w:b/>
                <w:color w:val="000000"/>
                <w:sz w:val="16"/>
                <w:szCs w:val="16"/>
                <w:lang w:eastAsia="cs-CZ"/>
              </w:rPr>
              <w:t>podle sektoru provádění VaV </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Podnikatelský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29 345</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29 249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28 743</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30 564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34 717</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38 790</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54%</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Vládní</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11 306</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11 325</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11 836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11 469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12 403</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13 322</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Vysokoškolský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9 158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9 090</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10 022</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10 616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15 288</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19 879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Soukromý neziskový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199</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274</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324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345</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369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r>
      <w:tr w:rsidR="00FB625C" w:rsidRPr="00A3037E" w:rsidTr="001268AF">
        <w:trPr>
          <w:trHeight w:val="244"/>
        </w:trPr>
        <w:tc>
          <w:tcPr>
            <w:tcW w:w="9535" w:type="dxa"/>
            <w:gridSpan w:val="15"/>
            <w:tcBorders>
              <w:top w:val="nil"/>
              <w:left w:val="nil"/>
              <w:bottom w:val="nil"/>
              <w:right w:val="nil"/>
            </w:tcBorders>
            <w:shd w:val="clear" w:color="000000" w:fill="C5D9F1"/>
            <w:noWrap/>
            <w:vAlign w:val="center"/>
            <w:hideMark/>
          </w:tcPr>
          <w:p w:rsidR="00FB625C" w:rsidRPr="00A3037E" w:rsidRDefault="00FB625C" w:rsidP="00A3037E">
            <w:pPr>
              <w:spacing w:line="240" w:lineRule="auto"/>
              <w:rPr>
                <w:rFonts w:eastAsia="Times New Roman" w:cs="Arial"/>
                <w:b/>
                <w:color w:val="000000"/>
                <w:sz w:val="16"/>
                <w:szCs w:val="16"/>
                <w:lang w:eastAsia="cs-CZ"/>
              </w:rPr>
            </w:pPr>
            <w:r w:rsidRPr="00A3037E">
              <w:rPr>
                <w:rFonts w:eastAsia="Times New Roman" w:cs="Arial"/>
                <w:b/>
                <w:color w:val="000000"/>
                <w:sz w:val="16"/>
                <w:szCs w:val="16"/>
                <w:lang w:eastAsia="cs-CZ"/>
              </w:rPr>
              <w:t xml:space="preserve">podle typu VaV činnosti </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Základní výzkum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16 152</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16 288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16 918</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15 860</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18 050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21 719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30%</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Aplikovaný výzkum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13 803</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14 350</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13 310</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17 755</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22 665</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26 246</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36%</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Experimentální vývoj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20 054</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19 234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20 647</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19 359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22 038</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24 396</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37%</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34%</w:t>
            </w:r>
          </w:p>
        </w:tc>
      </w:tr>
      <w:tr w:rsidR="00FB625C" w:rsidRPr="00A3037E" w:rsidTr="001268AF">
        <w:trPr>
          <w:trHeight w:val="244"/>
        </w:trPr>
        <w:tc>
          <w:tcPr>
            <w:tcW w:w="9535" w:type="dxa"/>
            <w:gridSpan w:val="15"/>
            <w:tcBorders>
              <w:top w:val="nil"/>
              <w:left w:val="nil"/>
              <w:bottom w:val="nil"/>
            </w:tcBorders>
            <w:shd w:val="clear" w:color="000000" w:fill="C5D9F1"/>
            <w:noWrap/>
            <w:vAlign w:val="center"/>
            <w:hideMark/>
          </w:tcPr>
          <w:p w:rsidR="00FB625C" w:rsidRPr="00A3037E" w:rsidRDefault="00FB625C" w:rsidP="00A3037E">
            <w:pPr>
              <w:spacing w:line="240" w:lineRule="auto"/>
              <w:rPr>
                <w:rFonts w:eastAsia="Times New Roman" w:cs="Arial"/>
                <w:b/>
                <w:color w:val="000000"/>
                <w:sz w:val="16"/>
                <w:szCs w:val="16"/>
                <w:lang w:eastAsia="cs-CZ"/>
              </w:rPr>
            </w:pPr>
            <w:r w:rsidRPr="00A3037E">
              <w:rPr>
                <w:rFonts w:eastAsia="Times New Roman" w:cs="Arial"/>
                <w:b/>
                <w:color w:val="000000"/>
                <w:sz w:val="16"/>
                <w:szCs w:val="16"/>
                <w:lang w:eastAsia="cs-CZ"/>
              </w:rPr>
              <w:t>podle vědních oblastí</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Přírodní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13 755</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12 788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13 512</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14 398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18 055</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22 276</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31%</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Technické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26 747</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27 131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26 801</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27 935</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32 841</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37 000</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51%</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Lékařské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4 303</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4 343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4 996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4 758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4 999</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5 856</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Zemědělské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1 988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2 014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2 124</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1 941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2 288</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2 384</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Sociální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1 781</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2 033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1 684</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2 068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2 625</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2 667</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Humanitní vědy</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1 434</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1 563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1 758</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1 874</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1 946</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2 177</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r>
      <w:tr w:rsidR="00FB625C" w:rsidRPr="00A3037E" w:rsidTr="001268AF">
        <w:trPr>
          <w:trHeight w:val="244"/>
        </w:trPr>
        <w:tc>
          <w:tcPr>
            <w:tcW w:w="9535" w:type="dxa"/>
            <w:gridSpan w:val="15"/>
            <w:tcBorders>
              <w:top w:val="nil"/>
              <w:left w:val="nil"/>
              <w:bottom w:val="nil"/>
              <w:right w:val="nil"/>
            </w:tcBorders>
            <w:shd w:val="clear" w:color="000000" w:fill="C5D9F1"/>
            <w:noWrap/>
            <w:vAlign w:val="center"/>
            <w:hideMark/>
          </w:tcPr>
          <w:p w:rsidR="00FB625C" w:rsidRPr="00A3037E" w:rsidRDefault="00FB625C" w:rsidP="00A3037E">
            <w:pPr>
              <w:spacing w:line="240" w:lineRule="auto"/>
              <w:rPr>
                <w:rFonts w:eastAsia="Times New Roman" w:cs="Arial"/>
                <w:b/>
                <w:color w:val="000000"/>
                <w:sz w:val="16"/>
                <w:szCs w:val="16"/>
                <w:lang w:eastAsia="cs-CZ"/>
              </w:rPr>
            </w:pPr>
            <w:r w:rsidRPr="00A3037E">
              <w:rPr>
                <w:rFonts w:eastAsia="Times New Roman" w:cs="Arial"/>
                <w:b/>
                <w:color w:val="000000"/>
                <w:sz w:val="16"/>
                <w:szCs w:val="16"/>
                <w:lang w:eastAsia="cs-CZ"/>
              </w:rPr>
              <w:t>podle krajů ČR</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Praha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22 914</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22 481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20 906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20 998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23 180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25 337</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37%</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35%</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Středočeský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6 348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5 632</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5 649</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5 956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6 234</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6 090</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Jihočeský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1 787</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1 967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2 123</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2 116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2 169</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2 570</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Plzeňský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1 394</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1 767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1 599</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2 295</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3 130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3 779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Karlovarský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78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92</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106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124</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204</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0%</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Ústecký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692</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808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652</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696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784</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1 118</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 xml:space="preserve">Liberecký </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1 312</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1 517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1 329</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1 449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1 861</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2 850</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Královéhradecký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1 268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1 213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1 651</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1 568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1 675</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1 599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Pardubický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1 956</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1 916</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1 866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2 113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2 470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2 781</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Vysočina</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538</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698</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646</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743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780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929</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Jihomoravský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5 726</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6 047</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8 127</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8 411</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11 170</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14 654</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11%</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12%</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16%</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18%</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20%</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Olomoucký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1 511</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1 433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1 620</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1 599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2 126</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3 558</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w:t>
            </w:r>
          </w:p>
        </w:tc>
      </w:tr>
      <w:tr w:rsidR="00B73842" w:rsidRPr="00A3037E" w:rsidTr="001268AF">
        <w:trPr>
          <w:trHeight w:val="244"/>
        </w:trPr>
        <w:tc>
          <w:tcPr>
            <w:tcW w:w="1858" w:type="dxa"/>
            <w:tcBorders>
              <w:top w:val="nil"/>
              <w:left w:val="nil"/>
              <w:bottom w:val="nil"/>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Zlínský</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1 721</w:t>
            </w:r>
          </w:p>
        </w:tc>
        <w:tc>
          <w:tcPr>
            <w:tcW w:w="701" w:type="dxa"/>
            <w:gridSpan w:val="2"/>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1 633</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1 583</w:t>
            </w:r>
          </w:p>
        </w:tc>
        <w:tc>
          <w:tcPr>
            <w:tcW w:w="700"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1 809</w:t>
            </w:r>
          </w:p>
        </w:tc>
        <w:tc>
          <w:tcPr>
            <w:tcW w:w="701"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2 109</w:t>
            </w:r>
          </w:p>
        </w:tc>
        <w:tc>
          <w:tcPr>
            <w:tcW w:w="701" w:type="dxa"/>
            <w:tcBorders>
              <w:top w:val="nil"/>
              <w:left w:val="nil"/>
              <w:bottom w:val="nil"/>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2 313</w:t>
            </w:r>
          </w:p>
        </w:tc>
        <w:tc>
          <w:tcPr>
            <w:tcW w:w="578" w:type="dxa"/>
            <w:gridSpan w:val="2"/>
            <w:tcBorders>
              <w:top w:val="nil"/>
              <w:left w:val="dotted" w:sz="4" w:space="0" w:color="auto"/>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c>
          <w:tcPr>
            <w:tcW w:w="579" w:type="dxa"/>
            <w:tcBorders>
              <w:top w:val="nil"/>
              <w:left w:val="nil"/>
              <w:bottom w:val="nil"/>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w:t>
            </w:r>
          </w:p>
        </w:tc>
      </w:tr>
      <w:tr w:rsidR="00B73842" w:rsidRPr="00A3037E" w:rsidTr="001268AF">
        <w:trPr>
          <w:trHeight w:val="244"/>
        </w:trPr>
        <w:tc>
          <w:tcPr>
            <w:tcW w:w="1858" w:type="dxa"/>
            <w:tcBorders>
              <w:top w:val="nil"/>
              <w:left w:val="nil"/>
              <w:bottom w:val="single" w:sz="8" w:space="0" w:color="auto"/>
              <w:right w:val="nil"/>
            </w:tcBorders>
            <w:shd w:val="clear" w:color="auto" w:fill="auto"/>
            <w:noWrap/>
            <w:vAlign w:val="bottom"/>
            <w:hideMark/>
          </w:tcPr>
          <w:p w:rsidR="00B73842" w:rsidRDefault="00B73842">
            <w:pPr>
              <w:rPr>
                <w:rFonts w:cs="Arial"/>
                <w:color w:val="000000"/>
                <w:sz w:val="16"/>
                <w:szCs w:val="16"/>
              </w:rPr>
            </w:pPr>
            <w:r>
              <w:rPr>
                <w:rFonts w:cs="Arial"/>
                <w:color w:val="000000"/>
                <w:sz w:val="16"/>
                <w:szCs w:val="16"/>
              </w:rPr>
              <w:t>Moravskoslezský</w:t>
            </w:r>
          </w:p>
        </w:tc>
        <w:tc>
          <w:tcPr>
            <w:tcW w:w="700"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2 765</w:t>
            </w:r>
          </w:p>
        </w:tc>
        <w:tc>
          <w:tcPr>
            <w:tcW w:w="701" w:type="dxa"/>
            <w:gridSpan w:val="2"/>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2 661</w:t>
            </w:r>
          </w:p>
        </w:tc>
        <w:tc>
          <w:tcPr>
            <w:tcW w:w="701"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3 030</w:t>
            </w:r>
          </w:p>
        </w:tc>
        <w:tc>
          <w:tcPr>
            <w:tcW w:w="700"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3 114</w:t>
            </w:r>
          </w:p>
        </w:tc>
        <w:tc>
          <w:tcPr>
            <w:tcW w:w="701"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4 941</w:t>
            </w:r>
          </w:p>
        </w:tc>
        <w:tc>
          <w:tcPr>
            <w:tcW w:w="701" w:type="dxa"/>
            <w:tcBorders>
              <w:top w:val="nil"/>
              <w:left w:val="nil"/>
              <w:bottom w:val="single" w:sz="8" w:space="0" w:color="auto"/>
              <w:right w:val="dotted" w:sz="4" w:space="0" w:color="auto"/>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4 578</w:t>
            </w:r>
          </w:p>
        </w:tc>
        <w:tc>
          <w:tcPr>
            <w:tcW w:w="578" w:type="dxa"/>
            <w:gridSpan w:val="2"/>
            <w:tcBorders>
              <w:top w:val="nil"/>
              <w:left w:val="dotted" w:sz="4" w:space="0" w:color="auto"/>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w:t>
            </w:r>
          </w:p>
        </w:tc>
        <w:tc>
          <w:tcPr>
            <w:tcW w:w="579"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5%</w:t>
            </w:r>
          </w:p>
        </w:tc>
        <w:tc>
          <w:tcPr>
            <w:tcW w:w="579"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w:t>
            </w:r>
          </w:p>
        </w:tc>
        <w:tc>
          <w:tcPr>
            <w:tcW w:w="579"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w:t>
            </w:r>
          </w:p>
        </w:tc>
        <w:tc>
          <w:tcPr>
            <w:tcW w:w="579"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8%</w:t>
            </w:r>
          </w:p>
        </w:tc>
        <w:tc>
          <w:tcPr>
            <w:tcW w:w="579" w:type="dxa"/>
            <w:tcBorders>
              <w:top w:val="nil"/>
              <w:left w:val="nil"/>
              <w:bottom w:val="single" w:sz="8" w:space="0" w:color="auto"/>
              <w:right w:val="nil"/>
            </w:tcBorders>
            <w:shd w:val="clear" w:color="auto" w:fill="auto"/>
            <w:noWrap/>
            <w:vAlign w:val="bottom"/>
            <w:hideMark/>
          </w:tcPr>
          <w:p w:rsidR="00B73842" w:rsidRDefault="00B73842">
            <w:pPr>
              <w:jc w:val="right"/>
              <w:rPr>
                <w:rFonts w:cs="Arial"/>
                <w:color w:val="000000"/>
                <w:sz w:val="16"/>
                <w:szCs w:val="16"/>
              </w:rPr>
            </w:pPr>
            <w:r>
              <w:rPr>
                <w:rFonts w:cs="Arial"/>
                <w:color w:val="000000"/>
                <w:sz w:val="16"/>
                <w:szCs w:val="16"/>
              </w:rPr>
              <w:t>6%</w:t>
            </w:r>
          </w:p>
        </w:tc>
      </w:tr>
    </w:tbl>
    <w:p w:rsidR="00AF3BC0" w:rsidRDefault="00AF3BC0" w:rsidP="00AF3BC0">
      <w:bookmarkStart w:id="3" w:name="_Toc246493281"/>
    </w:p>
    <w:p w:rsidR="00731B8C" w:rsidRPr="0018209D" w:rsidRDefault="00FF75DD" w:rsidP="00731B8C">
      <w:pPr>
        <w:pStyle w:val="Titulek"/>
        <w:rPr>
          <w:sz w:val="18"/>
          <w:szCs w:val="18"/>
        </w:rPr>
      </w:pPr>
      <w:bookmarkStart w:id="4" w:name="_Toc343782427"/>
      <w:r w:rsidRPr="0018209D">
        <w:rPr>
          <w:sz w:val="18"/>
          <w:szCs w:val="18"/>
        </w:rPr>
        <w:t xml:space="preserve">Graf </w:t>
      </w:r>
      <w:r w:rsidR="00C8514E" w:rsidRPr="0018209D">
        <w:rPr>
          <w:sz w:val="18"/>
          <w:szCs w:val="18"/>
        </w:rPr>
        <w:fldChar w:fldCharType="begin"/>
      </w:r>
      <w:r w:rsidRPr="0018209D">
        <w:rPr>
          <w:sz w:val="18"/>
          <w:szCs w:val="18"/>
        </w:rPr>
        <w:instrText xml:space="preserve"> STYLEREF 1 \s </w:instrText>
      </w:r>
      <w:r w:rsidR="00C8514E" w:rsidRPr="0018209D">
        <w:rPr>
          <w:sz w:val="18"/>
          <w:szCs w:val="18"/>
        </w:rPr>
        <w:fldChar w:fldCharType="separate"/>
      </w:r>
      <w:r w:rsidR="00CF5AFD">
        <w:rPr>
          <w:noProof/>
          <w:sz w:val="18"/>
          <w:szCs w:val="18"/>
        </w:rPr>
        <w:t>4</w:t>
      </w:r>
      <w:r w:rsidR="00C8514E" w:rsidRPr="0018209D">
        <w:rPr>
          <w:sz w:val="18"/>
          <w:szCs w:val="18"/>
        </w:rPr>
        <w:fldChar w:fldCharType="end"/>
      </w:r>
      <w:r w:rsidRPr="0018209D">
        <w:rPr>
          <w:sz w:val="18"/>
          <w:szCs w:val="18"/>
        </w:rPr>
        <w:t>.</w:t>
      </w:r>
      <w:r w:rsidR="00C8514E" w:rsidRPr="0018209D">
        <w:rPr>
          <w:sz w:val="18"/>
          <w:szCs w:val="18"/>
        </w:rPr>
        <w:fldChar w:fldCharType="begin"/>
      </w:r>
      <w:r w:rsidR="00C8514E" w:rsidRPr="0018209D">
        <w:rPr>
          <w:sz w:val="18"/>
          <w:szCs w:val="18"/>
        </w:rPr>
        <w:instrText xml:space="preserve"> SEQ Graf \* ARABIC \s 1 </w:instrText>
      </w:r>
      <w:r w:rsidR="00C8514E" w:rsidRPr="0018209D">
        <w:rPr>
          <w:sz w:val="18"/>
          <w:szCs w:val="18"/>
        </w:rPr>
        <w:fldChar w:fldCharType="separate"/>
      </w:r>
      <w:r w:rsidR="00CF5AFD">
        <w:rPr>
          <w:noProof/>
          <w:sz w:val="18"/>
          <w:szCs w:val="18"/>
        </w:rPr>
        <w:t>2</w:t>
      </w:r>
      <w:r w:rsidR="00C8514E" w:rsidRPr="0018209D">
        <w:rPr>
          <w:sz w:val="18"/>
          <w:szCs w:val="18"/>
        </w:rPr>
        <w:fldChar w:fldCharType="end"/>
      </w:r>
      <w:r w:rsidRPr="0018209D">
        <w:rPr>
          <w:sz w:val="18"/>
          <w:szCs w:val="18"/>
        </w:rPr>
        <w:t>: Celkové výdaje na VaV jako % HDP</w:t>
      </w:r>
      <w:bookmarkEnd w:id="3"/>
      <w:r w:rsidR="00A37647" w:rsidRPr="0018209D">
        <w:rPr>
          <w:sz w:val="18"/>
          <w:szCs w:val="18"/>
        </w:rPr>
        <w:t>, 201</w:t>
      </w:r>
      <w:r w:rsidR="00DA5238" w:rsidRPr="0018209D">
        <w:rPr>
          <w:sz w:val="18"/>
          <w:szCs w:val="18"/>
        </w:rPr>
        <w:t>1</w:t>
      </w:r>
      <w:bookmarkEnd w:id="4"/>
    </w:p>
    <w:p w:rsidR="00731B8C" w:rsidRPr="00717F0A" w:rsidRDefault="00DA5238" w:rsidP="00731B8C">
      <w:r w:rsidRPr="00BF46E6">
        <w:rPr>
          <w:noProof/>
          <w:lang w:eastAsia="cs-CZ"/>
        </w:rPr>
        <w:pict>
          <v:shape id="_x0000_i1026" type="#_x0000_t75" style="width:483.75pt;height:154.5pt;visibility:visible">
            <v:imagedata r:id="rId9" o:title=""/>
          </v:shape>
        </w:pict>
      </w:r>
    </w:p>
    <w:p w:rsidR="00FF75DD" w:rsidRPr="00717F0A" w:rsidRDefault="00731B8C" w:rsidP="00731B8C">
      <w:pPr>
        <w:pStyle w:val="poznamka"/>
        <w:rPr>
          <w:sz w:val="16"/>
          <w:szCs w:val="20"/>
        </w:rPr>
      </w:pPr>
      <w:r w:rsidRPr="00717F0A">
        <w:t>** Údaje za rok 20</w:t>
      </w:r>
      <w:r w:rsidR="00DA5238">
        <w:t>10</w:t>
      </w:r>
      <w:r w:rsidRPr="00717F0A">
        <w:t xml:space="preserve">; </w:t>
      </w:r>
      <w:r w:rsidR="00FF75DD" w:rsidRPr="00717F0A">
        <w:t>*</w:t>
      </w:r>
      <w:r w:rsidRPr="00717F0A">
        <w:t>*</w:t>
      </w:r>
      <w:r w:rsidR="00FF75DD" w:rsidRPr="00717F0A">
        <w:t xml:space="preserve"> Údaje za rok 2007</w:t>
      </w:r>
    </w:p>
    <w:p w:rsidR="00FF75DD" w:rsidRPr="00717F0A" w:rsidRDefault="00FF75DD" w:rsidP="00731B8C">
      <w:pPr>
        <w:pStyle w:val="zdroj"/>
      </w:pPr>
      <w:r w:rsidRPr="00717F0A">
        <w:t xml:space="preserve">Zdroj: OECD </w:t>
      </w:r>
      <w:r w:rsidR="0026473D" w:rsidRPr="00717F0A">
        <w:t>MSTI 201</w:t>
      </w:r>
      <w:r w:rsidR="00DA5238">
        <w:t>3</w:t>
      </w:r>
      <w:r w:rsidR="0026473D" w:rsidRPr="00717F0A">
        <w:t>–1</w:t>
      </w:r>
      <w:r w:rsidRPr="00717F0A">
        <w:t>, Eurostat a dopočty ČSÚ</w:t>
      </w:r>
    </w:p>
    <w:p w:rsidR="00FF75DD" w:rsidRDefault="00FF75DD" w:rsidP="00FF75DD">
      <w:pPr>
        <w:pStyle w:val="Nadpis2"/>
        <w:numPr>
          <w:ilvl w:val="1"/>
          <w:numId w:val="2"/>
        </w:numPr>
        <w:ind w:left="431" w:hanging="431"/>
      </w:pPr>
      <w:r w:rsidRPr="00717F0A">
        <w:rPr>
          <w:i/>
          <w:sz w:val="14"/>
          <w:szCs w:val="14"/>
        </w:rPr>
        <w:br w:type="page"/>
      </w:r>
      <w:r w:rsidR="00391840">
        <w:lastRenderedPageBreak/>
        <w:t>Výdaje na výzkum</w:t>
      </w:r>
      <w:r w:rsidRPr="00717F0A">
        <w:t xml:space="preserve"> a vývoj financované z</w:t>
      </w:r>
      <w:r w:rsidR="00E6359C">
        <w:t> podnikatelských zdrojů z ČR</w:t>
      </w:r>
    </w:p>
    <w:p w:rsidR="005D242C" w:rsidRPr="005D242C" w:rsidRDefault="005D242C" w:rsidP="005D242C"/>
    <w:p w:rsidR="005D242C" w:rsidRDefault="005D242C" w:rsidP="00B237D3">
      <w:pPr>
        <w:pStyle w:val="Odstavecseseznamem"/>
        <w:spacing w:after="80" w:line="276" w:lineRule="auto"/>
        <w:ind w:left="425" w:hanging="357"/>
        <w:contextualSpacing w:val="0"/>
      </w:pPr>
      <w:bookmarkStart w:id="5" w:name="_Toc246493282"/>
      <w:bookmarkStart w:id="6" w:name="_Toc343782428"/>
      <w:r>
        <w:t>Podnikatelské zdroje z České republiky jsou spolu se státním rozpočtem nejvýznamnějším zdrojem financování VaV u nás. V roce 2012 se podílely na financování VaV 26,3 mld. Kč</w:t>
      </w:r>
      <w:r w:rsidR="00606909">
        <w:t xml:space="preserve"> (36 %)</w:t>
      </w:r>
      <w:r w:rsidR="006217A4">
        <w:t>. Šlo o slušný 11</w:t>
      </w:r>
      <w:r>
        <w:t>% meziroční nárůst.</w:t>
      </w:r>
    </w:p>
    <w:p w:rsidR="005D242C" w:rsidRDefault="005D242C" w:rsidP="00B237D3">
      <w:pPr>
        <w:pStyle w:val="Odstavecseseznamem"/>
        <w:spacing w:after="80" w:line="276" w:lineRule="auto"/>
        <w:ind w:left="425" w:hanging="357"/>
        <w:contextualSpacing w:val="0"/>
      </w:pPr>
      <w:r>
        <w:t xml:space="preserve">Téměř celý obnos z  podnikatelských zdrojů z ČR směřoval </w:t>
      </w:r>
      <w:r w:rsidR="00606909">
        <w:t xml:space="preserve">zpět </w:t>
      </w:r>
      <w:r>
        <w:t xml:space="preserve">na financování </w:t>
      </w:r>
      <w:r w:rsidR="00606909">
        <w:t>VaV v podnikatelském sektoru (25,</w:t>
      </w:r>
      <w:r>
        <w:t>5 mld. Kč</w:t>
      </w:r>
      <w:r w:rsidR="00606909">
        <w:t>; 97 %</w:t>
      </w:r>
      <w:r>
        <w:t xml:space="preserve">). V rámci podnikatelského sektoru bylo z této částky vynaloženo více peněz na financování VaV </w:t>
      </w:r>
      <w:r w:rsidR="00606909">
        <w:t xml:space="preserve">prováděného </w:t>
      </w:r>
      <w:r>
        <w:t>v</w:t>
      </w:r>
      <w:r w:rsidR="004F6E97">
        <w:t> zahraničních afilacích</w:t>
      </w:r>
      <w:r>
        <w:t>, než na VaV v domácích soukromých podnicích, a to v poměru 5:4.</w:t>
      </w:r>
    </w:p>
    <w:p w:rsidR="005D242C" w:rsidRDefault="005D242C" w:rsidP="00B237D3">
      <w:pPr>
        <w:pStyle w:val="Odstavecseseznamem"/>
        <w:spacing w:after="80" w:line="276" w:lineRule="auto"/>
        <w:ind w:left="425" w:hanging="357"/>
        <w:contextualSpacing w:val="0"/>
      </w:pPr>
      <w:r>
        <w:t xml:space="preserve">Tuzemské podniky vynakládají velmi málo prostředků na spolupráci s vysokými školami a pracovišti vládního sektoru. Z podnikatelských zdrojů z ČR tak putovalo v roce 2012 do </w:t>
      </w:r>
      <w:r w:rsidR="00606909">
        <w:t>VaV</w:t>
      </w:r>
      <w:r>
        <w:t xml:space="preserve"> v těchto dvou sektorech jen necelých 700 mil. Kč, což tvořilo pouhá 3 % podnikatelských zdrojů z ČR vynaložených na VaV</w:t>
      </w:r>
      <w:r w:rsidR="00606909">
        <w:t xml:space="preserve"> provedený na území ČR</w:t>
      </w:r>
      <w:r>
        <w:t>.</w:t>
      </w:r>
    </w:p>
    <w:p w:rsidR="00D6418A" w:rsidRDefault="00D6418A" w:rsidP="00B237D3">
      <w:pPr>
        <w:pStyle w:val="Odstavecseseznamem"/>
        <w:spacing w:after="80" w:line="276" w:lineRule="auto"/>
        <w:ind w:left="425" w:hanging="357"/>
        <w:contextualSpacing w:val="0"/>
      </w:pPr>
      <w:r>
        <w:t>Na VaV ve vysokoškolském sektoru při</w:t>
      </w:r>
      <w:r w:rsidR="003D0E2E">
        <w:t>teklo</w:t>
      </w:r>
      <w:r>
        <w:t xml:space="preserve"> </w:t>
      </w:r>
      <w:r w:rsidR="003D0E2E">
        <w:t xml:space="preserve">v roce 2012 </w:t>
      </w:r>
      <w:r>
        <w:t>z</w:t>
      </w:r>
      <w:r w:rsidRPr="00D6418A">
        <w:t xml:space="preserve"> </w:t>
      </w:r>
      <w:r>
        <w:t>podnikatelských zdrojů z</w:t>
      </w:r>
      <w:r w:rsidR="003D0E2E">
        <w:t> </w:t>
      </w:r>
      <w:r>
        <w:t>ČR</w:t>
      </w:r>
      <w:r w:rsidR="006217A4">
        <w:t xml:space="preserve"> pouhých 158 </w:t>
      </w:r>
      <w:r w:rsidR="003D0E2E">
        <w:t>mil. Kč, tj. v podstatě stejná částka jako v předešlém roce. Většina ze zmíněných 158 mil. Kč byla vynaložena na VaV v oblasti přírodních věd (58 % z této částky).</w:t>
      </w:r>
    </w:p>
    <w:p w:rsidR="005D242C" w:rsidRDefault="005D242C" w:rsidP="00B237D3">
      <w:pPr>
        <w:pStyle w:val="Odstavecseseznamem"/>
        <w:spacing w:after="80" w:line="276" w:lineRule="auto"/>
        <w:ind w:left="425" w:hanging="357"/>
        <w:contextualSpacing w:val="0"/>
      </w:pPr>
      <w:r>
        <w:t>Většinu peněz vynakládají podniky na vlastní výzkum, největší obnos tak očekávaně směřuje do VaV v oblasti technických věd.</w:t>
      </w:r>
      <w:r w:rsidR="006217A4">
        <w:t xml:space="preserve"> Technické vědy mají výrazný 72</w:t>
      </w:r>
      <w:r>
        <w:t>% podíl na podnikatelských zdrojích z ČR vynaložených na VaV. Velmi nízká je naopak míra financování VaV v zemědělských, sociálních a humanitních vědách (dohromady jen</w:t>
      </w:r>
      <w:r w:rsidR="006217A4">
        <w:t xml:space="preserve"> 10</w:t>
      </w:r>
      <w:r>
        <w:t>% podíl).</w:t>
      </w:r>
    </w:p>
    <w:p w:rsidR="0071561F" w:rsidRDefault="0071561F" w:rsidP="00B237D3">
      <w:pPr>
        <w:pStyle w:val="Odstavecseseznamem"/>
        <w:spacing w:after="80" w:line="276" w:lineRule="auto"/>
        <w:ind w:left="425" w:hanging="357"/>
        <w:contextualSpacing w:val="0"/>
      </w:pPr>
      <w:r>
        <w:t xml:space="preserve">Zpracovatelský průmysl je odvětvím ekonomické činnosti, do kterého přitéká jednoznačně nejvíce peněz z podnikatelských zdrojů z ČR, v roce 2012 to bylo 15,7 mld. Kč. Z ostatních odvětví ekonomické činnosti byly z podnikatelských zdrojů z ČR značné částky vynaloženy na VaV v informačních a komunikačních </w:t>
      </w:r>
      <w:r w:rsidR="00E6359C">
        <w:t xml:space="preserve">činnostech </w:t>
      </w:r>
      <w:r>
        <w:t>(</w:t>
      </w:r>
      <w:r w:rsidR="00E6359C">
        <w:t>3,5 mld. Kč) a v odvětví výzkumu a vývoje (3 mld. Kč)</w:t>
      </w:r>
    </w:p>
    <w:p w:rsidR="005D242C" w:rsidRDefault="005D242C" w:rsidP="00B237D3">
      <w:pPr>
        <w:pStyle w:val="Odstavecseseznamem"/>
        <w:spacing w:after="80" w:line="276" w:lineRule="auto"/>
        <w:ind w:left="425" w:hanging="357"/>
        <w:contextualSpacing w:val="0"/>
      </w:pPr>
      <w:r>
        <w:t>Z hlediska regionálního členění bylo nejvíce peněz z podnikatelských zdrojů z ČR vydáno na VaV v Praze (6,2 mld. Kč) a Středočeském kraji (4,4 mld. Kč). Za vysokou částkou ve Středočeském kraji se skrývají především výdaje uskutečněné v automobilovém průmyslu.</w:t>
      </w:r>
    </w:p>
    <w:p w:rsidR="005D242C" w:rsidRDefault="005D242C" w:rsidP="00B237D3">
      <w:pPr>
        <w:pStyle w:val="Odstavecseseznamem"/>
        <w:spacing w:after="80" w:line="276" w:lineRule="auto"/>
        <w:ind w:left="425" w:hanging="357"/>
        <w:contextualSpacing w:val="0"/>
      </w:pPr>
      <w:r>
        <w:t>V</w:t>
      </w:r>
      <w:r w:rsidR="006217A4">
        <w:t>e státech Evropské unie bylo v </w:t>
      </w:r>
      <w:r>
        <w:t xml:space="preserve">roce </w:t>
      </w:r>
      <w:r w:rsidRPr="00944503">
        <w:t>201</w:t>
      </w:r>
      <w:r>
        <w:t>0 z podnikatelských zdroj</w:t>
      </w:r>
      <w:r w:rsidR="006217A4">
        <w:t>ů investováno na VaV celkem 127 </w:t>
      </w:r>
      <w:r>
        <w:t xml:space="preserve">mld. Eur, což se rovnalo </w:t>
      </w:r>
      <w:r w:rsidR="006217A4">
        <w:t>1</w:t>
      </w:r>
      <w:r>
        <w:t xml:space="preserve">% podílu na HDP. Největší částka z podnikatelských zdrojů </w:t>
      </w:r>
      <w:r w:rsidR="006217A4">
        <w:t xml:space="preserve">byla </w:t>
      </w:r>
      <w:r>
        <w:t>vyd</w:t>
      </w:r>
      <w:r w:rsidR="006217A4">
        <w:t>ána</w:t>
      </w:r>
      <w:r>
        <w:t xml:space="preserve"> na VaV v Německu (45 mld. Eur), v České republice bylo vydáno 1,1 mld</w:t>
      </w:r>
      <w:r w:rsidR="003D0E2E">
        <w:t>.</w:t>
      </w:r>
      <w:r>
        <w:t xml:space="preserve"> Eur (0,7 % EU28). </w:t>
      </w:r>
    </w:p>
    <w:p w:rsidR="005D242C" w:rsidRPr="00717F0A" w:rsidRDefault="005D242C" w:rsidP="005D242C">
      <w:pPr>
        <w:pStyle w:val="Odstavecseseznamem"/>
        <w:spacing w:line="276" w:lineRule="auto"/>
        <w:ind w:left="425" w:hanging="357"/>
      </w:pPr>
      <w:r>
        <w:t>V podílu na HDP dosáhly nejvyšších hodnot Finsko a Švédsko</w:t>
      </w:r>
      <w:r w:rsidRPr="00D876B5">
        <w:t xml:space="preserve"> </w:t>
      </w:r>
      <w:r>
        <w:t>(přes 2 % na HDP), nej</w:t>
      </w:r>
      <w:r w:rsidR="006217A4">
        <w:t>niž</w:t>
      </w:r>
      <w:r>
        <w:t xml:space="preserve">ších Polsko, Rumunsko a Bulharsko (pod 0,2 % na HDP). </w:t>
      </w:r>
    </w:p>
    <w:p w:rsidR="005D242C" w:rsidRDefault="005D242C" w:rsidP="00C30EA0">
      <w:pPr>
        <w:pStyle w:val="Titulek"/>
      </w:pPr>
    </w:p>
    <w:p w:rsidR="005D242C" w:rsidRDefault="005D242C" w:rsidP="00C30EA0">
      <w:pPr>
        <w:pStyle w:val="Titulek"/>
      </w:pPr>
    </w:p>
    <w:p w:rsidR="005D242C" w:rsidRDefault="005D242C" w:rsidP="00C30EA0">
      <w:pPr>
        <w:pStyle w:val="Titulek"/>
      </w:pPr>
    </w:p>
    <w:p w:rsidR="00FF75DD" w:rsidRPr="005D242C" w:rsidRDefault="00FF75DD" w:rsidP="00C30EA0">
      <w:pPr>
        <w:pStyle w:val="Titulek"/>
        <w:rPr>
          <w:sz w:val="18"/>
          <w:szCs w:val="18"/>
        </w:rPr>
      </w:pPr>
      <w:r w:rsidRPr="005D242C">
        <w:rPr>
          <w:sz w:val="18"/>
          <w:szCs w:val="18"/>
        </w:rPr>
        <w:t xml:space="preserve">Graf </w:t>
      </w:r>
      <w:r w:rsidR="00C8514E" w:rsidRPr="005D242C">
        <w:rPr>
          <w:sz w:val="18"/>
          <w:szCs w:val="18"/>
        </w:rPr>
        <w:fldChar w:fldCharType="begin"/>
      </w:r>
      <w:r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w:t>
      </w:r>
      <w:r w:rsidR="00C8514E" w:rsidRPr="005D242C">
        <w:rPr>
          <w:sz w:val="18"/>
          <w:szCs w:val="18"/>
        </w:rPr>
        <w:fldChar w:fldCharType="begin"/>
      </w:r>
      <w:r w:rsidR="00C8514E" w:rsidRPr="005D242C">
        <w:rPr>
          <w:sz w:val="18"/>
          <w:szCs w:val="18"/>
        </w:rPr>
        <w:instrText xml:space="preserve"> SEQ Graf \* ARABIC \s 1 </w:instrText>
      </w:r>
      <w:r w:rsidR="00C8514E" w:rsidRPr="005D242C">
        <w:rPr>
          <w:sz w:val="18"/>
          <w:szCs w:val="18"/>
        </w:rPr>
        <w:fldChar w:fldCharType="separate"/>
      </w:r>
      <w:r w:rsidR="00CF5AFD">
        <w:rPr>
          <w:noProof/>
          <w:sz w:val="18"/>
          <w:szCs w:val="18"/>
        </w:rPr>
        <w:t>3</w:t>
      </w:r>
      <w:r w:rsidR="00C8514E" w:rsidRPr="005D242C">
        <w:rPr>
          <w:sz w:val="18"/>
          <w:szCs w:val="18"/>
        </w:rPr>
        <w:fldChar w:fldCharType="end"/>
      </w:r>
      <w:r w:rsidR="00E6359C">
        <w:rPr>
          <w:sz w:val="18"/>
          <w:szCs w:val="18"/>
        </w:rPr>
        <w:t>: Výdaje na VaV financované z</w:t>
      </w:r>
      <w:r w:rsidRPr="005D242C">
        <w:rPr>
          <w:sz w:val="18"/>
          <w:szCs w:val="18"/>
        </w:rPr>
        <w:t xml:space="preserve"> podnikatelských zdrojů</w:t>
      </w:r>
      <w:r w:rsidR="00823F15" w:rsidRPr="005D242C">
        <w:rPr>
          <w:sz w:val="18"/>
          <w:szCs w:val="18"/>
        </w:rPr>
        <w:t xml:space="preserve"> </w:t>
      </w:r>
      <w:r w:rsidR="00E6359C">
        <w:rPr>
          <w:sz w:val="18"/>
          <w:szCs w:val="18"/>
        </w:rPr>
        <w:t xml:space="preserve">z ČR </w:t>
      </w:r>
      <w:r w:rsidR="00823F15" w:rsidRPr="005D242C">
        <w:rPr>
          <w:sz w:val="18"/>
          <w:szCs w:val="18"/>
        </w:rPr>
        <w:t>podle sektor</w:t>
      </w:r>
      <w:r w:rsidR="00EA0CB2">
        <w:rPr>
          <w:sz w:val="18"/>
          <w:szCs w:val="18"/>
        </w:rPr>
        <w:t>ů</w:t>
      </w:r>
      <w:r w:rsidR="00823F15" w:rsidRPr="005D242C">
        <w:rPr>
          <w:sz w:val="18"/>
          <w:szCs w:val="18"/>
        </w:rPr>
        <w:t xml:space="preserve"> provádění VaV (</w:t>
      </w:r>
      <w:r w:rsidRPr="005D242C">
        <w:rPr>
          <w:sz w:val="18"/>
          <w:szCs w:val="18"/>
        </w:rPr>
        <w:t>mld. Kč)</w:t>
      </w:r>
      <w:bookmarkEnd w:id="5"/>
      <w:bookmarkEnd w:id="6"/>
    </w:p>
    <w:p w:rsidR="005D242C" w:rsidRPr="005D242C" w:rsidRDefault="005D242C" w:rsidP="005D242C"/>
    <w:p w:rsidR="00C30EA0" w:rsidRDefault="0081756B" w:rsidP="00C30EA0">
      <w:bookmarkStart w:id="7" w:name="_Toc277257652"/>
      <w:bookmarkStart w:id="8" w:name="_Toc246497422"/>
      <w:bookmarkStart w:id="9" w:name="_Toc276545282"/>
      <w:bookmarkEnd w:id="7"/>
      <w:r w:rsidRPr="000F2B62">
        <w:rPr>
          <w:noProof/>
          <w:lang w:eastAsia="cs-CZ"/>
        </w:rPr>
        <w:pict>
          <v:shape id="obrázek 2" o:spid="_x0000_i1027" type="#_x0000_t75" style="width:477pt;height:155.25pt;visibility:visible">
            <v:imagedata r:id="rId10" o:title=""/>
          </v:shape>
        </w:pict>
      </w:r>
    </w:p>
    <w:p w:rsidR="00FF75DD" w:rsidRPr="005D242C" w:rsidRDefault="00FF75DD" w:rsidP="00C30EA0">
      <w:pPr>
        <w:pStyle w:val="Titulektabulky"/>
        <w:tabs>
          <w:tab w:val="left" w:pos="5529"/>
        </w:tabs>
        <w:spacing w:before="0"/>
        <w:rPr>
          <w:sz w:val="18"/>
          <w:szCs w:val="18"/>
        </w:rPr>
      </w:pPr>
      <w:r w:rsidRPr="003D46F6">
        <w:br w:type="page"/>
      </w:r>
      <w:bookmarkStart w:id="10" w:name="_Toc343781865"/>
      <w:r w:rsidRPr="005D242C">
        <w:rPr>
          <w:sz w:val="18"/>
          <w:szCs w:val="18"/>
        </w:rPr>
        <w:lastRenderedPageBreak/>
        <w:t xml:space="preserve">Tab. </w:t>
      </w:r>
      <w:r w:rsidR="00C8514E" w:rsidRPr="005D242C">
        <w:rPr>
          <w:sz w:val="18"/>
          <w:szCs w:val="18"/>
        </w:rPr>
        <w:fldChar w:fldCharType="begin"/>
      </w:r>
      <w:r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w:t>
      </w:r>
      <w:r w:rsidR="00C8514E" w:rsidRPr="005D242C">
        <w:rPr>
          <w:sz w:val="18"/>
          <w:szCs w:val="18"/>
        </w:rPr>
        <w:fldChar w:fldCharType="begin"/>
      </w:r>
      <w:r w:rsidR="00C8514E" w:rsidRPr="005D242C">
        <w:rPr>
          <w:sz w:val="18"/>
          <w:szCs w:val="18"/>
        </w:rPr>
        <w:instrText xml:space="preserve"> SEQ Tab. \* ARABIC \s 1 </w:instrText>
      </w:r>
      <w:r w:rsidR="00C8514E" w:rsidRPr="005D242C">
        <w:rPr>
          <w:sz w:val="18"/>
          <w:szCs w:val="18"/>
        </w:rPr>
        <w:fldChar w:fldCharType="separate"/>
      </w:r>
      <w:r w:rsidR="00CF5AFD">
        <w:rPr>
          <w:noProof/>
          <w:sz w:val="18"/>
          <w:szCs w:val="18"/>
        </w:rPr>
        <w:t>2</w:t>
      </w:r>
      <w:r w:rsidR="00C8514E" w:rsidRPr="005D242C">
        <w:rPr>
          <w:sz w:val="18"/>
          <w:szCs w:val="18"/>
        </w:rPr>
        <w:fldChar w:fldCharType="end"/>
      </w:r>
      <w:r w:rsidR="00E6359C">
        <w:rPr>
          <w:sz w:val="18"/>
          <w:szCs w:val="18"/>
        </w:rPr>
        <w:t>: Výdaje na VaV financované z</w:t>
      </w:r>
      <w:r w:rsidRPr="005D242C">
        <w:rPr>
          <w:sz w:val="18"/>
          <w:szCs w:val="18"/>
        </w:rPr>
        <w:t xml:space="preserve"> podnikatelských zdrojů </w:t>
      </w:r>
      <w:r w:rsidR="00E6359C">
        <w:rPr>
          <w:sz w:val="18"/>
          <w:szCs w:val="18"/>
        </w:rPr>
        <w:t>z</w:t>
      </w:r>
      <w:r w:rsidRPr="005D242C">
        <w:rPr>
          <w:sz w:val="18"/>
          <w:szCs w:val="18"/>
        </w:rPr>
        <w:t xml:space="preserve"> ČR, 200</w:t>
      </w:r>
      <w:r w:rsidR="00CD6DDB" w:rsidRPr="005D242C">
        <w:rPr>
          <w:sz w:val="18"/>
          <w:szCs w:val="18"/>
        </w:rPr>
        <w:t>7</w:t>
      </w:r>
      <w:r w:rsidRPr="005D242C">
        <w:rPr>
          <w:sz w:val="18"/>
          <w:szCs w:val="18"/>
        </w:rPr>
        <w:t>–201</w:t>
      </w:r>
      <w:bookmarkEnd w:id="8"/>
      <w:bookmarkEnd w:id="9"/>
      <w:bookmarkEnd w:id="10"/>
      <w:r w:rsidR="00CD6DDB" w:rsidRPr="005D242C">
        <w:rPr>
          <w:sz w:val="18"/>
          <w:szCs w:val="18"/>
        </w:rPr>
        <w:t>2</w:t>
      </w:r>
    </w:p>
    <w:tbl>
      <w:tblPr>
        <w:tblW w:w="9585" w:type="dxa"/>
        <w:tblInd w:w="55" w:type="dxa"/>
        <w:tblLayout w:type="fixed"/>
        <w:tblCellMar>
          <w:left w:w="70" w:type="dxa"/>
          <w:right w:w="70" w:type="dxa"/>
        </w:tblCellMar>
        <w:tblLook w:val="04A0"/>
      </w:tblPr>
      <w:tblGrid>
        <w:gridCol w:w="1858"/>
        <w:gridCol w:w="712"/>
        <w:gridCol w:w="713"/>
        <w:gridCol w:w="713"/>
        <w:gridCol w:w="712"/>
        <w:gridCol w:w="713"/>
        <w:gridCol w:w="713"/>
        <w:gridCol w:w="598"/>
        <w:gridCol w:w="575"/>
        <w:gridCol w:w="575"/>
        <w:gridCol w:w="575"/>
        <w:gridCol w:w="575"/>
        <w:gridCol w:w="553"/>
      </w:tblGrid>
      <w:tr w:rsidR="00FF75DD" w:rsidRPr="006929E0" w:rsidTr="00D42965">
        <w:trPr>
          <w:cantSplit/>
          <w:trHeight w:val="244"/>
        </w:trPr>
        <w:tc>
          <w:tcPr>
            <w:tcW w:w="1858" w:type="dxa"/>
            <w:vMerge w:val="restart"/>
            <w:tcBorders>
              <w:top w:val="single" w:sz="8" w:space="0" w:color="auto"/>
              <w:left w:val="nil"/>
              <w:right w:val="nil"/>
            </w:tcBorders>
            <w:shd w:val="clear" w:color="000000" w:fill="000099"/>
            <w:vAlign w:val="center"/>
            <w:hideMark/>
          </w:tcPr>
          <w:p w:rsidR="00FF75DD" w:rsidRPr="006929E0" w:rsidRDefault="00FF75DD" w:rsidP="00D42965">
            <w:pPr>
              <w:spacing w:line="240" w:lineRule="auto"/>
              <w:rPr>
                <w:rFonts w:eastAsia="Times New Roman" w:cs="Arial"/>
                <w:b/>
                <w:bCs/>
                <w:color w:val="FFFFFF"/>
                <w:sz w:val="16"/>
                <w:szCs w:val="16"/>
                <w:lang w:eastAsia="cs-CZ"/>
              </w:rPr>
            </w:pPr>
          </w:p>
        </w:tc>
        <w:tc>
          <w:tcPr>
            <w:tcW w:w="4276" w:type="dxa"/>
            <w:gridSpan w:val="6"/>
            <w:tcBorders>
              <w:top w:val="single" w:sz="8" w:space="0" w:color="auto"/>
              <w:left w:val="nil"/>
              <w:bottom w:val="nil"/>
              <w:right w:val="dotted" w:sz="4" w:space="0" w:color="auto"/>
            </w:tcBorders>
            <w:shd w:val="clear" w:color="000000" w:fill="000099"/>
            <w:noWrap/>
            <w:vAlign w:val="center"/>
            <w:hideMark/>
          </w:tcPr>
          <w:p w:rsidR="00FF75DD" w:rsidRPr="006929E0" w:rsidRDefault="00FF75DD" w:rsidP="00D42965">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mil. Kč – běžné ceny</w:t>
            </w:r>
          </w:p>
        </w:tc>
        <w:tc>
          <w:tcPr>
            <w:tcW w:w="3451" w:type="dxa"/>
            <w:gridSpan w:val="6"/>
            <w:tcBorders>
              <w:top w:val="single" w:sz="8" w:space="0" w:color="auto"/>
              <w:left w:val="dotted" w:sz="4" w:space="0" w:color="auto"/>
              <w:bottom w:val="nil"/>
              <w:right w:val="nil"/>
            </w:tcBorders>
            <w:shd w:val="clear" w:color="000000" w:fill="000099"/>
            <w:vAlign w:val="center"/>
            <w:hideMark/>
          </w:tcPr>
          <w:p w:rsidR="00FF75DD" w:rsidRPr="006929E0" w:rsidRDefault="00FF75DD" w:rsidP="00D42965">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s</w:t>
            </w:r>
            <w:r w:rsidRPr="006929E0">
              <w:rPr>
                <w:rFonts w:eastAsia="Times New Roman" w:cs="Arial"/>
                <w:b/>
                <w:bCs/>
                <w:color w:val="FFFFFF"/>
                <w:sz w:val="16"/>
                <w:szCs w:val="16"/>
                <w:lang w:eastAsia="cs-CZ"/>
              </w:rPr>
              <w:t>truktura</w:t>
            </w:r>
          </w:p>
        </w:tc>
      </w:tr>
      <w:tr w:rsidR="001268AF" w:rsidRPr="006929E0" w:rsidTr="002648EC">
        <w:trPr>
          <w:cantSplit/>
          <w:trHeight w:val="348"/>
        </w:trPr>
        <w:tc>
          <w:tcPr>
            <w:tcW w:w="1858" w:type="dxa"/>
            <w:vMerge/>
            <w:tcBorders>
              <w:left w:val="nil"/>
              <w:bottom w:val="single" w:sz="8" w:space="0" w:color="auto"/>
              <w:right w:val="nil"/>
            </w:tcBorders>
            <w:shd w:val="clear" w:color="000000" w:fill="000099"/>
            <w:vAlign w:val="center"/>
            <w:hideMark/>
          </w:tcPr>
          <w:p w:rsidR="001268AF" w:rsidRPr="006929E0" w:rsidRDefault="001268AF" w:rsidP="00D42965">
            <w:pPr>
              <w:spacing w:line="240" w:lineRule="auto"/>
              <w:rPr>
                <w:rFonts w:eastAsia="Times New Roman" w:cs="Arial"/>
                <w:b/>
                <w:bCs/>
                <w:color w:val="FFFFFF"/>
                <w:sz w:val="16"/>
                <w:szCs w:val="16"/>
                <w:lang w:eastAsia="cs-CZ"/>
              </w:rPr>
            </w:pPr>
          </w:p>
        </w:tc>
        <w:tc>
          <w:tcPr>
            <w:tcW w:w="712" w:type="dxa"/>
            <w:tcBorders>
              <w:top w:val="nil"/>
              <w:left w:val="nil"/>
              <w:bottom w:val="nil"/>
              <w:right w:val="nil"/>
            </w:tcBorders>
            <w:shd w:val="clear" w:color="000000" w:fill="000099"/>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7</w:t>
            </w:r>
          </w:p>
        </w:tc>
        <w:tc>
          <w:tcPr>
            <w:tcW w:w="713"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8</w:t>
            </w:r>
          </w:p>
        </w:tc>
        <w:tc>
          <w:tcPr>
            <w:tcW w:w="713"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9</w:t>
            </w:r>
          </w:p>
        </w:tc>
        <w:tc>
          <w:tcPr>
            <w:tcW w:w="712"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2010</w:t>
            </w:r>
          </w:p>
        </w:tc>
        <w:tc>
          <w:tcPr>
            <w:tcW w:w="713"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Pr>
                <w:rFonts w:eastAsia="Times New Roman" w:cs="Arial"/>
                <w:b/>
                <w:bCs/>
                <w:color w:val="FFFFFF"/>
                <w:sz w:val="16"/>
                <w:szCs w:val="16"/>
                <w:lang w:eastAsia="cs-CZ"/>
              </w:rPr>
              <w:t>1</w:t>
            </w:r>
          </w:p>
        </w:tc>
        <w:tc>
          <w:tcPr>
            <w:tcW w:w="713" w:type="dxa"/>
            <w:tcBorders>
              <w:top w:val="nil"/>
              <w:left w:val="nil"/>
              <w:bottom w:val="nil"/>
              <w:right w:val="dotted" w:sz="4" w:space="0" w:color="auto"/>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2012</w:t>
            </w:r>
          </w:p>
        </w:tc>
        <w:tc>
          <w:tcPr>
            <w:tcW w:w="598" w:type="dxa"/>
            <w:tcBorders>
              <w:top w:val="nil"/>
              <w:left w:val="dotted" w:sz="4" w:space="0" w:color="auto"/>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7</w:t>
            </w:r>
          </w:p>
        </w:tc>
        <w:tc>
          <w:tcPr>
            <w:tcW w:w="575"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8</w:t>
            </w:r>
          </w:p>
        </w:tc>
        <w:tc>
          <w:tcPr>
            <w:tcW w:w="575"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200</w:t>
            </w:r>
            <w:r>
              <w:rPr>
                <w:rFonts w:eastAsia="Times New Roman" w:cs="Arial"/>
                <w:b/>
                <w:bCs/>
                <w:color w:val="FFFFFF"/>
                <w:sz w:val="16"/>
                <w:szCs w:val="16"/>
                <w:lang w:eastAsia="cs-CZ"/>
              </w:rPr>
              <w:t>9</w:t>
            </w:r>
          </w:p>
        </w:tc>
        <w:tc>
          <w:tcPr>
            <w:tcW w:w="575"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2010</w:t>
            </w:r>
          </w:p>
        </w:tc>
        <w:tc>
          <w:tcPr>
            <w:tcW w:w="575"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201</w:t>
            </w:r>
            <w:r>
              <w:rPr>
                <w:rFonts w:eastAsia="Times New Roman" w:cs="Arial"/>
                <w:b/>
                <w:bCs/>
                <w:color w:val="FFFFFF"/>
                <w:sz w:val="16"/>
                <w:szCs w:val="16"/>
                <w:lang w:eastAsia="cs-CZ"/>
              </w:rPr>
              <w:t>1</w:t>
            </w:r>
          </w:p>
        </w:tc>
        <w:tc>
          <w:tcPr>
            <w:tcW w:w="553" w:type="dxa"/>
            <w:tcBorders>
              <w:top w:val="nil"/>
              <w:left w:val="nil"/>
              <w:bottom w:val="nil"/>
              <w:right w:val="nil"/>
            </w:tcBorders>
            <w:shd w:val="clear" w:color="000000" w:fill="000099"/>
            <w:noWrap/>
            <w:vAlign w:val="center"/>
            <w:hideMark/>
          </w:tcPr>
          <w:p w:rsidR="001268AF" w:rsidRPr="006929E0" w:rsidRDefault="001268AF" w:rsidP="002648EC">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2012</w:t>
            </w:r>
          </w:p>
        </w:tc>
      </w:tr>
      <w:tr w:rsidR="00CD6DDB" w:rsidRPr="006929E0" w:rsidTr="001268AF">
        <w:trPr>
          <w:cantSplit/>
          <w:trHeight w:val="244"/>
        </w:trPr>
        <w:tc>
          <w:tcPr>
            <w:tcW w:w="1858" w:type="dxa"/>
            <w:tcBorders>
              <w:top w:val="nil"/>
              <w:left w:val="nil"/>
              <w:bottom w:val="single" w:sz="8" w:space="0" w:color="auto"/>
              <w:right w:val="nil"/>
            </w:tcBorders>
            <w:shd w:val="clear" w:color="000000" w:fill="8DB4E3"/>
            <w:vAlign w:val="bottom"/>
            <w:hideMark/>
          </w:tcPr>
          <w:p w:rsidR="00CD6DDB" w:rsidRDefault="00CD6DDB">
            <w:pPr>
              <w:rPr>
                <w:rFonts w:cs="Arial"/>
                <w:b/>
                <w:bCs/>
                <w:color w:val="000000"/>
                <w:sz w:val="16"/>
                <w:szCs w:val="16"/>
              </w:rPr>
            </w:pPr>
            <w:r>
              <w:rPr>
                <w:rFonts w:cs="Arial"/>
                <w:b/>
                <w:bCs/>
                <w:color w:val="000000"/>
                <w:sz w:val="16"/>
                <w:szCs w:val="16"/>
              </w:rPr>
              <w:t>Celkem</w:t>
            </w:r>
          </w:p>
        </w:tc>
        <w:tc>
          <w:tcPr>
            <w:tcW w:w="712"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23 592</w:t>
            </w:r>
          </w:p>
        </w:tc>
        <w:tc>
          <w:tcPr>
            <w:tcW w:w="713" w:type="dxa"/>
            <w:tcBorders>
              <w:top w:val="single" w:sz="8" w:space="0" w:color="auto"/>
              <w:left w:val="nil"/>
              <w:bottom w:val="single" w:sz="8" w:space="0" w:color="auto"/>
              <w:right w:val="nil"/>
            </w:tcBorders>
            <w:shd w:val="clear" w:color="000000" w:fill="8DB4E3"/>
            <w:noWrap/>
            <w:vAlign w:val="bottom"/>
            <w:hideMark/>
          </w:tcPr>
          <w:p w:rsidR="00CD6DDB" w:rsidRDefault="00CD6DDB">
            <w:pPr>
              <w:jc w:val="right"/>
              <w:rPr>
                <w:rFonts w:cs="Arial"/>
                <w:b/>
                <w:bCs/>
                <w:color w:val="000000"/>
                <w:sz w:val="16"/>
                <w:szCs w:val="16"/>
              </w:rPr>
            </w:pPr>
            <w:r>
              <w:rPr>
                <w:rFonts w:cs="Arial"/>
                <w:b/>
                <w:bCs/>
                <w:color w:val="000000"/>
                <w:sz w:val="16"/>
                <w:szCs w:val="16"/>
              </w:rPr>
              <w:t>22 467</w:t>
            </w:r>
          </w:p>
        </w:tc>
        <w:tc>
          <w:tcPr>
            <w:tcW w:w="713" w:type="dxa"/>
            <w:tcBorders>
              <w:top w:val="single" w:sz="8" w:space="0" w:color="auto"/>
              <w:left w:val="nil"/>
              <w:bottom w:val="single" w:sz="8" w:space="0" w:color="auto"/>
              <w:right w:val="nil"/>
            </w:tcBorders>
            <w:shd w:val="clear" w:color="000000" w:fill="8DB4E3"/>
            <w:noWrap/>
            <w:vAlign w:val="bottom"/>
            <w:hideMark/>
          </w:tcPr>
          <w:p w:rsidR="00CD6DDB" w:rsidRDefault="00CD6DDB">
            <w:pPr>
              <w:jc w:val="right"/>
              <w:rPr>
                <w:rFonts w:cs="Arial"/>
                <w:b/>
                <w:bCs/>
                <w:color w:val="000000"/>
                <w:sz w:val="16"/>
                <w:szCs w:val="16"/>
              </w:rPr>
            </w:pPr>
            <w:r>
              <w:rPr>
                <w:rFonts w:cs="Arial"/>
                <w:b/>
                <w:bCs/>
                <w:color w:val="000000"/>
                <w:sz w:val="16"/>
                <w:szCs w:val="16"/>
              </w:rPr>
              <w:t>20 226</w:t>
            </w:r>
          </w:p>
        </w:tc>
        <w:tc>
          <w:tcPr>
            <w:tcW w:w="712" w:type="dxa"/>
            <w:tcBorders>
              <w:top w:val="single" w:sz="8" w:space="0" w:color="auto"/>
              <w:left w:val="nil"/>
              <w:bottom w:val="single" w:sz="8" w:space="0" w:color="auto"/>
              <w:right w:val="nil"/>
            </w:tcBorders>
            <w:shd w:val="clear" w:color="000000" w:fill="8DB4E3"/>
            <w:noWrap/>
            <w:vAlign w:val="bottom"/>
            <w:hideMark/>
          </w:tcPr>
          <w:p w:rsidR="00CD6DDB" w:rsidRDefault="00CD6DDB">
            <w:pPr>
              <w:jc w:val="right"/>
              <w:rPr>
                <w:rFonts w:cs="Arial"/>
                <w:b/>
                <w:bCs/>
                <w:color w:val="000000"/>
                <w:sz w:val="16"/>
                <w:szCs w:val="16"/>
              </w:rPr>
            </w:pPr>
            <w:r>
              <w:rPr>
                <w:rFonts w:cs="Arial"/>
                <w:b/>
                <w:bCs/>
                <w:color w:val="000000"/>
                <w:sz w:val="16"/>
                <w:szCs w:val="16"/>
              </w:rPr>
              <w:t>21 597</w:t>
            </w:r>
          </w:p>
        </w:tc>
        <w:tc>
          <w:tcPr>
            <w:tcW w:w="713" w:type="dxa"/>
            <w:tcBorders>
              <w:top w:val="single" w:sz="8" w:space="0" w:color="auto"/>
              <w:left w:val="nil"/>
              <w:bottom w:val="single" w:sz="8" w:space="0" w:color="auto"/>
              <w:right w:val="nil"/>
            </w:tcBorders>
            <w:shd w:val="clear" w:color="000000" w:fill="8DB4E3"/>
            <w:noWrap/>
            <w:vAlign w:val="bottom"/>
            <w:hideMark/>
          </w:tcPr>
          <w:p w:rsidR="00CD6DDB" w:rsidRDefault="00CD6DDB">
            <w:pPr>
              <w:jc w:val="right"/>
              <w:rPr>
                <w:rFonts w:cs="Arial"/>
                <w:b/>
                <w:bCs/>
                <w:color w:val="000000"/>
                <w:sz w:val="16"/>
                <w:szCs w:val="16"/>
              </w:rPr>
            </w:pPr>
            <w:r>
              <w:rPr>
                <w:rFonts w:cs="Arial"/>
                <w:b/>
                <w:bCs/>
                <w:color w:val="000000"/>
                <w:sz w:val="16"/>
                <w:szCs w:val="16"/>
              </w:rPr>
              <w:t>23 648</w:t>
            </w:r>
          </w:p>
        </w:tc>
        <w:tc>
          <w:tcPr>
            <w:tcW w:w="713" w:type="dxa"/>
            <w:tcBorders>
              <w:top w:val="single" w:sz="8" w:space="0" w:color="auto"/>
              <w:left w:val="nil"/>
              <w:bottom w:val="single" w:sz="8" w:space="0" w:color="auto"/>
              <w:right w:val="dotted" w:sz="4" w:space="0" w:color="auto"/>
            </w:tcBorders>
            <w:shd w:val="clear" w:color="000000" w:fill="8DB4E3"/>
            <w:noWrap/>
            <w:vAlign w:val="bottom"/>
            <w:hideMark/>
          </w:tcPr>
          <w:p w:rsidR="00CD6DDB" w:rsidRDefault="00CD6DDB">
            <w:pPr>
              <w:jc w:val="right"/>
              <w:rPr>
                <w:rFonts w:cs="Arial"/>
                <w:b/>
                <w:bCs/>
                <w:color w:val="000000"/>
                <w:sz w:val="16"/>
                <w:szCs w:val="16"/>
              </w:rPr>
            </w:pPr>
            <w:r>
              <w:rPr>
                <w:rFonts w:cs="Arial"/>
                <w:b/>
                <w:bCs/>
                <w:color w:val="000000"/>
                <w:sz w:val="16"/>
                <w:szCs w:val="16"/>
              </w:rPr>
              <w:t>26 328</w:t>
            </w:r>
          </w:p>
        </w:tc>
        <w:tc>
          <w:tcPr>
            <w:tcW w:w="598" w:type="dxa"/>
            <w:tcBorders>
              <w:top w:val="single" w:sz="8" w:space="0" w:color="auto"/>
              <w:left w:val="dotted" w:sz="4" w:space="0" w:color="auto"/>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c>
          <w:tcPr>
            <w:tcW w:w="553" w:type="dxa"/>
            <w:tcBorders>
              <w:top w:val="single" w:sz="8" w:space="0" w:color="auto"/>
              <w:left w:val="nil"/>
              <w:bottom w:val="single" w:sz="8" w:space="0" w:color="auto"/>
              <w:right w:val="nil"/>
            </w:tcBorders>
            <w:shd w:val="clear" w:color="000000" w:fill="8DB4E3"/>
            <w:vAlign w:val="bottom"/>
            <w:hideMark/>
          </w:tcPr>
          <w:p w:rsidR="00CD6DDB" w:rsidRDefault="00CD6DDB">
            <w:pPr>
              <w:jc w:val="right"/>
              <w:rPr>
                <w:rFonts w:cs="Arial"/>
                <w:b/>
                <w:bCs/>
                <w:color w:val="000000"/>
                <w:sz w:val="16"/>
                <w:szCs w:val="16"/>
              </w:rPr>
            </w:pPr>
            <w:r>
              <w:rPr>
                <w:rFonts w:cs="Arial"/>
                <w:b/>
                <w:bCs/>
                <w:color w:val="000000"/>
                <w:sz w:val="16"/>
                <w:szCs w:val="16"/>
              </w:rPr>
              <w:t>100%</w:t>
            </w:r>
          </w:p>
        </w:tc>
      </w:tr>
      <w:tr w:rsidR="00620BE9" w:rsidRPr="006929E0" w:rsidTr="00D42965">
        <w:trPr>
          <w:cantSplit/>
          <w:trHeight w:val="244"/>
        </w:trPr>
        <w:tc>
          <w:tcPr>
            <w:tcW w:w="9585" w:type="dxa"/>
            <w:gridSpan w:val="13"/>
            <w:tcBorders>
              <w:top w:val="nil"/>
              <w:left w:val="nil"/>
              <w:bottom w:val="nil"/>
              <w:right w:val="nil"/>
            </w:tcBorders>
            <w:shd w:val="clear" w:color="000000" w:fill="C5D9F1"/>
            <w:noWrap/>
            <w:vAlign w:val="center"/>
            <w:hideMark/>
          </w:tcPr>
          <w:p w:rsidR="00620BE9" w:rsidRPr="006929E0" w:rsidRDefault="00620BE9" w:rsidP="00D42965">
            <w:pPr>
              <w:spacing w:line="240" w:lineRule="auto"/>
              <w:rPr>
                <w:rFonts w:eastAsia="Times New Roman" w:cs="Arial"/>
                <w:b/>
                <w:bCs/>
                <w:color w:val="000000"/>
                <w:sz w:val="16"/>
                <w:szCs w:val="16"/>
                <w:lang w:eastAsia="cs-CZ"/>
              </w:rPr>
            </w:pPr>
            <w:r w:rsidRPr="006929E0">
              <w:rPr>
                <w:rFonts w:eastAsia="Times New Roman" w:cs="Arial"/>
                <w:b/>
                <w:bCs/>
                <w:color w:val="000000"/>
                <w:sz w:val="16"/>
                <w:szCs w:val="16"/>
                <w:lang w:eastAsia="cs-CZ"/>
              </w:rPr>
              <w:t>podle sektoru provádění VaV </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pPr>
              <w:rPr>
                <w:rFonts w:cs="Arial"/>
                <w:b/>
                <w:bCs/>
                <w:color w:val="000000"/>
                <w:sz w:val="16"/>
                <w:szCs w:val="16"/>
              </w:rPr>
            </w:pPr>
            <w:r>
              <w:rPr>
                <w:rFonts w:cs="Arial"/>
                <w:b/>
                <w:bCs/>
                <w:color w:val="000000"/>
                <w:sz w:val="16"/>
                <w:szCs w:val="16"/>
              </w:rPr>
              <w:t xml:space="preserve">Podnikatelský </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22 761</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21 726</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19 604</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20 882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22 972</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25 513</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96%</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97%</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97%</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97%</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97%</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97%</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Domácí subjekty</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10 439</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8 654</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8 281</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10 652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10 948</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11 648</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44%</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39%</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49%</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46%</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44%</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pPr>
              <w:rPr>
                <w:rFonts w:cs="Arial"/>
                <w:color w:val="000000"/>
                <w:sz w:val="16"/>
                <w:szCs w:val="16"/>
              </w:rPr>
            </w:pPr>
            <w:r>
              <w:rPr>
                <w:rFonts w:cs="Arial"/>
                <w:color w:val="000000"/>
                <w:sz w:val="16"/>
                <w:szCs w:val="16"/>
              </w:rPr>
              <w:t xml:space="preserve">      Veřejné </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948</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1 552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1 348</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1 276</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1 082</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906</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pPr>
              <w:rPr>
                <w:rFonts w:cs="Arial"/>
                <w:color w:val="000000"/>
                <w:sz w:val="16"/>
                <w:szCs w:val="16"/>
              </w:rPr>
            </w:pPr>
            <w:r>
              <w:rPr>
                <w:rFonts w:cs="Arial"/>
                <w:color w:val="000000"/>
                <w:sz w:val="16"/>
                <w:szCs w:val="16"/>
              </w:rPr>
              <w:t xml:space="preserve">      Soukromé </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9 491</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7 102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6 933</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9 376</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9 866</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10 742</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32%</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34%</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43%</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42%</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41%</w:t>
            </w:r>
          </w:p>
        </w:tc>
      </w:tr>
      <w:tr w:rsidR="00CD6DDB" w:rsidRPr="006929E0" w:rsidTr="001268AF">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Zahraniční afilace</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12 322</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13 071</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11 323</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10 230</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12 024</w:t>
            </w:r>
          </w:p>
        </w:tc>
        <w:tc>
          <w:tcPr>
            <w:tcW w:w="713" w:type="dxa"/>
            <w:tcBorders>
              <w:top w:val="nil"/>
              <w:left w:val="nil"/>
              <w:bottom w:val="dotted" w:sz="4" w:space="0" w:color="auto"/>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13 866</w:t>
            </w:r>
          </w:p>
        </w:tc>
        <w:tc>
          <w:tcPr>
            <w:tcW w:w="598" w:type="dxa"/>
            <w:tcBorders>
              <w:top w:val="nil"/>
              <w:left w:val="dotted" w:sz="4" w:space="0" w:color="auto"/>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52%</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58%</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56%</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47%</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51%</w:t>
            </w:r>
          </w:p>
        </w:tc>
        <w:tc>
          <w:tcPr>
            <w:tcW w:w="55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53%</w:t>
            </w:r>
          </w:p>
        </w:tc>
      </w:tr>
      <w:tr w:rsidR="00CD6DDB" w:rsidRPr="006929E0" w:rsidTr="001268AF">
        <w:trPr>
          <w:cantSplit/>
          <w:trHeight w:hRule="exact" w:val="232"/>
        </w:trPr>
        <w:tc>
          <w:tcPr>
            <w:tcW w:w="1858" w:type="dxa"/>
            <w:tcBorders>
              <w:top w:val="dotted" w:sz="4" w:space="0" w:color="auto"/>
              <w:left w:val="nil"/>
              <w:bottom w:val="nil"/>
            </w:tcBorders>
            <w:shd w:val="clear" w:color="auto" w:fill="auto"/>
            <w:noWrap/>
            <w:vAlign w:val="bottom"/>
            <w:hideMark/>
          </w:tcPr>
          <w:p w:rsidR="00CD6DDB" w:rsidRDefault="00CD6DDB">
            <w:pPr>
              <w:rPr>
                <w:rFonts w:cs="Arial"/>
                <w:b/>
                <w:bCs/>
                <w:color w:val="000000"/>
                <w:sz w:val="16"/>
                <w:szCs w:val="16"/>
              </w:rPr>
            </w:pPr>
            <w:r>
              <w:rPr>
                <w:rFonts w:cs="Arial"/>
                <w:b/>
                <w:bCs/>
                <w:color w:val="000000"/>
                <w:sz w:val="16"/>
                <w:szCs w:val="16"/>
              </w:rPr>
              <w:t xml:space="preserve">Vládní </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755</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666</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492</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544</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427</w:t>
            </w:r>
          </w:p>
        </w:tc>
        <w:tc>
          <w:tcPr>
            <w:tcW w:w="713" w:type="dxa"/>
            <w:tcBorders>
              <w:top w:val="dotted" w:sz="4" w:space="0" w:color="auto"/>
              <w:bottom w:val="nil"/>
              <w:right w:val="dotted" w:sz="4" w:space="0" w:color="auto"/>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534</w:t>
            </w:r>
          </w:p>
        </w:tc>
        <w:tc>
          <w:tcPr>
            <w:tcW w:w="598" w:type="dxa"/>
            <w:tcBorders>
              <w:top w:val="dotted" w:sz="4" w:space="0" w:color="auto"/>
              <w:left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3%</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3%</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3%</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w:t>
            </w:r>
          </w:p>
        </w:tc>
        <w:tc>
          <w:tcPr>
            <w:tcW w:w="553" w:type="dxa"/>
            <w:tcBorders>
              <w:top w:val="dotted" w:sz="4" w:space="0" w:color="auto"/>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Akademie věd ČR</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479</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320</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235</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295</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304</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369</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Resortní výz</w:t>
            </w:r>
            <w:r w:rsidR="001268AF">
              <w:rPr>
                <w:rFonts w:cs="Arial"/>
                <w:color w:val="000000"/>
                <w:sz w:val="16"/>
                <w:szCs w:val="16"/>
              </w:rPr>
              <w:t>k</w:t>
            </w:r>
            <w:r>
              <w:rPr>
                <w:rFonts w:cs="Arial"/>
                <w:color w:val="000000"/>
                <w:sz w:val="16"/>
                <w:szCs w:val="16"/>
              </w:rPr>
              <w:t>. prac.</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217</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268</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234</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221</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103</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148</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r>
      <w:tr w:rsidR="00CD6DDB" w:rsidRPr="006929E0" w:rsidTr="001268AF">
        <w:trPr>
          <w:cantSplit/>
          <w:trHeight w:hRule="exact" w:val="443"/>
        </w:trPr>
        <w:tc>
          <w:tcPr>
            <w:tcW w:w="1858" w:type="dxa"/>
            <w:tcBorders>
              <w:top w:val="nil"/>
              <w:left w:val="nil"/>
              <w:right w:val="nil"/>
            </w:tcBorders>
            <w:shd w:val="clear" w:color="auto" w:fill="auto"/>
            <w:noWrap/>
            <w:vAlign w:val="bottom"/>
            <w:hideMark/>
          </w:tcPr>
          <w:p w:rsidR="00CD6DDB" w:rsidRDefault="00CD6DDB" w:rsidP="00953CF3">
            <w:pPr>
              <w:ind w:left="87"/>
              <w:rPr>
                <w:rFonts w:cs="Arial"/>
                <w:color w:val="000000"/>
                <w:sz w:val="16"/>
                <w:szCs w:val="16"/>
              </w:rPr>
            </w:pPr>
            <w:r>
              <w:rPr>
                <w:rFonts w:cs="Arial"/>
                <w:color w:val="000000"/>
                <w:sz w:val="16"/>
                <w:szCs w:val="16"/>
              </w:rPr>
              <w:t>Knihovny, archivy, muzea</w:t>
            </w:r>
          </w:p>
        </w:tc>
        <w:tc>
          <w:tcPr>
            <w:tcW w:w="712"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58</w:t>
            </w:r>
          </w:p>
        </w:tc>
        <w:tc>
          <w:tcPr>
            <w:tcW w:w="713"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78</w:t>
            </w:r>
          </w:p>
        </w:tc>
        <w:tc>
          <w:tcPr>
            <w:tcW w:w="713"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18</w:t>
            </w:r>
          </w:p>
        </w:tc>
        <w:tc>
          <w:tcPr>
            <w:tcW w:w="712"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24</w:t>
            </w:r>
          </w:p>
        </w:tc>
        <w:tc>
          <w:tcPr>
            <w:tcW w:w="713"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19</w:t>
            </w:r>
          </w:p>
        </w:tc>
        <w:tc>
          <w:tcPr>
            <w:tcW w:w="713" w:type="dxa"/>
            <w:tcBorders>
              <w:top w:val="nil"/>
              <w:left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18</w:t>
            </w:r>
          </w:p>
        </w:tc>
        <w:tc>
          <w:tcPr>
            <w:tcW w:w="598" w:type="dxa"/>
            <w:tcBorders>
              <w:top w:val="nil"/>
              <w:left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53" w:type="dxa"/>
            <w:tcBorders>
              <w:top w:val="nil"/>
              <w:left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r>
      <w:tr w:rsidR="00CD6DDB" w:rsidRPr="006929E0" w:rsidTr="001268AF">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Ostatní pracoviště</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713" w:type="dxa"/>
            <w:tcBorders>
              <w:top w:val="nil"/>
              <w:left w:val="nil"/>
              <w:bottom w:val="dotted" w:sz="4" w:space="0" w:color="auto"/>
              <w:right w:val="dotted" w:sz="4" w:space="0" w:color="auto"/>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c>
          <w:tcPr>
            <w:tcW w:w="598" w:type="dxa"/>
            <w:tcBorders>
              <w:top w:val="nil"/>
              <w:left w:val="dotted" w:sz="4" w:space="0" w:color="auto"/>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53" w:type="dxa"/>
            <w:tcBorders>
              <w:top w:val="nil"/>
              <w:left w:val="nil"/>
              <w:bottom w:val="dotted" w:sz="4" w:space="0" w:color="auto"/>
              <w:right w:val="nil"/>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r>
      <w:tr w:rsidR="00CD6DDB" w:rsidRPr="006522BA" w:rsidTr="001268AF">
        <w:trPr>
          <w:cantSplit/>
          <w:trHeight w:hRule="exact" w:val="232"/>
        </w:trPr>
        <w:tc>
          <w:tcPr>
            <w:tcW w:w="1858" w:type="dxa"/>
            <w:tcBorders>
              <w:top w:val="dotted" w:sz="4" w:space="0" w:color="auto"/>
              <w:left w:val="nil"/>
              <w:bottom w:val="nil"/>
            </w:tcBorders>
            <w:shd w:val="clear" w:color="auto" w:fill="auto"/>
            <w:noWrap/>
            <w:vAlign w:val="bottom"/>
            <w:hideMark/>
          </w:tcPr>
          <w:p w:rsidR="00CD6DDB" w:rsidRDefault="00CD6DDB">
            <w:pPr>
              <w:rPr>
                <w:rFonts w:cs="Arial"/>
                <w:b/>
                <w:bCs/>
                <w:color w:val="000000"/>
                <w:sz w:val="16"/>
                <w:szCs w:val="16"/>
              </w:rPr>
            </w:pPr>
            <w:r>
              <w:rPr>
                <w:rFonts w:cs="Arial"/>
                <w:b/>
                <w:bCs/>
                <w:color w:val="000000"/>
                <w:sz w:val="16"/>
                <w:szCs w:val="16"/>
              </w:rPr>
              <w:t>Vysokoškolský</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67</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57</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106</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113</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156</w:t>
            </w:r>
          </w:p>
        </w:tc>
        <w:tc>
          <w:tcPr>
            <w:tcW w:w="713" w:type="dxa"/>
            <w:tcBorders>
              <w:top w:val="dotted" w:sz="4" w:space="0" w:color="auto"/>
              <w:bottom w:val="nil"/>
              <w:right w:val="dotted" w:sz="4" w:space="0" w:color="auto"/>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158</w:t>
            </w:r>
          </w:p>
        </w:tc>
        <w:tc>
          <w:tcPr>
            <w:tcW w:w="598" w:type="dxa"/>
            <w:tcBorders>
              <w:top w:val="dotted" w:sz="4" w:space="0" w:color="auto"/>
              <w:left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w:t>
            </w:r>
          </w:p>
        </w:tc>
        <w:tc>
          <w:tcPr>
            <w:tcW w:w="553" w:type="dxa"/>
            <w:tcBorders>
              <w:top w:val="dotted" w:sz="4" w:space="0" w:color="auto"/>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Veřejné a státní VŠ</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50</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85</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112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154</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151</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r>
      <w:tr w:rsidR="00CD6DDB"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Fakultní nemocnice</w:t>
            </w:r>
          </w:p>
        </w:tc>
        <w:tc>
          <w:tcPr>
            <w:tcW w:w="712"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12</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w:t>
            </w:r>
          </w:p>
        </w:tc>
        <w:tc>
          <w:tcPr>
            <w:tcW w:w="71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17</w:t>
            </w:r>
          </w:p>
        </w:tc>
        <w:tc>
          <w:tcPr>
            <w:tcW w:w="712" w:type="dxa"/>
            <w:tcBorders>
              <w:top w:val="nil"/>
              <w:left w:val="nil"/>
              <w:bottom w:val="nil"/>
              <w:right w:val="nil"/>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c>
          <w:tcPr>
            <w:tcW w:w="713" w:type="dxa"/>
            <w:tcBorders>
              <w:top w:val="nil"/>
              <w:left w:val="nil"/>
              <w:bottom w:val="nil"/>
              <w:right w:val="nil"/>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c>
          <w:tcPr>
            <w:tcW w:w="713" w:type="dxa"/>
            <w:tcBorders>
              <w:top w:val="nil"/>
              <w:left w:val="nil"/>
              <w:bottom w:val="nil"/>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w:t>
            </w:r>
          </w:p>
        </w:tc>
        <w:tc>
          <w:tcPr>
            <w:tcW w:w="598" w:type="dxa"/>
            <w:tcBorders>
              <w:top w:val="nil"/>
              <w:left w:val="dotted" w:sz="4" w:space="0" w:color="auto"/>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c>
          <w:tcPr>
            <w:tcW w:w="575" w:type="dxa"/>
            <w:tcBorders>
              <w:top w:val="nil"/>
              <w:left w:val="nil"/>
              <w:bottom w:val="nil"/>
              <w:right w:val="nil"/>
            </w:tcBorders>
            <w:shd w:val="clear" w:color="auto" w:fill="auto"/>
            <w:noWrap/>
            <w:vAlign w:val="bottom"/>
            <w:hideMark/>
          </w:tcPr>
          <w:p w:rsidR="00CD6DDB" w:rsidRDefault="002648EC">
            <w:pPr>
              <w:jc w:val="right"/>
              <w:rPr>
                <w:rFonts w:cs="Arial"/>
                <w:color w:val="000000"/>
                <w:sz w:val="16"/>
                <w:szCs w:val="16"/>
              </w:rPr>
            </w:pPr>
            <w:r>
              <w:rPr>
                <w:rFonts w:cs="Arial"/>
                <w:color w:val="000000"/>
                <w:sz w:val="16"/>
                <w:szCs w:val="16"/>
              </w:rPr>
              <w:t>-</w:t>
            </w:r>
          </w:p>
        </w:tc>
        <w:tc>
          <w:tcPr>
            <w:tcW w:w="553" w:type="dxa"/>
            <w:tcBorders>
              <w:top w:val="nil"/>
              <w:left w:val="nil"/>
              <w:bottom w:val="nil"/>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r>
      <w:tr w:rsidR="00CD6DDB" w:rsidRPr="006929E0" w:rsidTr="001268AF">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CD6DDB" w:rsidRDefault="00CD6DDB" w:rsidP="00953CF3">
            <w:pPr>
              <w:ind w:firstLineChars="54" w:firstLine="86"/>
              <w:rPr>
                <w:rFonts w:cs="Arial"/>
                <w:color w:val="000000"/>
                <w:sz w:val="16"/>
                <w:szCs w:val="16"/>
              </w:rPr>
            </w:pPr>
            <w:r>
              <w:rPr>
                <w:rFonts w:cs="Arial"/>
                <w:color w:val="000000"/>
                <w:sz w:val="16"/>
                <w:szCs w:val="16"/>
              </w:rPr>
              <w:t>Soukromé VŠ, VOS</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4</w:t>
            </w:r>
          </w:p>
        </w:tc>
        <w:tc>
          <w:tcPr>
            <w:tcW w:w="712"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1</w:t>
            </w:r>
          </w:p>
        </w:tc>
        <w:tc>
          <w:tcPr>
            <w:tcW w:w="71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2</w:t>
            </w:r>
          </w:p>
        </w:tc>
        <w:tc>
          <w:tcPr>
            <w:tcW w:w="713" w:type="dxa"/>
            <w:tcBorders>
              <w:top w:val="nil"/>
              <w:left w:val="nil"/>
              <w:bottom w:val="dotted" w:sz="4" w:space="0" w:color="auto"/>
              <w:right w:val="dotted" w:sz="4" w:space="0" w:color="auto"/>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3</w:t>
            </w:r>
          </w:p>
        </w:tc>
        <w:tc>
          <w:tcPr>
            <w:tcW w:w="598" w:type="dxa"/>
            <w:tcBorders>
              <w:top w:val="nil"/>
              <w:left w:val="dotted" w:sz="4" w:space="0" w:color="auto"/>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c>
          <w:tcPr>
            <w:tcW w:w="553" w:type="dxa"/>
            <w:tcBorders>
              <w:top w:val="nil"/>
              <w:left w:val="nil"/>
              <w:bottom w:val="dotted" w:sz="4" w:space="0" w:color="auto"/>
              <w:right w:val="nil"/>
            </w:tcBorders>
            <w:shd w:val="clear" w:color="auto" w:fill="auto"/>
            <w:noWrap/>
            <w:vAlign w:val="bottom"/>
            <w:hideMark/>
          </w:tcPr>
          <w:p w:rsidR="00CD6DDB" w:rsidRDefault="00CD6DDB">
            <w:pPr>
              <w:jc w:val="right"/>
              <w:rPr>
                <w:rFonts w:cs="Arial"/>
                <w:color w:val="000000"/>
                <w:sz w:val="16"/>
                <w:szCs w:val="16"/>
              </w:rPr>
            </w:pPr>
            <w:r>
              <w:rPr>
                <w:rFonts w:cs="Arial"/>
                <w:color w:val="000000"/>
                <w:sz w:val="16"/>
                <w:szCs w:val="16"/>
              </w:rPr>
              <w:t>0%</w:t>
            </w:r>
          </w:p>
        </w:tc>
      </w:tr>
      <w:tr w:rsidR="00CD6DDB" w:rsidRPr="006929E0" w:rsidTr="001268AF">
        <w:trPr>
          <w:cantSplit/>
          <w:trHeight w:hRule="exact" w:val="232"/>
        </w:trPr>
        <w:tc>
          <w:tcPr>
            <w:tcW w:w="1858" w:type="dxa"/>
            <w:tcBorders>
              <w:top w:val="dotted" w:sz="4" w:space="0" w:color="auto"/>
              <w:left w:val="nil"/>
              <w:bottom w:val="nil"/>
            </w:tcBorders>
            <w:shd w:val="clear" w:color="auto" w:fill="auto"/>
            <w:noWrap/>
            <w:vAlign w:val="bottom"/>
            <w:hideMark/>
          </w:tcPr>
          <w:p w:rsidR="00CD6DDB" w:rsidRDefault="00CD6DDB">
            <w:pPr>
              <w:rPr>
                <w:rFonts w:cs="Arial"/>
                <w:b/>
                <w:bCs/>
                <w:color w:val="000000"/>
                <w:sz w:val="16"/>
                <w:szCs w:val="16"/>
              </w:rPr>
            </w:pPr>
            <w:r>
              <w:rPr>
                <w:rFonts w:cs="Arial"/>
                <w:b/>
                <w:bCs/>
                <w:color w:val="000000"/>
                <w:sz w:val="16"/>
                <w:szCs w:val="16"/>
              </w:rPr>
              <w:t>Soukromý neziskový</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8</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19</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23</w:t>
            </w:r>
          </w:p>
        </w:tc>
        <w:tc>
          <w:tcPr>
            <w:tcW w:w="712"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57</w:t>
            </w:r>
          </w:p>
        </w:tc>
        <w:tc>
          <w:tcPr>
            <w:tcW w:w="713"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93</w:t>
            </w:r>
          </w:p>
        </w:tc>
        <w:tc>
          <w:tcPr>
            <w:tcW w:w="713" w:type="dxa"/>
            <w:tcBorders>
              <w:top w:val="dotted" w:sz="4" w:space="0" w:color="auto"/>
              <w:bottom w:val="nil"/>
              <w:right w:val="dotted" w:sz="4" w:space="0" w:color="auto"/>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122</w:t>
            </w:r>
          </w:p>
        </w:tc>
        <w:tc>
          <w:tcPr>
            <w:tcW w:w="598" w:type="dxa"/>
            <w:tcBorders>
              <w:top w:val="dotted" w:sz="4" w:space="0" w:color="auto"/>
              <w:left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75" w:type="dxa"/>
            <w:tcBorders>
              <w:top w:val="dotted" w:sz="4" w:space="0" w:color="auto"/>
              <w:bottom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c>
          <w:tcPr>
            <w:tcW w:w="553" w:type="dxa"/>
            <w:tcBorders>
              <w:top w:val="dotted" w:sz="4" w:space="0" w:color="auto"/>
              <w:bottom w:val="nil"/>
              <w:right w:val="nil"/>
            </w:tcBorders>
            <w:shd w:val="clear" w:color="auto" w:fill="auto"/>
            <w:noWrap/>
            <w:vAlign w:val="bottom"/>
            <w:hideMark/>
          </w:tcPr>
          <w:p w:rsidR="00CD6DDB" w:rsidRDefault="00CD6DDB">
            <w:pPr>
              <w:jc w:val="right"/>
              <w:rPr>
                <w:rFonts w:cs="Arial"/>
                <w:b/>
                <w:bCs/>
                <w:color w:val="000000"/>
                <w:sz w:val="16"/>
                <w:szCs w:val="16"/>
              </w:rPr>
            </w:pPr>
            <w:r>
              <w:rPr>
                <w:rFonts w:cs="Arial"/>
                <w:b/>
                <w:bCs/>
                <w:color w:val="000000"/>
                <w:sz w:val="16"/>
                <w:szCs w:val="16"/>
              </w:rPr>
              <w:t>0%</w:t>
            </w:r>
          </w:p>
        </w:tc>
      </w:tr>
      <w:tr w:rsidR="00620BE9" w:rsidRPr="006522BA" w:rsidTr="006522BA">
        <w:trPr>
          <w:cantSplit/>
          <w:trHeight w:val="244"/>
        </w:trPr>
        <w:tc>
          <w:tcPr>
            <w:tcW w:w="9585" w:type="dxa"/>
            <w:gridSpan w:val="13"/>
            <w:tcBorders>
              <w:top w:val="nil"/>
              <w:left w:val="nil"/>
              <w:bottom w:val="nil"/>
            </w:tcBorders>
            <w:shd w:val="clear" w:color="000000" w:fill="C5D9F1"/>
            <w:noWrap/>
            <w:vAlign w:val="center"/>
            <w:hideMark/>
          </w:tcPr>
          <w:p w:rsidR="00620BE9" w:rsidRPr="006522BA" w:rsidRDefault="00620BE9" w:rsidP="006522BA">
            <w:pPr>
              <w:spacing w:line="240" w:lineRule="auto"/>
              <w:rPr>
                <w:rFonts w:cs="Arial"/>
                <w:b/>
                <w:color w:val="000000"/>
                <w:sz w:val="16"/>
                <w:szCs w:val="16"/>
              </w:rPr>
            </w:pPr>
            <w:r w:rsidRPr="006522BA">
              <w:rPr>
                <w:rFonts w:cs="Arial"/>
                <w:b/>
                <w:color w:val="000000"/>
                <w:sz w:val="16"/>
                <w:szCs w:val="16"/>
              </w:rPr>
              <w:t>podle vědních oblastí</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Přírodní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3 990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2 879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2 705</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3 300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3 778</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4 827</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17%</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16%</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18%</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Technické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17 615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17 279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15 404</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16 066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17 596</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19 043</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77%</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74%</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Lékařské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1 320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1 425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1 358</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1 332</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1 179</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1 265</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Zemědělské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326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423</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424</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354</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437</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494</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Sociální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146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256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210</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410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557</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598</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Humanitní vědy</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195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206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126</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135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101</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101</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r>
      <w:tr w:rsidR="00620BE9" w:rsidRPr="006522BA" w:rsidTr="006522BA">
        <w:trPr>
          <w:cantSplit/>
          <w:trHeight w:val="244"/>
        </w:trPr>
        <w:tc>
          <w:tcPr>
            <w:tcW w:w="9585" w:type="dxa"/>
            <w:gridSpan w:val="13"/>
            <w:tcBorders>
              <w:top w:val="nil"/>
              <w:left w:val="nil"/>
              <w:bottom w:val="nil"/>
              <w:right w:val="nil"/>
            </w:tcBorders>
            <w:shd w:val="clear" w:color="000000" w:fill="C5D9F1"/>
            <w:noWrap/>
            <w:vAlign w:val="center"/>
            <w:hideMark/>
          </w:tcPr>
          <w:p w:rsidR="00620BE9" w:rsidRPr="006522BA" w:rsidRDefault="00620BE9" w:rsidP="006522BA">
            <w:pPr>
              <w:spacing w:line="240" w:lineRule="auto"/>
              <w:rPr>
                <w:rFonts w:cs="Arial"/>
                <w:b/>
                <w:color w:val="000000"/>
                <w:sz w:val="16"/>
                <w:szCs w:val="16"/>
              </w:rPr>
            </w:pPr>
            <w:r w:rsidRPr="006522BA">
              <w:rPr>
                <w:rFonts w:cs="Arial"/>
                <w:b/>
                <w:color w:val="000000"/>
                <w:sz w:val="16"/>
                <w:szCs w:val="16"/>
              </w:rPr>
              <w:t>podle krajů ČR</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Praha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7 442</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6 320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5 003</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5 173</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5 245</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6 178</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28%</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23%</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Středočeský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5 026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4 053</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3 943</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4 129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4 355</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4 356</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18%</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19%</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19%</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18%</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17%</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Jihočeský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865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909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464</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506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585</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603</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Plzeňský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797</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1 146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978</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1 589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1 982</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2 385</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Karlovarský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81</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102</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182</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0%</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Ústecký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399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510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382</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442</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430</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643</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 xml:space="preserve">Liberecký </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945</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1 171</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804</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881</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917</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1 050</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Královéhradecký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696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776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875</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853</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900</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847</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Pardubický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1 380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1 347</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1 175</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1 344</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1 486</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1 659</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Vysočina</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340</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479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436</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416</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517</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712</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Jihomoravský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2 074</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2 228</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2 385</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2 323</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2 542</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3 184</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10%</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12%</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11%</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11%</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12%</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Olomoucký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719</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684</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798</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692</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842</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1 009</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4%</w:t>
            </w:r>
          </w:p>
        </w:tc>
      </w:tr>
      <w:tr w:rsidR="00953CF3" w:rsidRPr="006929E0" w:rsidTr="001268AF">
        <w:trPr>
          <w:cantSplit/>
          <w:trHeight w:hRule="exact" w:val="232"/>
        </w:trPr>
        <w:tc>
          <w:tcPr>
            <w:tcW w:w="1858" w:type="dxa"/>
            <w:tcBorders>
              <w:top w:val="nil"/>
              <w:left w:val="nil"/>
              <w:bottom w:val="nil"/>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Zlínský</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1 138</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1 082</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981</w:t>
            </w:r>
          </w:p>
        </w:tc>
        <w:tc>
          <w:tcPr>
            <w:tcW w:w="712"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1 194</w:t>
            </w:r>
          </w:p>
        </w:tc>
        <w:tc>
          <w:tcPr>
            <w:tcW w:w="71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1 305</w:t>
            </w:r>
          </w:p>
        </w:tc>
        <w:tc>
          <w:tcPr>
            <w:tcW w:w="713" w:type="dxa"/>
            <w:tcBorders>
              <w:top w:val="nil"/>
              <w:left w:val="nil"/>
              <w:bottom w:val="nil"/>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1 421</w:t>
            </w:r>
          </w:p>
        </w:tc>
        <w:tc>
          <w:tcPr>
            <w:tcW w:w="598" w:type="dxa"/>
            <w:tcBorders>
              <w:top w:val="nil"/>
              <w:left w:val="dotted" w:sz="4" w:space="0" w:color="auto"/>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5%</w:t>
            </w:r>
          </w:p>
        </w:tc>
      </w:tr>
      <w:tr w:rsidR="00953CF3" w:rsidRPr="006929E0" w:rsidTr="001268AF">
        <w:trPr>
          <w:cantSplit/>
          <w:trHeight w:hRule="exact" w:val="232"/>
        </w:trPr>
        <w:tc>
          <w:tcPr>
            <w:tcW w:w="1858" w:type="dxa"/>
            <w:tcBorders>
              <w:top w:val="nil"/>
              <w:left w:val="nil"/>
              <w:bottom w:val="single" w:sz="8" w:space="0" w:color="auto"/>
              <w:right w:val="nil"/>
            </w:tcBorders>
            <w:shd w:val="clear" w:color="auto" w:fill="auto"/>
            <w:noWrap/>
            <w:vAlign w:val="bottom"/>
            <w:hideMark/>
          </w:tcPr>
          <w:p w:rsidR="00953CF3" w:rsidRDefault="00953CF3">
            <w:pPr>
              <w:rPr>
                <w:rFonts w:cs="Arial"/>
                <w:color w:val="000000"/>
                <w:sz w:val="16"/>
                <w:szCs w:val="16"/>
              </w:rPr>
            </w:pPr>
            <w:r>
              <w:rPr>
                <w:rFonts w:cs="Arial"/>
                <w:color w:val="000000"/>
                <w:sz w:val="16"/>
                <w:szCs w:val="16"/>
              </w:rPr>
              <w:t>Moravskoslezský</w:t>
            </w:r>
          </w:p>
        </w:tc>
        <w:tc>
          <w:tcPr>
            <w:tcW w:w="712"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1 703</w:t>
            </w:r>
          </w:p>
        </w:tc>
        <w:tc>
          <w:tcPr>
            <w:tcW w:w="713"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1 704</w:t>
            </w:r>
          </w:p>
        </w:tc>
        <w:tc>
          <w:tcPr>
            <w:tcW w:w="713"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1 921</w:t>
            </w:r>
          </w:p>
        </w:tc>
        <w:tc>
          <w:tcPr>
            <w:tcW w:w="712"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1 956</w:t>
            </w:r>
          </w:p>
        </w:tc>
        <w:tc>
          <w:tcPr>
            <w:tcW w:w="713"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2 439</w:t>
            </w:r>
          </w:p>
        </w:tc>
        <w:tc>
          <w:tcPr>
            <w:tcW w:w="713" w:type="dxa"/>
            <w:tcBorders>
              <w:top w:val="nil"/>
              <w:left w:val="nil"/>
              <w:bottom w:val="single" w:sz="8" w:space="0" w:color="auto"/>
              <w:right w:val="dotted" w:sz="4" w:space="0" w:color="auto"/>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2 099</w:t>
            </w:r>
          </w:p>
        </w:tc>
        <w:tc>
          <w:tcPr>
            <w:tcW w:w="598" w:type="dxa"/>
            <w:tcBorders>
              <w:top w:val="nil"/>
              <w:left w:val="dotted" w:sz="4" w:space="0" w:color="auto"/>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7%</w:t>
            </w:r>
          </w:p>
        </w:tc>
        <w:tc>
          <w:tcPr>
            <w:tcW w:w="575"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w:t>
            </w:r>
          </w:p>
        </w:tc>
        <w:tc>
          <w:tcPr>
            <w:tcW w:w="575"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w:t>
            </w:r>
          </w:p>
        </w:tc>
        <w:tc>
          <w:tcPr>
            <w:tcW w:w="575"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9%</w:t>
            </w:r>
          </w:p>
        </w:tc>
        <w:tc>
          <w:tcPr>
            <w:tcW w:w="575"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10%</w:t>
            </w:r>
          </w:p>
        </w:tc>
        <w:tc>
          <w:tcPr>
            <w:tcW w:w="553" w:type="dxa"/>
            <w:tcBorders>
              <w:top w:val="nil"/>
              <w:left w:val="nil"/>
              <w:bottom w:val="single" w:sz="8" w:space="0" w:color="auto"/>
              <w:right w:val="nil"/>
            </w:tcBorders>
            <w:shd w:val="clear" w:color="auto" w:fill="auto"/>
            <w:noWrap/>
            <w:vAlign w:val="bottom"/>
            <w:hideMark/>
          </w:tcPr>
          <w:p w:rsidR="00953CF3" w:rsidRDefault="00953CF3">
            <w:pPr>
              <w:jc w:val="right"/>
              <w:rPr>
                <w:rFonts w:cs="Arial"/>
                <w:color w:val="000000"/>
                <w:sz w:val="16"/>
                <w:szCs w:val="16"/>
              </w:rPr>
            </w:pPr>
            <w:r>
              <w:rPr>
                <w:rFonts w:cs="Arial"/>
                <w:color w:val="000000"/>
                <w:sz w:val="16"/>
                <w:szCs w:val="16"/>
              </w:rPr>
              <w:t>8%</w:t>
            </w:r>
          </w:p>
        </w:tc>
      </w:tr>
    </w:tbl>
    <w:p w:rsidR="00FF75DD" w:rsidRPr="005D242C" w:rsidRDefault="00FF75DD" w:rsidP="00FF75DD">
      <w:pPr>
        <w:pStyle w:val="Titulek"/>
        <w:spacing w:before="180"/>
        <w:rPr>
          <w:sz w:val="18"/>
          <w:szCs w:val="18"/>
        </w:rPr>
      </w:pPr>
      <w:bookmarkStart w:id="11" w:name="_Toc246493283"/>
      <w:bookmarkStart w:id="12" w:name="_Toc343782429"/>
      <w:r w:rsidRPr="005D242C">
        <w:rPr>
          <w:sz w:val="18"/>
          <w:szCs w:val="18"/>
        </w:rPr>
        <w:t xml:space="preserve">Graf </w:t>
      </w:r>
      <w:r w:rsidR="00C8514E" w:rsidRPr="005D242C">
        <w:rPr>
          <w:sz w:val="18"/>
          <w:szCs w:val="18"/>
        </w:rPr>
        <w:fldChar w:fldCharType="begin"/>
      </w:r>
      <w:r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w:t>
      </w:r>
      <w:r w:rsidR="00C8514E" w:rsidRPr="005D242C">
        <w:rPr>
          <w:sz w:val="18"/>
          <w:szCs w:val="18"/>
        </w:rPr>
        <w:fldChar w:fldCharType="begin"/>
      </w:r>
      <w:r w:rsidR="00C8514E" w:rsidRPr="005D242C">
        <w:rPr>
          <w:sz w:val="18"/>
          <w:szCs w:val="18"/>
        </w:rPr>
        <w:instrText xml:space="preserve"> SEQ Graf \* ARABIC \s 1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 Výdaje na VaV financované z podnikatelskýc</w:t>
      </w:r>
      <w:r w:rsidR="00FD05E0" w:rsidRPr="005D242C">
        <w:rPr>
          <w:sz w:val="18"/>
          <w:szCs w:val="18"/>
        </w:rPr>
        <w:t>h zdrojů jako podíl na HDP, 2010</w:t>
      </w:r>
      <w:r w:rsidRPr="005D242C">
        <w:rPr>
          <w:sz w:val="18"/>
          <w:szCs w:val="18"/>
        </w:rPr>
        <w:t xml:space="preserve"> (%)</w:t>
      </w:r>
      <w:bookmarkEnd w:id="11"/>
      <w:bookmarkEnd w:id="12"/>
    </w:p>
    <w:p w:rsidR="00617538" w:rsidRDefault="00824238" w:rsidP="00FF75DD">
      <w:pPr>
        <w:tabs>
          <w:tab w:val="left" w:pos="2268"/>
        </w:tabs>
        <w:spacing w:line="240" w:lineRule="auto"/>
        <w:jc w:val="both"/>
        <w:rPr>
          <w:noProof/>
          <w:lang w:eastAsia="cs-CZ"/>
        </w:rPr>
      </w:pPr>
      <w:r w:rsidRPr="002F57B3">
        <w:rPr>
          <w:noProof/>
          <w:lang w:eastAsia="cs-CZ"/>
        </w:rPr>
        <w:pict>
          <v:shape id="_x0000_i1028" type="#_x0000_t75" style="width:489pt;height:166.5pt;visibility:visible">
            <v:imagedata r:id="rId11" o:title=""/>
          </v:shape>
        </w:pict>
      </w:r>
    </w:p>
    <w:p w:rsidR="00FF75DD" w:rsidRPr="003D46F6" w:rsidRDefault="00617538" w:rsidP="00617538">
      <w:pPr>
        <w:pStyle w:val="poznamka"/>
      </w:pPr>
      <w:r>
        <w:t>* Údaje za rok 200</w:t>
      </w:r>
      <w:r w:rsidR="00FD05E0">
        <w:t>9</w:t>
      </w:r>
    </w:p>
    <w:p w:rsidR="0026473D" w:rsidRDefault="00FF75DD" w:rsidP="0026473D">
      <w:pPr>
        <w:pStyle w:val="zdroj"/>
      </w:pPr>
      <w:r>
        <w:t xml:space="preserve">Zdroj: OECD </w:t>
      </w:r>
      <w:r w:rsidR="0026473D">
        <w:t>MSTI 201</w:t>
      </w:r>
      <w:r w:rsidR="00FD05E0">
        <w:t>3</w:t>
      </w:r>
      <w:r w:rsidR="0026473D">
        <w:t>–1</w:t>
      </w:r>
      <w:r w:rsidRPr="003D46F6">
        <w:t>, Eurostat a dopočty ČSÚ</w:t>
      </w:r>
    </w:p>
    <w:p w:rsidR="00FF75DD" w:rsidRPr="003D46F6" w:rsidRDefault="00FF75DD" w:rsidP="00617538">
      <w:pPr>
        <w:pStyle w:val="zdroj"/>
      </w:pPr>
    </w:p>
    <w:p w:rsidR="005D242C" w:rsidRPr="005D242C" w:rsidRDefault="00840C2C" w:rsidP="008147D0">
      <w:pPr>
        <w:pStyle w:val="Nadpis2"/>
        <w:numPr>
          <w:ilvl w:val="1"/>
          <w:numId w:val="2"/>
        </w:numPr>
        <w:spacing w:after="160"/>
        <w:ind w:left="431" w:hanging="431"/>
      </w:pPr>
      <w:r>
        <w:lastRenderedPageBreak/>
        <w:t>Výdaje na výzkum</w:t>
      </w:r>
      <w:r w:rsidR="00FF75DD" w:rsidRPr="005519AC">
        <w:t xml:space="preserve"> a vývoj financované z</w:t>
      </w:r>
      <w:r w:rsidR="00A4649B">
        <w:t> </w:t>
      </w:r>
      <w:r w:rsidR="00FF75DD" w:rsidRPr="005519AC">
        <w:t>veřejných</w:t>
      </w:r>
      <w:r w:rsidR="00A4649B">
        <w:t xml:space="preserve"> </w:t>
      </w:r>
      <w:r w:rsidR="00FF75DD" w:rsidRPr="005519AC">
        <w:t>zdrojů</w:t>
      </w:r>
      <w:r w:rsidR="00E6359C">
        <w:t xml:space="preserve"> z ČR</w:t>
      </w:r>
    </w:p>
    <w:p w:rsidR="001B56F5" w:rsidRDefault="001B56F5" w:rsidP="00DD730E">
      <w:pPr>
        <w:pStyle w:val="Odstavecseseznamem"/>
        <w:spacing w:after="60"/>
        <w:ind w:left="425" w:hanging="357"/>
        <w:contextualSpacing w:val="0"/>
      </w:pPr>
      <w:bookmarkStart w:id="13" w:name="_Toc246493284"/>
      <w:bookmarkStart w:id="14" w:name="_Toc343782430"/>
      <w:r w:rsidRPr="00667840">
        <w:t>Od roku 2009 se výdaje z</w:t>
      </w:r>
      <w:r>
        <w:t xml:space="preserve"> veřejných zdrojů </w:t>
      </w:r>
      <w:r w:rsidRPr="00667840">
        <w:t>ČR staly nejvýznamnějším zdrojem financování VaV aktivit prováděných na území ČR. V roce 2012 směřovalo do VaV v ČR z domácích veřejných zdrojů 26</w:t>
      </w:r>
      <w:r w:rsidR="00991F60">
        <w:t>,2 mld. Kč, což odpovídalo 0,68% podílu na HDP a 2,27</w:t>
      </w:r>
      <w:r w:rsidRPr="00667840">
        <w:t xml:space="preserve">% podílu na celkových výdajích státního rozpočtu ČR. Jde o nejvyšší hodnoty za celé sledované období. </w:t>
      </w:r>
      <w:r>
        <w:t xml:space="preserve">Přesto v roce 2012 již meziročně u tohoto zdroje financování VaV nedošlo k tak výraznému nárůstu jako v roce 2011 a podíl veřejných zdrojů z ČR na celkových výdajích na VaV meziročně poklesl ze 42 % na 37 %. </w:t>
      </w:r>
    </w:p>
    <w:p w:rsidR="00144270" w:rsidRDefault="00144270" w:rsidP="00DD730E">
      <w:pPr>
        <w:pStyle w:val="Odstavecseseznamem"/>
        <w:spacing w:after="60"/>
        <w:ind w:left="425" w:hanging="357"/>
        <w:contextualSpacing w:val="0"/>
      </w:pPr>
      <w:r w:rsidRPr="00667840">
        <w:t xml:space="preserve">Většina peněz z těchto zdrojů </w:t>
      </w:r>
      <w:r w:rsidR="006B4743">
        <w:t>se</w:t>
      </w:r>
      <w:r w:rsidRPr="00667840">
        <w:t xml:space="preserve"> od roku 2011 </w:t>
      </w:r>
      <w:r w:rsidR="006B4743">
        <w:t>vynakládá na VaV prováděný</w:t>
      </w:r>
      <w:r w:rsidRPr="00667840">
        <w:t xml:space="preserve"> na veřejných vysokých školách. Druhým největším příjemcem peněz na VaV ze státního rozpočtu jsou veřejné výzkumné instituce, jde především o jednotlivé ústavy Akademie věd ČR, které jsou součástí vl</w:t>
      </w:r>
      <w:r w:rsidR="006B4743">
        <w:t>ádního sektoru. Až do roku 2009,</w:t>
      </w:r>
      <w:r w:rsidRPr="00667840">
        <w:t xml:space="preserve"> jak ve vládním</w:t>
      </w:r>
      <w:r w:rsidR="006B4743">
        <w:t>,</w:t>
      </w:r>
      <w:r w:rsidRPr="00667840">
        <w:t xml:space="preserve"> tak především vysokoškolském sektoru, financování VaV ze státního rozpočtu hrálo zcela zásadní roli. V roce 2009 se veřejné domácí zdroje podílely na VaV ve vládním sektoru z 86 % a ve vysokoškolském dokonce z 91 %, což je podstatně více než v roce 2012. </w:t>
      </w:r>
      <w:r>
        <w:t>Především na vysokých školách sice hraje v posledních letech čím dál tím větší úlohu čerpání peněz z výzkumných programů Evropské unie, ale institucionální a účelová podpora výzkumu poskytovaná státem zůstává hlavním zdrojem příjmů vysokých škol na VaV činnost. Veřejné peníze z ČR pokrývaly v roce 2012 59 % výdajů vysokoškolského sektoru na VaV</w:t>
      </w:r>
    </w:p>
    <w:p w:rsidR="005D242C" w:rsidRDefault="006B4743" w:rsidP="00DD730E">
      <w:pPr>
        <w:pStyle w:val="Odstavecseseznamem"/>
        <w:spacing w:after="60"/>
        <w:ind w:left="425" w:hanging="357"/>
        <w:contextualSpacing w:val="0"/>
      </w:pPr>
      <w:r w:rsidRPr="002F128C">
        <w:t>Č</w:t>
      </w:r>
      <w:r>
        <w:t xml:space="preserve">eská republika </w:t>
      </w:r>
      <w:r w:rsidRPr="002F128C">
        <w:t>patří mezi země s významnou přímou podporou podnikatelského VaV z veřejných zdrojů.</w:t>
      </w:r>
      <w:r>
        <w:t xml:space="preserve"> </w:t>
      </w:r>
      <w:r w:rsidR="005D242C">
        <w:t>Státní peníze putují na výzkum v podnikatelském sektoru</w:t>
      </w:r>
      <w:r w:rsidR="005D242C" w:rsidRPr="00155ED0">
        <w:t xml:space="preserve"> </w:t>
      </w:r>
      <w:r>
        <w:t xml:space="preserve">především </w:t>
      </w:r>
      <w:r w:rsidR="005D242C">
        <w:t>prostřednictvím účelové podpory. V roce 2012 podniky v České republice obdržely touto cestou více než 5 mld. Kč, nejvíce z nich soukromé domácí podniky (72 % v rámci podnikatelského sektoru). Přímá podpora podnikatelského sektoru zůstává dlouhodobě na stejné úrovni, když je na ni vyhrazena přibližně pětina veřejných peněz určených na financování VaV.</w:t>
      </w:r>
    </w:p>
    <w:p w:rsidR="005D242C" w:rsidRDefault="005D242C" w:rsidP="00DD730E">
      <w:pPr>
        <w:pStyle w:val="Odstavecseseznamem"/>
        <w:spacing w:after="60"/>
        <w:ind w:left="425" w:hanging="357"/>
        <w:contextualSpacing w:val="0"/>
      </w:pPr>
      <w:r>
        <w:t>Největší část peněz ze státního rozpočtu směřovala do oblasti</w:t>
      </w:r>
      <w:r w:rsidR="00CF5AFD">
        <w:t xml:space="preserve"> přírodních věd (11,7 mld. Kč).</w:t>
      </w:r>
      <w:r>
        <w:t xml:space="preserve"> </w:t>
      </w:r>
      <w:r w:rsidR="00CF5AFD">
        <w:t>Téměř polovina (48 %)</w:t>
      </w:r>
      <w:r>
        <w:t xml:space="preserve"> </w:t>
      </w:r>
      <w:r w:rsidR="00CF5AFD">
        <w:t>zmíněné částky byla utracena</w:t>
      </w:r>
      <w:r>
        <w:t xml:space="preserve"> </w:t>
      </w:r>
      <w:r w:rsidR="00CF5AFD">
        <w:t>v jednotlivých ústavech AV ČR</w:t>
      </w:r>
      <w:r>
        <w:t>. Dlouhodobě druhou nejvíce podporovanou oblastí VaV jsou technické vědy (7,5 mld. Kč v roce 2012). Do technických věd plynou peníze především prostřednictvím účelové podpory VaV v podnikatelském sektoru a financováním VaV na technicky zaměřených vysokých školách.</w:t>
      </w:r>
    </w:p>
    <w:p w:rsidR="005D242C" w:rsidRDefault="005D242C" w:rsidP="00DD730E">
      <w:pPr>
        <w:pStyle w:val="Odstavecseseznamem"/>
        <w:spacing w:after="60"/>
        <w:ind w:left="425" w:hanging="357"/>
        <w:contextualSpacing w:val="0"/>
      </w:pPr>
      <w:r>
        <w:t>Z hlediska regionálního rozdělení směřují peníze z veřejných zdrojů z ČR v největší míře do těch míst, kde se nacházejí pracoviště VaV vládního a vysokoškolského sektoru. Z tohoto důvodu dominuje Praha (51 % podíl v roce 2012), kde sídlí většina ústavů AV ČR a několik velkých vysokých škol. Druhým největším příjemcem veřejné podpory je Jihomoravský kraj (4,8 mld. Kč v roce 2012), a to díky státním prostředkům určeným na VaV ve vysokoškolském sektoru. Zbylých 10 krajů obdrželo na VaV z veřejných zdrojů ČR 8,2 mld. Kč, což tvořilo necelou třetinu celkových veřejných výdajů ČR vynaložených na podporu VaV v roce 2012.</w:t>
      </w:r>
    </w:p>
    <w:p w:rsidR="005D242C" w:rsidRDefault="005D242C" w:rsidP="00DD730E">
      <w:pPr>
        <w:pStyle w:val="Odstavecseseznamem"/>
        <w:spacing w:after="60"/>
        <w:ind w:left="425" w:hanging="357"/>
        <w:contextualSpacing w:val="0"/>
      </w:pPr>
      <w:r>
        <w:t xml:space="preserve">V Evropské unii bylo v roce 2010 vydáno z veřejných zdrojů na podporu VaV 83 mld. Eur. Nejvíce se na této částce podílely veřejné výdaje v Německu, Francii a </w:t>
      </w:r>
      <w:r w:rsidR="00CF5AFD">
        <w:t>Spojeném království</w:t>
      </w:r>
      <w:r>
        <w:t xml:space="preserve">, kde bylo </w:t>
      </w:r>
      <w:r w:rsidR="00CF5AFD">
        <w:t xml:space="preserve">v součtu </w:t>
      </w:r>
      <w:r>
        <w:t xml:space="preserve">na VaV vynaloženo 47 mld. Eur (56 % EU28). V České republice bylo z veřejných zdrojů vynaloženo na VaV 0,9 mld. Eur (1,1 % EU28). </w:t>
      </w:r>
    </w:p>
    <w:p w:rsidR="00CF5AFD" w:rsidRPr="00CF5AFD" w:rsidRDefault="005D242C" w:rsidP="00DD26D2">
      <w:pPr>
        <w:pStyle w:val="Odstavecseseznamem"/>
        <w:spacing w:after="60"/>
        <w:ind w:left="425" w:hanging="357"/>
        <w:contextualSpacing w:val="0"/>
      </w:pPr>
      <w:r>
        <w:t xml:space="preserve">Ve vyjádření podílu veřejných zdrojů na HDP byl průměr EU28 0,7 %, za nímž Česká republika zaostávala jen nepatrně (0,6 %). Nejvyšších hodnot v tomto ukazateli, okolo 1 %, dosáhly Rakousko, Finsko a Švédsko. </w:t>
      </w:r>
    </w:p>
    <w:p w:rsidR="00CF5AFD" w:rsidRDefault="00CF5AFD" w:rsidP="00DD26D2">
      <w:pPr>
        <w:pStyle w:val="Titulek"/>
        <w:rPr>
          <w:sz w:val="18"/>
          <w:szCs w:val="18"/>
        </w:rPr>
      </w:pPr>
    </w:p>
    <w:p w:rsidR="00FF75DD" w:rsidRPr="005D242C" w:rsidRDefault="00FF75DD" w:rsidP="00DD26D2">
      <w:pPr>
        <w:pStyle w:val="Titulek"/>
        <w:rPr>
          <w:sz w:val="18"/>
          <w:szCs w:val="18"/>
        </w:rPr>
      </w:pPr>
      <w:r w:rsidRPr="005D242C">
        <w:rPr>
          <w:sz w:val="18"/>
          <w:szCs w:val="18"/>
        </w:rPr>
        <w:t xml:space="preserve">Graf </w:t>
      </w:r>
      <w:r w:rsidR="00C8514E" w:rsidRPr="005D242C">
        <w:rPr>
          <w:sz w:val="18"/>
          <w:szCs w:val="18"/>
        </w:rPr>
        <w:fldChar w:fldCharType="begin"/>
      </w:r>
      <w:r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w:t>
      </w:r>
      <w:r w:rsidR="00C8514E" w:rsidRPr="005D242C">
        <w:rPr>
          <w:sz w:val="18"/>
          <w:szCs w:val="18"/>
        </w:rPr>
        <w:fldChar w:fldCharType="begin"/>
      </w:r>
      <w:r w:rsidR="00C8514E" w:rsidRPr="005D242C">
        <w:rPr>
          <w:sz w:val="18"/>
          <w:szCs w:val="18"/>
        </w:rPr>
        <w:instrText xml:space="preserve"> SEQ Graf \* ARABIC \s 1 </w:instrText>
      </w:r>
      <w:r w:rsidR="00C8514E" w:rsidRPr="005D242C">
        <w:rPr>
          <w:sz w:val="18"/>
          <w:szCs w:val="18"/>
        </w:rPr>
        <w:fldChar w:fldCharType="separate"/>
      </w:r>
      <w:r w:rsidR="00CF5AFD">
        <w:rPr>
          <w:noProof/>
          <w:sz w:val="18"/>
          <w:szCs w:val="18"/>
        </w:rPr>
        <w:t>5</w:t>
      </w:r>
      <w:r w:rsidR="00C8514E" w:rsidRPr="005D242C">
        <w:rPr>
          <w:sz w:val="18"/>
          <w:szCs w:val="18"/>
        </w:rPr>
        <w:fldChar w:fldCharType="end"/>
      </w:r>
      <w:r w:rsidRPr="005D242C">
        <w:rPr>
          <w:sz w:val="18"/>
          <w:szCs w:val="18"/>
        </w:rPr>
        <w:t>: Výdaje na VaV financované z</w:t>
      </w:r>
      <w:r w:rsidR="00A4649B" w:rsidRPr="005D242C">
        <w:rPr>
          <w:sz w:val="18"/>
          <w:szCs w:val="18"/>
        </w:rPr>
        <w:t> </w:t>
      </w:r>
      <w:r w:rsidRPr="005D242C">
        <w:rPr>
          <w:sz w:val="18"/>
          <w:szCs w:val="18"/>
        </w:rPr>
        <w:t>veřejných zdrojů</w:t>
      </w:r>
      <w:r w:rsidR="00A0372A" w:rsidRPr="005D242C">
        <w:rPr>
          <w:sz w:val="18"/>
          <w:szCs w:val="18"/>
        </w:rPr>
        <w:t xml:space="preserve"> </w:t>
      </w:r>
      <w:r w:rsidR="00E6359C">
        <w:rPr>
          <w:sz w:val="18"/>
          <w:szCs w:val="18"/>
        </w:rPr>
        <w:t xml:space="preserve">z ČR </w:t>
      </w:r>
      <w:r w:rsidR="00A0372A" w:rsidRPr="005D242C">
        <w:rPr>
          <w:sz w:val="18"/>
          <w:szCs w:val="18"/>
        </w:rPr>
        <w:t>podle sektor</w:t>
      </w:r>
      <w:r w:rsidR="00EA0CB2">
        <w:rPr>
          <w:sz w:val="18"/>
          <w:szCs w:val="18"/>
        </w:rPr>
        <w:t>ů</w:t>
      </w:r>
      <w:r w:rsidR="00A0372A" w:rsidRPr="005D242C">
        <w:rPr>
          <w:sz w:val="18"/>
          <w:szCs w:val="18"/>
        </w:rPr>
        <w:t xml:space="preserve"> provádění VaV (</w:t>
      </w:r>
      <w:r w:rsidRPr="005D242C">
        <w:rPr>
          <w:sz w:val="18"/>
          <w:szCs w:val="18"/>
        </w:rPr>
        <w:t>mld. Kč)</w:t>
      </w:r>
      <w:bookmarkEnd w:id="13"/>
      <w:bookmarkEnd w:id="14"/>
    </w:p>
    <w:p w:rsidR="00FF75DD" w:rsidRDefault="00DD730E" w:rsidP="0026473D">
      <w:pPr>
        <w:pStyle w:val="Titulektabulky"/>
      </w:pPr>
      <w:bookmarkStart w:id="15" w:name="_Toc246497424"/>
      <w:bookmarkStart w:id="16" w:name="_Toc276545284"/>
      <w:r>
        <w:rPr>
          <w:noProof/>
          <w:lang w:eastAsia="cs-CZ"/>
        </w:rPr>
        <w:t xml:space="preserve">   </w:t>
      </w:r>
      <w:r w:rsidRPr="000F2B62">
        <w:rPr>
          <w:noProof/>
          <w:lang w:eastAsia="cs-CZ"/>
        </w:rPr>
        <w:pict>
          <v:shape id="obrázek 3" o:spid="_x0000_i1029" type="#_x0000_t75" style="width:470.25pt;height:117pt;visibility:visible">
            <v:imagedata r:id="rId12" o:title=""/>
          </v:shape>
        </w:pict>
      </w:r>
      <w:r w:rsidR="00FF75DD" w:rsidRPr="00DD26D2">
        <w:br w:type="page"/>
      </w:r>
      <w:bookmarkStart w:id="17" w:name="_Toc343781866"/>
      <w:r w:rsidR="00FF75DD" w:rsidRPr="005D242C">
        <w:rPr>
          <w:sz w:val="18"/>
          <w:szCs w:val="18"/>
        </w:rPr>
        <w:lastRenderedPageBreak/>
        <w:t xml:space="preserve">Tab. </w:t>
      </w:r>
      <w:r w:rsidR="00C8514E" w:rsidRPr="005D242C">
        <w:rPr>
          <w:sz w:val="18"/>
          <w:szCs w:val="18"/>
        </w:rPr>
        <w:fldChar w:fldCharType="begin"/>
      </w:r>
      <w:r w:rsidR="00FF75DD"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00FF75DD" w:rsidRPr="005D242C">
        <w:rPr>
          <w:sz w:val="18"/>
          <w:szCs w:val="18"/>
        </w:rPr>
        <w:t>.</w:t>
      </w:r>
      <w:r w:rsidR="00C8514E" w:rsidRPr="005D242C">
        <w:rPr>
          <w:sz w:val="18"/>
          <w:szCs w:val="18"/>
        </w:rPr>
        <w:fldChar w:fldCharType="begin"/>
      </w:r>
      <w:r w:rsidR="00C8514E" w:rsidRPr="005D242C">
        <w:rPr>
          <w:sz w:val="18"/>
          <w:szCs w:val="18"/>
        </w:rPr>
        <w:instrText xml:space="preserve"> SEQ Tab. \* ARABIC \s 1 </w:instrText>
      </w:r>
      <w:r w:rsidR="00C8514E" w:rsidRPr="005D242C">
        <w:rPr>
          <w:sz w:val="18"/>
          <w:szCs w:val="18"/>
        </w:rPr>
        <w:fldChar w:fldCharType="separate"/>
      </w:r>
      <w:r w:rsidR="00CF5AFD">
        <w:rPr>
          <w:noProof/>
          <w:sz w:val="18"/>
          <w:szCs w:val="18"/>
        </w:rPr>
        <w:t>3</w:t>
      </w:r>
      <w:r w:rsidR="00C8514E" w:rsidRPr="005D242C">
        <w:rPr>
          <w:sz w:val="18"/>
          <w:szCs w:val="18"/>
        </w:rPr>
        <w:fldChar w:fldCharType="end"/>
      </w:r>
      <w:r w:rsidR="00FF75DD" w:rsidRPr="005D242C">
        <w:rPr>
          <w:sz w:val="18"/>
          <w:szCs w:val="18"/>
        </w:rPr>
        <w:t>: Výdaje na VaV financované z</w:t>
      </w:r>
      <w:r w:rsidR="007E6690" w:rsidRPr="005D242C">
        <w:rPr>
          <w:sz w:val="18"/>
          <w:szCs w:val="18"/>
        </w:rPr>
        <w:t> </w:t>
      </w:r>
      <w:r w:rsidR="00FF75DD" w:rsidRPr="005D242C">
        <w:rPr>
          <w:sz w:val="18"/>
          <w:szCs w:val="18"/>
        </w:rPr>
        <w:t>veřejných</w:t>
      </w:r>
      <w:r w:rsidR="007E6690" w:rsidRPr="005D242C">
        <w:rPr>
          <w:sz w:val="18"/>
          <w:szCs w:val="18"/>
        </w:rPr>
        <w:t xml:space="preserve"> </w:t>
      </w:r>
      <w:r w:rsidR="00E6359C">
        <w:rPr>
          <w:sz w:val="18"/>
          <w:szCs w:val="18"/>
        </w:rPr>
        <w:t>zdrojů z</w:t>
      </w:r>
      <w:r w:rsidR="00FF75DD" w:rsidRPr="005D242C">
        <w:rPr>
          <w:sz w:val="18"/>
          <w:szCs w:val="18"/>
        </w:rPr>
        <w:t xml:space="preserve"> ČR, 200</w:t>
      </w:r>
      <w:r w:rsidR="00A06364" w:rsidRPr="005D242C">
        <w:rPr>
          <w:sz w:val="18"/>
          <w:szCs w:val="18"/>
        </w:rPr>
        <w:t>7</w:t>
      </w:r>
      <w:r w:rsidR="00FF75DD" w:rsidRPr="005D242C">
        <w:rPr>
          <w:sz w:val="18"/>
          <w:szCs w:val="18"/>
        </w:rPr>
        <w:t>–201</w:t>
      </w:r>
      <w:bookmarkEnd w:id="15"/>
      <w:bookmarkEnd w:id="16"/>
      <w:bookmarkEnd w:id="17"/>
      <w:r w:rsidR="00A06364" w:rsidRPr="005D242C">
        <w:rPr>
          <w:sz w:val="18"/>
          <w:szCs w:val="18"/>
        </w:rPr>
        <w:t>2</w:t>
      </w:r>
    </w:p>
    <w:tbl>
      <w:tblPr>
        <w:tblW w:w="9585" w:type="dxa"/>
        <w:tblInd w:w="55" w:type="dxa"/>
        <w:tblLayout w:type="fixed"/>
        <w:tblCellMar>
          <w:left w:w="70" w:type="dxa"/>
          <w:right w:w="70" w:type="dxa"/>
        </w:tblCellMar>
        <w:tblLook w:val="04A0"/>
      </w:tblPr>
      <w:tblGrid>
        <w:gridCol w:w="1858"/>
        <w:gridCol w:w="709"/>
        <w:gridCol w:w="709"/>
        <w:gridCol w:w="708"/>
        <w:gridCol w:w="709"/>
        <w:gridCol w:w="746"/>
        <w:gridCol w:w="695"/>
        <w:gridCol w:w="598"/>
        <w:gridCol w:w="575"/>
        <w:gridCol w:w="575"/>
        <w:gridCol w:w="575"/>
        <w:gridCol w:w="575"/>
        <w:gridCol w:w="553"/>
      </w:tblGrid>
      <w:tr w:rsidR="00FF75DD" w:rsidRPr="006929E0" w:rsidTr="00D42965">
        <w:trPr>
          <w:cantSplit/>
          <w:trHeight w:val="244"/>
        </w:trPr>
        <w:tc>
          <w:tcPr>
            <w:tcW w:w="1858" w:type="dxa"/>
            <w:vMerge w:val="restart"/>
            <w:tcBorders>
              <w:top w:val="single" w:sz="8" w:space="0" w:color="auto"/>
              <w:left w:val="nil"/>
              <w:right w:val="nil"/>
            </w:tcBorders>
            <w:shd w:val="clear" w:color="000000" w:fill="000099"/>
            <w:vAlign w:val="center"/>
            <w:hideMark/>
          </w:tcPr>
          <w:p w:rsidR="00FF75DD" w:rsidRPr="006929E0" w:rsidRDefault="00FF75DD" w:rsidP="00D42965">
            <w:pPr>
              <w:spacing w:line="240" w:lineRule="auto"/>
              <w:rPr>
                <w:rFonts w:eastAsia="Times New Roman" w:cs="Arial"/>
                <w:b/>
                <w:bCs/>
                <w:color w:val="FFFFFF"/>
                <w:sz w:val="16"/>
                <w:szCs w:val="16"/>
                <w:lang w:eastAsia="cs-CZ"/>
              </w:rPr>
            </w:pPr>
          </w:p>
        </w:tc>
        <w:tc>
          <w:tcPr>
            <w:tcW w:w="4276" w:type="dxa"/>
            <w:gridSpan w:val="6"/>
            <w:tcBorders>
              <w:top w:val="single" w:sz="8" w:space="0" w:color="auto"/>
              <w:left w:val="nil"/>
              <w:bottom w:val="nil"/>
              <w:right w:val="dotted" w:sz="4" w:space="0" w:color="auto"/>
            </w:tcBorders>
            <w:shd w:val="clear" w:color="000000" w:fill="000099"/>
            <w:noWrap/>
            <w:vAlign w:val="center"/>
            <w:hideMark/>
          </w:tcPr>
          <w:p w:rsidR="00FF75DD" w:rsidRPr="006929E0" w:rsidRDefault="00FF75DD" w:rsidP="00D42965">
            <w:pPr>
              <w:spacing w:line="240" w:lineRule="auto"/>
              <w:jc w:val="center"/>
              <w:rPr>
                <w:rFonts w:eastAsia="Times New Roman" w:cs="Arial"/>
                <w:b/>
                <w:bCs/>
                <w:color w:val="FFFFFF"/>
                <w:sz w:val="16"/>
                <w:szCs w:val="16"/>
                <w:lang w:eastAsia="cs-CZ"/>
              </w:rPr>
            </w:pPr>
            <w:r w:rsidRPr="006929E0">
              <w:rPr>
                <w:rFonts w:eastAsia="Times New Roman" w:cs="Arial"/>
                <w:b/>
                <w:bCs/>
                <w:color w:val="FFFFFF"/>
                <w:sz w:val="16"/>
                <w:szCs w:val="16"/>
                <w:lang w:eastAsia="cs-CZ"/>
              </w:rPr>
              <w:t>mil. Kč – běžné ceny</w:t>
            </w:r>
          </w:p>
        </w:tc>
        <w:tc>
          <w:tcPr>
            <w:tcW w:w="3451" w:type="dxa"/>
            <w:gridSpan w:val="6"/>
            <w:tcBorders>
              <w:top w:val="single" w:sz="8" w:space="0" w:color="auto"/>
              <w:left w:val="dotted" w:sz="4" w:space="0" w:color="auto"/>
              <w:bottom w:val="nil"/>
              <w:right w:val="nil"/>
            </w:tcBorders>
            <w:shd w:val="clear" w:color="000000" w:fill="000099"/>
            <w:vAlign w:val="center"/>
            <w:hideMark/>
          </w:tcPr>
          <w:p w:rsidR="00FF75DD" w:rsidRPr="006929E0" w:rsidRDefault="00FF75DD" w:rsidP="00D42965">
            <w:pPr>
              <w:spacing w:line="240" w:lineRule="auto"/>
              <w:jc w:val="center"/>
              <w:rPr>
                <w:rFonts w:eastAsia="Times New Roman" w:cs="Arial"/>
                <w:b/>
                <w:bCs/>
                <w:color w:val="FFFFFF"/>
                <w:sz w:val="16"/>
                <w:szCs w:val="16"/>
                <w:lang w:eastAsia="cs-CZ"/>
              </w:rPr>
            </w:pPr>
            <w:r>
              <w:rPr>
                <w:rFonts w:eastAsia="Times New Roman" w:cs="Arial"/>
                <w:b/>
                <w:bCs/>
                <w:color w:val="FFFFFF"/>
                <w:sz w:val="16"/>
                <w:szCs w:val="16"/>
                <w:lang w:eastAsia="cs-CZ"/>
              </w:rPr>
              <w:t>s</w:t>
            </w:r>
            <w:r w:rsidRPr="006929E0">
              <w:rPr>
                <w:rFonts w:eastAsia="Times New Roman" w:cs="Arial"/>
                <w:b/>
                <w:bCs/>
                <w:color w:val="FFFFFF"/>
                <w:sz w:val="16"/>
                <w:szCs w:val="16"/>
                <w:lang w:eastAsia="cs-CZ"/>
              </w:rPr>
              <w:t>truktura</w:t>
            </w:r>
          </w:p>
        </w:tc>
      </w:tr>
      <w:tr w:rsidR="002C4AB9" w:rsidRPr="006929E0" w:rsidTr="00BC76A8">
        <w:trPr>
          <w:cantSplit/>
          <w:trHeight w:val="244"/>
        </w:trPr>
        <w:tc>
          <w:tcPr>
            <w:tcW w:w="1858" w:type="dxa"/>
            <w:vMerge/>
            <w:tcBorders>
              <w:left w:val="nil"/>
              <w:bottom w:val="single" w:sz="8" w:space="0" w:color="auto"/>
              <w:right w:val="nil"/>
            </w:tcBorders>
            <w:shd w:val="clear" w:color="000000" w:fill="000099"/>
            <w:vAlign w:val="center"/>
            <w:hideMark/>
          </w:tcPr>
          <w:p w:rsidR="002C4AB9" w:rsidRPr="006929E0" w:rsidRDefault="002C4AB9" w:rsidP="00D42965">
            <w:pPr>
              <w:spacing w:line="240" w:lineRule="auto"/>
              <w:rPr>
                <w:rFonts w:eastAsia="Times New Roman" w:cs="Arial"/>
                <w:b/>
                <w:bCs/>
                <w:color w:val="FFFFFF"/>
                <w:sz w:val="16"/>
                <w:szCs w:val="16"/>
                <w:lang w:eastAsia="cs-CZ"/>
              </w:rPr>
            </w:pPr>
          </w:p>
        </w:tc>
        <w:tc>
          <w:tcPr>
            <w:tcW w:w="709" w:type="dxa"/>
            <w:tcBorders>
              <w:top w:val="nil"/>
              <w:left w:val="nil"/>
              <w:bottom w:val="nil"/>
              <w:right w:val="nil"/>
            </w:tcBorders>
            <w:shd w:val="clear" w:color="000000" w:fill="000099"/>
            <w:vAlign w:val="bottom"/>
            <w:hideMark/>
          </w:tcPr>
          <w:p w:rsidR="002C4AB9" w:rsidRDefault="002C4AB9" w:rsidP="00BC76A8">
            <w:pPr>
              <w:jc w:val="center"/>
              <w:rPr>
                <w:rFonts w:cs="Arial"/>
                <w:b/>
                <w:bCs/>
                <w:color w:val="FFFFFF"/>
                <w:sz w:val="16"/>
                <w:szCs w:val="16"/>
              </w:rPr>
            </w:pPr>
            <w:r>
              <w:rPr>
                <w:rFonts w:cs="Arial"/>
                <w:b/>
                <w:bCs/>
                <w:color w:val="FFFFFF"/>
                <w:sz w:val="16"/>
                <w:szCs w:val="16"/>
              </w:rPr>
              <w:t>2007</w:t>
            </w:r>
          </w:p>
        </w:tc>
        <w:tc>
          <w:tcPr>
            <w:tcW w:w="709"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2008</w:t>
            </w:r>
          </w:p>
        </w:tc>
        <w:tc>
          <w:tcPr>
            <w:tcW w:w="708"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2009</w:t>
            </w:r>
          </w:p>
        </w:tc>
        <w:tc>
          <w:tcPr>
            <w:tcW w:w="709"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2010</w:t>
            </w:r>
          </w:p>
        </w:tc>
        <w:tc>
          <w:tcPr>
            <w:tcW w:w="746"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2011</w:t>
            </w:r>
          </w:p>
        </w:tc>
        <w:tc>
          <w:tcPr>
            <w:tcW w:w="695" w:type="dxa"/>
            <w:tcBorders>
              <w:top w:val="nil"/>
              <w:left w:val="nil"/>
              <w:bottom w:val="nil"/>
              <w:right w:val="dotted" w:sz="4" w:space="0" w:color="auto"/>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2012</w:t>
            </w:r>
          </w:p>
        </w:tc>
        <w:tc>
          <w:tcPr>
            <w:tcW w:w="598" w:type="dxa"/>
            <w:tcBorders>
              <w:top w:val="nil"/>
              <w:left w:val="dotted" w:sz="4" w:space="0" w:color="auto"/>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2007</w:t>
            </w:r>
          </w:p>
        </w:tc>
        <w:tc>
          <w:tcPr>
            <w:tcW w:w="575"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2008</w:t>
            </w:r>
          </w:p>
        </w:tc>
        <w:tc>
          <w:tcPr>
            <w:tcW w:w="575"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2009</w:t>
            </w:r>
          </w:p>
        </w:tc>
        <w:tc>
          <w:tcPr>
            <w:tcW w:w="575"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2010</w:t>
            </w:r>
          </w:p>
        </w:tc>
        <w:tc>
          <w:tcPr>
            <w:tcW w:w="575"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2011</w:t>
            </w:r>
          </w:p>
        </w:tc>
        <w:tc>
          <w:tcPr>
            <w:tcW w:w="553" w:type="dxa"/>
            <w:tcBorders>
              <w:top w:val="nil"/>
              <w:left w:val="nil"/>
              <w:bottom w:val="nil"/>
              <w:right w:val="nil"/>
            </w:tcBorders>
            <w:shd w:val="clear" w:color="000000" w:fill="000099"/>
            <w:noWrap/>
            <w:vAlign w:val="bottom"/>
            <w:hideMark/>
          </w:tcPr>
          <w:p w:rsidR="002C4AB9" w:rsidRDefault="002C4AB9" w:rsidP="00BC76A8">
            <w:pPr>
              <w:jc w:val="center"/>
              <w:rPr>
                <w:rFonts w:cs="Arial"/>
                <w:b/>
                <w:bCs/>
                <w:color w:val="FFFFFF"/>
                <w:sz w:val="16"/>
                <w:szCs w:val="16"/>
              </w:rPr>
            </w:pPr>
            <w:r>
              <w:rPr>
                <w:rFonts w:cs="Arial"/>
                <w:b/>
                <w:bCs/>
                <w:color w:val="FFFFFF"/>
                <w:sz w:val="16"/>
                <w:szCs w:val="16"/>
              </w:rPr>
              <w:t>2012</w:t>
            </w:r>
          </w:p>
        </w:tc>
      </w:tr>
      <w:tr w:rsidR="00A06364" w:rsidRPr="006929E0" w:rsidTr="00A06364">
        <w:trPr>
          <w:cantSplit/>
          <w:trHeight w:val="244"/>
        </w:trPr>
        <w:tc>
          <w:tcPr>
            <w:tcW w:w="1858" w:type="dxa"/>
            <w:tcBorders>
              <w:top w:val="nil"/>
              <w:left w:val="nil"/>
              <w:bottom w:val="single" w:sz="8" w:space="0" w:color="auto"/>
              <w:right w:val="nil"/>
            </w:tcBorders>
            <w:shd w:val="clear" w:color="000000" w:fill="8DB4E3"/>
            <w:vAlign w:val="bottom"/>
            <w:hideMark/>
          </w:tcPr>
          <w:p w:rsidR="00A06364" w:rsidRDefault="00A06364">
            <w:pPr>
              <w:rPr>
                <w:rFonts w:cs="Arial"/>
                <w:b/>
                <w:bCs/>
                <w:color w:val="000000"/>
                <w:sz w:val="16"/>
                <w:szCs w:val="16"/>
              </w:rPr>
            </w:pPr>
            <w:r>
              <w:rPr>
                <w:rFonts w:cs="Arial"/>
                <w:b/>
                <w:bCs/>
                <w:color w:val="000000"/>
                <w:sz w:val="16"/>
                <w:szCs w:val="16"/>
              </w:rPr>
              <w:t>Celkem</w:t>
            </w:r>
          </w:p>
        </w:tc>
        <w:tc>
          <w:tcPr>
            <w:tcW w:w="709"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22 362</w:t>
            </w:r>
          </w:p>
        </w:tc>
        <w:tc>
          <w:tcPr>
            <w:tcW w:w="709" w:type="dxa"/>
            <w:tcBorders>
              <w:top w:val="single" w:sz="8" w:space="0" w:color="auto"/>
              <w:left w:val="nil"/>
              <w:bottom w:val="single" w:sz="8" w:space="0" w:color="auto"/>
              <w:right w:val="nil"/>
            </w:tcBorders>
            <w:shd w:val="clear" w:color="000000" w:fill="8DB4E3"/>
            <w:noWrap/>
            <w:vAlign w:val="bottom"/>
            <w:hideMark/>
          </w:tcPr>
          <w:p w:rsidR="00A06364" w:rsidRDefault="00A06364">
            <w:pPr>
              <w:jc w:val="right"/>
              <w:rPr>
                <w:rFonts w:cs="Arial"/>
                <w:b/>
                <w:bCs/>
                <w:color w:val="000000"/>
                <w:sz w:val="16"/>
                <w:szCs w:val="16"/>
              </w:rPr>
            </w:pPr>
            <w:r>
              <w:rPr>
                <w:rFonts w:cs="Arial"/>
                <w:b/>
                <w:bCs/>
                <w:color w:val="000000"/>
                <w:sz w:val="16"/>
                <w:szCs w:val="16"/>
              </w:rPr>
              <w:t>22 342</w:t>
            </w:r>
          </w:p>
        </w:tc>
        <w:tc>
          <w:tcPr>
            <w:tcW w:w="708" w:type="dxa"/>
            <w:tcBorders>
              <w:top w:val="single" w:sz="8" w:space="0" w:color="auto"/>
              <w:left w:val="nil"/>
              <w:bottom w:val="single" w:sz="8" w:space="0" w:color="auto"/>
              <w:right w:val="nil"/>
            </w:tcBorders>
            <w:shd w:val="clear" w:color="000000" w:fill="8DB4E3"/>
            <w:noWrap/>
            <w:vAlign w:val="bottom"/>
            <w:hideMark/>
          </w:tcPr>
          <w:p w:rsidR="00A06364" w:rsidRDefault="00A06364">
            <w:pPr>
              <w:jc w:val="right"/>
              <w:rPr>
                <w:rFonts w:cs="Arial"/>
                <w:b/>
                <w:bCs/>
                <w:color w:val="000000"/>
                <w:sz w:val="16"/>
                <w:szCs w:val="16"/>
              </w:rPr>
            </w:pPr>
            <w:r>
              <w:rPr>
                <w:rFonts w:cs="Arial"/>
                <w:b/>
                <w:bCs/>
                <w:color w:val="000000"/>
                <w:sz w:val="16"/>
                <w:szCs w:val="16"/>
              </w:rPr>
              <w:t>24 301</w:t>
            </w:r>
          </w:p>
        </w:tc>
        <w:tc>
          <w:tcPr>
            <w:tcW w:w="709" w:type="dxa"/>
            <w:tcBorders>
              <w:top w:val="single" w:sz="8" w:space="0" w:color="auto"/>
              <w:left w:val="nil"/>
              <w:bottom w:val="single" w:sz="8" w:space="0" w:color="auto"/>
              <w:right w:val="nil"/>
            </w:tcBorders>
            <w:shd w:val="clear" w:color="000000" w:fill="8DB4E3"/>
            <w:noWrap/>
            <w:vAlign w:val="bottom"/>
            <w:hideMark/>
          </w:tcPr>
          <w:p w:rsidR="00A06364" w:rsidRDefault="00A06364">
            <w:pPr>
              <w:jc w:val="right"/>
              <w:rPr>
                <w:rFonts w:cs="Arial"/>
                <w:b/>
                <w:bCs/>
                <w:color w:val="000000"/>
                <w:sz w:val="16"/>
                <w:szCs w:val="16"/>
              </w:rPr>
            </w:pPr>
            <w:r>
              <w:rPr>
                <w:rFonts w:cs="Arial"/>
                <w:b/>
                <w:bCs/>
                <w:color w:val="000000"/>
                <w:sz w:val="16"/>
                <w:szCs w:val="16"/>
              </w:rPr>
              <w:t>23 539</w:t>
            </w:r>
          </w:p>
        </w:tc>
        <w:tc>
          <w:tcPr>
            <w:tcW w:w="746" w:type="dxa"/>
            <w:tcBorders>
              <w:top w:val="single" w:sz="8" w:space="0" w:color="auto"/>
              <w:left w:val="nil"/>
              <w:bottom w:val="single" w:sz="8" w:space="0" w:color="auto"/>
              <w:right w:val="nil"/>
            </w:tcBorders>
            <w:shd w:val="clear" w:color="000000" w:fill="8DB4E3"/>
            <w:noWrap/>
            <w:vAlign w:val="bottom"/>
            <w:hideMark/>
          </w:tcPr>
          <w:p w:rsidR="00A06364" w:rsidRDefault="00A06364">
            <w:pPr>
              <w:jc w:val="right"/>
              <w:rPr>
                <w:rFonts w:cs="Arial"/>
                <w:b/>
                <w:bCs/>
                <w:color w:val="000000"/>
                <w:sz w:val="16"/>
                <w:szCs w:val="16"/>
              </w:rPr>
            </w:pPr>
            <w:r>
              <w:rPr>
                <w:rFonts w:cs="Arial"/>
                <w:b/>
                <w:bCs/>
                <w:color w:val="000000"/>
                <w:sz w:val="16"/>
                <w:szCs w:val="16"/>
              </w:rPr>
              <w:t>26 179</w:t>
            </w:r>
          </w:p>
        </w:tc>
        <w:tc>
          <w:tcPr>
            <w:tcW w:w="695" w:type="dxa"/>
            <w:tcBorders>
              <w:top w:val="single" w:sz="8" w:space="0" w:color="auto"/>
              <w:left w:val="nil"/>
              <w:bottom w:val="single" w:sz="8" w:space="0" w:color="auto"/>
              <w:right w:val="dotted" w:sz="4" w:space="0" w:color="auto"/>
            </w:tcBorders>
            <w:shd w:val="clear" w:color="000000" w:fill="8DB4E3"/>
            <w:noWrap/>
            <w:vAlign w:val="bottom"/>
            <w:hideMark/>
          </w:tcPr>
          <w:p w:rsidR="00A06364" w:rsidRDefault="00A06364">
            <w:pPr>
              <w:jc w:val="right"/>
              <w:rPr>
                <w:rFonts w:cs="Arial"/>
                <w:b/>
                <w:bCs/>
                <w:color w:val="000000"/>
                <w:sz w:val="16"/>
                <w:szCs w:val="16"/>
              </w:rPr>
            </w:pPr>
            <w:r>
              <w:rPr>
                <w:rFonts w:cs="Arial"/>
                <w:b/>
                <w:bCs/>
                <w:color w:val="000000"/>
                <w:sz w:val="16"/>
                <w:szCs w:val="16"/>
              </w:rPr>
              <w:t>26 616</w:t>
            </w:r>
          </w:p>
        </w:tc>
        <w:tc>
          <w:tcPr>
            <w:tcW w:w="598" w:type="dxa"/>
            <w:tcBorders>
              <w:top w:val="single" w:sz="8" w:space="0" w:color="auto"/>
              <w:left w:val="dotted" w:sz="4" w:space="0" w:color="auto"/>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c>
          <w:tcPr>
            <w:tcW w:w="575"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c>
          <w:tcPr>
            <w:tcW w:w="553" w:type="dxa"/>
            <w:tcBorders>
              <w:top w:val="single" w:sz="8" w:space="0" w:color="auto"/>
              <w:left w:val="nil"/>
              <w:bottom w:val="single" w:sz="8" w:space="0" w:color="auto"/>
              <w:right w:val="nil"/>
            </w:tcBorders>
            <w:shd w:val="clear" w:color="000000" w:fill="8DB4E3"/>
            <w:vAlign w:val="bottom"/>
            <w:hideMark/>
          </w:tcPr>
          <w:p w:rsidR="00A06364" w:rsidRDefault="00A06364">
            <w:pPr>
              <w:jc w:val="right"/>
              <w:rPr>
                <w:rFonts w:cs="Arial"/>
                <w:b/>
                <w:bCs/>
                <w:color w:val="000000"/>
                <w:sz w:val="16"/>
                <w:szCs w:val="16"/>
              </w:rPr>
            </w:pPr>
            <w:r>
              <w:rPr>
                <w:rFonts w:cs="Arial"/>
                <w:b/>
                <w:bCs/>
                <w:color w:val="000000"/>
                <w:sz w:val="16"/>
                <w:szCs w:val="16"/>
              </w:rPr>
              <w:t>100%</w:t>
            </w:r>
          </w:p>
        </w:tc>
      </w:tr>
      <w:tr w:rsidR="006522BA" w:rsidRPr="006929E0" w:rsidTr="00D42965">
        <w:trPr>
          <w:cantSplit/>
          <w:trHeight w:val="244"/>
        </w:trPr>
        <w:tc>
          <w:tcPr>
            <w:tcW w:w="9585" w:type="dxa"/>
            <w:gridSpan w:val="13"/>
            <w:tcBorders>
              <w:top w:val="nil"/>
              <w:left w:val="nil"/>
              <w:bottom w:val="nil"/>
              <w:right w:val="nil"/>
            </w:tcBorders>
            <w:shd w:val="clear" w:color="000000" w:fill="C5D9F1"/>
            <w:noWrap/>
            <w:vAlign w:val="center"/>
            <w:hideMark/>
          </w:tcPr>
          <w:p w:rsidR="006522BA" w:rsidRPr="006929E0" w:rsidRDefault="006522BA" w:rsidP="00D42965">
            <w:pPr>
              <w:spacing w:line="240" w:lineRule="auto"/>
              <w:rPr>
                <w:rFonts w:eastAsia="Times New Roman" w:cs="Arial"/>
                <w:b/>
                <w:bCs/>
                <w:color w:val="000000"/>
                <w:sz w:val="16"/>
                <w:szCs w:val="16"/>
                <w:lang w:eastAsia="cs-CZ"/>
              </w:rPr>
            </w:pPr>
            <w:r w:rsidRPr="006929E0">
              <w:rPr>
                <w:rFonts w:eastAsia="Times New Roman" w:cs="Arial"/>
                <w:b/>
                <w:bCs/>
                <w:color w:val="000000"/>
                <w:sz w:val="16"/>
                <w:szCs w:val="16"/>
                <w:lang w:eastAsia="cs-CZ"/>
              </w:rPr>
              <w:t>podle sektoru provádění VaV </w:t>
            </w:r>
          </w:p>
        </w:tc>
      </w:tr>
      <w:tr w:rsidR="00A06364" w:rsidRPr="00EA7DC3"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b/>
                <w:bCs/>
                <w:color w:val="000000"/>
                <w:sz w:val="16"/>
                <w:szCs w:val="16"/>
              </w:rPr>
            </w:pPr>
            <w:r>
              <w:rPr>
                <w:rFonts w:cs="Arial"/>
                <w:b/>
                <w:bCs/>
                <w:color w:val="000000"/>
                <w:sz w:val="16"/>
                <w:szCs w:val="16"/>
              </w:rPr>
              <w:t xml:space="preserve">Podnikatelský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4 502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4 411</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4 911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4 712</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5 451</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5 328</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21%</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hanging="1"/>
              <w:rPr>
                <w:rFonts w:cs="Arial"/>
                <w:color w:val="000000"/>
                <w:sz w:val="16"/>
                <w:szCs w:val="16"/>
              </w:rPr>
            </w:pPr>
            <w:r>
              <w:rPr>
                <w:rFonts w:cs="Arial"/>
                <w:color w:val="000000"/>
                <w:sz w:val="16"/>
                <w:szCs w:val="16"/>
              </w:rPr>
              <w:t>Domácí subjekty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3 932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3 542</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4 025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4 116</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4 676</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4 565</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18%</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18%</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17%</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hanging="1"/>
              <w:rPr>
                <w:rFonts w:cs="Arial"/>
                <w:color w:val="000000"/>
                <w:sz w:val="16"/>
                <w:szCs w:val="16"/>
              </w:rPr>
            </w:pPr>
            <w:r>
              <w:rPr>
                <w:rFonts w:cs="Arial"/>
                <w:color w:val="000000"/>
                <w:sz w:val="16"/>
                <w:szCs w:val="16"/>
              </w:rPr>
              <w:t xml:space="preserve">     Veřejné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942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1 048</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1 191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1 086</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842</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750</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hanging="1"/>
              <w:rPr>
                <w:rFonts w:cs="Arial"/>
                <w:color w:val="000000"/>
                <w:sz w:val="16"/>
                <w:szCs w:val="16"/>
              </w:rPr>
            </w:pPr>
            <w:r>
              <w:rPr>
                <w:rFonts w:cs="Arial"/>
                <w:color w:val="000000"/>
                <w:sz w:val="16"/>
                <w:szCs w:val="16"/>
              </w:rPr>
              <w:t xml:space="preserve">     Soukromé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2 990</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2 494</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2 835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3 030</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3 834</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3 815</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15%</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14%</w:t>
            </w:r>
          </w:p>
        </w:tc>
      </w:tr>
      <w:tr w:rsidR="00A06364" w:rsidRPr="006929E0" w:rsidTr="00A06364">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A06364" w:rsidRDefault="00A06364" w:rsidP="00A06364">
            <w:pPr>
              <w:ind w:left="87" w:hanging="1"/>
              <w:rPr>
                <w:rFonts w:cs="Arial"/>
                <w:color w:val="000000"/>
                <w:sz w:val="16"/>
                <w:szCs w:val="16"/>
              </w:rPr>
            </w:pPr>
            <w:r>
              <w:rPr>
                <w:rFonts w:cs="Arial"/>
                <w:color w:val="000000"/>
                <w:sz w:val="16"/>
                <w:szCs w:val="16"/>
              </w:rPr>
              <w:t>Zahraniční afilace</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570</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868</w:t>
            </w:r>
          </w:p>
        </w:tc>
        <w:tc>
          <w:tcPr>
            <w:tcW w:w="708"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886</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596</w:t>
            </w:r>
          </w:p>
        </w:tc>
        <w:tc>
          <w:tcPr>
            <w:tcW w:w="746"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774</w:t>
            </w:r>
          </w:p>
        </w:tc>
        <w:tc>
          <w:tcPr>
            <w:tcW w:w="695" w:type="dxa"/>
            <w:tcBorders>
              <w:top w:val="nil"/>
              <w:left w:val="nil"/>
              <w:bottom w:val="dotted" w:sz="4" w:space="0" w:color="auto"/>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763</w:t>
            </w:r>
          </w:p>
        </w:tc>
        <w:tc>
          <w:tcPr>
            <w:tcW w:w="598" w:type="dxa"/>
            <w:tcBorders>
              <w:top w:val="nil"/>
              <w:left w:val="dotted" w:sz="4" w:space="0" w:color="auto"/>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53"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r>
      <w:tr w:rsidR="00A06364" w:rsidRPr="00EA7DC3" w:rsidTr="00A06364">
        <w:trPr>
          <w:cantSplit/>
          <w:trHeight w:hRule="exact" w:val="232"/>
        </w:trPr>
        <w:tc>
          <w:tcPr>
            <w:tcW w:w="1858" w:type="dxa"/>
            <w:tcBorders>
              <w:top w:val="dotted" w:sz="4" w:space="0" w:color="auto"/>
              <w:left w:val="nil"/>
              <w:bottom w:val="nil"/>
            </w:tcBorders>
            <w:shd w:val="clear" w:color="auto" w:fill="auto"/>
            <w:noWrap/>
            <w:vAlign w:val="bottom"/>
            <w:hideMark/>
          </w:tcPr>
          <w:p w:rsidR="00A06364" w:rsidRDefault="00A06364">
            <w:pPr>
              <w:rPr>
                <w:rFonts w:cs="Arial"/>
                <w:b/>
                <w:bCs/>
                <w:color w:val="000000"/>
                <w:sz w:val="16"/>
                <w:szCs w:val="16"/>
              </w:rPr>
            </w:pPr>
            <w:r>
              <w:rPr>
                <w:rFonts w:cs="Arial"/>
                <w:b/>
                <w:bCs/>
                <w:color w:val="000000"/>
                <w:sz w:val="16"/>
                <w:szCs w:val="16"/>
              </w:rPr>
              <w:t xml:space="preserve">Vládní </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9 312</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9 513</w:t>
            </w:r>
          </w:p>
        </w:tc>
        <w:tc>
          <w:tcPr>
            <w:tcW w:w="708"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10 117</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9 406</w:t>
            </w:r>
          </w:p>
        </w:tc>
        <w:tc>
          <w:tcPr>
            <w:tcW w:w="746"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9 622</w:t>
            </w:r>
          </w:p>
        </w:tc>
        <w:tc>
          <w:tcPr>
            <w:tcW w:w="695" w:type="dxa"/>
            <w:tcBorders>
              <w:top w:val="dotted" w:sz="4" w:space="0" w:color="auto"/>
              <w:bottom w:val="nil"/>
              <w:right w:val="dotted" w:sz="4" w:space="0" w:color="auto"/>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9 483</w:t>
            </w:r>
          </w:p>
        </w:tc>
        <w:tc>
          <w:tcPr>
            <w:tcW w:w="598" w:type="dxa"/>
            <w:tcBorders>
              <w:top w:val="dotted" w:sz="4" w:space="0" w:color="auto"/>
              <w:left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42%</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43%</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42%</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40%</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37%</w:t>
            </w:r>
          </w:p>
        </w:tc>
        <w:tc>
          <w:tcPr>
            <w:tcW w:w="553" w:type="dxa"/>
            <w:tcBorders>
              <w:top w:val="dotted" w:sz="4" w:space="0" w:color="auto"/>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36%</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Akademie věd ČR</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7 021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7 164</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7 712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6 973</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7 361</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7 285</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28%</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27%</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Resortní výzk. prac.</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1 496</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1 556</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1 448</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1 631</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1 572</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1 368</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r>
      <w:tr w:rsidR="00A06364" w:rsidRPr="006929E0" w:rsidTr="00A06364">
        <w:trPr>
          <w:cantSplit/>
          <w:trHeight w:hRule="exact" w:val="397"/>
        </w:trPr>
        <w:tc>
          <w:tcPr>
            <w:tcW w:w="1858" w:type="dxa"/>
            <w:tcBorders>
              <w:top w:val="nil"/>
              <w:left w:val="nil"/>
              <w:bottom w:val="nil"/>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Knihovny, archívy, muzea</w:t>
            </w:r>
          </w:p>
        </w:tc>
        <w:tc>
          <w:tcPr>
            <w:tcW w:w="709"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321</w:t>
            </w:r>
          </w:p>
        </w:tc>
        <w:tc>
          <w:tcPr>
            <w:tcW w:w="709"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341</w:t>
            </w:r>
          </w:p>
        </w:tc>
        <w:tc>
          <w:tcPr>
            <w:tcW w:w="708"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504</w:t>
            </w:r>
          </w:p>
        </w:tc>
        <w:tc>
          <w:tcPr>
            <w:tcW w:w="709"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465</w:t>
            </w:r>
          </w:p>
        </w:tc>
        <w:tc>
          <w:tcPr>
            <w:tcW w:w="746"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330</w:t>
            </w:r>
          </w:p>
        </w:tc>
        <w:tc>
          <w:tcPr>
            <w:tcW w:w="695" w:type="dxa"/>
            <w:tcBorders>
              <w:top w:val="nil"/>
              <w:left w:val="nil"/>
              <w:bottom w:val="nil"/>
              <w:right w:val="dotted" w:sz="4" w:space="0" w:color="auto"/>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405</w:t>
            </w:r>
          </w:p>
        </w:tc>
        <w:tc>
          <w:tcPr>
            <w:tcW w:w="598" w:type="dxa"/>
            <w:tcBorders>
              <w:top w:val="nil"/>
              <w:left w:val="dotted" w:sz="4" w:space="0" w:color="auto"/>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1%</w:t>
            </w:r>
          </w:p>
        </w:tc>
        <w:tc>
          <w:tcPr>
            <w:tcW w:w="553" w:type="dxa"/>
            <w:tcBorders>
              <w:top w:val="nil"/>
              <w:left w:val="nil"/>
              <w:bottom w:val="nil"/>
              <w:right w:val="nil"/>
            </w:tcBorders>
            <w:shd w:val="clear" w:color="auto" w:fill="auto"/>
            <w:noWrap/>
            <w:vAlign w:val="center"/>
            <w:hideMark/>
          </w:tcPr>
          <w:p w:rsidR="00A06364" w:rsidRDefault="00A06364" w:rsidP="00A06364">
            <w:pPr>
              <w:jc w:val="right"/>
              <w:rPr>
                <w:rFonts w:cs="Arial"/>
                <w:color w:val="000000"/>
                <w:sz w:val="16"/>
                <w:szCs w:val="16"/>
              </w:rPr>
            </w:pPr>
            <w:r>
              <w:rPr>
                <w:rFonts w:cs="Arial"/>
                <w:color w:val="000000"/>
                <w:sz w:val="16"/>
                <w:szCs w:val="16"/>
              </w:rPr>
              <w:t>2%</w:t>
            </w:r>
          </w:p>
        </w:tc>
      </w:tr>
      <w:tr w:rsidR="00A06364" w:rsidRPr="006929E0" w:rsidTr="00A06364">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Ostatní pracoviště</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474</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452</w:t>
            </w:r>
          </w:p>
        </w:tc>
        <w:tc>
          <w:tcPr>
            <w:tcW w:w="708"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453</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337</w:t>
            </w:r>
          </w:p>
        </w:tc>
        <w:tc>
          <w:tcPr>
            <w:tcW w:w="746"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360</w:t>
            </w:r>
          </w:p>
        </w:tc>
        <w:tc>
          <w:tcPr>
            <w:tcW w:w="695" w:type="dxa"/>
            <w:tcBorders>
              <w:top w:val="nil"/>
              <w:left w:val="nil"/>
              <w:bottom w:val="dotted" w:sz="4" w:space="0" w:color="auto"/>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425</w:t>
            </w:r>
          </w:p>
        </w:tc>
        <w:tc>
          <w:tcPr>
            <w:tcW w:w="598" w:type="dxa"/>
            <w:tcBorders>
              <w:top w:val="nil"/>
              <w:left w:val="dotted" w:sz="4" w:space="0" w:color="auto"/>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53"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r>
      <w:tr w:rsidR="00A06364" w:rsidRPr="00EA7DC3" w:rsidTr="00A06364">
        <w:trPr>
          <w:cantSplit/>
          <w:trHeight w:hRule="exact" w:val="232"/>
        </w:trPr>
        <w:tc>
          <w:tcPr>
            <w:tcW w:w="1858" w:type="dxa"/>
            <w:tcBorders>
              <w:top w:val="dotted" w:sz="4" w:space="0" w:color="auto"/>
              <w:left w:val="nil"/>
              <w:bottom w:val="nil"/>
            </w:tcBorders>
            <w:shd w:val="clear" w:color="auto" w:fill="auto"/>
            <w:noWrap/>
            <w:vAlign w:val="bottom"/>
            <w:hideMark/>
          </w:tcPr>
          <w:p w:rsidR="00A06364" w:rsidRDefault="00A06364">
            <w:pPr>
              <w:rPr>
                <w:rFonts w:cs="Arial"/>
                <w:b/>
                <w:bCs/>
                <w:color w:val="000000"/>
                <w:sz w:val="16"/>
                <w:szCs w:val="16"/>
              </w:rPr>
            </w:pPr>
            <w:r>
              <w:rPr>
                <w:rFonts w:cs="Arial"/>
                <w:b/>
                <w:bCs/>
                <w:color w:val="000000"/>
                <w:sz w:val="16"/>
                <w:szCs w:val="16"/>
              </w:rPr>
              <w:t>Vysokoškolský</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8 387</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8 256</w:t>
            </w:r>
          </w:p>
        </w:tc>
        <w:tc>
          <w:tcPr>
            <w:tcW w:w="708"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9 076</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9 216</w:t>
            </w:r>
          </w:p>
        </w:tc>
        <w:tc>
          <w:tcPr>
            <w:tcW w:w="746"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10 947</w:t>
            </w:r>
          </w:p>
        </w:tc>
        <w:tc>
          <w:tcPr>
            <w:tcW w:w="695" w:type="dxa"/>
            <w:tcBorders>
              <w:top w:val="dotted" w:sz="4" w:space="0" w:color="auto"/>
              <w:bottom w:val="nil"/>
              <w:right w:val="dotted" w:sz="4" w:space="0" w:color="auto"/>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11 640</w:t>
            </w:r>
          </w:p>
        </w:tc>
        <w:tc>
          <w:tcPr>
            <w:tcW w:w="598" w:type="dxa"/>
            <w:tcBorders>
              <w:top w:val="dotted" w:sz="4" w:space="0" w:color="auto"/>
              <w:left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38%</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37%</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37%</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39%</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42%</w:t>
            </w:r>
          </w:p>
        </w:tc>
        <w:tc>
          <w:tcPr>
            <w:tcW w:w="553" w:type="dxa"/>
            <w:tcBorders>
              <w:top w:val="dotted" w:sz="4" w:space="0" w:color="auto"/>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44%</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Veřejné a státní VŠ</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7 965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7 890</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8 485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8 791</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10 451</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11 301</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40%</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42%</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Fakultní nemocnice</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411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354</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571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402</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478</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316</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r>
      <w:tr w:rsidR="00A06364" w:rsidRPr="006929E0" w:rsidTr="00A06364">
        <w:trPr>
          <w:cantSplit/>
          <w:trHeight w:hRule="exact" w:val="232"/>
        </w:trPr>
        <w:tc>
          <w:tcPr>
            <w:tcW w:w="1858" w:type="dxa"/>
            <w:tcBorders>
              <w:top w:val="nil"/>
              <w:left w:val="nil"/>
              <w:bottom w:val="dotted" w:sz="4" w:space="0" w:color="auto"/>
              <w:right w:val="nil"/>
            </w:tcBorders>
            <w:shd w:val="clear" w:color="auto" w:fill="auto"/>
            <w:noWrap/>
            <w:vAlign w:val="bottom"/>
            <w:hideMark/>
          </w:tcPr>
          <w:p w:rsidR="00A06364" w:rsidRDefault="00A06364" w:rsidP="00A06364">
            <w:pPr>
              <w:ind w:left="87"/>
              <w:rPr>
                <w:rFonts w:cs="Arial"/>
                <w:color w:val="000000"/>
                <w:sz w:val="16"/>
                <w:szCs w:val="16"/>
              </w:rPr>
            </w:pPr>
            <w:r>
              <w:rPr>
                <w:rFonts w:cs="Arial"/>
                <w:color w:val="000000"/>
                <w:sz w:val="16"/>
                <w:szCs w:val="16"/>
              </w:rPr>
              <w:t>Soukromé VŠ, VOS</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c>
          <w:tcPr>
            <w:tcW w:w="708"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20</w:t>
            </w:r>
          </w:p>
        </w:tc>
        <w:tc>
          <w:tcPr>
            <w:tcW w:w="709"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23</w:t>
            </w:r>
          </w:p>
        </w:tc>
        <w:tc>
          <w:tcPr>
            <w:tcW w:w="746"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17</w:t>
            </w:r>
          </w:p>
        </w:tc>
        <w:tc>
          <w:tcPr>
            <w:tcW w:w="695" w:type="dxa"/>
            <w:tcBorders>
              <w:top w:val="nil"/>
              <w:left w:val="nil"/>
              <w:bottom w:val="dotted" w:sz="4" w:space="0" w:color="auto"/>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23</w:t>
            </w:r>
          </w:p>
        </w:tc>
        <w:tc>
          <w:tcPr>
            <w:tcW w:w="598" w:type="dxa"/>
            <w:tcBorders>
              <w:top w:val="nil"/>
              <w:left w:val="dotted" w:sz="4" w:space="0" w:color="auto"/>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53" w:type="dxa"/>
            <w:tcBorders>
              <w:top w:val="nil"/>
              <w:left w:val="nil"/>
              <w:bottom w:val="dotted" w:sz="4"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r>
      <w:tr w:rsidR="00A06364" w:rsidRPr="00EA7DC3" w:rsidTr="00A06364">
        <w:trPr>
          <w:cantSplit/>
          <w:trHeight w:hRule="exact" w:val="232"/>
        </w:trPr>
        <w:tc>
          <w:tcPr>
            <w:tcW w:w="1858" w:type="dxa"/>
            <w:tcBorders>
              <w:top w:val="dotted" w:sz="4" w:space="0" w:color="auto"/>
              <w:left w:val="nil"/>
              <w:bottom w:val="nil"/>
            </w:tcBorders>
            <w:shd w:val="clear" w:color="auto" w:fill="auto"/>
            <w:noWrap/>
            <w:vAlign w:val="bottom"/>
            <w:hideMark/>
          </w:tcPr>
          <w:p w:rsidR="00A06364" w:rsidRDefault="00A06364">
            <w:pPr>
              <w:rPr>
                <w:rFonts w:cs="Arial"/>
                <w:b/>
                <w:bCs/>
                <w:color w:val="000000"/>
                <w:sz w:val="16"/>
                <w:szCs w:val="16"/>
              </w:rPr>
            </w:pPr>
            <w:r>
              <w:rPr>
                <w:rFonts w:cs="Arial"/>
                <w:b/>
                <w:bCs/>
                <w:color w:val="000000"/>
                <w:sz w:val="16"/>
                <w:szCs w:val="16"/>
              </w:rPr>
              <w:t>Soukromý neziskový</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161</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162</w:t>
            </w:r>
          </w:p>
        </w:tc>
        <w:tc>
          <w:tcPr>
            <w:tcW w:w="708"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197</w:t>
            </w:r>
          </w:p>
        </w:tc>
        <w:tc>
          <w:tcPr>
            <w:tcW w:w="709"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204</w:t>
            </w:r>
          </w:p>
        </w:tc>
        <w:tc>
          <w:tcPr>
            <w:tcW w:w="746"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160</w:t>
            </w:r>
          </w:p>
        </w:tc>
        <w:tc>
          <w:tcPr>
            <w:tcW w:w="695" w:type="dxa"/>
            <w:tcBorders>
              <w:top w:val="dotted" w:sz="4" w:space="0" w:color="auto"/>
              <w:bottom w:val="nil"/>
              <w:right w:val="dotted" w:sz="4" w:space="0" w:color="auto"/>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165</w:t>
            </w:r>
          </w:p>
        </w:tc>
        <w:tc>
          <w:tcPr>
            <w:tcW w:w="598" w:type="dxa"/>
            <w:tcBorders>
              <w:top w:val="dotted" w:sz="4" w:space="0" w:color="auto"/>
              <w:left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c>
          <w:tcPr>
            <w:tcW w:w="575" w:type="dxa"/>
            <w:tcBorders>
              <w:top w:val="dotted" w:sz="4" w:space="0" w:color="auto"/>
              <w:bottom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c>
          <w:tcPr>
            <w:tcW w:w="553" w:type="dxa"/>
            <w:tcBorders>
              <w:top w:val="dotted" w:sz="4" w:space="0" w:color="auto"/>
              <w:bottom w:val="nil"/>
              <w:right w:val="nil"/>
            </w:tcBorders>
            <w:shd w:val="clear" w:color="auto" w:fill="auto"/>
            <w:noWrap/>
            <w:vAlign w:val="bottom"/>
            <w:hideMark/>
          </w:tcPr>
          <w:p w:rsidR="00A06364" w:rsidRDefault="00A06364">
            <w:pPr>
              <w:jc w:val="right"/>
              <w:rPr>
                <w:rFonts w:cs="Arial"/>
                <w:b/>
                <w:bCs/>
                <w:color w:val="000000"/>
                <w:sz w:val="16"/>
                <w:szCs w:val="16"/>
              </w:rPr>
            </w:pPr>
            <w:r>
              <w:rPr>
                <w:rFonts w:cs="Arial"/>
                <w:b/>
                <w:bCs/>
                <w:color w:val="000000"/>
                <w:sz w:val="16"/>
                <w:szCs w:val="16"/>
              </w:rPr>
              <w:t>1%</w:t>
            </w:r>
          </w:p>
        </w:tc>
      </w:tr>
      <w:tr w:rsidR="006522BA" w:rsidRPr="00EA7DC3" w:rsidTr="00EA7DC3">
        <w:trPr>
          <w:cantSplit/>
          <w:trHeight w:val="244"/>
        </w:trPr>
        <w:tc>
          <w:tcPr>
            <w:tcW w:w="9585" w:type="dxa"/>
            <w:gridSpan w:val="13"/>
            <w:tcBorders>
              <w:top w:val="nil"/>
              <w:left w:val="nil"/>
              <w:bottom w:val="nil"/>
            </w:tcBorders>
            <w:shd w:val="clear" w:color="000000" w:fill="C5D9F1"/>
            <w:noWrap/>
            <w:vAlign w:val="center"/>
            <w:hideMark/>
          </w:tcPr>
          <w:p w:rsidR="006522BA" w:rsidRPr="00EA7DC3" w:rsidRDefault="006522BA" w:rsidP="00EA7DC3">
            <w:pPr>
              <w:spacing w:line="240" w:lineRule="auto"/>
              <w:rPr>
                <w:rFonts w:cs="Arial"/>
                <w:b/>
                <w:bCs/>
                <w:sz w:val="16"/>
                <w:szCs w:val="16"/>
              </w:rPr>
            </w:pPr>
            <w:r w:rsidRPr="00EA7DC3">
              <w:rPr>
                <w:rFonts w:cs="Arial"/>
                <w:b/>
                <w:bCs/>
                <w:sz w:val="16"/>
                <w:szCs w:val="16"/>
              </w:rPr>
              <w:t>podle vědních oblastí</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Přírodní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8 392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8 546</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9 203</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9 029</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10 622</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11 658</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38%</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38%</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38%</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38%</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41%</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44%</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Technické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6 955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6 795</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7 446</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7 085</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7 632</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7 490</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29%</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28%</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Lékařské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2 744</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2 527</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3 145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2 791</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3 095</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2 840</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Zemědělské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1 584</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1 544</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1 613</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1 543</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1 563</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1 272</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Sociální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1 491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1 601</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1 301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1 424</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1 500</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1 470</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Humanitní vědy</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1 196</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1 330</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1 592</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1 667</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1 766</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1 887</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w:t>
            </w:r>
          </w:p>
        </w:tc>
      </w:tr>
      <w:tr w:rsidR="006522BA" w:rsidRPr="00EA7DC3" w:rsidTr="00EA7DC3">
        <w:trPr>
          <w:cantSplit/>
          <w:trHeight w:val="244"/>
        </w:trPr>
        <w:tc>
          <w:tcPr>
            <w:tcW w:w="9585" w:type="dxa"/>
            <w:gridSpan w:val="13"/>
            <w:tcBorders>
              <w:top w:val="nil"/>
              <w:left w:val="nil"/>
              <w:bottom w:val="nil"/>
              <w:right w:val="nil"/>
            </w:tcBorders>
            <w:shd w:val="clear" w:color="000000" w:fill="C5D9F1"/>
            <w:noWrap/>
            <w:vAlign w:val="center"/>
            <w:hideMark/>
          </w:tcPr>
          <w:p w:rsidR="006522BA" w:rsidRPr="00EA7DC3" w:rsidRDefault="006522BA" w:rsidP="00EA7DC3">
            <w:pPr>
              <w:spacing w:line="240" w:lineRule="auto"/>
              <w:rPr>
                <w:rFonts w:cs="Arial"/>
                <w:b/>
                <w:bCs/>
                <w:sz w:val="16"/>
                <w:szCs w:val="16"/>
              </w:rPr>
            </w:pPr>
            <w:r w:rsidRPr="00EA7DC3">
              <w:rPr>
                <w:rFonts w:cs="Arial"/>
                <w:b/>
                <w:bCs/>
                <w:sz w:val="16"/>
                <w:szCs w:val="16"/>
              </w:rPr>
              <w:t>podle krajů ČR</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Praha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12 581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12 570</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13 264</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12 552</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13 694</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13 631</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51%</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Středočeský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1 224</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1 307</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1 411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1 414</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1 529</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1 274</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Jihočeský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879</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992</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1 051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1 042</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836</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956</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Plzeňský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546</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569</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569</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601</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676</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795</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Karlovarský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38</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8</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0%</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Ústecký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231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228</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247</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237</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236</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291</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 xml:space="preserve">Liberecký </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355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338</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461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457</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662</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567</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Královéhradecký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536</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403</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570</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506</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555</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467</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Pardubický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457</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446</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541</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545</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619</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638</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Vysočina</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149</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140</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133</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154</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150</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166</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Jihomoravský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3 207</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3 279</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3 835</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3 881</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4 449</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4 812</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14%</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15%</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16%</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17%</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18%</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Olomoucký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720</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678</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744</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788</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1 029</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1 303</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3%</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r>
      <w:tr w:rsidR="00A06364" w:rsidRPr="006929E0" w:rsidTr="00A06364">
        <w:trPr>
          <w:cantSplit/>
          <w:trHeight w:hRule="exact" w:val="232"/>
        </w:trPr>
        <w:tc>
          <w:tcPr>
            <w:tcW w:w="1858" w:type="dxa"/>
            <w:tcBorders>
              <w:top w:val="nil"/>
              <w:left w:val="nil"/>
              <w:bottom w:val="nil"/>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Zlínský</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449</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452</w:t>
            </w:r>
          </w:p>
        </w:tc>
        <w:tc>
          <w:tcPr>
            <w:tcW w:w="708"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500</w:t>
            </w:r>
          </w:p>
        </w:tc>
        <w:tc>
          <w:tcPr>
            <w:tcW w:w="709"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436</w:t>
            </w:r>
          </w:p>
        </w:tc>
        <w:tc>
          <w:tcPr>
            <w:tcW w:w="746"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480</w:t>
            </w:r>
          </w:p>
        </w:tc>
        <w:tc>
          <w:tcPr>
            <w:tcW w:w="695" w:type="dxa"/>
            <w:tcBorders>
              <w:top w:val="nil"/>
              <w:left w:val="nil"/>
              <w:bottom w:val="nil"/>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489</w:t>
            </w:r>
          </w:p>
        </w:tc>
        <w:tc>
          <w:tcPr>
            <w:tcW w:w="598" w:type="dxa"/>
            <w:tcBorders>
              <w:top w:val="nil"/>
              <w:left w:val="dotted" w:sz="4" w:space="0" w:color="auto"/>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75"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c>
          <w:tcPr>
            <w:tcW w:w="553" w:type="dxa"/>
            <w:tcBorders>
              <w:top w:val="nil"/>
              <w:left w:val="nil"/>
              <w:bottom w:val="nil"/>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2%</w:t>
            </w:r>
          </w:p>
        </w:tc>
      </w:tr>
      <w:tr w:rsidR="00A06364" w:rsidRPr="006929E0" w:rsidTr="00A06364">
        <w:trPr>
          <w:cantSplit/>
          <w:trHeight w:hRule="exact" w:val="232"/>
        </w:trPr>
        <w:tc>
          <w:tcPr>
            <w:tcW w:w="1858" w:type="dxa"/>
            <w:tcBorders>
              <w:top w:val="nil"/>
              <w:left w:val="nil"/>
              <w:bottom w:val="single" w:sz="8" w:space="0" w:color="auto"/>
              <w:right w:val="nil"/>
            </w:tcBorders>
            <w:shd w:val="clear" w:color="auto" w:fill="auto"/>
            <w:noWrap/>
            <w:vAlign w:val="bottom"/>
            <w:hideMark/>
          </w:tcPr>
          <w:p w:rsidR="00A06364" w:rsidRDefault="00A06364">
            <w:pPr>
              <w:rPr>
                <w:rFonts w:cs="Arial"/>
                <w:color w:val="000000"/>
                <w:sz w:val="16"/>
                <w:szCs w:val="16"/>
              </w:rPr>
            </w:pPr>
            <w:r>
              <w:rPr>
                <w:rFonts w:cs="Arial"/>
                <w:color w:val="000000"/>
                <w:sz w:val="16"/>
                <w:szCs w:val="16"/>
              </w:rPr>
              <w:t>Moravskoslezský</w:t>
            </w:r>
          </w:p>
        </w:tc>
        <w:tc>
          <w:tcPr>
            <w:tcW w:w="709"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1 017</w:t>
            </w:r>
          </w:p>
        </w:tc>
        <w:tc>
          <w:tcPr>
            <w:tcW w:w="709"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903</w:t>
            </w:r>
          </w:p>
        </w:tc>
        <w:tc>
          <w:tcPr>
            <w:tcW w:w="708"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973</w:t>
            </w:r>
          </w:p>
        </w:tc>
        <w:tc>
          <w:tcPr>
            <w:tcW w:w="709"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921</w:t>
            </w:r>
          </w:p>
        </w:tc>
        <w:tc>
          <w:tcPr>
            <w:tcW w:w="746"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1 259</w:t>
            </w:r>
          </w:p>
        </w:tc>
        <w:tc>
          <w:tcPr>
            <w:tcW w:w="695" w:type="dxa"/>
            <w:tcBorders>
              <w:top w:val="nil"/>
              <w:left w:val="nil"/>
              <w:bottom w:val="single" w:sz="8" w:space="0" w:color="auto"/>
              <w:right w:val="dotted" w:sz="4" w:space="0" w:color="auto"/>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1 218</w:t>
            </w:r>
          </w:p>
        </w:tc>
        <w:tc>
          <w:tcPr>
            <w:tcW w:w="598" w:type="dxa"/>
            <w:tcBorders>
              <w:top w:val="nil"/>
              <w:left w:val="dotted" w:sz="4" w:space="0" w:color="auto"/>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75"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4%</w:t>
            </w:r>
          </w:p>
        </w:tc>
        <w:tc>
          <w:tcPr>
            <w:tcW w:w="575"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c>
          <w:tcPr>
            <w:tcW w:w="553" w:type="dxa"/>
            <w:tcBorders>
              <w:top w:val="nil"/>
              <w:left w:val="nil"/>
              <w:bottom w:val="single" w:sz="8" w:space="0" w:color="auto"/>
              <w:right w:val="nil"/>
            </w:tcBorders>
            <w:shd w:val="clear" w:color="auto" w:fill="auto"/>
            <w:noWrap/>
            <w:vAlign w:val="bottom"/>
            <w:hideMark/>
          </w:tcPr>
          <w:p w:rsidR="00A06364" w:rsidRDefault="00A06364">
            <w:pPr>
              <w:jc w:val="right"/>
              <w:rPr>
                <w:rFonts w:cs="Arial"/>
                <w:color w:val="000000"/>
                <w:sz w:val="16"/>
                <w:szCs w:val="16"/>
              </w:rPr>
            </w:pPr>
            <w:r>
              <w:rPr>
                <w:rFonts w:cs="Arial"/>
                <w:color w:val="000000"/>
                <w:sz w:val="16"/>
                <w:szCs w:val="16"/>
              </w:rPr>
              <w:t>5%</w:t>
            </w:r>
          </w:p>
        </w:tc>
      </w:tr>
    </w:tbl>
    <w:p w:rsidR="00FF75DD" w:rsidRPr="005D242C" w:rsidRDefault="00FF75DD" w:rsidP="00FF75DD">
      <w:pPr>
        <w:pStyle w:val="Titulek"/>
        <w:spacing w:before="180"/>
        <w:rPr>
          <w:sz w:val="18"/>
          <w:szCs w:val="18"/>
        </w:rPr>
      </w:pPr>
      <w:bookmarkStart w:id="18" w:name="_Toc246493285"/>
      <w:bookmarkStart w:id="19" w:name="_Toc343782431"/>
      <w:r w:rsidRPr="005D242C">
        <w:rPr>
          <w:sz w:val="18"/>
          <w:szCs w:val="18"/>
        </w:rPr>
        <w:t xml:space="preserve">Graf </w:t>
      </w:r>
      <w:r w:rsidR="00C8514E" w:rsidRPr="005D242C">
        <w:rPr>
          <w:sz w:val="18"/>
          <w:szCs w:val="18"/>
        </w:rPr>
        <w:fldChar w:fldCharType="begin"/>
      </w:r>
      <w:r w:rsidRPr="005D242C">
        <w:rPr>
          <w:sz w:val="18"/>
          <w:szCs w:val="18"/>
        </w:rPr>
        <w:instrText xml:space="preserve"> STYLEREF 1 \s </w:instrText>
      </w:r>
      <w:r w:rsidR="00C8514E" w:rsidRPr="005D242C">
        <w:rPr>
          <w:sz w:val="18"/>
          <w:szCs w:val="18"/>
        </w:rPr>
        <w:fldChar w:fldCharType="separate"/>
      </w:r>
      <w:r w:rsidR="00CF5AFD">
        <w:rPr>
          <w:noProof/>
          <w:sz w:val="18"/>
          <w:szCs w:val="18"/>
        </w:rPr>
        <w:t>4</w:t>
      </w:r>
      <w:r w:rsidR="00C8514E" w:rsidRPr="005D242C">
        <w:rPr>
          <w:sz w:val="18"/>
          <w:szCs w:val="18"/>
        </w:rPr>
        <w:fldChar w:fldCharType="end"/>
      </w:r>
      <w:r w:rsidRPr="005D242C">
        <w:rPr>
          <w:sz w:val="18"/>
          <w:szCs w:val="18"/>
        </w:rPr>
        <w:t>.</w:t>
      </w:r>
      <w:r w:rsidR="00C8514E" w:rsidRPr="005D242C">
        <w:rPr>
          <w:sz w:val="18"/>
          <w:szCs w:val="18"/>
        </w:rPr>
        <w:fldChar w:fldCharType="begin"/>
      </w:r>
      <w:r w:rsidR="00C8514E" w:rsidRPr="005D242C">
        <w:rPr>
          <w:sz w:val="18"/>
          <w:szCs w:val="18"/>
        </w:rPr>
        <w:instrText xml:space="preserve"> SEQ Graf \* ARABIC \s 1 </w:instrText>
      </w:r>
      <w:r w:rsidR="00C8514E" w:rsidRPr="005D242C">
        <w:rPr>
          <w:sz w:val="18"/>
          <w:szCs w:val="18"/>
        </w:rPr>
        <w:fldChar w:fldCharType="separate"/>
      </w:r>
      <w:r w:rsidR="00CF5AFD">
        <w:rPr>
          <w:noProof/>
          <w:sz w:val="18"/>
          <w:szCs w:val="18"/>
        </w:rPr>
        <w:t>6</w:t>
      </w:r>
      <w:r w:rsidR="00C8514E" w:rsidRPr="005D242C">
        <w:rPr>
          <w:sz w:val="18"/>
          <w:szCs w:val="18"/>
        </w:rPr>
        <w:fldChar w:fldCharType="end"/>
      </w:r>
      <w:r w:rsidRPr="005D242C">
        <w:rPr>
          <w:sz w:val="18"/>
          <w:szCs w:val="18"/>
        </w:rPr>
        <w:t>: Výdaje na VaV financované z veřejnýc</w:t>
      </w:r>
      <w:r w:rsidR="00A06364" w:rsidRPr="005D242C">
        <w:rPr>
          <w:sz w:val="18"/>
          <w:szCs w:val="18"/>
        </w:rPr>
        <w:t>h zdrojů jako podíl na HDP, 2010</w:t>
      </w:r>
      <w:r w:rsidRPr="005D242C">
        <w:rPr>
          <w:sz w:val="18"/>
          <w:szCs w:val="18"/>
        </w:rPr>
        <w:t xml:space="preserve"> (%)</w:t>
      </w:r>
      <w:bookmarkEnd w:id="18"/>
      <w:bookmarkEnd w:id="19"/>
    </w:p>
    <w:p w:rsidR="0026473D" w:rsidRPr="0026473D" w:rsidRDefault="005B1BE3" w:rsidP="0026473D">
      <w:r w:rsidRPr="00F64D89">
        <w:rPr>
          <w:noProof/>
          <w:lang w:eastAsia="cs-CZ"/>
        </w:rPr>
        <w:pict>
          <v:shape id="_x0000_i1030" type="#_x0000_t75" style="width:494.25pt;height:157.5pt;visibility:visible">
            <v:imagedata r:id="rId13" o:title=""/>
          </v:shape>
        </w:pict>
      </w:r>
    </w:p>
    <w:p w:rsidR="00FF75DD" w:rsidRPr="005519AC" w:rsidRDefault="00FF75DD" w:rsidP="0026473D">
      <w:pPr>
        <w:pStyle w:val="poznamka"/>
      </w:pPr>
      <w:r>
        <w:t>* Údaje za rok 200</w:t>
      </w:r>
      <w:r w:rsidR="00A06364">
        <w:t>9</w:t>
      </w:r>
    </w:p>
    <w:p w:rsidR="0026473D" w:rsidRDefault="00FF75DD" w:rsidP="0026473D">
      <w:pPr>
        <w:pStyle w:val="zdroj"/>
      </w:pPr>
      <w:r>
        <w:t xml:space="preserve">Zdroj: OECD </w:t>
      </w:r>
      <w:r w:rsidR="0026473D">
        <w:t>MSTI 201</w:t>
      </w:r>
      <w:r w:rsidR="00A06364">
        <w:t>3</w:t>
      </w:r>
      <w:r w:rsidR="0026473D">
        <w:t>–1</w:t>
      </w:r>
      <w:r w:rsidRPr="005519AC">
        <w:t>, Eurostat a dopočty ČSÚ</w:t>
      </w:r>
    </w:p>
    <w:p w:rsidR="00FF75DD" w:rsidRPr="005519AC" w:rsidRDefault="00FF75DD" w:rsidP="0026473D">
      <w:pPr>
        <w:pStyle w:val="zdroj"/>
      </w:pPr>
    </w:p>
    <w:p w:rsidR="00A67402" w:rsidRPr="00A67402" w:rsidRDefault="00FF75DD" w:rsidP="008147D0">
      <w:pPr>
        <w:pStyle w:val="Nadpis2"/>
        <w:numPr>
          <w:ilvl w:val="1"/>
          <w:numId w:val="2"/>
        </w:numPr>
        <w:spacing w:after="160"/>
        <w:ind w:left="431" w:hanging="431"/>
      </w:pPr>
      <w:r w:rsidRPr="00B12190">
        <w:lastRenderedPageBreak/>
        <w:t>Výdaje na výzkum a vývoj uskutečněn</w:t>
      </w:r>
      <w:r>
        <w:t>é</w:t>
      </w:r>
      <w:r w:rsidRPr="00B12190">
        <w:t xml:space="preserve"> v podnikatelském sektoru</w:t>
      </w:r>
    </w:p>
    <w:p w:rsidR="00A67402" w:rsidRDefault="00A67402" w:rsidP="006905ED">
      <w:pPr>
        <w:pStyle w:val="Odstavecseseznamem"/>
        <w:spacing w:after="60" w:line="252" w:lineRule="auto"/>
        <w:ind w:left="425" w:hanging="357"/>
        <w:contextualSpacing w:val="0"/>
      </w:pPr>
      <w:bookmarkStart w:id="20" w:name="_Toc246493286"/>
      <w:bookmarkStart w:id="21" w:name="_Toc343782432"/>
      <w:r>
        <w:t>Na výzkum a vývoj</w:t>
      </w:r>
      <w:r w:rsidR="009402AE">
        <w:t xml:space="preserve"> (dále jen VaV)</w:t>
      </w:r>
      <w:r>
        <w:t xml:space="preserve"> provedený v podnikatelském sektoru bylo v roce 2012 vynaloženo</w:t>
      </w:r>
      <w:r w:rsidR="009402AE">
        <w:t xml:space="preserve"> celkem</w:t>
      </w:r>
      <w:r>
        <w:t xml:space="preserve"> 38,8 mld. Kč. Z celkových výdajů na VaV uskutečněných v roce 2012 na území ČR jich tedy na podnikatelský sektor připadlo 54 %. Meziroční nárůst</w:t>
      </w:r>
      <w:r w:rsidR="00CF5AFD">
        <w:t xml:space="preserve"> zaznamenaný v roce 2011 (14 %)</w:t>
      </w:r>
      <w:r>
        <w:t xml:space="preserve"> se téměř pod</w:t>
      </w:r>
      <w:r w:rsidR="00CF5AFD">
        <w:t>aři</w:t>
      </w:r>
      <w:r>
        <w:t>lo udržet i v roce 2012 (12 %).</w:t>
      </w:r>
      <w:r w:rsidR="009402AE" w:rsidRPr="009402AE">
        <w:t xml:space="preserve"> </w:t>
      </w:r>
      <w:r w:rsidR="009402AE" w:rsidRPr="001B3FD1">
        <w:t>V roce 2012 výdaje za provedený VaV v podnikatelském sektoru poprvé překonaly hranici 1 % HDP a na celkových investicích uskutečněných v podnikatelském sektoru (pouze nefinanční podniky) se tyto výdaje dokonce podílely téměř 7 %. Opět jde o nejvyšší hodnotu za celé sledované období, například v letech 2005 až 2007 se tento ukazatel pohyboval mezi 4,5 % a 5 %.</w:t>
      </w:r>
    </w:p>
    <w:p w:rsidR="009402AE" w:rsidRDefault="009402AE" w:rsidP="006905ED">
      <w:pPr>
        <w:pStyle w:val="Odstavecseseznamem"/>
        <w:spacing w:after="60" w:line="252" w:lineRule="auto"/>
        <w:ind w:left="425" w:hanging="357"/>
        <w:contextualSpacing w:val="0"/>
      </w:pPr>
      <w:r w:rsidRPr="001B3FD1">
        <w:t>V České republice byl v roce 2012 VaV prováděn ve 2 311 podnicích na 2 334 pracovištích, z nichž přibližně polovina se věnuje VaV činnosti v posledních 5 letech soustavně.</w:t>
      </w:r>
      <w:r>
        <w:t xml:space="preserve"> </w:t>
      </w:r>
      <w:r w:rsidRPr="001B3FD1">
        <w:t>Z výše uvedených 2 334 pracovišť VaV v podnikatelském sektoru pouze ve čtvrtině z nich bylo v roce 2012 za VaV utraceno více jak 10 mil. Kč a pouze ve třech ze sta více jak 100 mil. Kč.  Naopak téměř čtvrtina z těchto pracovišť uváděla, že za provedený VaV v roce 2012 utratila méně než milion korun</w:t>
      </w:r>
      <w:r>
        <w:t>.</w:t>
      </w:r>
      <w:r w:rsidRPr="001B3FD1">
        <w:t xml:space="preserve"> </w:t>
      </w:r>
    </w:p>
    <w:p w:rsidR="00A67402" w:rsidRDefault="00A67402" w:rsidP="006905ED">
      <w:pPr>
        <w:pStyle w:val="Odstavecseseznamem"/>
        <w:spacing w:after="60" w:line="252" w:lineRule="auto"/>
        <w:ind w:left="425" w:hanging="357"/>
        <w:contextualSpacing w:val="0"/>
      </w:pPr>
      <w:r>
        <w:t xml:space="preserve">Na financování VaV v podnikatelském sektoru se největší měrou podílí </w:t>
      </w:r>
      <w:r w:rsidR="009402AE">
        <w:t xml:space="preserve">samy </w:t>
      </w:r>
      <w:r>
        <w:t>podniky. Z vlastních tuzemských zdrojů podniků se v roce 2012 vynaložilo na VaV více než 25 mld. Kč. Poměrně vysokou částku vložily do VaV na území ČR zahraniční podniky, zde jde hlavně o peníze poskytnuté zahraničními podniky svým afilacím</w:t>
      </w:r>
      <w:r w:rsidR="009402AE" w:rsidRPr="009402AE">
        <w:t xml:space="preserve"> </w:t>
      </w:r>
      <w:r w:rsidR="009402AE">
        <w:t>na zde provedený VaV na zakázku</w:t>
      </w:r>
      <w:r>
        <w:t xml:space="preserve"> (6 mld. Kč</w:t>
      </w:r>
      <w:r w:rsidR="009402AE">
        <w:t xml:space="preserve"> v roce 2012</w:t>
      </w:r>
      <w:r>
        <w:t>). Veřejná podpora VaV z ČR a zahraničí tvořila v roce 2012 pětinu výdajů na VaV provedený v podnikatelském sektoru. Jednalo se zvláště o účelovou podporu, kterou stát poskytl na projekty VaV.</w:t>
      </w:r>
    </w:p>
    <w:p w:rsidR="00A67402" w:rsidRDefault="00A67402" w:rsidP="006905ED">
      <w:pPr>
        <w:pStyle w:val="Odstavecseseznamem"/>
        <w:spacing w:after="60" w:line="252" w:lineRule="auto"/>
        <w:ind w:left="425" w:hanging="357"/>
        <w:contextualSpacing w:val="0"/>
      </w:pPr>
      <w:r>
        <w:t>Výzkum a vývoj v podnicích je zaměřen na využití výsledků v praxi a jejich finanční zhodnocení. Drtivá většina výdajů na VaV se proto vynakládá na aplikovaný výzkum nebo experimentální vývoj, v roce 2012 šlo o celých 97 % výdajů na VaV provedený v podnikatelském sektoru.</w:t>
      </w:r>
    </w:p>
    <w:p w:rsidR="00A67402" w:rsidRDefault="00A67402" w:rsidP="006905ED">
      <w:pPr>
        <w:pStyle w:val="Odstavecseseznamem"/>
        <w:spacing w:after="60" w:line="252" w:lineRule="auto"/>
        <w:ind w:left="425" w:hanging="357"/>
        <w:contextualSpacing w:val="0"/>
      </w:pPr>
      <w:r>
        <w:t>V roce 2012 se v ČR zabývalo VaV činností celkem 1 096 malých podn</w:t>
      </w:r>
      <w:r w:rsidR="00CF5AFD">
        <w:t>iků. Ač malé podniky tvořily 47 </w:t>
      </w:r>
      <w:r>
        <w:t>% pracovišť VaV podnikatelského sektoru, na výdajích za provedený VaV se v rámci podnikatelského sektoru podílely jen 13 %. Naopak velké podniky měly 57 % podíl na výdajích, i když jejich podíl na počtu pracovišť byl jen 19 %.</w:t>
      </w:r>
    </w:p>
    <w:p w:rsidR="00A67402" w:rsidRDefault="00A67402" w:rsidP="006905ED">
      <w:pPr>
        <w:pStyle w:val="Odstavecseseznamem"/>
        <w:spacing w:after="60" w:line="252" w:lineRule="auto"/>
        <w:ind w:left="425" w:hanging="357"/>
        <w:contextualSpacing w:val="0"/>
      </w:pPr>
      <w:r>
        <w:t>Z hlediska vlastnictví podniků se více peněz vynakládá na VaV v</w:t>
      </w:r>
      <w:r w:rsidR="004F6E97">
        <w:t> zahraničních afilacích</w:t>
      </w:r>
      <w:r>
        <w:t xml:space="preserve"> než v soukromých domácích podnicích. V roce 2012 </w:t>
      </w:r>
      <w:r w:rsidR="004F6E97">
        <w:t>to bylo v</w:t>
      </w:r>
      <w:r>
        <w:t xml:space="preserve"> poměr</w:t>
      </w:r>
      <w:r w:rsidR="004F6E97">
        <w:t>u</w:t>
      </w:r>
      <w:r>
        <w:t xml:space="preserve"> 5:4.</w:t>
      </w:r>
    </w:p>
    <w:p w:rsidR="00A67402" w:rsidRDefault="00A67402" w:rsidP="006905ED">
      <w:pPr>
        <w:pStyle w:val="Odstavecseseznamem"/>
        <w:spacing w:after="60" w:line="252" w:lineRule="auto"/>
        <w:ind w:left="425" w:hanging="357"/>
        <w:contextualSpacing w:val="0"/>
      </w:pPr>
      <w:r>
        <w:t xml:space="preserve">Nejvíc peněz na VaV se v podnikatelském sektoru vydalo v podnicích působících ve zpracovatelském průmyslu (21,3 mld. Kč). Významnou celkovou částku vynaložily na VaV podniky působící v odvětvích Výzkum a vývoj a Informační a komunikační činnosti. V prvním jmenovaném odvětví to v roce 2012 bylo 6,2 mld. Kč, ve druhém 5,6 mld. Kč. </w:t>
      </w:r>
    </w:p>
    <w:p w:rsidR="00A67402" w:rsidRDefault="00A67402" w:rsidP="006905ED">
      <w:pPr>
        <w:pStyle w:val="Odstavecseseznamem"/>
        <w:spacing w:after="60" w:line="252" w:lineRule="auto"/>
        <w:ind w:left="425" w:hanging="357"/>
        <w:contextualSpacing w:val="0"/>
      </w:pPr>
      <w:r>
        <w:t>Praha byla s 10 mld. Kč v roce 2012 krajem s největšími výdaji na VaV provedený v podnikatelském sektoru. Za Prahou následovaly Jihomoravský a Středočeský kraj. Ze všech sektorů provádění jsou v podnikatelském sektoru výdaje z hlediska regionálního členění nejrovnoměrněji rozloženy. Mimo Prahu a Jihomoravský kraj připadlo v roce 2012 v podnikatelském sektoru na ostatní kraje 58 % výdajů na VaV, ve vládním sektoru byl podíl těchto 12 krajů 14 % a ve vysokoškolském sektoru 39 %.</w:t>
      </w:r>
    </w:p>
    <w:p w:rsidR="00A67402" w:rsidRDefault="00A67402" w:rsidP="006905ED">
      <w:pPr>
        <w:pStyle w:val="Odstavecseseznamem"/>
        <w:spacing w:after="60" w:line="252" w:lineRule="auto"/>
        <w:ind w:left="425" w:hanging="357"/>
        <w:contextualSpacing w:val="0"/>
      </w:pPr>
      <w:r>
        <w:t>V podnikatelském sektoru se v EU28 v roce 2011 vynaložilo na VaV 152 mld. Eur, na čemž se jednou třetinou podílelo Německo s 50 mld. Eur. V České republice se v podnik</w:t>
      </w:r>
      <w:r w:rsidR="00196C57">
        <w:t>atelském sektoru vynaložilo 1,7 </w:t>
      </w:r>
      <w:r>
        <w:t>mld. Eur (1,</w:t>
      </w:r>
      <w:r w:rsidR="00196C57">
        <w:t>1</w:t>
      </w:r>
      <w:r>
        <w:t>% podíl EU28).</w:t>
      </w:r>
    </w:p>
    <w:p w:rsidR="00A67402" w:rsidRDefault="00A67402" w:rsidP="006905ED">
      <w:pPr>
        <w:pStyle w:val="Odstavecseseznamem"/>
        <w:spacing w:after="60" w:line="252" w:lineRule="auto"/>
        <w:ind w:left="425" w:hanging="357"/>
        <w:contextualSpacing w:val="0"/>
      </w:pPr>
      <w:r>
        <w:t>Podíl výdajů na VaV v podnikatelském sektoru na celkových výdajích na VaV byl v roce 2011 v EU28 62 %. Pro západní Evropu jsou typické vyšší hodnoty 60-70 %, pro východní Evropu hodnoty nižší</w:t>
      </w:r>
      <w:r w:rsidR="00196C57">
        <w:br/>
      </w:r>
      <w:r>
        <w:t>30-50 %.</w:t>
      </w:r>
    </w:p>
    <w:p w:rsidR="00FF75DD" w:rsidRPr="00A67402" w:rsidRDefault="00FF75DD" w:rsidP="00FF75DD">
      <w:pPr>
        <w:pStyle w:val="Titulek"/>
        <w:rPr>
          <w:sz w:val="18"/>
          <w:szCs w:val="18"/>
        </w:rPr>
      </w:pPr>
      <w:r w:rsidRPr="00A67402">
        <w:rPr>
          <w:sz w:val="18"/>
          <w:szCs w:val="18"/>
        </w:rPr>
        <w:t xml:space="preserve">Graf </w:t>
      </w:r>
      <w:r w:rsidR="00C8514E" w:rsidRPr="00A67402">
        <w:rPr>
          <w:sz w:val="18"/>
          <w:szCs w:val="18"/>
        </w:rPr>
        <w:fldChar w:fldCharType="begin"/>
      </w:r>
      <w:r w:rsidRPr="00A67402">
        <w:rPr>
          <w:sz w:val="18"/>
          <w:szCs w:val="18"/>
        </w:rPr>
        <w:instrText xml:space="preserve"> STYLEREF 1 \s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w:t>
      </w:r>
      <w:r w:rsidR="00C8514E" w:rsidRPr="00A67402">
        <w:rPr>
          <w:sz w:val="18"/>
          <w:szCs w:val="18"/>
        </w:rPr>
        <w:fldChar w:fldCharType="begin"/>
      </w:r>
      <w:r w:rsidR="00C8514E" w:rsidRPr="00A67402">
        <w:rPr>
          <w:sz w:val="18"/>
          <w:szCs w:val="18"/>
        </w:rPr>
        <w:instrText xml:space="preserve"> SEQ Graf \* ARABIC \s 1 </w:instrText>
      </w:r>
      <w:r w:rsidR="00C8514E" w:rsidRPr="00A67402">
        <w:rPr>
          <w:sz w:val="18"/>
          <w:szCs w:val="18"/>
        </w:rPr>
        <w:fldChar w:fldCharType="separate"/>
      </w:r>
      <w:r w:rsidR="00CF5AFD">
        <w:rPr>
          <w:noProof/>
          <w:sz w:val="18"/>
          <w:szCs w:val="18"/>
        </w:rPr>
        <w:t>7</w:t>
      </w:r>
      <w:r w:rsidR="00C8514E" w:rsidRPr="00A67402">
        <w:rPr>
          <w:sz w:val="18"/>
          <w:szCs w:val="18"/>
        </w:rPr>
        <w:fldChar w:fldCharType="end"/>
      </w:r>
      <w:r w:rsidRPr="00A67402">
        <w:rPr>
          <w:sz w:val="18"/>
          <w:szCs w:val="18"/>
        </w:rPr>
        <w:t>: Výdaje na VaV uskutečněné v podnikatelském sektoru podle druhu pracoviště</w:t>
      </w:r>
      <w:r w:rsidR="00EA0CB2">
        <w:rPr>
          <w:sz w:val="18"/>
          <w:szCs w:val="18"/>
        </w:rPr>
        <w:t xml:space="preserve"> </w:t>
      </w:r>
      <w:r w:rsidR="00A0372A" w:rsidRPr="00A67402">
        <w:rPr>
          <w:sz w:val="18"/>
          <w:szCs w:val="18"/>
        </w:rPr>
        <w:t>(</w:t>
      </w:r>
      <w:r w:rsidRPr="00A67402">
        <w:rPr>
          <w:sz w:val="18"/>
          <w:szCs w:val="18"/>
        </w:rPr>
        <w:t>mld. Kč)</w:t>
      </w:r>
      <w:bookmarkEnd w:id="20"/>
      <w:bookmarkEnd w:id="21"/>
    </w:p>
    <w:p w:rsidR="00B64C4F" w:rsidRPr="00B64C4F" w:rsidRDefault="00ED29FF" w:rsidP="00B64C4F">
      <w:pPr>
        <w:pStyle w:val="Titulektabulky"/>
      </w:pPr>
      <w:bookmarkStart w:id="22" w:name="_Toc276545286"/>
      <w:bookmarkStart w:id="23" w:name="_Toc277257655"/>
      <w:bookmarkEnd w:id="23"/>
      <w:r w:rsidRPr="00BF4877">
        <w:rPr>
          <w:noProof/>
          <w:lang w:eastAsia="cs-CZ"/>
        </w:rPr>
        <w:pict>
          <v:shape id="_x0000_i1031" type="#_x0000_t75" style="width:475.5pt;height:138.75pt;visibility:visible">
            <v:imagedata r:id="rId14" o:title=""/>
          </v:shape>
        </w:pict>
      </w:r>
    </w:p>
    <w:p w:rsidR="00FF75DD" w:rsidRPr="00A67402" w:rsidRDefault="00FF75DD" w:rsidP="00B64C4F">
      <w:pPr>
        <w:pStyle w:val="Titulektabulky"/>
        <w:rPr>
          <w:sz w:val="18"/>
          <w:szCs w:val="18"/>
        </w:rPr>
      </w:pPr>
      <w:r w:rsidRPr="0010704E">
        <w:br w:type="page"/>
      </w:r>
      <w:bookmarkStart w:id="24" w:name="_Toc246497426"/>
      <w:bookmarkStart w:id="25" w:name="_Toc277257657"/>
      <w:bookmarkStart w:id="26" w:name="_Toc343781867"/>
      <w:r w:rsidRPr="00A67402">
        <w:rPr>
          <w:sz w:val="18"/>
          <w:szCs w:val="18"/>
        </w:rPr>
        <w:lastRenderedPageBreak/>
        <w:t xml:space="preserve">Tab. </w:t>
      </w:r>
      <w:r w:rsidR="00C8514E" w:rsidRPr="00A67402">
        <w:rPr>
          <w:sz w:val="18"/>
          <w:szCs w:val="18"/>
        </w:rPr>
        <w:fldChar w:fldCharType="begin"/>
      </w:r>
      <w:r w:rsidRPr="00A67402">
        <w:rPr>
          <w:sz w:val="18"/>
          <w:szCs w:val="18"/>
        </w:rPr>
        <w:instrText xml:space="preserve"> STYLEREF 1 \s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w:t>
      </w:r>
      <w:r w:rsidR="00C8514E" w:rsidRPr="00A67402">
        <w:rPr>
          <w:sz w:val="18"/>
          <w:szCs w:val="18"/>
        </w:rPr>
        <w:fldChar w:fldCharType="begin"/>
      </w:r>
      <w:r w:rsidR="00C8514E" w:rsidRPr="00A67402">
        <w:rPr>
          <w:sz w:val="18"/>
          <w:szCs w:val="18"/>
        </w:rPr>
        <w:instrText xml:space="preserve"> SEQ Tab. \* ARABIC \s 1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 Výdaje na VaV uskutečněné v podnikatelském sektoru v ČR, 200</w:t>
      </w:r>
      <w:r w:rsidR="006444DD" w:rsidRPr="00A67402">
        <w:rPr>
          <w:sz w:val="18"/>
          <w:szCs w:val="18"/>
        </w:rPr>
        <w:t>7</w:t>
      </w:r>
      <w:r w:rsidRPr="00A67402">
        <w:rPr>
          <w:sz w:val="18"/>
          <w:szCs w:val="18"/>
        </w:rPr>
        <w:t>–201</w:t>
      </w:r>
      <w:bookmarkEnd w:id="22"/>
      <w:bookmarkEnd w:id="24"/>
      <w:bookmarkEnd w:id="25"/>
      <w:bookmarkEnd w:id="26"/>
      <w:r w:rsidR="006444DD" w:rsidRPr="00A67402">
        <w:rPr>
          <w:sz w:val="18"/>
          <w:szCs w:val="18"/>
        </w:rPr>
        <w:t>2</w:t>
      </w:r>
    </w:p>
    <w:tbl>
      <w:tblPr>
        <w:tblW w:w="9654" w:type="dxa"/>
        <w:tblInd w:w="55" w:type="dxa"/>
        <w:tblLayout w:type="fixed"/>
        <w:tblCellMar>
          <w:left w:w="70" w:type="dxa"/>
          <w:right w:w="70" w:type="dxa"/>
        </w:tblCellMar>
        <w:tblLook w:val="04A0"/>
      </w:tblPr>
      <w:tblGrid>
        <w:gridCol w:w="1858"/>
        <w:gridCol w:w="142"/>
        <w:gridCol w:w="37"/>
        <w:gridCol w:w="105"/>
        <w:gridCol w:w="302"/>
        <w:gridCol w:w="241"/>
        <w:gridCol w:w="370"/>
        <w:gridCol w:w="315"/>
        <w:gridCol w:w="296"/>
        <w:gridCol w:w="389"/>
        <w:gridCol w:w="19"/>
        <w:gridCol w:w="666"/>
        <w:gridCol w:w="148"/>
        <w:gridCol w:w="204"/>
        <w:gridCol w:w="333"/>
        <w:gridCol w:w="686"/>
        <w:gridCol w:w="590"/>
        <w:gridCol w:w="591"/>
        <w:gridCol w:w="590"/>
        <w:gridCol w:w="591"/>
        <w:gridCol w:w="590"/>
        <w:gridCol w:w="591"/>
      </w:tblGrid>
      <w:tr w:rsidR="00FF75DD" w:rsidRPr="000E0C9B" w:rsidTr="006444DD">
        <w:trPr>
          <w:trHeight w:val="227"/>
        </w:trPr>
        <w:tc>
          <w:tcPr>
            <w:tcW w:w="2000" w:type="dxa"/>
            <w:gridSpan w:val="2"/>
            <w:vMerge w:val="restart"/>
            <w:tcBorders>
              <w:top w:val="single" w:sz="8" w:space="0" w:color="auto"/>
              <w:left w:val="nil"/>
              <w:right w:val="nil"/>
            </w:tcBorders>
            <w:shd w:val="clear" w:color="000000" w:fill="000099"/>
            <w:vAlign w:val="center"/>
            <w:hideMark/>
          </w:tcPr>
          <w:p w:rsidR="00FF75DD" w:rsidRPr="000E0C9B" w:rsidRDefault="00FF75DD" w:rsidP="00D42965">
            <w:pPr>
              <w:spacing w:line="240" w:lineRule="auto"/>
              <w:ind w:left="-73"/>
              <w:rPr>
                <w:rFonts w:eastAsia="Times New Roman" w:cs="Arial"/>
                <w:b/>
                <w:bCs/>
                <w:color w:val="FFFFFF"/>
                <w:sz w:val="16"/>
                <w:szCs w:val="16"/>
                <w:lang w:eastAsia="cs-CZ"/>
              </w:rPr>
            </w:pPr>
          </w:p>
        </w:tc>
        <w:tc>
          <w:tcPr>
            <w:tcW w:w="4111" w:type="dxa"/>
            <w:gridSpan w:val="14"/>
            <w:tcBorders>
              <w:top w:val="single" w:sz="8" w:space="0" w:color="auto"/>
              <w:left w:val="nil"/>
              <w:bottom w:val="nil"/>
              <w:right w:val="dotted" w:sz="4" w:space="0" w:color="auto"/>
            </w:tcBorders>
            <w:shd w:val="clear" w:color="000000" w:fill="000099"/>
            <w:noWrap/>
            <w:vAlign w:val="center"/>
            <w:hideMark/>
          </w:tcPr>
          <w:p w:rsidR="00FF75DD" w:rsidRPr="000E0C9B" w:rsidRDefault="00FF75DD" w:rsidP="00D42965">
            <w:pPr>
              <w:spacing w:line="240" w:lineRule="auto"/>
              <w:ind w:left="-73"/>
              <w:jc w:val="center"/>
              <w:rPr>
                <w:rFonts w:eastAsia="Times New Roman" w:cs="Arial"/>
                <w:b/>
                <w:bCs/>
                <w:color w:val="FFFFFF"/>
                <w:sz w:val="16"/>
                <w:szCs w:val="16"/>
                <w:lang w:eastAsia="cs-CZ"/>
              </w:rPr>
            </w:pPr>
            <w:r w:rsidRPr="000E0C9B">
              <w:rPr>
                <w:rFonts w:eastAsia="Times New Roman" w:cs="Arial"/>
                <w:b/>
                <w:bCs/>
                <w:color w:val="FFFFFF"/>
                <w:sz w:val="16"/>
                <w:szCs w:val="16"/>
                <w:lang w:eastAsia="cs-CZ"/>
              </w:rPr>
              <w:t>mil. Kč – běžné ceny</w:t>
            </w:r>
          </w:p>
        </w:tc>
        <w:tc>
          <w:tcPr>
            <w:tcW w:w="3543" w:type="dxa"/>
            <w:gridSpan w:val="6"/>
            <w:tcBorders>
              <w:top w:val="single" w:sz="8" w:space="0" w:color="auto"/>
              <w:left w:val="dotted" w:sz="4" w:space="0" w:color="auto"/>
              <w:bottom w:val="nil"/>
              <w:right w:val="nil"/>
            </w:tcBorders>
            <w:shd w:val="clear" w:color="000000" w:fill="000099"/>
            <w:vAlign w:val="center"/>
            <w:hideMark/>
          </w:tcPr>
          <w:p w:rsidR="00FF75DD" w:rsidRPr="000E0C9B" w:rsidRDefault="00FF75DD" w:rsidP="00D42965">
            <w:pPr>
              <w:spacing w:line="240" w:lineRule="auto"/>
              <w:ind w:left="-73"/>
              <w:jc w:val="center"/>
              <w:rPr>
                <w:rFonts w:eastAsia="Times New Roman" w:cs="Arial"/>
                <w:b/>
                <w:bCs/>
                <w:color w:val="FFFFFF"/>
                <w:sz w:val="16"/>
                <w:szCs w:val="16"/>
                <w:lang w:eastAsia="cs-CZ"/>
              </w:rPr>
            </w:pPr>
            <w:r>
              <w:rPr>
                <w:rFonts w:eastAsia="Times New Roman" w:cs="Arial"/>
                <w:b/>
                <w:bCs/>
                <w:color w:val="FFFFFF"/>
                <w:sz w:val="16"/>
                <w:szCs w:val="16"/>
                <w:lang w:eastAsia="cs-CZ"/>
              </w:rPr>
              <w:t>struktura</w:t>
            </w:r>
          </w:p>
        </w:tc>
      </w:tr>
      <w:tr w:rsidR="004766FB" w:rsidRPr="000E0C9B" w:rsidTr="00BA25CA">
        <w:trPr>
          <w:trHeight w:val="227"/>
        </w:trPr>
        <w:tc>
          <w:tcPr>
            <w:tcW w:w="2000" w:type="dxa"/>
            <w:gridSpan w:val="2"/>
            <w:vMerge/>
            <w:tcBorders>
              <w:left w:val="nil"/>
              <w:bottom w:val="single" w:sz="8" w:space="0" w:color="auto"/>
              <w:right w:val="nil"/>
            </w:tcBorders>
            <w:shd w:val="clear" w:color="000000" w:fill="000099"/>
            <w:vAlign w:val="center"/>
            <w:hideMark/>
          </w:tcPr>
          <w:p w:rsidR="004766FB" w:rsidRPr="000E0C9B" w:rsidRDefault="004766FB" w:rsidP="00D42965">
            <w:pPr>
              <w:spacing w:line="240" w:lineRule="auto"/>
              <w:ind w:left="-73"/>
              <w:rPr>
                <w:rFonts w:eastAsia="Times New Roman" w:cs="Arial"/>
                <w:b/>
                <w:bCs/>
                <w:color w:val="FFFFFF"/>
                <w:sz w:val="16"/>
                <w:szCs w:val="16"/>
                <w:lang w:eastAsia="cs-CZ"/>
              </w:rPr>
            </w:pPr>
          </w:p>
        </w:tc>
        <w:tc>
          <w:tcPr>
            <w:tcW w:w="685" w:type="dxa"/>
            <w:gridSpan w:val="4"/>
            <w:tcBorders>
              <w:top w:val="nil"/>
              <w:left w:val="nil"/>
              <w:bottom w:val="single" w:sz="8" w:space="0" w:color="auto"/>
              <w:right w:val="nil"/>
            </w:tcBorders>
            <w:shd w:val="clear" w:color="000000" w:fill="000099"/>
            <w:vAlign w:val="bottom"/>
            <w:hideMark/>
          </w:tcPr>
          <w:p w:rsidR="004766FB" w:rsidRDefault="004766FB">
            <w:pPr>
              <w:jc w:val="center"/>
              <w:rPr>
                <w:rFonts w:cs="Arial"/>
                <w:b/>
                <w:bCs/>
                <w:color w:val="FFFFFF"/>
                <w:sz w:val="16"/>
                <w:szCs w:val="16"/>
              </w:rPr>
            </w:pPr>
            <w:r>
              <w:rPr>
                <w:rFonts w:cs="Arial"/>
                <w:b/>
                <w:bCs/>
                <w:color w:val="FFFFFF"/>
                <w:sz w:val="16"/>
                <w:szCs w:val="16"/>
              </w:rPr>
              <w:t>2007</w:t>
            </w:r>
          </w:p>
        </w:tc>
        <w:tc>
          <w:tcPr>
            <w:tcW w:w="685" w:type="dxa"/>
            <w:gridSpan w:val="2"/>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2008</w:t>
            </w:r>
          </w:p>
        </w:tc>
        <w:tc>
          <w:tcPr>
            <w:tcW w:w="685" w:type="dxa"/>
            <w:gridSpan w:val="2"/>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2009</w:t>
            </w:r>
          </w:p>
        </w:tc>
        <w:tc>
          <w:tcPr>
            <w:tcW w:w="685" w:type="dxa"/>
            <w:gridSpan w:val="2"/>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2010</w:t>
            </w:r>
          </w:p>
        </w:tc>
        <w:tc>
          <w:tcPr>
            <w:tcW w:w="685" w:type="dxa"/>
            <w:gridSpan w:val="3"/>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2011</w:t>
            </w:r>
          </w:p>
        </w:tc>
        <w:tc>
          <w:tcPr>
            <w:tcW w:w="686" w:type="dxa"/>
            <w:tcBorders>
              <w:top w:val="nil"/>
              <w:left w:val="nil"/>
              <w:bottom w:val="single" w:sz="8" w:space="0" w:color="auto"/>
              <w:right w:val="dotted" w:sz="4" w:space="0" w:color="auto"/>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2012</w:t>
            </w:r>
          </w:p>
        </w:tc>
        <w:tc>
          <w:tcPr>
            <w:tcW w:w="590" w:type="dxa"/>
            <w:tcBorders>
              <w:top w:val="nil"/>
              <w:left w:val="dotted" w:sz="4" w:space="0" w:color="auto"/>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2007</w:t>
            </w:r>
          </w:p>
        </w:tc>
        <w:tc>
          <w:tcPr>
            <w:tcW w:w="591" w:type="dxa"/>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2008</w:t>
            </w:r>
          </w:p>
        </w:tc>
        <w:tc>
          <w:tcPr>
            <w:tcW w:w="590" w:type="dxa"/>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2009</w:t>
            </w:r>
          </w:p>
        </w:tc>
        <w:tc>
          <w:tcPr>
            <w:tcW w:w="591" w:type="dxa"/>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2010</w:t>
            </w:r>
          </w:p>
        </w:tc>
        <w:tc>
          <w:tcPr>
            <w:tcW w:w="590" w:type="dxa"/>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2011</w:t>
            </w:r>
          </w:p>
        </w:tc>
        <w:tc>
          <w:tcPr>
            <w:tcW w:w="591" w:type="dxa"/>
            <w:tcBorders>
              <w:top w:val="nil"/>
              <w:left w:val="nil"/>
              <w:bottom w:val="single" w:sz="8" w:space="0" w:color="auto"/>
              <w:right w:val="nil"/>
            </w:tcBorders>
            <w:shd w:val="clear" w:color="000000" w:fill="000099"/>
            <w:noWrap/>
            <w:vAlign w:val="bottom"/>
            <w:hideMark/>
          </w:tcPr>
          <w:p w:rsidR="004766FB" w:rsidRDefault="004766FB">
            <w:pPr>
              <w:jc w:val="center"/>
              <w:rPr>
                <w:rFonts w:cs="Arial"/>
                <w:b/>
                <w:bCs/>
                <w:color w:val="FFFFFF"/>
                <w:sz w:val="16"/>
                <w:szCs w:val="16"/>
              </w:rPr>
            </w:pPr>
            <w:r>
              <w:rPr>
                <w:rFonts w:cs="Arial"/>
                <w:b/>
                <w:bCs/>
                <w:color w:val="FFFFFF"/>
                <w:sz w:val="16"/>
                <w:szCs w:val="16"/>
              </w:rPr>
              <w:t>2012</w:t>
            </w:r>
          </w:p>
        </w:tc>
      </w:tr>
      <w:tr w:rsidR="004766FB" w:rsidRPr="000E0C9B" w:rsidTr="00BA25CA">
        <w:trPr>
          <w:trHeight w:val="227"/>
        </w:trPr>
        <w:tc>
          <w:tcPr>
            <w:tcW w:w="2000" w:type="dxa"/>
            <w:gridSpan w:val="2"/>
            <w:tcBorders>
              <w:top w:val="nil"/>
              <w:left w:val="nil"/>
              <w:bottom w:val="single" w:sz="8" w:space="0" w:color="auto"/>
              <w:right w:val="nil"/>
            </w:tcBorders>
            <w:shd w:val="clear" w:color="000000" w:fill="8DB4E3"/>
            <w:vAlign w:val="bottom"/>
            <w:hideMark/>
          </w:tcPr>
          <w:p w:rsidR="004766FB" w:rsidRDefault="004766FB">
            <w:pPr>
              <w:rPr>
                <w:rFonts w:cs="Arial"/>
                <w:b/>
                <w:bCs/>
                <w:color w:val="000000"/>
                <w:sz w:val="16"/>
                <w:szCs w:val="16"/>
              </w:rPr>
            </w:pPr>
            <w:r>
              <w:rPr>
                <w:rFonts w:cs="Arial"/>
                <w:b/>
                <w:bCs/>
                <w:color w:val="000000"/>
                <w:sz w:val="16"/>
                <w:szCs w:val="16"/>
              </w:rPr>
              <w:t>Celkem</w:t>
            </w:r>
          </w:p>
        </w:tc>
        <w:tc>
          <w:tcPr>
            <w:tcW w:w="685" w:type="dxa"/>
            <w:gridSpan w:val="4"/>
            <w:tcBorders>
              <w:top w:val="nil"/>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29 345</w:t>
            </w:r>
          </w:p>
        </w:tc>
        <w:tc>
          <w:tcPr>
            <w:tcW w:w="685" w:type="dxa"/>
            <w:gridSpan w:val="2"/>
            <w:tcBorders>
              <w:top w:val="nil"/>
              <w:left w:val="nil"/>
              <w:bottom w:val="single" w:sz="8" w:space="0" w:color="auto"/>
              <w:right w:val="nil"/>
            </w:tcBorders>
            <w:shd w:val="clear" w:color="000000" w:fill="8DB4E3"/>
            <w:noWrap/>
            <w:vAlign w:val="bottom"/>
            <w:hideMark/>
          </w:tcPr>
          <w:p w:rsidR="004766FB" w:rsidRDefault="004766FB">
            <w:pPr>
              <w:jc w:val="right"/>
              <w:rPr>
                <w:rFonts w:cs="Arial"/>
                <w:b/>
                <w:bCs/>
                <w:color w:val="000000"/>
                <w:sz w:val="16"/>
                <w:szCs w:val="16"/>
              </w:rPr>
            </w:pPr>
            <w:r>
              <w:rPr>
                <w:rFonts w:cs="Arial"/>
                <w:b/>
                <w:bCs/>
                <w:color w:val="000000"/>
                <w:sz w:val="16"/>
                <w:szCs w:val="16"/>
              </w:rPr>
              <w:t>29 249</w:t>
            </w:r>
          </w:p>
        </w:tc>
        <w:tc>
          <w:tcPr>
            <w:tcW w:w="685" w:type="dxa"/>
            <w:gridSpan w:val="2"/>
            <w:tcBorders>
              <w:top w:val="nil"/>
              <w:left w:val="nil"/>
              <w:bottom w:val="single" w:sz="8" w:space="0" w:color="auto"/>
              <w:right w:val="nil"/>
            </w:tcBorders>
            <w:shd w:val="clear" w:color="000000" w:fill="8DB4E3"/>
            <w:noWrap/>
            <w:vAlign w:val="bottom"/>
            <w:hideMark/>
          </w:tcPr>
          <w:p w:rsidR="004766FB" w:rsidRDefault="004766FB">
            <w:pPr>
              <w:jc w:val="right"/>
              <w:rPr>
                <w:rFonts w:cs="Arial"/>
                <w:b/>
                <w:bCs/>
                <w:color w:val="000000"/>
                <w:sz w:val="16"/>
                <w:szCs w:val="16"/>
              </w:rPr>
            </w:pPr>
            <w:r>
              <w:rPr>
                <w:rFonts w:cs="Arial"/>
                <w:b/>
                <w:bCs/>
                <w:color w:val="000000"/>
                <w:sz w:val="16"/>
                <w:szCs w:val="16"/>
              </w:rPr>
              <w:t>28 743</w:t>
            </w:r>
          </w:p>
        </w:tc>
        <w:tc>
          <w:tcPr>
            <w:tcW w:w="685" w:type="dxa"/>
            <w:gridSpan w:val="2"/>
            <w:tcBorders>
              <w:top w:val="nil"/>
              <w:left w:val="nil"/>
              <w:bottom w:val="single" w:sz="8" w:space="0" w:color="auto"/>
              <w:right w:val="nil"/>
            </w:tcBorders>
            <w:shd w:val="clear" w:color="000000" w:fill="8DB4E3"/>
            <w:noWrap/>
            <w:vAlign w:val="bottom"/>
            <w:hideMark/>
          </w:tcPr>
          <w:p w:rsidR="004766FB" w:rsidRDefault="004766FB">
            <w:pPr>
              <w:jc w:val="right"/>
              <w:rPr>
                <w:rFonts w:cs="Arial"/>
                <w:b/>
                <w:bCs/>
                <w:color w:val="000000"/>
                <w:sz w:val="16"/>
                <w:szCs w:val="16"/>
              </w:rPr>
            </w:pPr>
            <w:r>
              <w:rPr>
                <w:rFonts w:cs="Arial"/>
                <w:b/>
                <w:bCs/>
                <w:color w:val="000000"/>
                <w:sz w:val="16"/>
                <w:szCs w:val="16"/>
              </w:rPr>
              <w:t>30 564</w:t>
            </w:r>
          </w:p>
        </w:tc>
        <w:tc>
          <w:tcPr>
            <w:tcW w:w="685" w:type="dxa"/>
            <w:gridSpan w:val="3"/>
            <w:tcBorders>
              <w:top w:val="nil"/>
              <w:left w:val="nil"/>
              <w:bottom w:val="single" w:sz="8" w:space="0" w:color="auto"/>
              <w:right w:val="nil"/>
            </w:tcBorders>
            <w:shd w:val="clear" w:color="000000" w:fill="8DB4E3"/>
            <w:noWrap/>
            <w:vAlign w:val="bottom"/>
            <w:hideMark/>
          </w:tcPr>
          <w:p w:rsidR="004766FB" w:rsidRDefault="004766FB">
            <w:pPr>
              <w:jc w:val="right"/>
              <w:rPr>
                <w:rFonts w:cs="Arial"/>
                <w:b/>
                <w:bCs/>
                <w:color w:val="000000"/>
                <w:sz w:val="16"/>
                <w:szCs w:val="16"/>
              </w:rPr>
            </w:pPr>
            <w:r>
              <w:rPr>
                <w:rFonts w:cs="Arial"/>
                <w:b/>
                <w:bCs/>
                <w:color w:val="000000"/>
                <w:sz w:val="16"/>
                <w:szCs w:val="16"/>
              </w:rPr>
              <w:t>34 717</w:t>
            </w:r>
          </w:p>
        </w:tc>
        <w:tc>
          <w:tcPr>
            <w:tcW w:w="686" w:type="dxa"/>
            <w:tcBorders>
              <w:top w:val="nil"/>
              <w:left w:val="nil"/>
              <w:bottom w:val="single" w:sz="8" w:space="0" w:color="auto"/>
              <w:right w:val="dotted" w:sz="4" w:space="0" w:color="auto"/>
            </w:tcBorders>
            <w:shd w:val="clear" w:color="000000" w:fill="8DB4E3"/>
            <w:noWrap/>
            <w:vAlign w:val="bottom"/>
            <w:hideMark/>
          </w:tcPr>
          <w:p w:rsidR="004766FB" w:rsidRDefault="004766FB">
            <w:pPr>
              <w:jc w:val="right"/>
              <w:rPr>
                <w:rFonts w:cs="Arial"/>
                <w:b/>
                <w:bCs/>
                <w:color w:val="000000"/>
                <w:sz w:val="16"/>
                <w:szCs w:val="16"/>
              </w:rPr>
            </w:pPr>
            <w:r>
              <w:rPr>
                <w:rFonts w:cs="Arial"/>
                <w:b/>
                <w:bCs/>
                <w:color w:val="000000"/>
                <w:sz w:val="16"/>
                <w:szCs w:val="16"/>
              </w:rPr>
              <w:t>38 790</w:t>
            </w:r>
          </w:p>
        </w:tc>
        <w:tc>
          <w:tcPr>
            <w:tcW w:w="590" w:type="dxa"/>
            <w:tcBorders>
              <w:top w:val="nil"/>
              <w:left w:val="dotted" w:sz="4" w:space="0" w:color="auto"/>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c>
          <w:tcPr>
            <w:tcW w:w="591" w:type="dxa"/>
            <w:tcBorders>
              <w:top w:val="single" w:sz="8" w:space="0" w:color="auto"/>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c>
          <w:tcPr>
            <w:tcW w:w="590" w:type="dxa"/>
            <w:tcBorders>
              <w:top w:val="nil"/>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c>
          <w:tcPr>
            <w:tcW w:w="591" w:type="dxa"/>
            <w:tcBorders>
              <w:top w:val="nil"/>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c>
          <w:tcPr>
            <w:tcW w:w="590" w:type="dxa"/>
            <w:tcBorders>
              <w:top w:val="nil"/>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c>
          <w:tcPr>
            <w:tcW w:w="591" w:type="dxa"/>
            <w:tcBorders>
              <w:top w:val="nil"/>
              <w:left w:val="nil"/>
              <w:bottom w:val="single" w:sz="8" w:space="0" w:color="auto"/>
              <w:right w:val="nil"/>
            </w:tcBorders>
            <w:shd w:val="clear" w:color="000000" w:fill="8DB4E3"/>
            <w:vAlign w:val="bottom"/>
            <w:hideMark/>
          </w:tcPr>
          <w:p w:rsidR="004766FB" w:rsidRDefault="004766FB">
            <w:pPr>
              <w:jc w:val="right"/>
              <w:rPr>
                <w:rFonts w:cs="Arial"/>
                <w:b/>
                <w:bCs/>
                <w:color w:val="000000"/>
                <w:sz w:val="16"/>
                <w:szCs w:val="16"/>
              </w:rPr>
            </w:pPr>
            <w:r>
              <w:rPr>
                <w:rFonts w:cs="Arial"/>
                <w:b/>
                <w:bCs/>
                <w:color w:val="000000"/>
                <w:sz w:val="16"/>
                <w:szCs w:val="16"/>
              </w:rPr>
              <w:t>100%</w:t>
            </w:r>
          </w:p>
        </w:tc>
      </w:tr>
      <w:tr w:rsidR="00BA25CA" w:rsidRPr="000E0C9B" w:rsidTr="00EB6F9C">
        <w:trPr>
          <w:trHeight w:val="227"/>
        </w:trPr>
        <w:tc>
          <w:tcPr>
            <w:tcW w:w="6111" w:type="dxa"/>
            <w:gridSpan w:val="16"/>
            <w:tcBorders>
              <w:top w:val="nil"/>
              <w:left w:val="nil"/>
              <w:bottom w:val="nil"/>
            </w:tcBorders>
            <w:shd w:val="clear" w:color="000000" w:fill="C5D9F1"/>
            <w:noWrap/>
            <w:vAlign w:val="center"/>
            <w:hideMark/>
          </w:tcPr>
          <w:p w:rsidR="00BA25CA" w:rsidRPr="00115D99" w:rsidRDefault="00BA25CA" w:rsidP="00BA25CA">
            <w:pPr>
              <w:spacing w:line="240" w:lineRule="auto"/>
              <w:rPr>
                <w:rFonts w:eastAsia="Times New Roman" w:cs="Arial"/>
                <w:bCs/>
                <w:color w:val="000000"/>
                <w:sz w:val="16"/>
                <w:szCs w:val="16"/>
                <w:lang w:eastAsia="cs-CZ"/>
              </w:rPr>
            </w:pPr>
            <w:r w:rsidRPr="000E0C9B">
              <w:rPr>
                <w:rFonts w:eastAsia="Times New Roman" w:cs="Arial"/>
                <w:b/>
                <w:bCs/>
                <w:color w:val="000000"/>
                <w:sz w:val="16"/>
                <w:szCs w:val="16"/>
                <w:lang w:eastAsia="cs-CZ"/>
              </w:rPr>
              <w:t>podle zdroje financování</w:t>
            </w:r>
            <w:r w:rsidRPr="00115D99">
              <w:rPr>
                <w:rFonts w:eastAsia="Times New Roman" w:cs="Arial"/>
                <w:bCs/>
                <w:color w:val="000000"/>
                <w:sz w:val="16"/>
                <w:szCs w:val="16"/>
                <w:lang w:eastAsia="cs-CZ"/>
              </w:rPr>
              <w:t> </w:t>
            </w:r>
          </w:p>
        </w:tc>
        <w:tc>
          <w:tcPr>
            <w:tcW w:w="590" w:type="dxa"/>
            <w:tcBorders>
              <w:top w:val="single" w:sz="8" w:space="0" w:color="auto"/>
              <w:bottom w:val="nil"/>
              <w:right w:val="nil"/>
            </w:tcBorders>
            <w:shd w:val="clear" w:color="000000" w:fill="C5D9F1"/>
            <w:noWrap/>
            <w:vAlign w:val="center"/>
            <w:hideMark/>
          </w:tcPr>
          <w:p w:rsidR="00BA25CA" w:rsidRPr="000E0C9B" w:rsidRDefault="00BA25CA" w:rsidP="00D42965">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D42965">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BA25CA" w:rsidRPr="000E0C9B" w:rsidRDefault="00BA25CA" w:rsidP="000960F3">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0960F3">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BA25CA" w:rsidRPr="000E0C9B" w:rsidRDefault="00BA25CA" w:rsidP="000960F3">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0960F3">
            <w:pPr>
              <w:spacing w:line="240" w:lineRule="auto"/>
              <w:jc w:val="right"/>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Podnikatelské z ČR</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22 761</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21 726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19 604</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20 882</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22 972</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25 513</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78%</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74%</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68%</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68%</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66%</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 xml:space="preserve">Podnikatelské </w:t>
            </w:r>
            <w:r>
              <w:rPr>
                <w:rFonts w:cs="Arial"/>
                <w:color w:val="000000"/>
                <w:sz w:val="16"/>
                <w:szCs w:val="16"/>
              </w:rPr>
              <w:br/>
              <w:t>ze zahraničí</w:t>
            </w:r>
          </w:p>
        </w:tc>
        <w:tc>
          <w:tcPr>
            <w:tcW w:w="685" w:type="dxa"/>
            <w:gridSpan w:val="4"/>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1 867</w:t>
            </w:r>
          </w:p>
        </w:tc>
        <w:tc>
          <w:tcPr>
            <w:tcW w:w="685" w:type="dxa"/>
            <w:gridSpan w:val="2"/>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2 836</w:t>
            </w:r>
          </w:p>
        </w:tc>
        <w:tc>
          <w:tcPr>
            <w:tcW w:w="685" w:type="dxa"/>
            <w:gridSpan w:val="2"/>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3 740</w:t>
            </w:r>
          </w:p>
        </w:tc>
        <w:tc>
          <w:tcPr>
            <w:tcW w:w="685" w:type="dxa"/>
            <w:gridSpan w:val="2"/>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4 063</w:t>
            </w:r>
          </w:p>
        </w:tc>
        <w:tc>
          <w:tcPr>
            <w:tcW w:w="685" w:type="dxa"/>
            <w:gridSpan w:val="3"/>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4 971</w:t>
            </w:r>
          </w:p>
        </w:tc>
        <w:tc>
          <w:tcPr>
            <w:tcW w:w="686" w:type="dxa"/>
            <w:tcBorders>
              <w:top w:val="nil"/>
              <w:left w:val="nil"/>
              <w:bottom w:val="nil"/>
              <w:right w:val="dotted" w:sz="4" w:space="0" w:color="auto"/>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5 954</w:t>
            </w:r>
          </w:p>
        </w:tc>
        <w:tc>
          <w:tcPr>
            <w:tcW w:w="590" w:type="dxa"/>
            <w:tcBorders>
              <w:top w:val="nil"/>
              <w:left w:val="dotted" w:sz="4" w:space="0" w:color="auto"/>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10%</w:t>
            </w:r>
          </w:p>
        </w:tc>
        <w:tc>
          <w:tcPr>
            <w:tcW w:w="590" w:type="dxa"/>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13%</w:t>
            </w:r>
          </w:p>
        </w:tc>
        <w:tc>
          <w:tcPr>
            <w:tcW w:w="591" w:type="dxa"/>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13%</w:t>
            </w:r>
          </w:p>
        </w:tc>
        <w:tc>
          <w:tcPr>
            <w:tcW w:w="590" w:type="dxa"/>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14%</w:t>
            </w:r>
          </w:p>
        </w:tc>
        <w:tc>
          <w:tcPr>
            <w:tcW w:w="591" w:type="dxa"/>
            <w:tcBorders>
              <w:top w:val="nil"/>
              <w:left w:val="nil"/>
              <w:bottom w:val="nil"/>
              <w:right w:val="nil"/>
            </w:tcBorders>
            <w:shd w:val="clear" w:color="auto" w:fill="auto"/>
            <w:noWrap/>
            <w:vAlign w:val="center"/>
            <w:hideMark/>
          </w:tcPr>
          <w:p w:rsidR="004766FB" w:rsidRDefault="004766FB" w:rsidP="004766FB">
            <w:pPr>
              <w:jc w:val="right"/>
              <w:rPr>
                <w:rFonts w:cs="Arial"/>
                <w:color w:val="000000"/>
                <w:sz w:val="16"/>
                <w:szCs w:val="16"/>
              </w:rPr>
            </w:pPr>
            <w:r>
              <w:rPr>
                <w:rFonts w:cs="Arial"/>
                <w:color w:val="000000"/>
                <w:sz w:val="16"/>
                <w:szCs w:val="16"/>
              </w:rPr>
              <w:t>15%</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Veřejné z ČR</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4 502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4 411</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4 911</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4 712</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5 451</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5 328</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15%</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15%</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17%</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15%</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14%</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Veřejné ze zahraničí</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170</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232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441</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877</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1 306</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1 979</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Ostatní z ČR</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45</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45</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30</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18</w:t>
            </w:r>
          </w:p>
        </w:tc>
        <w:tc>
          <w:tcPr>
            <w:tcW w:w="686" w:type="dxa"/>
            <w:tcBorders>
              <w:top w:val="nil"/>
              <w:left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16</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0%</w:t>
            </w:r>
          </w:p>
        </w:tc>
      </w:tr>
      <w:tr w:rsidR="00632C82" w:rsidRPr="000E0C9B" w:rsidTr="00BA25CA">
        <w:trPr>
          <w:trHeight w:val="227"/>
        </w:trPr>
        <w:tc>
          <w:tcPr>
            <w:tcW w:w="2000" w:type="dxa"/>
            <w:gridSpan w:val="2"/>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xml:space="preserve">podle typu VaV činnosti </w:t>
            </w:r>
          </w:p>
        </w:tc>
        <w:tc>
          <w:tcPr>
            <w:tcW w:w="444" w:type="dxa"/>
            <w:gridSpan w:val="3"/>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1222"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1222"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223" w:type="dxa"/>
            <w:gridSpan w:val="3"/>
            <w:tcBorders>
              <w:top w:val="nil"/>
              <w:left w:val="nil"/>
              <w:bottom w:val="nil"/>
            </w:tcBorders>
            <w:shd w:val="clear" w:color="000000" w:fill="C5D9F1"/>
            <w:noWrap/>
            <w:vAlign w:val="center"/>
            <w:hideMark/>
          </w:tcPr>
          <w:p w:rsidR="00632C82" w:rsidRPr="00115D99" w:rsidRDefault="00632C82" w:rsidP="00115D99">
            <w:pPr>
              <w:spacing w:line="240" w:lineRule="auto"/>
              <w:rPr>
                <w:rFonts w:eastAsia="Times New Roman" w:cs="Arial"/>
                <w:bCs/>
                <w:color w:val="000000"/>
                <w:sz w:val="16"/>
                <w:szCs w:val="16"/>
                <w:lang w:eastAsia="cs-CZ"/>
              </w:rPr>
            </w:pPr>
            <w:r w:rsidRPr="00115D99">
              <w:rPr>
                <w:rFonts w:eastAsia="Times New Roman" w:cs="Arial"/>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115D99" w:rsidRDefault="00632C82" w:rsidP="00115D99">
            <w:pPr>
              <w:spacing w:line="240" w:lineRule="auto"/>
              <w:rPr>
                <w:rFonts w:eastAsia="Times New Roman" w:cs="Arial"/>
                <w:color w:val="000000"/>
                <w:sz w:val="16"/>
                <w:szCs w:val="16"/>
                <w:lang w:eastAsia="cs-CZ"/>
              </w:rPr>
            </w:pP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 xml:space="preserve">Základní výzkum </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1 654</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1 976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1 632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1 392</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913</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1 294</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 xml:space="preserve">Aplikovaný výzkum </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8 365</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8 786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7 044</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10 820</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14 119</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16 116</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29%</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30%</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25%</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35%</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41%</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42%</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 xml:space="preserve">Experimentální vývoj </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19 327</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18 487</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20 067</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18 353</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19 685</w:t>
            </w:r>
          </w:p>
        </w:tc>
        <w:tc>
          <w:tcPr>
            <w:tcW w:w="686" w:type="dxa"/>
            <w:tcBorders>
              <w:top w:val="nil"/>
              <w:left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21 380</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63%</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70%</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60%</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57%</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55%</w:t>
            </w:r>
          </w:p>
        </w:tc>
      </w:tr>
      <w:tr w:rsidR="00632C82" w:rsidRPr="000E0C9B" w:rsidTr="00BA25CA">
        <w:trPr>
          <w:trHeight w:val="227"/>
        </w:trPr>
        <w:tc>
          <w:tcPr>
            <w:tcW w:w="2142"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podle velikosti podniků</w:t>
            </w:r>
          </w:p>
        </w:tc>
        <w:tc>
          <w:tcPr>
            <w:tcW w:w="302"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1222"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1222"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223" w:type="dxa"/>
            <w:gridSpan w:val="3"/>
            <w:tcBorders>
              <w:top w:val="nil"/>
              <w:left w:val="nil"/>
              <w:bottom w:val="nil"/>
            </w:tcBorders>
            <w:shd w:val="clear" w:color="000000" w:fill="C5D9F1"/>
            <w:noWrap/>
            <w:vAlign w:val="center"/>
            <w:hideMark/>
          </w:tcPr>
          <w:p w:rsidR="00632C82" w:rsidRPr="00115D99" w:rsidRDefault="00632C82" w:rsidP="00115D99">
            <w:pPr>
              <w:spacing w:line="240" w:lineRule="auto"/>
              <w:rPr>
                <w:rFonts w:eastAsia="Times New Roman" w:cs="Arial"/>
                <w:bCs/>
                <w:color w:val="000000"/>
                <w:sz w:val="16"/>
                <w:szCs w:val="16"/>
                <w:lang w:eastAsia="cs-CZ"/>
              </w:rPr>
            </w:pPr>
            <w:r w:rsidRPr="00115D99">
              <w:rPr>
                <w:rFonts w:eastAsia="Times New Roman" w:cs="Arial"/>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115D99" w:rsidRDefault="00632C82" w:rsidP="00115D99">
            <w:pPr>
              <w:spacing w:line="240" w:lineRule="auto"/>
              <w:rPr>
                <w:rFonts w:eastAsia="Times New Roman" w:cs="Arial"/>
                <w:color w:val="000000"/>
                <w:sz w:val="16"/>
                <w:szCs w:val="16"/>
                <w:lang w:eastAsia="cs-CZ"/>
              </w:rPr>
            </w:pP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Malé (0</w:t>
            </w:r>
            <w:r>
              <w:rPr>
                <w:rFonts w:cs="Arial"/>
                <w:color w:val="000000"/>
                <w:sz w:val="16"/>
                <w:szCs w:val="16"/>
              </w:rPr>
              <w:noBreakHyphen/>
              <w:t>49 zam.)</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3 327</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3 570</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4 056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4 125</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5 321</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4 956</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11%</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12%</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14%</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13%</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15%</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13%</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Střední (50</w:t>
            </w:r>
            <w:r>
              <w:rPr>
                <w:rFonts w:cs="Arial"/>
                <w:color w:val="000000"/>
                <w:sz w:val="16"/>
                <w:szCs w:val="16"/>
              </w:rPr>
              <w:noBreakHyphen/>
              <w:t xml:space="preserve">249 zam.) </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7 762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8 607</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9 004</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9 799</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9 835</w:t>
            </w:r>
          </w:p>
        </w:tc>
        <w:tc>
          <w:tcPr>
            <w:tcW w:w="686" w:type="dxa"/>
            <w:tcBorders>
              <w:top w:val="nil"/>
              <w:left w:val="nil"/>
              <w:bottom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11 703</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29%</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31%</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32%</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28%</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30%</w:t>
            </w:r>
          </w:p>
        </w:tc>
      </w:tr>
      <w:tr w:rsidR="004766FB"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4766FB" w:rsidRDefault="004766FB">
            <w:pPr>
              <w:rPr>
                <w:rFonts w:cs="Arial"/>
                <w:color w:val="000000"/>
                <w:sz w:val="16"/>
                <w:szCs w:val="16"/>
              </w:rPr>
            </w:pPr>
            <w:r>
              <w:rPr>
                <w:rFonts w:cs="Arial"/>
                <w:color w:val="000000"/>
                <w:sz w:val="16"/>
                <w:szCs w:val="16"/>
              </w:rPr>
              <w:t xml:space="preserve">Velké (250 a více) </w:t>
            </w:r>
          </w:p>
        </w:tc>
        <w:tc>
          <w:tcPr>
            <w:tcW w:w="685" w:type="dxa"/>
            <w:gridSpan w:val="4"/>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18 256</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17 072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15 682</w:t>
            </w:r>
          </w:p>
        </w:tc>
        <w:tc>
          <w:tcPr>
            <w:tcW w:w="685" w:type="dxa"/>
            <w:gridSpan w:val="2"/>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16 640</w:t>
            </w:r>
          </w:p>
        </w:tc>
        <w:tc>
          <w:tcPr>
            <w:tcW w:w="685" w:type="dxa"/>
            <w:gridSpan w:val="3"/>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19 560</w:t>
            </w:r>
          </w:p>
        </w:tc>
        <w:tc>
          <w:tcPr>
            <w:tcW w:w="686" w:type="dxa"/>
            <w:tcBorders>
              <w:top w:val="nil"/>
              <w:left w:val="nil"/>
              <w:right w:val="dotted" w:sz="4" w:space="0" w:color="auto"/>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22 131</w:t>
            </w:r>
          </w:p>
        </w:tc>
        <w:tc>
          <w:tcPr>
            <w:tcW w:w="590" w:type="dxa"/>
            <w:tcBorders>
              <w:top w:val="nil"/>
              <w:left w:val="dotted" w:sz="4" w:space="0" w:color="auto"/>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62%</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58%</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55%</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54%</w:t>
            </w:r>
          </w:p>
        </w:tc>
        <w:tc>
          <w:tcPr>
            <w:tcW w:w="590"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56%</w:t>
            </w:r>
          </w:p>
        </w:tc>
        <w:tc>
          <w:tcPr>
            <w:tcW w:w="591" w:type="dxa"/>
            <w:tcBorders>
              <w:top w:val="nil"/>
              <w:left w:val="nil"/>
              <w:bottom w:val="nil"/>
              <w:right w:val="nil"/>
            </w:tcBorders>
            <w:shd w:val="clear" w:color="auto" w:fill="auto"/>
            <w:noWrap/>
            <w:vAlign w:val="bottom"/>
            <w:hideMark/>
          </w:tcPr>
          <w:p w:rsidR="004766FB" w:rsidRDefault="004766FB">
            <w:pPr>
              <w:jc w:val="right"/>
              <w:rPr>
                <w:rFonts w:cs="Arial"/>
                <w:color w:val="000000"/>
                <w:sz w:val="16"/>
                <w:szCs w:val="16"/>
              </w:rPr>
            </w:pPr>
            <w:r>
              <w:rPr>
                <w:rFonts w:cs="Arial"/>
                <w:color w:val="000000"/>
                <w:sz w:val="16"/>
                <w:szCs w:val="16"/>
              </w:rPr>
              <w:t>57%</w:t>
            </w:r>
          </w:p>
        </w:tc>
      </w:tr>
      <w:tr w:rsidR="00AC3F0B" w:rsidRPr="000E0C9B" w:rsidTr="001167EE">
        <w:trPr>
          <w:trHeight w:val="259"/>
        </w:trPr>
        <w:tc>
          <w:tcPr>
            <w:tcW w:w="4074" w:type="dxa"/>
            <w:gridSpan w:val="11"/>
            <w:tcBorders>
              <w:top w:val="nil"/>
              <w:left w:val="nil"/>
              <w:bottom w:val="nil"/>
              <w:right w:val="nil"/>
            </w:tcBorders>
            <w:shd w:val="clear" w:color="000000" w:fill="C5D9F1"/>
            <w:noWrap/>
            <w:vAlign w:val="center"/>
            <w:hideMark/>
          </w:tcPr>
          <w:p w:rsidR="00AC3F0B" w:rsidRPr="00AC3F0B" w:rsidRDefault="00AC3F0B" w:rsidP="00115D99">
            <w:pPr>
              <w:spacing w:line="240" w:lineRule="auto"/>
              <w:rPr>
                <w:rFonts w:eastAsia="Times New Roman" w:cs="Arial"/>
                <w:b/>
                <w:bCs/>
                <w:color w:val="000000"/>
                <w:sz w:val="16"/>
                <w:szCs w:val="16"/>
                <w:lang w:eastAsia="cs-CZ"/>
              </w:rPr>
            </w:pPr>
            <w:r>
              <w:rPr>
                <w:rFonts w:eastAsia="Times New Roman" w:cs="Arial"/>
                <w:b/>
                <w:bCs/>
                <w:color w:val="000000"/>
                <w:sz w:val="16"/>
                <w:szCs w:val="16"/>
                <w:lang w:eastAsia="cs-CZ"/>
              </w:rPr>
              <w:t>Podle vlastnictví podniku</w:t>
            </w:r>
          </w:p>
        </w:tc>
        <w:tc>
          <w:tcPr>
            <w:tcW w:w="1018" w:type="dxa"/>
            <w:gridSpan w:val="3"/>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019" w:type="dxa"/>
            <w:gridSpan w:val="2"/>
            <w:tcBorders>
              <w:top w:val="nil"/>
              <w:left w:val="nil"/>
              <w:bottom w:val="nil"/>
            </w:tcBorders>
            <w:shd w:val="clear" w:color="000000" w:fill="C5D9F1"/>
            <w:noWrap/>
            <w:vAlign w:val="center"/>
            <w:hideMark/>
          </w:tcPr>
          <w:p w:rsidR="00AC3F0B" w:rsidRPr="00115D99" w:rsidRDefault="00AC3F0B" w:rsidP="00115D99">
            <w:pPr>
              <w:spacing w:line="240" w:lineRule="auto"/>
              <w:rPr>
                <w:rFonts w:eastAsia="Times New Roman" w:cs="Arial"/>
                <w:bCs/>
                <w:color w:val="000000"/>
                <w:sz w:val="16"/>
                <w:szCs w:val="16"/>
                <w:lang w:eastAsia="cs-CZ"/>
              </w:rPr>
            </w:pPr>
            <w:r w:rsidRPr="00115D99">
              <w:rPr>
                <w:rFonts w:eastAsia="Times New Roman" w:cs="Arial"/>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AC3F0B" w:rsidRPr="000E0C9B" w:rsidRDefault="00AC3F0B" w:rsidP="00115D99">
            <w:pPr>
              <w:spacing w:line="240" w:lineRule="auto"/>
              <w:rPr>
                <w:rFonts w:eastAsia="Times New Roman" w:cs="Arial"/>
                <w:color w:val="000000"/>
                <w:sz w:val="16"/>
                <w:szCs w:val="16"/>
                <w:lang w:eastAsia="cs-CZ"/>
              </w:rPr>
            </w:pP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rsidP="00BC76A8">
            <w:pPr>
              <w:rPr>
                <w:rFonts w:cs="Arial"/>
                <w:color w:val="000000"/>
                <w:sz w:val="16"/>
                <w:szCs w:val="16"/>
              </w:rPr>
            </w:pPr>
            <w:r>
              <w:rPr>
                <w:rFonts w:cs="Arial"/>
                <w:color w:val="000000"/>
                <w:sz w:val="16"/>
                <w:szCs w:val="16"/>
              </w:rPr>
              <w:t xml:space="preserve">Domácí </w:t>
            </w:r>
            <w:r w:rsidR="00BC76A8">
              <w:rPr>
                <w:rFonts w:cs="Arial"/>
                <w:color w:val="000000"/>
                <w:sz w:val="16"/>
                <w:szCs w:val="16"/>
              </w:rPr>
              <w:t>podniky</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14 659</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12 576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12 877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15 575</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16 927</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18 459</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45%</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51%</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49%</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48%</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ind w:firstLineChars="100" w:firstLine="160"/>
              <w:rPr>
                <w:rFonts w:cs="Arial"/>
                <w:color w:val="000000"/>
                <w:sz w:val="16"/>
                <w:szCs w:val="16"/>
              </w:rPr>
            </w:pPr>
            <w:r>
              <w:rPr>
                <w:rFonts w:cs="Arial"/>
                <w:color w:val="000000"/>
                <w:sz w:val="16"/>
                <w:szCs w:val="16"/>
              </w:rPr>
              <w:t>Veřejné</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1 913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2 724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2 670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2 594</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2 039</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1 887</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ind w:firstLineChars="100" w:firstLine="160"/>
              <w:rPr>
                <w:rFonts w:cs="Arial"/>
                <w:color w:val="000000"/>
                <w:sz w:val="16"/>
                <w:szCs w:val="16"/>
              </w:rPr>
            </w:pPr>
            <w:r>
              <w:rPr>
                <w:rFonts w:cs="Arial"/>
                <w:color w:val="000000"/>
                <w:sz w:val="16"/>
                <w:szCs w:val="16"/>
              </w:rPr>
              <w:t xml:space="preserve">Soukromé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12 747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9 853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10 207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12 981</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14 888</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16 572</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34%</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43%</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Zahraniční afilace</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14 686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16 673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15 865</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14 989</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17 790</w:t>
            </w:r>
          </w:p>
        </w:tc>
        <w:tc>
          <w:tcPr>
            <w:tcW w:w="686" w:type="dxa"/>
            <w:tcBorders>
              <w:top w:val="nil"/>
              <w:left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20 331</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57%</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55%</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49%</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51%</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52%</w:t>
            </w:r>
          </w:p>
        </w:tc>
      </w:tr>
      <w:tr w:rsidR="00BA25CA" w:rsidRPr="000E0C9B" w:rsidTr="00EB6F9C">
        <w:trPr>
          <w:trHeight w:val="227"/>
        </w:trPr>
        <w:tc>
          <w:tcPr>
            <w:tcW w:w="2444" w:type="dxa"/>
            <w:gridSpan w:val="5"/>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podle odvětvových sekcí</w:t>
            </w:r>
          </w:p>
        </w:tc>
        <w:tc>
          <w:tcPr>
            <w:tcW w:w="1222" w:type="dxa"/>
            <w:gridSpan w:val="4"/>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222" w:type="dxa"/>
            <w:gridSpan w:val="4"/>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223" w:type="dxa"/>
            <w:gridSpan w:val="3"/>
            <w:tcBorders>
              <w:top w:val="nil"/>
              <w:left w:val="nil"/>
              <w:bottom w:val="nil"/>
            </w:tcBorders>
            <w:shd w:val="clear" w:color="000000" w:fill="C5D9F1"/>
            <w:noWrap/>
            <w:vAlign w:val="center"/>
            <w:hideMark/>
          </w:tcPr>
          <w:p w:rsidR="00BA25CA" w:rsidRPr="00115D99" w:rsidRDefault="00BA25CA" w:rsidP="00115D99">
            <w:pPr>
              <w:spacing w:line="240" w:lineRule="auto"/>
              <w:rPr>
                <w:rFonts w:eastAsia="Times New Roman" w:cs="Arial"/>
                <w:bCs/>
                <w:color w:val="000000"/>
                <w:sz w:val="16"/>
                <w:szCs w:val="16"/>
                <w:lang w:eastAsia="cs-CZ"/>
              </w:rPr>
            </w:pPr>
            <w:r w:rsidRPr="00115D99">
              <w:rPr>
                <w:rFonts w:eastAsia="Times New Roman" w:cs="Arial"/>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BA25CA" w:rsidRPr="000E0C9B" w:rsidRDefault="00BA25CA" w:rsidP="00115D99">
            <w:pPr>
              <w:spacing w:line="240" w:lineRule="auto"/>
              <w:rPr>
                <w:rFonts w:eastAsia="Times New Roman" w:cs="Arial"/>
                <w:color w:val="000000"/>
                <w:sz w:val="16"/>
                <w:szCs w:val="16"/>
                <w:lang w:eastAsia="cs-CZ"/>
              </w:rPr>
            </w:pP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Zemědělství</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181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182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166</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133</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153</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Zpracovatelský průmysl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16 481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16 600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16 086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17 074</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19 521</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21 322</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57%</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55%</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rsidP="006444DD">
            <w:pPr>
              <w:rPr>
                <w:rFonts w:cs="Arial"/>
                <w:color w:val="000000"/>
                <w:sz w:val="16"/>
                <w:szCs w:val="16"/>
              </w:rPr>
            </w:pPr>
            <w:r>
              <w:rPr>
                <w:rFonts w:cs="Arial"/>
                <w:color w:val="000000"/>
                <w:sz w:val="16"/>
                <w:szCs w:val="16"/>
              </w:rPr>
              <w:t>Ostatní prům</w:t>
            </w:r>
            <w:r w:rsidR="006444DD">
              <w:rPr>
                <w:rFonts w:cs="Arial"/>
                <w:color w:val="000000"/>
                <w:sz w:val="16"/>
                <w:szCs w:val="16"/>
              </w:rPr>
              <w:t>.</w:t>
            </w:r>
            <w:r>
              <w:rPr>
                <w:rFonts w:cs="Arial"/>
                <w:color w:val="000000"/>
                <w:sz w:val="16"/>
                <w:szCs w:val="16"/>
              </w:rPr>
              <w:t xml:space="preserve"> a staveb</w:t>
            </w:r>
            <w:r w:rsidR="006444DD">
              <w:rPr>
                <w:rFonts w:cs="Arial"/>
                <w:color w:val="000000"/>
                <w:sz w:val="16"/>
                <w:szCs w:val="16"/>
              </w:rPr>
              <w:t>.</w:t>
            </w:r>
            <w:r>
              <w:rPr>
                <w:rFonts w:cs="Arial"/>
                <w:color w:val="000000"/>
                <w:sz w:val="16"/>
                <w:szCs w:val="16"/>
              </w:rPr>
              <w:t xml:space="preserve">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472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475</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527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555</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503</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561</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Informační a komunikační činnosti</w:t>
            </w:r>
          </w:p>
        </w:tc>
        <w:tc>
          <w:tcPr>
            <w:tcW w:w="685" w:type="dxa"/>
            <w:gridSpan w:val="4"/>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3 258</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3 816</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3 817</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4 098</w:t>
            </w:r>
          </w:p>
        </w:tc>
        <w:tc>
          <w:tcPr>
            <w:tcW w:w="685" w:type="dxa"/>
            <w:gridSpan w:val="3"/>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4 958</w:t>
            </w:r>
          </w:p>
        </w:tc>
        <w:tc>
          <w:tcPr>
            <w:tcW w:w="686" w:type="dxa"/>
            <w:tcBorders>
              <w:top w:val="nil"/>
              <w:left w:val="nil"/>
              <w:bottom w:val="nil"/>
              <w:right w:val="dotted" w:sz="4" w:space="0" w:color="auto"/>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5 601</w:t>
            </w:r>
          </w:p>
        </w:tc>
        <w:tc>
          <w:tcPr>
            <w:tcW w:w="590" w:type="dxa"/>
            <w:tcBorders>
              <w:top w:val="nil"/>
              <w:left w:val="dotted" w:sz="4" w:space="0" w:color="auto"/>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11%</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13%</w:t>
            </w:r>
          </w:p>
        </w:tc>
        <w:tc>
          <w:tcPr>
            <w:tcW w:w="590"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13%</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13%</w:t>
            </w:r>
          </w:p>
        </w:tc>
        <w:tc>
          <w:tcPr>
            <w:tcW w:w="590"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14%</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14%</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Architekt.a inženýrské čin.; technické zk.a anal.</w:t>
            </w:r>
          </w:p>
        </w:tc>
        <w:tc>
          <w:tcPr>
            <w:tcW w:w="685" w:type="dxa"/>
            <w:gridSpan w:val="4"/>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904</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1 123</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1 254</w:t>
            </w:r>
          </w:p>
        </w:tc>
        <w:tc>
          <w:tcPr>
            <w:tcW w:w="685" w:type="dxa"/>
            <w:gridSpan w:val="2"/>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1 514</w:t>
            </w:r>
          </w:p>
        </w:tc>
        <w:tc>
          <w:tcPr>
            <w:tcW w:w="685" w:type="dxa"/>
            <w:gridSpan w:val="3"/>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1 911</w:t>
            </w:r>
          </w:p>
        </w:tc>
        <w:tc>
          <w:tcPr>
            <w:tcW w:w="686" w:type="dxa"/>
            <w:tcBorders>
              <w:top w:val="nil"/>
              <w:left w:val="nil"/>
              <w:bottom w:val="nil"/>
              <w:right w:val="dotted" w:sz="4" w:space="0" w:color="auto"/>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2 198</w:t>
            </w:r>
          </w:p>
        </w:tc>
        <w:tc>
          <w:tcPr>
            <w:tcW w:w="590" w:type="dxa"/>
            <w:tcBorders>
              <w:top w:val="nil"/>
              <w:left w:val="dotted" w:sz="4" w:space="0" w:color="auto"/>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4%</w:t>
            </w:r>
          </w:p>
        </w:tc>
        <w:tc>
          <w:tcPr>
            <w:tcW w:w="590"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5%</w:t>
            </w:r>
          </w:p>
        </w:tc>
        <w:tc>
          <w:tcPr>
            <w:tcW w:w="590"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center"/>
            <w:hideMark/>
          </w:tcPr>
          <w:p w:rsidR="0028488C" w:rsidRDefault="0028488C" w:rsidP="000C0ECA">
            <w:pPr>
              <w:jc w:val="right"/>
              <w:rPr>
                <w:rFonts w:cs="Arial"/>
                <w:color w:val="000000"/>
                <w:sz w:val="16"/>
                <w:szCs w:val="16"/>
              </w:rPr>
            </w:pPr>
            <w:r>
              <w:rPr>
                <w:rFonts w:cs="Arial"/>
                <w:color w:val="000000"/>
                <w:sz w:val="16"/>
                <w:szCs w:val="16"/>
              </w:rPr>
              <w:t>6%</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Výzkum a vývoj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4 847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4 519</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4 569</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4 785</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5 020</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6 197</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17%</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Ostatní služby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3 202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2 534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2 322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2 372</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2 671</w:t>
            </w:r>
          </w:p>
        </w:tc>
        <w:tc>
          <w:tcPr>
            <w:tcW w:w="686" w:type="dxa"/>
            <w:tcBorders>
              <w:top w:val="nil"/>
              <w:left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2 758</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11%</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r>
      <w:tr w:rsidR="00632C82" w:rsidRPr="000E0C9B" w:rsidTr="00BA25CA">
        <w:trPr>
          <w:trHeight w:val="227"/>
        </w:trPr>
        <w:tc>
          <w:tcPr>
            <w:tcW w:w="1858"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b/>
                <w:bCs/>
                <w:color w:val="000000"/>
                <w:sz w:val="16"/>
                <w:szCs w:val="16"/>
                <w:lang w:eastAsia="cs-CZ"/>
              </w:rPr>
            </w:pPr>
            <w:r w:rsidRPr="000E0C9B">
              <w:rPr>
                <w:rFonts w:eastAsia="Times New Roman" w:cs="Arial"/>
                <w:b/>
                <w:bCs/>
                <w:color w:val="000000"/>
                <w:sz w:val="16"/>
                <w:szCs w:val="16"/>
                <w:lang w:eastAsia="cs-CZ"/>
              </w:rPr>
              <w:t>podle krajů ČR</w:t>
            </w:r>
          </w:p>
        </w:tc>
        <w:tc>
          <w:tcPr>
            <w:tcW w:w="179" w:type="dxa"/>
            <w:gridSpan w:val="2"/>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018"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019" w:type="dxa"/>
            <w:gridSpan w:val="4"/>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018" w:type="dxa"/>
            <w:gridSpan w:val="3"/>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1019" w:type="dxa"/>
            <w:gridSpan w:val="2"/>
            <w:tcBorders>
              <w:top w:val="nil"/>
              <w:left w:val="nil"/>
              <w:bottom w:val="nil"/>
            </w:tcBorders>
            <w:shd w:val="clear" w:color="000000" w:fill="C5D9F1"/>
            <w:noWrap/>
            <w:vAlign w:val="center"/>
            <w:hideMark/>
          </w:tcPr>
          <w:p w:rsidR="00632C82" w:rsidRPr="00115D99" w:rsidRDefault="00632C82" w:rsidP="00115D99">
            <w:pPr>
              <w:spacing w:line="240" w:lineRule="auto"/>
              <w:rPr>
                <w:rFonts w:eastAsia="Times New Roman" w:cs="Arial"/>
                <w:bCs/>
                <w:color w:val="000000"/>
                <w:sz w:val="16"/>
                <w:szCs w:val="16"/>
                <w:lang w:eastAsia="cs-CZ"/>
              </w:rPr>
            </w:pPr>
            <w:r w:rsidRPr="00115D99">
              <w:rPr>
                <w:rFonts w:eastAsia="Times New Roman" w:cs="Arial"/>
                <w:bCs/>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0"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r w:rsidRPr="000E0C9B">
              <w:rPr>
                <w:rFonts w:eastAsia="Times New Roman" w:cs="Arial"/>
                <w:color w:val="000000"/>
                <w:sz w:val="16"/>
                <w:szCs w:val="16"/>
                <w:lang w:eastAsia="cs-CZ"/>
              </w:rPr>
              <w:t> </w:t>
            </w:r>
          </w:p>
        </w:tc>
        <w:tc>
          <w:tcPr>
            <w:tcW w:w="591" w:type="dxa"/>
            <w:tcBorders>
              <w:top w:val="nil"/>
              <w:left w:val="nil"/>
              <w:bottom w:val="nil"/>
              <w:right w:val="nil"/>
            </w:tcBorders>
            <w:shd w:val="clear" w:color="000000" w:fill="C5D9F1"/>
            <w:noWrap/>
            <w:vAlign w:val="center"/>
            <w:hideMark/>
          </w:tcPr>
          <w:p w:rsidR="00632C82" w:rsidRPr="000E0C9B" w:rsidRDefault="00632C82" w:rsidP="00115D99">
            <w:pPr>
              <w:spacing w:line="240" w:lineRule="auto"/>
              <w:rPr>
                <w:rFonts w:eastAsia="Times New Roman" w:cs="Arial"/>
                <w:color w:val="000000"/>
                <w:sz w:val="16"/>
                <w:szCs w:val="16"/>
                <w:lang w:eastAsia="cs-CZ"/>
              </w:rPr>
            </w:pP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Praha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10 069</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9 733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7 520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7 812</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8 502</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10 090</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26%</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Středočeský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5 353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4 601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4 568</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4 899</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5 165</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5 079</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18%</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13%</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Jihočeský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924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984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1 074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1 039</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1 250</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1 375</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Plzeňský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942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1 276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1 170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1 780</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2 378</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2 768</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Karlovarský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104</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123</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202</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Ústecký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574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677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511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531</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629</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929</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 xml:space="preserve">Liberecký </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1 070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1 319</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1 091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1 181</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1 155</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2 120</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Královéhradecký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817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865</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1 173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1 167</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1 205</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1 221</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Pardubický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1 730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1 706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1 625</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1 864</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2 112</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2 198</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Vysočina</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522</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680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634</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731</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765</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904</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Jihomoravský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2 791</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3 087</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4 610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4 565</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5 429</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6 193</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10%</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11%</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15%</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16%</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Olomoucký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923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833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966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854</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1 061</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1 221</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w:t>
            </w:r>
          </w:p>
        </w:tc>
      </w:tr>
      <w:tr w:rsidR="0028488C" w:rsidRPr="000E0C9B" w:rsidTr="00BA25CA">
        <w:trPr>
          <w:trHeight w:val="227"/>
        </w:trPr>
        <w:tc>
          <w:tcPr>
            <w:tcW w:w="2000" w:type="dxa"/>
            <w:gridSpan w:val="2"/>
            <w:tcBorders>
              <w:top w:val="nil"/>
              <w:left w:val="nil"/>
              <w:bottom w:val="nil"/>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Zlínský</w:t>
            </w:r>
          </w:p>
        </w:tc>
        <w:tc>
          <w:tcPr>
            <w:tcW w:w="685" w:type="dxa"/>
            <w:gridSpan w:val="4"/>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1 576</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1 443</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1 400</w:t>
            </w:r>
          </w:p>
        </w:tc>
        <w:tc>
          <w:tcPr>
            <w:tcW w:w="685" w:type="dxa"/>
            <w:gridSpan w:val="2"/>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1 665</w:t>
            </w:r>
          </w:p>
        </w:tc>
        <w:tc>
          <w:tcPr>
            <w:tcW w:w="685" w:type="dxa"/>
            <w:gridSpan w:val="3"/>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1 917</w:t>
            </w:r>
          </w:p>
        </w:tc>
        <w:tc>
          <w:tcPr>
            <w:tcW w:w="686" w:type="dxa"/>
            <w:tcBorders>
              <w:top w:val="nil"/>
              <w:left w:val="nil"/>
              <w:bottom w:val="nil"/>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1 901</w:t>
            </w:r>
          </w:p>
        </w:tc>
        <w:tc>
          <w:tcPr>
            <w:tcW w:w="590" w:type="dxa"/>
            <w:tcBorders>
              <w:top w:val="nil"/>
              <w:left w:val="dotted" w:sz="4" w:space="0" w:color="auto"/>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c>
          <w:tcPr>
            <w:tcW w:w="590"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6%</w:t>
            </w:r>
          </w:p>
        </w:tc>
        <w:tc>
          <w:tcPr>
            <w:tcW w:w="591" w:type="dxa"/>
            <w:tcBorders>
              <w:top w:val="nil"/>
              <w:left w:val="nil"/>
              <w:bottom w:val="nil"/>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5%</w:t>
            </w:r>
          </w:p>
        </w:tc>
      </w:tr>
      <w:tr w:rsidR="0028488C" w:rsidRPr="000E0C9B" w:rsidTr="00BA25CA">
        <w:trPr>
          <w:trHeight w:val="227"/>
        </w:trPr>
        <w:tc>
          <w:tcPr>
            <w:tcW w:w="2000" w:type="dxa"/>
            <w:gridSpan w:val="2"/>
            <w:tcBorders>
              <w:top w:val="nil"/>
              <w:left w:val="nil"/>
              <w:bottom w:val="single" w:sz="8" w:space="0" w:color="auto"/>
              <w:right w:val="nil"/>
            </w:tcBorders>
            <w:shd w:val="clear" w:color="auto" w:fill="auto"/>
            <w:noWrap/>
            <w:vAlign w:val="bottom"/>
            <w:hideMark/>
          </w:tcPr>
          <w:p w:rsidR="0028488C" w:rsidRDefault="0028488C">
            <w:pPr>
              <w:rPr>
                <w:rFonts w:cs="Arial"/>
                <w:color w:val="000000"/>
                <w:sz w:val="16"/>
                <w:szCs w:val="16"/>
              </w:rPr>
            </w:pPr>
            <w:r>
              <w:rPr>
                <w:rFonts w:cs="Arial"/>
                <w:color w:val="000000"/>
                <w:sz w:val="16"/>
                <w:szCs w:val="16"/>
              </w:rPr>
              <w:t>Moravskoslezský</w:t>
            </w:r>
          </w:p>
        </w:tc>
        <w:tc>
          <w:tcPr>
            <w:tcW w:w="685" w:type="dxa"/>
            <w:gridSpan w:val="4"/>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1 981</w:t>
            </w:r>
          </w:p>
        </w:tc>
        <w:tc>
          <w:tcPr>
            <w:tcW w:w="685" w:type="dxa"/>
            <w:gridSpan w:val="2"/>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1 950</w:t>
            </w:r>
          </w:p>
        </w:tc>
        <w:tc>
          <w:tcPr>
            <w:tcW w:w="685" w:type="dxa"/>
            <w:gridSpan w:val="2"/>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2 309</w:t>
            </w:r>
          </w:p>
        </w:tc>
        <w:tc>
          <w:tcPr>
            <w:tcW w:w="685" w:type="dxa"/>
            <w:gridSpan w:val="2"/>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2 371</w:t>
            </w:r>
          </w:p>
        </w:tc>
        <w:tc>
          <w:tcPr>
            <w:tcW w:w="685" w:type="dxa"/>
            <w:gridSpan w:val="3"/>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3 025</w:t>
            </w:r>
          </w:p>
        </w:tc>
        <w:tc>
          <w:tcPr>
            <w:tcW w:w="686" w:type="dxa"/>
            <w:tcBorders>
              <w:top w:val="nil"/>
              <w:left w:val="nil"/>
              <w:bottom w:val="single" w:sz="8" w:space="0" w:color="auto"/>
              <w:right w:val="dotted" w:sz="4" w:space="0" w:color="auto"/>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2 589</w:t>
            </w:r>
          </w:p>
        </w:tc>
        <w:tc>
          <w:tcPr>
            <w:tcW w:w="590" w:type="dxa"/>
            <w:tcBorders>
              <w:top w:val="nil"/>
              <w:left w:val="dotted" w:sz="4" w:space="0" w:color="auto"/>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c>
          <w:tcPr>
            <w:tcW w:w="591" w:type="dxa"/>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c>
          <w:tcPr>
            <w:tcW w:w="590" w:type="dxa"/>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1" w:type="dxa"/>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8%</w:t>
            </w:r>
          </w:p>
        </w:tc>
        <w:tc>
          <w:tcPr>
            <w:tcW w:w="590" w:type="dxa"/>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9%</w:t>
            </w:r>
          </w:p>
        </w:tc>
        <w:tc>
          <w:tcPr>
            <w:tcW w:w="591" w:type="dxa"/>
            <w:tcBorders>
              <w:top w:val="nil"/>
              <w:left w:val="nil"/>
              <w:bottom w:val="single" w:sz="8" w:space="0" w:color="auto"/>
              <w:right w:val="nil"/>
            </w:tcBorders>
            <w:shd w:val="clear" w:color="auto" w:fill="auto"/>
            <w:noWrap/>
            <w:vAlign w:val="bottom"/>
            <w:hideMark/>
          </w:tcPr>
          <w:p w:rsidR="0028488C" w:rsidRDefault="0028488C">
            <w:pPr>
              <w:jc w:val="right"/>
              <w:rPr>
                <w:rFonts w:cs="Arial"/>
                <w:color w:val="000000"/>
                <w:sz w:val="16"/>
                <w:szCs w:val="16"/>
              </w:rPr>
            </w:pPr>
            <w:r>
              <w:rPr>
                <w:rFonts w:cs="Arial"/>
                <w:color w:val="000000"/>
                <w:sz w:val="16"/>
                <w:szCs w:val="16"/>
              </w:rPr>
              <w:t>7%</w:t>
            </w:r>
          </w:p>
        </w:tc>
      </w:tr>
    </w:tbl>
    <w:p w:rsidR="00FF75DD" w:rsidRPr="00A67402" w:rsidRDefault="00FF75DD" w:rsidP="00B64C4F">
      <w:pPr>
        <w:pStyle w:val="Titulek"/>
        <w:rPr>
          <w:sz w:val="18"/>
          <w:szCs w:val="18"/>
        </w:rPr>
      </w:pPr>
      <w:bookmarkStart w:id="27" w:name="_Toc246493287"/>
      <w:bookmarkStart w:id="28" w:name="_Toc277257658"/>
      <w:bookmarkStart w:id="29" w:name="_Toc343782433"/>
      <w:r w:rsidRPr="00A67402">
        <w:rPr>
          <w:sz w:val="18"/>
          <w:szCs w:val="18"/>
        </w:rPr>
        <w:t xml:space="preserve">Graf </w:t>
      </w:r>
      <w:r w:rsidR="00C8514E" w:rsidRPr="00A67402">
        <w:rPr>
          <w:sz w:val="18"/>
          <w:szCs w:val="18"/>
        </w:rPr>
        <w:fldChar w:fldCharType="begin"/>
      </w:r>
      <w:r w:rsidRPr="00A67402">
        <w:rPr>
          <w:sz w:val="18"/>
          <w:szCs w:val="18"/>
        </w:rPr>
        <w:instrText xml:space="preserve"> STYLEREF 1 \s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w:t>
      </w:r>
      <w:r w:rsidR="00C8514E" w:rsidRPr="00A67402">
        <w:rPr>
          <w:sz w:val="18"/>
          <w:szCs w:val="18"/>
        </w:rPr>
        <w:fldChar w:fldCharType="begin"/>
      </w:r>
      <w:r w:rsidR="00C8514E" w:rsidRPr="00A67402">
        <w:rPr>
          <w:sz w:val="18"/>
          <w:szCs w:val="18"/>
        </w:rPr>
        <w:instrText xml:space="preserve"> SEQ Graf \* ARABIC \s 1 </w:instrText>
      </w:r>
      <w:r w:rsidR="00C8514E" w:rsidRPr="00A67402">
        <w:rPr>
          <w:sz w:val="18"/>
          <w:szCs w:val="18"/>
        </w:rPr>
        <w:fldChar w:fldCharType="separate"/>
      </w:r>
      <w:r w:rsidR="00CF5AFD">
        <w:rPr>
          <w:noProof/>
          <w:sz w:val="18"/>
          <w:szCs w:val="18"/>
        </w:rPr>
        <w:t>8</w:t>
      </w:r>
      <w:r w:rsidR="00C8514E" w:rsidRPr="00A67402">
        <w:rPr>
          <w:sz w:val="18"/>
          <w:szCs w:val="18"/>
        </w:rPr>
        <w:fldChar w:fldCharType="end"/>
      </w:r>
      <w:r w:rsidRPr="00A67402">
        <w:rPr>
          <w:sz w:val="18"/>
          <w:szCs w:val="18"/>
        </w:rPr>
        <w:t>: Podíl výdajů na VaV v podnikatelském sektoru na celkových výdajích na VaV</w:t>
      </w:r>
      <w:r w:rsidR="00A37647" w:rsidRPr="00A67402">
        <w:rPr>
          <w:sz w:val="18"/>
          <w:szCs w:val="18"/>
        </w:rPr>
        <w:t>, 201</w:t>
      </w:r>
      <w:r w:rsidR="006444DD" w:rsidRPr="00A67402">
        <w:rPr>
          <w:sz w:val="18"/>
          <w:szCs w:val="18"/>
        </w:rPr>
        <w:t>1</w:t>
      </w:r>
      <w:r w:rsidRPr="00A67402">
        <w:rPr>
          <w:sz w:val="18"/>
          <w:szCs w:val="18"/>
        </w:rPr>
        <w:t xml:space="preserve"> (%)</w:t>
      </w:r>
      <w:bookmarkEnd w:id="27"/>
      <w:bookmarkEnd w:id="28"/>
      <w:bookmarkEnd w:id="29"/>
    </w:p>
    <w:p w:rsidR="00FF75DD" w:rsidRDefault="00A67402" w:rsidP="00FF75DD">
      <w:pPr>
        <w:spacing w:line="240" w:lineRule="auto"/>
      </w:pPr>
      <w:r w:rsidRPr="002F57B3">
        <w:rPr>
          <w:noProof/>
          <w:lang w:eastAsia="cs-CZ"/>
        </w:rPr>
        <w:pict>
          <v:shape id="_x0000_i1032" type="#_x0000_t75" style="width:473.25pt;height:129.75pt;visibility:visible">
            <v:imagedata r:id="rId15" o:title=""/>
          </v:shape>
        </w:pict>
      </w:r>
    </w:p>
    <w:p w:rsidR="00FF75DD" w:rsidRPr="00B12190" w:rsidRDefault="00FF75DD" w:rsidP="00B64C4F">
      <w:pPr>
        <w:pStyle w:val="poznamka"/>
      </w:pPr>
      <w:r w:rsidRPr="00BD4F15">
        <w:t>* Údaje za rok 20</w:t>
      </w:r>
      <w:r w:rsidR="006444DD">
        <w:t>10</w:t>
      </w:r>
      <w:r w:rsidRPr="00BD4F15">
        <w:t xml:space="preserve">;  </w:t>
      </w:r>
      <w:r>
        <w:t>*</w:t>
      </w:r>
      <w:r w:rsidR="00BD4F15">
        <w:t>*</w:t>
      </w:r>
      <w:r>
        <w:t xml:space="preserve"> Údaje za rok 2007</w:t>
      </w:r>
    </w:p>
    <w:p w:rsidR="00FF75DD" w:rsidRPr="00B12190" w:rsidRDefault="006444DD" w:rsidP="00002EC9">
      <w:pPr>
        <w:pStyle w:val="zdroj"/>
      </w:pPr>
      <w:r>
        <w:t>Zdroj: OECD MSTI 20</w:t>
      </w:r>
      <w:r w:rsidR="00FF75DD">
        <w:t>1</w:t>
      </w:r>
      <w:r>
        <w:t>3</w:t>
      </w:r>
      <w:r w:rsidR="00FF75DD">
        <w:t>–</w:t>
      </w:r>
      <w:r w:rsidR="00FF75DD" w:rsidRPr="00B12190">
        <w:t>1, Eurostat a dopočty ČSÚ</w:t>
      </w:r>
    </w:p>
    <w:p w:rsidR="00A67402" w:rsidRPr="00A67402" w:rsidRDefault="00FF75DD" w:rsidP="008147D0">
      <w:pPr>
        <w:pStyle w:val="Nadpis2"/>
        <w:numPr>
          <w:ilvl w:val="1"/>
          <w:numId w:val="2"/>
        </w:numPr>
        <w:spacing w:after="160"/>
        <w:ind w:left="431" w:hanging="431"/>
      </w:pPr>
      <w:r w:rsidRPr="00B12190">
        <w:lastRenderedPageBreak/>
        <w:t>Výdaje na výzkum a vývoj uskutečněn</w:t>
      </w:r>
      <w:r>
        <w:t>é</w:t>
      </w:r>
      <w:r w:rsidRPr="00B12190">
        <w:t xml:space="preserve"> ve vládním sektoru</w:t>
      </w:r>
    </w:p>
    <w:p w:rsidR="00002EC9" w:rsidRDefault="00002EC9" w:rsidP="006C49C9">
      <w:pPr>
        <w:pStyle w:val="Odstavecseseznamem"/>
        <w:spacing w:after="60" w:line="252" w:lineRule="auto"/>
        <w:ind w:left="425" w:hanging="357"/>
        <w:contextualSpacing w:val="0"/>
      </w:pPr>
      <w:bookmarkStart w:id="30" w:name="_Toc246493288"/>
      <w:bookmarkStart w:id="31" w:name="_Toc343782434"/>
      <w:r>
        <w:t xml:space="preserve">Výzkum a vývoj </w:t>
      </w:r>
      <w:r w:rsidRPr="00442850">
        <w:t>je ve vládním sektoru prováděn především v jednotlivých ústavech Akademie věd ČR a v resortních výzkumných pracovištích</w:t>
      </w:r>
      <w:r>
        <w:rPr>
          <w:rStyle w:val="Znakapoznpodarou"/>
        </w:rPr>
        <w:footnoteReference w:id="1"/>
      </w:r>
      <w:r w:rsidRPr="00442850">
        <w:t xml:space="preserve">, která provádějí VaV jako svoji hlavní ekonomickou činnost </w:t>
      </w:r>
      <w:r w:rsidR="00196C57">
        <w:br/>
      </w:r>
      <w:r w:rsidRPr="00442850">
        <w:t xml:space="preserve">(CZ-NACE 72). Mezi ostatní pracoviště vládního sektoru, kde se provádí VaV, patří veřejné knihovny, archivy, muzea a jiná kulturní zařízení (CZ-NACE 91) a pracoviště působící v oblasti veřejné správy, hospodářské a sociální politiky (CZ-NACE 841). </w:t>
      </w:r>
    </w:p>
    <w:p w:rsidR="00A67402" w:rsidRDefault="00A67402" w:rsidP="006C49C9">
      <w:pPr>
        <w:pStyle w:val="Odstavecseseznamem"/>
        <w:spacing w:after="60" w:line="252" w:lineRule="auto"/>
        <w:ind w:left="425" w:hanging="357"/>
        <w:contextualSpacing w:val="0"/>
      </w:pPr>
      <w:r>
        <w:t>Na VaV provedený ve vládním sektoru bylo v roce 2012 vynaloženo 13,3 mld. Kč. Ze všech 3 hlavních sektorů provádění VaV zaznamenal vládní sektor nejnižší meziroční nárůst výdajů (7 %). Za tento drobný nárůst je zodpovědné zvýšené čerpání z dotací Evropské unie na VaV. Výdaje na VaV ve vládním sektoru financované ze zahraničních veřejných zdrojů vzrostly</w:t>
      </w:r>
      <w:r w:rsidR="00196C57">
        <w:t xml:space="preserve"> oproti roku 2011 o 98 % na 2,1 </w:t>
      </w:r>
      <w:r>
        <w:t>mld. Kč v roce 2012.</w:t>
      </w:r>
    </w:p>
    <w:p w:rsidR="00A67402" w:rsidRDefault="00A67402" w:rsidP="006C49C9">
      <w:pPr>
        <w:pStyle w:val="Odstavecseseznamem"/>
        <w:spacing w:after="60" w:line="252" w:lineRule="auto"/>
        <w:ind w:left="425" w:hanging="357"/>
        <w:contextualSpacing w:val="0"/>
      </w:pPr>
      <w:r>
        <w:t xml:space="preserve">Během posledních pěti let se téměř nemění výše veřejných výdajů z ČR určených na podporu VaV ve vládním sektoru, ale jejich podíl v rámci sektoru lehce klesl z více než 80 % na 71 % v roce 2012. I přes tento pokles jsou veřejné zdroje z ČR hlavním a nejdůležitějším zdrojem financování veřejných výzkumných institucí. </w:t>
      </w:r>
      <w:r w:rsidR="000D74B2" w:rsidRPr="00442850">
        <w:t>Na rozdíl od vysokoškolského sektoru hrají ve financování VaV prováděného ve vládním sektoru významnou roli i soukromé zahraniční zdroje. Jde o příjmy z licenčních poplatků získané za poskytnutí práv využívat objevy (vynálezy) chráněné patentovým právem, které každý rok výrazně rostou</w:t>
      </w:r>
      <w:r>
        <w:t>.</w:t>
      </w:r>
    </w:p>
    <w:p w:rsidR="00A67402" w:rsidRDefault="00A67402" w:rsidP="006C49C9">
      <w:pPr>
        <w:pStyle w:val="Odstavecseseznamem"/>
        <w:spacing w:after="60" w:line="252" w:lineRule="auto"/>
        <w:ind w:left="425" w:hanging="357"/>
        <w:contextualSpacing w:val="0"/>
      </w:pPr>
      <w:r>
        <w:t xml:space="preserve">Nejvýznamnější institucí vládního sektoru je AV ČR, jejíž výdaje na VaV v roce 2012 přesáhly 10,5 mld. Kč. Na nárůstu výdajů této instituce na VaV o 22 % během posledních dvou let má hlavní zásluhu zvýšené čerpání dotací na VaV z Evropské unie. </w:t>
      </w:r>
      <w:r w:rsidR="00711D78" w:rsidRPr="000D1135">
        <w:t xml:space="preserve">V rámci jednotlivých druhů VaV pracovišť vládního sektoru již od roku 1995 postupně klesá význam jak resortních výzkumných ústavů, měřeno jejich podílem na celkových výdajích na VaV uskutečněný ve vládním sektoru, tak především ‘ostatních‘ pracovišť (CZ-NACE 841). </w:t>
      </w:r>
      <w:r w:rsidR="00711D78">
        <w:t xml:space="preserve">Tato </w:t>
      </w:r>
      <w:r w:rsidR="008A7238">
        <w:t>z</w:t>
      </w:r>
      <w:r>
        <w:t>bylá pracoviště VaV vládního sektoru, kterých v roce 2012 bylo 113 (65 % z pracovišť VaV vládního sektoru), se na výdajích na VaV v</w:t>
      </w:r>
      <w:r w:rsidR="008A7238">
        <w:t>e vládním</w:t>
      </w:r>
      <w:r>
        <w:t xml:space="preserve"> sektoru podílela jen 21 %.</w:t>
      </w:r>
    </w:p>
    <w:p w:rsidR="00711D78" w:rsidRDefault="00711D78" w:rsidP="006C49C9">
      <w:pPr>
        <w:pStyle w:val="Odstavecseseznamem"/>
        <w:spacing w:after="60" w:line="252" w:lineRule="auto"/>
        <w:ind w:left="425" w:hanging="357"/>
        <w:contextualSpacing w:val="0"/>
      </w:pPr>
      <w:r>
        <w:t xml:space="preserve">Výzkum a vývoj ve vládním sektoru se převážně orientuje na základní výzkum. V roce 2012 bylo 79 % výdajů ve vládním sektoru spotřebováno právě na základní výzkum. </w:t>
      </w:r>
    </w:p>
    <w:p w:rsidR="00A67402" w:rsidRDefault="00A67402" w:rsidP="006C49C9">
      <w:pPr>
        <w:pStyle w:val="Odstavecseseznamem"/>
        <w:spacing w:after="60" w:line="252" w:lineRule="auto"/>
        <w:ind w:left="425" w:hanging="357"/>
        <w:contextualSpacing w:val="0"/>
      </w:pPr>
      <w:r>
        <w:t>Na pracovištích vládního sektoru se provádí VaV v nejvyšší míře v oblasti přírodních věd, které se v roce 2012 na výdajích na VaV podílely 70 %. Význam přírodních věd podtrhuje i nejvyšší meziroční nárůst výdajů (17 %).</w:t>
      </w:r>
    </w:p>
    <w:p w:rsidR="00A67402" w:rsidRDefault="00A67402" w:rsidP="006C49C9">
      <w:pPr>
        <w:pStyle w:val="Odstavecseseznamem"/>
        <w:spacing w:after="60" w:line="252" w:lineRule="auto"/>
        <w:ind w:left="425" w:hanging="357"/>
        <w:contextualSpacing w:val="0"/>
      </w:pPr>
      <w:r>
        <w:t xml:space="preserve">Jak jsme si všimli v oddílu věnovaném počtu zaměstnanců VaV, většina ústavů AV ČR se nachází v Praze, proto zde výdaje na provedený VaV tvoří více než 70 % veškerých výdajů spotřebovaných ve vládním sektoru (9,7 mld. Kč v roce 2012). </w:t>
      </w:r>
    </w:p>
    <w:p w:rsidR="00A67402" w:rsidRDefault="00A67402" w:rsidP="006C49C9">
      <w:pPr>
        <w:pStyle w:val="Odstavecseseznamem"/>
        <w:spacing w:after="60" w:line="252" w:lineRule="auto"/>
        <w:ind w:left="425" w:hanging="357"/>
        <w:contextualSpacing w:val="0"/>
      </w:pPr>
      <w:r>
        <w:t>Ve vládním sektoru bylo v Evropské unii v roce 2011 na VaV vynaloženo 32 mld. Eur. Z jednotlivých států bylo nejvíce vynaloženo v </w:t>
      </w:r>
      <w:r w:rsidR="00196C57">
        <w:t>Německu a Francii (dohromady 54</w:t>
      </w:r>
      <w:r>
        <w:t xml:space="preserve">% podíl EU28). V České republice se v roce 2011 vydalo na VaV ve </w:t>
      </w:r>
      <w:r w:rsidR="00196C57">
        <w:t>vládním sektoru 0,5 mld. Eur (2</w:t>
      </w:r>
      <w:r>
        <w:t xml:space="preserve">% podíl EU28). </w:t>
      </w:r>
    </w:p>
    <w:p w:rsidR="00A67402" w:rsidRDefault="00A67402" w:rsidP="006C49C9">
      <w:pPr>
        <w:pStyle w:val="Odstavecseseznamem"/>
        <w:spacing w:line="252" w:lineRule="auto"/>
        <w:ind w:left="425" w:hanging="357"/>
      </w:pPr>
      <w:r>
        <w:t>Podíl výdajů na VaV ve vládním sektoru na celkových výdajích na VaV byl v roce 2011 v EU28 13</w:t>
      </w:r>
      <w:r w:rsidR="00196C57">
        <w:t xml:space="preserve"> </w:t>
      </w:r>
      <w:r>
        <w:t>%. Nejvyšších hodnot dosáhly státy bývalého východního bloku. V Rumunsku, Bulharsku a Polsku byl tento podíl vyšší než 30 %.</w:t>
      </w:r>
    </w:p>
    <w:p w:rsidR="00A67402" w:rsidRPr="006C49C9" w:rsidRDefault="00FF75DD" w:rsidP="006C49C9">
      <w:pPr>
        <w:pStyle w:val="Titulek"/>
        <w:rPr>
          <w:sz w:val="18"/>
          <w:szCs w:val="18"/>
        </w:rPr>
      </w:pPr>
      <w:r w:rsidRPr="00A67402">
        <w:rPr>
          <w:sz w:val="18"/>
          <w:szCs w:val="18"/>
        </w:rPr>
        <w:t xml:space="preserve">Graf </w:t>
      </w:r>
      <w:r w:rsidR="00C8514E" w:rsidRPr="00A67402">
        <w:rPr>
          <w:sz w:val="18"/>
          <w:szCs w:val="18"/>
        </w:rPr>
        <w:fldChar w:fldCharType="begin"/>
      </w:r>
      <w:r w:rsidRPr="00A67402">
        <w:rPr>
          <w:sz w:val="18"/>
          <w:szCs w:val="18"/>
        </w:rPr>
        <w:instrText xml:space="preserve"> STYLEREF 1 \s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w:t>
      </w:r>
      <w:r w:rsidR="00C8514E" w:rsidRPr="00A67402">
        <w:rPr>
          <w:sz w:val="18"/>
          <w:szCs w:val="18"/>
        </w:rPr>
        <w:fldChar w:fldCharType="begin"/>
      </w:r>
      <w:r w:rsidR="00C8514E" w:rsidRPr="00A67402">
        <w:rPr>
          <w:sz w:val="18"/>
          <w:szCs w:val="18"/>
        </w:rPr>
        <w:instrText xml:space="preserve"> SEQ Graf \* ARABIC \s 1 </w:instrText>
      </w:r>
      <w:r w:rsidR="00C8514E" w:rsidRPr="00A67402">
        <w:rPr>
          <w:sz w:val="18"/>
          <w:szCs w:val="18"/>
        </w:rPr>
        <w:fldChar w:fldCharType="separate"/>
      </w:r>
      <w:r w:rsidR="00CF5AFD">
        <w:rPr>
          <w:noProof/>
          <w:sz w:val="18"/>
          <w:szCs w:val="18"/>
        </w:rPr>
        <w:t>9</w:t>
      </w:r>
      <w:r w:rsidR="00C8514E" w:rsidRPr="00A67402">
        <w:rPr>
          <w:sz w:val="18"/>
          <w:szCs w:val="18"/>
        </w:rPr>
        <w:fldChar w:fldCharType="end"/>
      </w:r>
      <w:r w:rsidRPr="00A67402">
        <w:rPr>
          <w:sz w:val="18"/>
          <w:szCs w:val="18"/>
        </w:rPr>
        <w:t>: Výdaje na VaV uskutečněn</w:t>
      </w:r>
      <w:r w:rsidR="00EA0CB2">
        <w:rPr>
          <w:sz w:val="18"/>
          <w:szCs w:val="18"/>
        </w:rPr>
        <w:t>é</w:t>
      </w:r>
      <w:r w:rsidRPr="00A67402">
        <w:rPr>
          <w:sz w:val="18"/>
          <w:szCs w:val="18"/>
        </w:rPr>
        <w:t xml:space="preserve"> ve vládním sektoru podle druhu pracoviště (v mld. Kč)</w:t>
      </w:r>
      <w:bookmarkEnd w:id="30"/>
      <w:bookmarkEnd w:id="31"/>
    </w:p>
    <w:p w:rsidR="00FF75DD" w:rsidRDefault="00E72AB7" w:rsidP="00EB0051">
      <w:bookmarkStart w:id="32" w:name="_Toc246497428"/>
      <w:bookmarkStart w:id="33" w:name="_Toc276545289"/>
      <w:r w:rsidRPr="00BF4877">
        <w:rPr>
          <w:noProof/>
          <w:lang w:eastAsia="cs-CZ"/>
        </w:rPr>
        <w:pict>
          <v:shape id="_x0000_i1033" type="#_x0000_t75" style="width:472.5pt;height:131.25pt;visibility:visible">
            <v:imagedata r:id="rId16" o:title=""/>
          </v:shape>
        </w:pict>
      </w:r>
    </w:p>
    <w:p w:rsidR="00FF75DD" w:rsidRPr="00A67402" w:rsidRDefault="00FF75DD" w:rsidP="00EB0051">
      <w:pPr>
        <w:pStyle w:val="Titulektabulky"/>
        <w:rPr>
          <w:sz w:val="18"/>
          <w:szCs w:val="18"/>
        </w:rPr>
      </w:pPr>
      <w:r w:rsidRPr="00B12190">
        <w:br w:type="page"/>
      </w:r>
      <w:bookmarkStart w:id="34" w:name="_Toc277257661"/>
      <w:bookmarkStart w:id="35" w:name="_Toc343781868"/>
      <w:r w:rsidRPr="00A67402">
        <w:rPr>
          <w:sz w:val="18"/>
          <w:szCs w:val="18"/>
        </w:rPr>
        <w:lastRenderedPageBreak/>
        <w:t xml:space="preserve">Tab. </w:t>
      </w:r>
      <w:r w:rsidR="00C8514E" w:rsidRPr="00A67402">
        <w:rPr>
          <w:sz w:val="18"/>
          <w:szCs w:val="18"/>
        </w:rPr>
        <w:fldChar w:fldCharType="begin"/>
      </w:r>
      <w:r w:rsidRPr="00A67402">
        <w:rPr>
          <w:sz w:val="18"/>
          <w:szCs w:val="18"/>
        </w:rPr>
        <w:instrText xml:space="preserve"> STYLEREF 1 \s </w:instrText>
      </w:r>
      <w:r w:rsidR="00C8514E" w:rsidRPr="00A67402">
        <w:rPr>
          <w:sz w:val="18"/>
          <w:szCs w:val="18"/>
        </w:rPr>
        <w:fldChar w:fldCharType="separate"/>
      </w:r>
      <w:r w:rsidR="00CF5AFD">
        <w:rPr>
          <w:noProof/>
          <w:sz w:val="18"/>
          <w:szCs w:val="18"/>
        </w:rPr>
        <w:t>4</w:t>
      </w:r>
      <w:r w:rsidR="00C8514E" w:rsidRPr="00A67402">
        <w:rPr>
          <w:sz w:val="18"/>
          <w:szCs w:val="18"/>
        </w:rPr>
        <w:fldChar w:fldCharType="end"/>
      </w:r>
      <w:r w:rsidRPr="00A67402">
        <w:rPr>
          <w:sz w:val="18"/>
          <w:szCs w:val="18"/>
        </w:rPr>
        <w:t>.</w:t>
      </w:r>
      <w:r w:rsidR="00C8514E" w:rsidRPr="00A67402">
        <w:rPr>
          <w:sz w:val="18"/>
          <w:szCs w:val="18"/>
        </w:rPr>
        <w:fldChar w:fldCharType="begin"/>
      </w:r>
      <w:r w:rsidR="00C8514E" w:rsidRPr="00A67402">
        <w:rPr>
          <w:sz w:val="18"/>
          <w:szCs w:val="18"/>
        </w:rPr>
        <w:instrText xml:space="preserve"> SEQ Tab. \* ARABIC \s 1 </w:instrText>
      </w:r>
      <w:r w:rsidR="00C8514E" w:rsidRPr="00A67402">
        <w:rPr>
          <w:sz w:val="18"/>
          <w:szCs w:val="18"/>
        </w:rPr>
        <w:fldChar w:fldCharType="separate"/>
      </w:r>
      <w:r w:rsidR="00CF5AFD">
        <w:rPr>
          <w:noProof/>
          <w:sz w:val="18"/>
          <w:szCs w:val="18"/>
        </w:rPr>
        <w:t>5</w:t>
      </w:r>
      <w:r w:rsidR="00C8514E" w:rsidRPr="00A67402">
        <w:rPr>
          <w:sz w:val="18"/>
          <w:szCs w:val="18"/>
        </w:rPr>
        <w:fldChar w:fldCharType="end"/>
      </w:r>
      <w:r w:rsidRPr="00A67402">
        <w:rPr>
          <w:sz w:val="18"/>
          <w:szCs w:val="18"/>
        </w:rPr>
        <w:t xml:space="preserve">: Výdaje na VaV uskutečněné </w:t>
      </w:r>
      <w:r w:rsidR="0035357C" w:rsidRPr="00A67402">
        <w:rPr>
          <w:sz w:val="18"/>
          <w:szCs w:val="18"/>
        </w:rPr>
        <w:t>ve vládním sektoru v ČR, 2007</w:t>
      </w:r>
      <w:r w:rsidRPr="00A67402">
        <w:rPr>
          <w:sz w:val="18"/>
          <w:szCs w:val="18"/>
        </w:rPr>
        <w:t>–201</w:t>
      </w:r>
      <w:bookmarkEnd w:id="32"/>
      <w:bookmarkEnd w:id="33"/>
      <w:bookmarkEnd w:id="34"/>
      <w:bookmarkEnd w:id="35"/>
      <w:r w:rsidR="0035357C" w:rsidRPr="00A67402">
        <w:rPr>
          <w:sz w:val="18"/>
          <w:szCs w:val="18"/>
        </w:rPr>
        <w:t>2</w:t>
      </w:r>
    </w:p>
    <w:tbl>
      <w:tblPr>
        <w:tblW w:w="9603" w:type="dxa"/>
        <w:tblInd w:w="55" w:type="dxa"/>
        <w:tblLayout w:type="fixed"/>
        <w:tblCellMar>
          <w:left w:w="70" w:type="dxa"/>
          <w:right w:w="70" w:type="dxa"/>
        </w:tblCellMar>
        <w:tblLook w:val="04A0"/>
      </w:tblPr>
      <w:tblGrid>
        <w:gridCol w:w="2000"/>
        <w:gridCol w:w="685"/>
        <w:gridCol w:w="685"/>
        <w:gridCol w:w="685"/>
        <w:gridCol w:w="685"/>
        <w:gridCol w:w="685"/>
        <w:gridCol w:w="686"/>
        <w:gridCol w:w="582"/>
        <w:gridCol w:w="582"/>
        <w:gridCol w:w="582"/>
        <w:gridCol w:w="582"/>
        <w:gridCol w:w="582"/>
        <w:gridCol w:w="582"/>
      </w:tblGrid>
      <w:tr w:rsidR="00FF75DD" w:rsidRPr="008306C7" w:rsidTr="00831850">
        <w:trPr>
          <w:cantSplit/>
          <w:trHeight w:hRule="exact" w:val="244"/>
        </w:trPr>
        <w:tc>
          <w:tcPr>
            <w:tcW w:w="2000" w:type="dxa"/>
            <w:vMerge w:val="restart"/>
            <w:tcBorders>
              <w:top w:val="single" w:sz="8" w:space="0" w:color="auto"/>
              <w:left w:val="nil"/>
              <w:right w:val="nil"/>
            </w:tcBorders>
            <w:shd w:val="clear" w:color="000000" w:fill="000099"/>
            <w:noWrap/>
            <w:vAlign w:val="center"/>
            <w:hideMark/>
          </w:tcPr>
          <w:p w:rsidR="00FF75DD" w:rsidRPr="008306C7" w:rsidRDefault="00FF75DD" w:rsidP="00D42965">
            <w:pPr>
              <w:spacing w:line="240" w:lineRule="auto"/>
              <w:rPr>
                <w:rFonts w:eastAsia="Times New Roman" w:cs="Arial"/>
                <w:b/>
                <w:bCs/>
                <w:color w:val="FFFFFF"/>
                <w:sz w:val="16"/>
                <w:szCs w:val="16"/>
                <w:lang w:eastAsia="cs-CZ"/>
              </w:rPr>
            </w:pPr>
          </w:p>
        </w:tc>
        <w:tc>
          <w:tcPr>
            <w:tcW w:w="4111" w:type="dxa"/>
            <w:gridSpan w:val="6"/>
            <w:tcBorders>
              <w:top w:val="single" w:sz="8" w:space="0" w:color="auto"/>
              <w:left w:val="nil"/>
              <w:bottom w:val="nil"/>
              <w:right w:val="dotted" w:sz="4" w:space="0" w:color="auto"/>
            </w:tcBorders>
            <w:shd w:val="clear" w:color="000000" w:fill="000099"/>
            <w:noWrap/>
            <w:vAlign w:val="center"/>
            <w:hideMark/>
          </w:tcPr>
          <w:p w:rsidR="00FF75DD" w:rsidRPr="008306C7" w:rsidRDefault="00FF75DD" w:rsidP="00D42965">
            <w:pPr>
              <w:spacing w:line="240" w:lineRule="auto"/>
              <w:jc w:val="center"/>
              <w:rPr>
                <w:rFonts w:eastAsia="Times New Roman" w:cs="Arial"/>
                <w:b/>
                <w:bCs/>
                <w:color w:val="FFFFFF"/>
                <w:sz w:val="16"/>
                <w:szCs w:val="16"/>
                <w:lang w:eastAsia="cs-CZ"/>
              </w:rPr>
            </w:pPr>
            <w:r w:rsidRPr="008306C7">
              <w:rPr>
                <w:rFonts w:eastAsia="Times New Roman" w:cs="Arial"/>
                <w:b/>
                <w:bCs/>
                <w:color w:val="FFFFFF"/>
                <w:sz w:val="16"/>
                <w:szCs w:val="16"/>
                <w:lang w:eastAsia="cs-CZ"/>
              </w:rPr>
              <w:t>mil. Kč – běžné ceny</w:t>
            </w:r>
          </w:p>
        </w:tc>
        <w:tc>
          <w:tcPr>
            <w:tcW w:w="3492" w:type="dxa"/>
            <w:gridSpan w:val="6"/>
            <w:tcBorders>
              <w:top w:val="single" w:sz="8" w:space="0" w:color="auto"/>
              <w:left w:val="dotted" w:sz="4" w:space="0" w:color="auto"/>
              <w:bottom w:val="nil"/>
              <w:right w:val="nil"/>
            </w:tcBorders>
            <w:shd w:val="clear" w:color="000000" w:fill="000099"/>
            <w:noWrap/>
            <w:vAlign w:val="center"/>
            <w:hideMark/>
          </w:tcPr>
          <w:p w:rsidR="00FF75DD" w:rsidRPr="008306C7" w:rsidRDefault="00FF75DD" w:rsidP="00D42965">
            <w:pPr>
              <w:spacing w:line="240" w:lineRule="auto"/>
              <w:jc w:val="center"/>
              <w:rPr>
                <w:rFonts w:eastAsia="Times New Roman" w:cs="Arial"/>
                <w:b/>
                <w:bCs/>
                <w:color w:val="FFFFFF"/>
                <w:sz w:val="16"/>
                <w:szCs w:val="16"/>
                <w:lang w:eastAsia="cs-CZ"/>
              </w:rPr>
            </w:pPr>
            <w:r w:rsidRPr="008306C7">
              <w:rPr>
                <w:rFonts w:eastAsia="Times New Roman" w:cs="Arial"/>
                <w:b/>
                <w:bCs/>
                <w:color w:val="FFFFFF"/>
                <w:sz w:val="16"/>
                <w:szCs w:val="16"/>
                <w:lang w:eastAsia="cs-CZ"/>
              </w:rPr>
              <w:t>struktura</w:t>
            </w:r>
          </w:p>
        </w:tc>
      </w:tr>
      <w:tr w:rsidR="00116888" w:rsidRPr="008306C7" w:rsidTr="00831850">
        <w:trPr>
          <w:cantSplit/>
          <w:trHeight w:hRule="exact" w:val="244"/>
        </w:trPr>
        <w:tc>
          <w:tcPr>
            <w:tcW w:w="2000" w:type="dxa"/>
            <w:vMerge/>
            <w:tcBorders>
              <w:left w:val="nil"/>
              <w:bottom w:val="single" w:sz="8" w:space="0" w:color="auto"/>
              <w:right w:val="nil"/>
            </w:tcBorders>
            <w:shd w:val="clear" w:color="000000" w:fill="000099"/>
            <w:noWrap/>
            <w:vAlign w:val="center"/>
            <w:hideMark/>
          </w:tcPr>
          <w:p w:rsidR="00116888" w:rsidRPr="008306C7" w:rsidRDefault="00116888" w:rsidP="00D42965">
            <w:pPr>
              <w:spacing w:line="240" w:lineRule="auto"/>
              <w:rPr>
                <w:rFonts w:eastAsia="Times New Roman" w:cs="Arial"/>
                <w:b/>
                <w:bCs/>
                <w:color w:val="FFFFFF"/>
                <w:sz w:val="16"/>
                <w:szCs w:val="16"/>
                <w:lang w:eastAsia="cs-CZ"/>
              </w:rPr>
            </w:pPr>
          </w:p>
        </w:tc>
        <w:tc>
          <w:tcPr>
            <w:tcW w:w="685"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2007</w:t>
            </w:r>
          </w:p>
        </w:tc>
        <w:tc>
          <w:tcPr>
            <w:tcW w:w="685"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2008</w:t>
            </w:r>
          </w:p>
        </w:tc>
        <w:tc>
          <w:tcPr>
            <w:tcW w:w="685"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2009</w:t>
            </w:r>
          </w:p>
        </w:tc>
        <w:tc>
          <w:tcPr>
            <w:tcW w:w="685"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2010</w:t>
            </w:r>
          </w:p>
        </w:tc>
        <w:tc>
          <w:tcPr>
            <w:tcW w:w="685"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2011</w:t>
            </w:r>
          </w:p>
        </w:tc>
        <w:tc>
          <w:tcPr>
            <w:tcW w:w="686" w:type="dxa"/>
            <w:tcBorders>
              <w:top w:val="nil"/>
              <w:left w:val="nil"/>
              <w:bottom w:val="single" w:sz="8" w:space="0" w:color="auto"/>
              <w:right w:val="dotted" w:sz="4" w:space="0" w:color="auto"/>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2012</w:t>
            </w:r>
          </w:p>
        </w:tc>
        <w:tc>
          <w:tcPr>
            <w:tcW w:w="582" w:type="dxa"/>
            <w:tcBorders>
              <w:top w:val="nil"/>
              <w:left w:val="dotted" w:sz="4" w:space="0" w:color="auto"/>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2007</w:t>
            </w:r>
          </w:p>
        </w:tc>
        <w:tc>
          <w:tcPr>
            <w:tcW w:w="582"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2008</w:t>
            </w:r>
          </w:p>
        </w:tc>
        <w:tc>
          <w:tcPr>
            <w:tcW w:w="582"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2009</w:t>
            </w:r>
          </w:p>
        </w:tc>
        <w:tc>
          <w:tcPr>
            <w:tcW w:w="582"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2010</w:t>
            </w:r>
          </w:p>
        </w:tc>
        <w:tc>
          <w:tcPr>
            <w:tcW w:w="582"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2011</w:t>
            </w:r>
          </w:p>
        </w:tc>
        <w:tc>
          <w:tcPr>
            <w:tcW w:w="582" w:type="dxa"/>
            <w:tcBorders>
              <w:top w:val="nil"/>
              <w:left w:val="nil"/>
              <w:bottom w:val="single" w:sz="8" w:space="0" w:color="auto"/>
              <w:right w:val="nil"/>
            </w:tcBorders>
            <w:shd w:val="clear" w:color="000000" w:fill="000099"/>
            <w:noWrap/>
            <w:vAlign w:val="bottom"/>
            <w:hideMark/>
          </w:tcPr>
          <w:p w:rsidR="00116888" w:rsidRDefault="00116888">
            <w:pPr>
              <w:jc w:val="center"/>
              <w:rPr>
                <w:rFonts w:cs="Arial"/>
                <w:b/>
                <w:bCs/>
                <w:color w:val="FFFFFF"/>
                <w:sz w:val="16"/>
                <w:szCs w:val="16"/>
              </w:rPr>
            </w:pPr>
            <w:r>
              <w:rPr>
                <w:rFonts w:cs="Arial"/>
                <w:b/>
                <w:bCs/>
                <w:color w:val="FFFFFF"/>
                <w:sz w:val="16"/>
                <w:szCs w:val="16"/>
              </w:rPr>
              <w:t>2012</w:t>
            </w:r>
          </w:p>
        </w:tc>
      </w:tr>
      <w:tr w:rsidR="00116888" w:rsidRPr="008306C7" w:rsidTr="00831850">
        <w:trPr>
          <w:cantSplit/>
          <w:trHeight w:hRule="exact" w:val="244"/>
        </w:trPr>
        <w:tc>
          <w:tcPr>
            <w:tcW w:w="2000" w:type="dxa"/>
            <w:tcBorders>
              <w:top w:val="nil"/>
              <w:left w:val="nil"/>
              <w:bottom w:val="single" w:sz="8" w:space="0" w:color="auto"/>
              <w:right w:val="nil"/>
            </w:tcBorders>
            <w:shd w:val="clear" w:color="000000" w:fill="8DB4E3"/>
            <w:noWrap/>
            <w:vAlign w:val="bottom"/>
            <w:hideMark/>
          </w:tcPr>
          <w:p w:rsidR="00116888" w:rsidRDefault="00116888" w:rsidP="00384198">
            <w:pPr>
              <w:rPr>
                <w:rFonts w:cs="Arial"/>
                <w:b/>
                <w:bCs/>
                <w:color w:val="000000"/>
                <w:sz w:val="16"/>
                <w:szCs w:val="16"/>
              </w:rPr>
            </w:pPr>
            <w:r>
              <w:rPr>
                <w:rFonts w:cs="Arial"/>
                <w:b/>
                <w:bCs/>
                <w:color w:val="000000"/>
                <w:sz w:val="16"/>
                <w:szCs w:val="16"/>
              </w:rPr>
              <w:t>Celkem</w:t>
            </w:r>
          </w:p>
        </w:tc>
        <w:tc>
          <w:tcPr>
            <w:tcW w:w="685"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11 306</w:t>
            </w:r>
          </w:p>
        </w:tc>
        <w:tc>
          <w:tcPr>
            <w:tcW w:w="685"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11 325</w:t>
            </w:r>
          </w:p>
        </w:tc>
        <w:tc>
          <w:tcPr>
            <w:tcW w:w="685"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11 836</w:t>
            </w:r>
          </w:p>
        </w:tc>
        <w:tc>
          <w:tcPr>
            <w:tcW w:w="685"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11 469</w:t>
            </w:r>
          </w:p>
        </w:tc>
        <w:tc>
          <w:tcPr>
            <w:tcW w:w="685"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12 403</w:t>
            </w:r>
          </w:p>
        </w:tc>
        <w:tc>
          <w:tcPr>
            <w:tcW w:w="686" w:type="dxa"/>
            <w:tcBorders>
              <w:top w:val="nil"/>
              <w:left w:val="nil"/>
              <w:bottom w:val="single" w:sz="8" w:space="0" w:color="auto"/>
              <w:right w:val="dotted" w:sz="4" w:space="0" w:color="auto"/>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13 322</w:t>
            </w:r>
          </w:p>
        </w:tc>
        <w:tc>
          <w:tcPr>
            <w:tcW w:w="582" w:type="dxa"/>
            <w:tcBorders>
              <w:top w:val="nil"/>
              <w:left w:val="dotted" w:sz="4" w:space="0" w:color="auto"/>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c>
          <w:tcPr>
            <w:tcW w:w="582"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c>
          <w:tcPr>
            <w:tcW w:w="582"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c>
          <w:tcPr>
            <w:tcW w:w="582"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c>
          <w:tcPr>
            <w:tcW w:w="582"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c>
          <w:tcPr>
            <w:tcW w:w="582" w:type="dxa"/>
            <w:tcBorders>
              <w:top w:val="nil"/>
              <w:left w:val="nil"/>
              <w:bottom w:val="single" w:sz="8" w:space="0" w:color="auto"/>
              <w:right w:val="nil"/>
            </w:tcBorders>
            <w:shd w:val="clear" w:color="000000" w:fill="8DB4E3"/>
            <w:noWrap/>
            <w:vAlign w:val="bottom"/>
            <w:hideMark/>
          </w:tcPr>
          <w:p w:rsidR="00116888" w:rsidRDefault="00116888">
            <w:pPr>
              <w:jc w:val="right"/>
              <w:rPr>
                <w:rFonts w:cs="Arial"/>
                <w:b/>
                <w:bCs/>
                <w:color w:val="000000"/>
                <w:sz w:val="16"/>
                <w:szCs w:val="16"/>
              </w:rPr>
            </w:pPr>
            <w:r>
              <w:rPr>
                <w:rFonts w:cs="Arial"/>
                <w:b/>
                <w:bCs/>
                <w:color w:val="000000"/>
                <w:sz w:val="16"/>
                <w:szCs w:val="16"/>
              </w:rPr>
              <w:t>100%</w:t>
            </w:r>
          </w:p>
        </w:tc>
      </w:tr>
      <w:tr w:rsidR="00384198" w:rsidRPr="008306C7" w:rsidTr="00831850">
        <w:trPr>
          <w:cantSplit/>
          <w:trHeight w:hRule="exact" w:val="244"/>
        </w:trPr>
        <w:tc>
          <w:tcPr>
            <w:tcW w:w="6111" w:type="dxa"/>
            <w:gridSpan w:val="7"/>
            <w:tcBorders>
              <w:top w:val="single" w:sz="8" w:space="0" w:color="auto"/>
              <w:left w:val="nil"/>
              <w:bottom w:val="nil"/>
            </w:tcBorders>
            <w:shd w:val="clear" w:color="000000" w:fill="C5D9F1"/>
            <w:noWrap/>
            <w:vAlign w:val="bottom"/>
            <w:hideMark/>
          </w:tcPr>
          <w:p w:rsidR="00384198" w:rsidRPr="008306C7" w:rsidRDefault="00384198" w:rsidP="00384198">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podle zdroje financování</w:t>
            </w:r>
          </w:p>
        </w:tc>
        <w:tc>
          <w:tcPr>
            <w:tcW w:w="582" w:type="dxa"/>
            <w:tcBorders>
              <w:top w:val="single" w:sz="8" w:space="0" w:color="auto"/>
              <w:bottom w:val="nil"/>
              <w:right w:val="nil"/>
            </w:tcBorders>
            <w:shd w:val="clear" w:color="000000" w:fill="C5D9F1"/>
            <w:noWrap/>
            <w:vAlign w:val="center"/>
            <w:hideMark/>
          </w:tcPr>
          <w:p w:rsidR="00384198" w:rsidRPr="008306C7" w:rsidRDefault="00384198" w:rsidP="000960F3">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D42965">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0960F3">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0960F3">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0960F3">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0960F3">
            <w:pPr>
              <w:spacing w:line="240" w:lineRule="auto"/>
              <w:jc w:val="right"/>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r>
      <w:tr w:rsidR="0011688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116888" w:rsidRDefault="00116888" w:rsidP="00384198">
            <w:pPr>
              <w:rPr>
                <w:rFonts w:cs="Arial"/>
                <w:color w:val="000000"/>
                <w:sz w:val="16"/>
                <w:szCs w:val="16"/>
              </w:rPr>
            </w:pPr>
            <w:r>
              <w:rPr>
                <w:rFonts w:cs="Arial"/>
                <w:color w:val="000000"/>
                <w:sz w:val="16"/>
                <w:szCs w:val="16"/>
              </w:rPr>
              <w:t>Podnikatelské z ČR</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755</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666</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492</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544</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427</w:t>
            </w:r>
          </w:p>
        </w:tc>
        <w:tc>
          <w:tcPr>
            <w:tcW w:w="686" w:type="dxa"/>
            <w:tcBorders>
              <w:top w:val="nil"/>
              <w:left w:val="nil"/>
              <w:bottom w:val="nil"/>
              <w:right w:val="dotted" w:sz="4" w:space="0" w:color="auto"/>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534</w:t>
            </w:r>
          </w:p>
        </w:tc>
        <w:tc>
          <w:tcPr>
            <w:tcW w:w="582" w:type="dxa"/>
            <w:tcBorders>
              <w:top w:val="nil"/>
              <w:left w:val="dotted" w:sz="4" w:space="0" w:color="auto"/>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w:t>
            </w:r>
          </w:p>
        </w:tc>
      </w:tr>
      <w:tr w:rsidR="00116888" w:rsidRPr="008306C7" w:rsidTr="00831850">
        <w:trPr>
          <w:cantSplit/>
          <w:trHeight w:hRule="exact" w:val="403"/>
        </w:trPr>
        <w:tc>
          <w:tcPr>
            <w:tcW w:w="2000" w:type="dxa"/>
            <w:tcBorders>
              <w:top w:val="nil"/>
              <w:left w:val="nil"/>
              <w:bottom w:val="nil"/>
              <w:right w:val="nil"/>
            </w:tcBorders>
            <w:shd w:val="clear" w:color="auto" w:fill="auto"/>
            <w:noWrap/>
            <w:vAlign w:val="bottom"/>
            <w:hideMark/>
          </w:tcPr>
          <w:p w:rsidR="00116888" w:rsidRDefault="00116888" w:rsidP="00384198">
            <w:pPr>
              <w:rPr>
                <w:rFonts w:cs="Arial"/>
                <w:color w:val="000000"/>
                <w:sz w:val="16"/>
                <w:szCs w:val="16"/>
              </w:rPr>
            </w:pPr>
            <w:r>
              <w:rPr>
                <w:rFonts w:cs="Arial"/>
                <w:color w:val="000000"/>
                <w:sz w:val="16"/>
                <w:szCs w:val="16"/>
              </w:rPr>
              <w:t xml:space="preserve">Podnikatelské </w:t>
            </w:r>
            <w:r w:rsidR="005F77B8">
              <w:rPr>
                <w:rFonts w:cs="Arial"/>
                <w:color w:val="000000"/>
                <w:sz w:val="16"/>
                <w:szCs w:val="16"/>
              </w:rPr>
              <w:br/>
            </w:r>
            <w:r>
              <w:rPr>
                <w:rFonts w:cs="Arial"/>
                <w:color w:val="000000"/>
                <w:sz w:val="16"/>
                <w:szCs w:val="16"/>
              </w:rPr>
              <w:t>ze zahraničí</w:t>
            </w:r>
          </w:p>
        </w:tc>
        <w:tc>
          <w:tcPr>
            <w:tcW w:w="685"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836</w:t>
            </w:r>
          </w:p>
        </w:tc>
        <w:tc>
          <w:tcPr>
            <w:tcW w:w="685"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628</w:t>
            </w:r>
          </w:p>
        </w:tc>
        <w:tc>
          <w:tcPr>
            <w:tcW w:w="685"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691</w:t>
            </w:r>
          </w:p>
        </w:tc>
        <w:tc>
          <w:tcPr>
            <w:tcW w:w="685"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1 076</w:t>
            </w:r>
          </w:p>
        </w:tc>
        <w:tc>
          <w:tcPr>
            <w:tcW w:w="685"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1 267</w:t>
            </w:r>
          </w:p>
        </w:tc>
        <w:tc>
          <w:tcPr>
            <w:tcW w:w="686" w:type="dxa"/>
            <w:tcBorders>
              <w:top w:val="nil"/>
              <w:left w:val="nil"/>
              <w:bottom w:val="nil"/>
              <w:right w:val="dotted" w:sz="4" w:space="0" w:color="auto"/>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1 180</w:t>
            </w:r>
          </w:p>
        </w:tc>
        <w:tc>
          <w:tcPr>
            <w:tcW w:w="582" w:type="dxa"/>
            <w:tcBorders>
              <w:top w:val="nil"/>
              <w:left w:val="dotted" w:sz="4" w:space="0" w:color="auto"/>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center"/>
            <w:hideMark/>
          </w:tcPr>
          <w:p w:rsidR="00116888" w:rsidRDefault="00116888" w:rsidP="005F77B8">
            <w:pPr>
              <w:jc w:val="right"/>
              <w:rPr>
                <w:rFonts w:cs="Arial"/>
                <w:color w:val="000000"/>
                <w:sz w:val="16"/>
                <w:szCs w:val="16"/>
              </w:rPr>
            </w:pPr>
            <w:r>
              <w:rPr>
                <w:rFonts w:cs="Arial"/>
                <w:color w:val="000000"/>
                <w:sz w:val="16"/>
                <w:szCs w:val="16"/>
              </w:rPr>
              <w:t>9%</w:t>
            </w:r>
          </w:p>
        </w:tc>
      </w:tr>
      <w:tr w:rsidR="0011688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116888" w:rsidRDefault="00116888" w:rsidP="00384198">
            <w:pPr>
              <w:rPr>
                <w:rFonts w:cs="Arial"/>
                <w:color w:val="000000"/>
                <w:sz w:val="16"/>
                <w:szCs w:val="16"/>
              </w:rPr>
            </w:pPr>
            <w:r>
              <w:rPr>
                <w:rFonts w:cs="Arial"/>
                <w:color w:val="000000"/>
                <w:sz w:val="16"/>
                <w:szCs w:val="16"/>
              </w:rPr>
              <w:t>Veřejné z ČR</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9 312</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9 513</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10 117</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9 406</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9 622</w:t>
            </w:r>
          </w:p>
        </w:tc>
        <w:tc>
          <w:tcPr>
            <w:tcW w:w="686" w:type="dxa"/>
            <w:tcBorders>
              <w:top w:val="nil"/>
              <w:left w:val="nil"/>
              <w:bottom w:val="nil"/>
              <w:right w:val="dotted" w:sz="4" w:space="0" w:color="auto"/>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9 483</w:t>
            </w:r>
          </w:p>
        </w:tc>
        <w:tc>
          <w:tcPr>
            <w:tcW w:w="582" w:type="dxa"/>
            <w:tcBorders>
              <w:top w:val="nil"/>
              <w:left w:val="dotted" w:sz="4" w:space="0" w:color="auto"/>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82%</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84%</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85%</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82%</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78%</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71%</w:t>
            </w:r>
          </w:p>
        </w:tc>
      </w:tr>
      <w:tr w:rsidR="0011688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116888" w:rsidRDefault="00116888" w:rsidP="00384198">
            <w:pPr>
              <w:rPr>
                <w:rFonts w:cs="Arial"/>
                <w:color w:val="000000"/>
                <w:sz w:val="16"/>
                <w:szCs w:val="16"/>
              </w:rPr>
            </w:pPr>
            <w:r>
              <w:rPr>
                <w:rFonts w:cs="Arial"/>
                <w:color w:val="000000"/>
                <w:sz w:val="16"/>
                <w:szCs w:val="16"/>
              </w:rPr>
              <w:t>Veřejné ze zahraničí</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324</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319</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397</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422</w:t>
            </w:r>
          </w:p>
        </w:tc>
        <w:tc>
          <w:tcPr>
            <w:tcW w:w="685"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1 072</w:t>
            </w:r>
          </w:p>
        </w:tc>
        <w:tc>
          <w:tcPr>
            <w:tcW w:w="686" w:type="dxa"/>
            <w:tcBorders>
              <w:top w:val="nil"/>
              <w:left w:val="nil"/>
              <w:bottom w:val="nil"/>
              <w:right w:val="dotted" w:sz="4" w:space="0" w:color="auto"/>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2 118</w:t>
            </w:r>
          </w:p>
        </w:tc>
        <w:tc>
          <w:tcPr>
            <w:tcW w:w="582" w:type="dxa"/>
            <w:tcBorders>
              <w:top w:val="nil"/>
              <w:left w:val="dotted" w:sz="4" w:space="0" w:color="auto"/>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16%</w:t>
            </w:r>
          </w:p>
        </w:tc>
      </w:tr>
      <w:tr w:rsidR="00116888" w:rsidRPr="008306C7" w:rsidTr="00831850">
        <w:trPr>
          <w:cantSplit/>
          <w:trHeight w:hRule="exact" w:val="244"/>
        </w:trPr>
        <w:tc>
          <w:tcPr>
            <w:tcW w:w="2000" w:type="dxa"/>
            <w:tcBorders>
              <w:top w:val="nil"/>
              <w:left w:val="nil"/>
              <w:right w:val="nil"/>
            </w:tcBorders>
            <w:shd w:val="clear" w:color="auto" w:fill="auto"/>
            <w:noWrap/>
            <w:vAlign w:val="bottom"/>
            <w:hideMark/>
          </w:tcPr>
          <w:p w:rsidR="00116888" w:rsidRDefault="00116888" w:rsidP="00384198">
            <w:pPr>
              <w:rPr>
                <w:rFonts w:cs="Arial"/>
                <w:color w:val="000000"/>
                <w:sz w:val="16"/>
                <w:szCs w:val="16"/>
              </w:rPr>
            </w:pPr>
            <w:r>
              <w:rPr>
                <w:rFonts w:cs="Arial"/>
                <w:color w:val="000000"/>
                <w:sz w:val="16"/>
                <w:szCs w:val="16"/>
              </w:rPr>
              <w:t>Ostatní z ČR</w:t>
            </w:r>
          </w:p>
        </w:tc>
        <w:tc>
          <w:tcPr>
            <w:tcW w:w="685" w:type="dxa"/>
            <w:tcBorders>
              <w:top w:val="nil"/>
              <w:left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79</w:t>
            </w:r>
          </w:p>
        </w:tc>
        <w:tc>
          <w:tcPr>
            <w:tcW w:w="685" w:type="dxa"/>
            <w:tcBorders>
              <w:top w:val="nil"/>
              <w:left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198</w:t>
            </w:r>
          </w:p>
        </w:tc>
        <w:tc>
          <w:tcPr>
            <w:tcW w:w="685" w:type="dxa"/>
            <w:tcBorders>
              <w:top w:val="nil"/>
              <w:left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139</w:t>
            </w:r>
          </w:p>
        </w:tc>
        <w:tc>
          <w:tcPr>
            <w:tcW w:w="685" w:type="dxa"/>
            <w:tcBorders>
              <w:top w:val="nil"/>
              <w:left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21</w:t>
            </w:r>
          </w:p>
        </w:tc>
        <w:tc>
          <w:tcPr>
            <w:tcW w:w="685" w:type="dxa"/>
            <w:tcBorders>
              <w:top w:val="nil"/>
              <w:left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15</w:t>
            </w:r>
          </w:p>
        </w:tc>
        <w:tc>
          <w:tcPr>
            <w:tcW w:w="686" w:type="dxa"/>
            <w:tcBorders>
              <w:top w:val="nil"/>
              <w:left w:val="nil"/>
              <w:right w:val="dotted" w:sz="4" w:space="0" w:color="auto"/>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6</w:t>
            </w:r>
          </w:p>
        </w:tc>
        <w:tc>
          <w:tcPr>
            <w:tcW w:w="582" w:type="dxa"/>
            <w:tcBorders>
              <w:top w:val="nil"/>
              <w:left w:val="dotted" w:sz="4" w:space="0" w:color="auto"/>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2%</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116888" w:rsidRDefault="00116888">
            <w:pPr>
              <w:jc w:val="right"/>
              <w:rPr>
                <w:rFonts w:cs="Arial"/>
                <w:color w:val="000000"/>
                <w:sz w:val="16"/>
                <w:szCs w:val="16"/>
              </w:rPr>
            </w:pPr>
            <w:r>
              <w:rPr>
                <w:rFonts w:cs="Arial"/>
                <w:color w:val="000000"/>
                <w:sz w:val="16"/>
                <w:szCs w:val="16"/>
              </w:rPr>
              <w:t>0%</w:t>
            </w:r>
          </w:p>
        </w:tc>
      </w:tr>
      <w:tr w:rsidR="00384198" w:rsidRPr="008306C7" w:rsidTr="00831850">
        <w:trPr>
          <w:cantSplit/>
          <w:trHeight w:hRule="exact" w:val="244"/>
        </w:trPr>
        <w:tc>
          <w:tcPr>
            <w:tcW w:w="6111" w:type="dxa"/>
            <w:gridSpan w:val="7"/>
            <w:tcBorders>
              <w:top w:val="nil"/>
              <w:left w:val="nil"/>
              <w:bottom w:val="nil"/>
            </w:tcBorders>
            <w:shd w:val="clear" w:color="000000" w:fill="C5D9F1"/>
            <w:noWrap/>
            <w:vAlign w:val="center"/>
            <w:hideMark/>
          </w:tcPr>
          <w:p w:rsidR="00384198" w:rsidRPr="006C2B13" w:rsidRDefault="00384198" w:rsidP="00384198">
            <w:pPr>
              <w:spacing w:line="240" w:lineRule="auto"/>
              <w:rPr>
                <w:rFonts w:eastAsia="Times New Roman" w:cs="Arial"/>
                <w:sz w:val="16"/>
                <w:szCs w:val="16"/>
                <w:lang w:eastAsia="cs-CZ"/>
              </w:rPr>
            </w:pPr>
            <w:r w:rsidRPr="008306C7">
              <w:rPr>
                <w:rFonts w:eastAsia="Times New Roman" w:cs="Arial"/>
                <w:b/>
                <w:bCs/>
                <w:color w:val="000000"/>
                <w:sz w:val="16"/>
                <w:szCs w:val="16"/>
                <w:lang w:eastAsia="cs-CZ"/>
              </w:rPr>
              <w:t>podle typu VaV činnosti</w:t>
            </w:r>
          </w:p>
        </w:tc>
        <w:tc>
          <w:tcPr>
            <w:tcW w:w="582" w:type="dxa"/>
            <w:tcBorders>
              <w:top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6C2B13" w:rsidRDefault="00384198" w:rsidP="006C2B13">
            <w:pPr>
              <w:spacing w:line="240" w:lineRule="auto"/>
              <w:rPr>
                <w:rFonts w:eastAsia="Times New Roman" w:cs="Arial"/>
                <w:color w:val="000000"/>
                <w:sz w:val="16"/>
                <w:szCs w:val="16"/>
                <w:lang w:eastAsia="cs-CZ"/>
              </w:rPr>
            </w:pPr>
            <w:r w:rsidRPr="006C2B13">
              <w:rPr>
                <w:rFonts w:eastAsia="Times New Roman" w:cs="Arial"/>
                <w:color w:val="000000"/>
                <w:sz w:val="16"/>
                <w:szCs w:val="16"/>
                <w:lang w:eastAsia="cs-CZ"/>
              </w:rPr>
              <w:t> </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Základní výzkum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8 855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9 065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9 197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8 513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9 176</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10 587</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79%</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Aplikovaný výzkum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2 212</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2 039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2 444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2 600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2 615</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2 563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19%</w:t>
            </w:r>
          </w:p>
        </w:tc>
      </w:tr>
      <w:tr w:rsidR="005F77B8" w:rsidRPr="008306C7" w:rsidTr="00831850">
        <w:trPr>
          <w:cantSplit/>
          <w:trHeight w:hRule="exact" w:val="244"/>
        </w:trPr>
        <w:tc>
          <w:tcPr>
            <w:tcW w:w="2000" w:type="dxa"/>
            <w:tcBorders>
              <w:top w:val="nil"/>
              <w:left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Experimentální vývoj </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240</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221</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194</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356</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611</w:t>
            </w:r>
          </w:p>
        </w:tc>
        <w:tc>
          <w:tcPr>
            <w:tcW w:w="686" w:type="dxa"/>
            <w:tcBorders>
              <w:top w:val="nil"/>
              <w:left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173</w:t>
            </w:r>
          </w:p>
        </w:tc>
        <w:tc>
          <w:tcPr>
            <w:tcW w:w="582" w:type="dxa"/>
            <w:tcBorders>
              <w:top w:val="nil"/>
              <w:left w:val="dotted" w:sz="4"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r>
      <w:tr w:rsidR="00384198" w:rsidRPr="008306C7" w:rsidTr="00831850">
        <w:trPr>
          <w:cantSplit/>
          <w:trHeight w:hRule="exact" w:val="244"/>
        </w:trPr>
        <w:tc>
          <w:tcPr>
            <w:tcW w:w="6111" w:type="dxa"/>
            <w:gridSpan w:val="7"/>
            <w:tcBorders>
              <w:top w:val="nil"/>
              <w:left w:val="nil"/>
              <w:bottom w:val="nil"/>
            </w:tcBorders>
            <w:shd w:val="clear" w:color="000000" w:fill="C5D9F1"/>
            <w:noWrap/>
            <w:vAlign w:val="center"/>
            <w:hideMark/>
          </w:tcPr>
          <w:p w:rsidR="00384198" w:rsidRPr="006C2B13" w:rsidRDefault="00384198" w:rsidP="00384198">
            <w:pPr>
              <w:spacing w:line="240" w:lineRule="auto"/>
              <w:rPr>
                <w:rFonts w:eastAsia="Times New Roman" w:cs="Arial"/>
                <w:sz w:val="16"/>
                <w:szCs w:val="16"/>
                <w:lang w:eastAsia="cs-CZ"/>
              </w:rPr>
            </w:pPr>
            <w:r w:rsidRPr="008306C7">
              <w:rPr>
                <w:rFonts w:eastAsia="Times New Roman" w:cs="Arial"/>
                <w:b/>
                <w:bCs/>
                <w:color w:val="000000"/>
                <w:sz w:val="16"/>
                <w:szCs w:val="16"/>
                <w:lang w:eastAsia="cs-CZ"/>
              </w:rPr>
              <w:t xml:space="preserve">podle </w:t>
            </w:r>
            <w:r>
              <w:rPr>
                <w:rFonts w:eastAsia="Times New Roman" w:cs="Arial"/>
                <w:b/>
                <w:bCs/>
                <w:color w:val="000000"/>
                <w:sz w:val="16"/>
                <w:szCs w:val="16"/>
                <w:lang w:eastAsia="cs-CZ"/>
              </w:rPr>
              <w:t>druhu pracoviště</w:t>
            </w:r>
          </w:p>
        </w:tc>
        <w:tc>
          <w:tcPr>
            <w:tcW w:w="582" w:type="dxa"/>
            <w:tcBorders>
              <w:top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b/>
                <w:bCs/>
                <w:color w:val="000000"/>
                <w:sz w:val="16"/>
                <w:szCs w:val="16"/>
                <w:lang w:eastAsia="cs-CZ"/>
              </w:rPr>
            </w:pPr>
            <w:r w:rsidRPr="008306C7">
              <w:rPr>
                <w:rFonts w:eastAsia="Times New Roman" w:cs="Arial"/>
                <w:b/>
                <w:bCs/>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6C2B13" w:rsidRDefault="00384198" w:rsidP="006C2B13">
            <w:pPr>
              <w:spacing w:line="240" w:lineRule="auto"/>
              <w:rPr>
                <w:rFonts w:eastAsia="Times New Roman" w:cs="Arial"/>
                <w:color w:val="000000"/>
                <w:sz w:val="16"/>
                <w:szCs w:val="16"/>
                <w:lang w:eastAsia="cs-CZ"/>
              </w:rPr>
            </w:pPr>
            <w:r w:rsidRPr="006C2B13">
              <w:rPr>
                <w:rFonts w:eastAsia="Times New Roman" w:cs="Arial"/>
                <w:color w:val="000000"/>
                <w:sz w:val="16"/>
                <w:szCs w:val="16"/>
                <w:lang w:eastAsia="cs-CZ"/>
              </w:rPr>
              <w:t> </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Akademie věd ČR</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8 649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8 530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8 990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8 669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9 646</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10 563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79%</w:t>
            </w:r>
          </w:p>
        </w:tc>
      </w:tr>
      <w:tr w:rsidR="005F77B8" w:rsidRPr="008306C7" w:rsidTr="00831850">
        <w:trPr>
          <w:cantSplit/>
          <w:trHeight w:hRule="exact" w:val="441"/>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Resortní výzkumná pracoviště</w:t>
            </w:r>
          </w:p>
        </w:tc>
        <w:tc>
          <w:tcPr>
            <w:tcW w:w="685"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1 781</w:t>
            </w:r>
          </w:p>
        </w:tc>
        <w:tc>
          <w:tcPr>
            <w:tcW w:w="685"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1 908</w:t>
            </w:r>
          </w:p>
        </w:tc>
        <w:tc>
          <w:tcPr>
            <w:tcW w:w="685"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1 830</w:t>
            </w:r>
          </w:p>
        </w:tc>
        <w:tc>
          <w:tcPr>
            <w:tcW w:w="685"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1 950</w:t>
            </w:r>
          </w:p>
        </w:tc>
        <w:tc>
          <w:tcPr>
            <w:tcW w:w="685"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2 008</w:t>
            </w:r>
          </w:p>
        </w:tc>
        <w:tc>
          <w:tcPr>
            <w:tcW w:w="686" w:type="dxa"/>
            <w:tcBorders>
              <w:top w:val="nil"/>
              <w:left w:val="nil"/>
              <w:bottom w:val="nil"/>
              <w:right w:val="dotted" w:sz="4" w:space="0" w:color="auto"/>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1 877</w:t>
            </w:r>
          </w:p>
        </w:tc>
        <w:tc>
          <w:tcPr>
            <w:tcW w:w="582" w:type="dxa"/>
            <w:tcBorders>
              <w:top w:val="nil"/>
              <w:left w:val="dotted" w:sz="4" w:space="0" w:color="auto"/>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16%</w:t>
            </w:r>
          </w:p>
        </w:tc>
        <w:tc>
          <w:tcPr>
            <w:tcW w:w="582"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17%</w:t>
            </w:r>
          </w:p>
        </w:tc>
        <w:tc>
          <w:tcPr>
            <w:tcW w:w="582"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15%</w:t>
            </w:r>
          </w:p>
        </w:tc>
        <w:tc>
          <w:tcPr>
            <w:tcW w:w="582"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17%</w:t>
            </w:r>
          </w:p>
        </w:tc>
        <w:tc>
          <w:tcPr>
            <w:tcW w:w="582"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16%</w:t>
            </w:r>
          </w:p>
        </w:tc>
        <w:tc>
          <w:tcPr>
            <w:tcW w:w="582" w:type="dxa"/>
            <w:tcBorders>
              <w:top w:val="nil"/>
              <w:left w:val="nil"/>
              <w:bottom w:val="nil"/>
              <w:right w:val="nil"/>
            </w:tcBorders>
            <w:shd w:val="clear" w:color="auto" w:fill="auto"/>
            <w:noWrap/>
            <w:vAlign w:val="center"/>
            <w:hideMark/>
          </w:tcPr>
          <w:p w:rsidR="005F77B8" w:rsidRDefault="005F77B8" w:rsidP="00831850">
            <w:pPr>
              <w:jc w:val="right"/>
              <w:rPr>
                <w:rFonts w:cs="Arial"/>
                <w:color w:val="000000"/>
                <w:sz w:val="16"/>
                <w:szCs w:val="16"/>
              </w:rPr>
            </w:pPr>
            <w:r>
              <w:rPr>
                <w:rFonts w:cs="Arial"/>
                <w:color w:val="000000"/>
                <w:sz w:val="16"/>
                <w:szCs w:val="16"/>
              </w:rPr>
              <w:t>14%</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Knihovny, archivy, muzea</w:t>
            </w:r>
          </w:p>
        </w:tc>
        <w:tc>
          <w:tcPr>
            <w:tcW w:w="685"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381</w:t>
            </w:r>
          </w:p>
        </w:tc>
        <w:tc>
          <w:tcPr>
            <w:tcW w:w="685"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426</w:t>
            </w:r>
          </w:p>
        </w:tc>
        <w:tc>
          <w:tcPr>
            <w:tcW w:w="685"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530</w:t>
            </w:r>
          </w:p>
        </w:tc>
        <w:tc>
          <w:tcPr>
            <w:tcW w:w="685"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494</w:t>
            </w:r>
          </w:p>
        </w:tc>
        <w:tc>
          <w:tcPr>
            <w:tcW w:w="685"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362</w:t>
            </w:r>
          </w:p>
        </w:tc>
        <w:tc>
          <w:tcPr>
            <w:tcW w:w="686" w:type="dxa"/>
            <w:tcBorders>
              <w:top w:val="nil"/>
              <w:left w:val="nil"/>
              <w:bottom w:val="nil"/>
              <w:right w:val="dotted" w:sz="4" w:space="0" w:color="auto"/>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432</w:t>
            </w:r>
          </w:p>
        </w:tc>
        <w:tc>
          <w:tcPr>
            <w:tcW w:w="582" w:type="dxa"/>
            <w:tcBorders>
              <w:top w:val="nil"/>
              <w:left w:val="dotted" w:sz="4" w:space="0" w:color="auto"/>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5F77B8" w:rsidRDefault="005F77B8" w:rsidP="00831850">
            <w:pPr>
              <w:jc w:val="right"/>
              <w:rPr>
                <w:rFonts w:cs="Arial"/>
                <w:color w:val="000000"/>
                <w:sz w:val="16"/>
                <w:szCs w:val="16"/>
              </w:rPr>
            </w:pPr>
            <w:r>
              <w:rPr>
                <w:rFonts w:cs="Arial"/>
                <w:color w:val="000000"/>
                <w:sz w:val="16"/>
                <w:szCs w:val="16"/>
              </w:rPr>
              <w:t>3%</w:t>
            </w:r>
          </w:p>
        </w:tc>
      </w:tr>
      <w:tr w:rsidR="005F77B8" w:rsidRPr="008306C7" w:rsidTr="00831850">
        <w:trPr>
          <w:cantSplit/>
          <w:trHeight w:hRule="exact" w:val="244"/>
        </w:trPr>
        <w:tc>
          <w:tcPr>
            <w:tcW w:w="2000" w:type="dxa"/>
            <w:tcBorders>
              <w:top w:val="nil"/>
              <w:left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Ostatní pracoviště</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496</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461</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486</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356</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387</w:t>
            </w:r>
          </w:p>
        </w:tc>
        <w:tc>
          <w:tcPr>
            <w:tcW w:w="686" w:type="dxa"/>
            <w:tcBorders>
              <w:top w:val="nil"/>
              <w:left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451</w:t>
            </w:r>
          </w:p>
        </w:tc>
        <w:tc>
          <w:tcPr>
            <w:tcW w:w="582" w:type="dxa"/>
            <w:tcBorders>
              <w:top w:val="nil"/>
              <w:left w:val="dotted" w:sz="4"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r>
      <w:tr w:rsidR="00384198" w:rsidRPr="008306C7" w:rsidTr="00831850">
        <w:trPr>
          <w:cantSplit/>
          <w:trHeight w:hRule="exact" w:val="244"/>
        </w:trPr>
        <w:tc>
          <w:tcPr>
            <w:tcW w:w="6111" w:type="dxa"/>
            <w:gridSpan w:val="7"/>
            <w:tcBorders>
              <w:top w:val="nil"/>
              <w:left w:val="nil"/>
              <w:bottom w:val="nil"/>
            </w:tcBorders>
            <w:shd w:val="clear" w:color="000000" w:fill="C5D9F1"/>
            <w:noWrap/>
            <w:vAlign w:val="center"/>
            <w:hideMark/>
          </w:tcPr>
          <w:p w:rsidR="00384198" w:rsidRPr="006C2B13" w:rsidRDefault="00384198" w:rsidP="00384198">
            <w:pPr>
              <w:spacing w:line="240" w:lineRule="auto"/>
              <w:rPr>
                <w:rFonts w:eastAsia="Times New Roman" w:cs="Arial"/>
                <w:sz w:val="16"/>
                <w:szCs w:val="16"/>
                <w:lang w:eastAsia="cs-CZ"/>
              </w:rPr>
            </w:pPr>
            <w:r w:rsidRPr="008306C7">
              <w:rPr>
                <w:rFonts w:eastAsia="Times New Roman" w:cs="Arial"/>
                <w:b/>
                <w:bCs/>
                <w:color w:val="000000"/>
                <w:sz w:val="16"/>
                <w:szCs w:val="16"/>
                <w:lang w:eastAsia="cs-CZ"/>
              </w:rPr>
              <w:t>podle vědní</w:t>
            </w:r>
            <w:r>
              <w:rPr>
                <w:rFonts w:eastAsia="Times New Roman" w:cs="Arial"/>
                <w:b/>
                <w:bCs/>
                <w:color w:val="000000"/>
                <w:sz w:val="16"/>
                <w:szCs w:val="16"/>
                <w:lang w:eastAsia="cs-CZ"/>
              </w:rPr>
              <w:t>ch</w:t>
            </w:r>
            <w:r w:rsidRPr="008306C7">
              <w:rPr>
                <w:rFonts w:eastAsia="Times New Roman" w:cs="Arial"/>
                <w:b/>
                <w:bCs/>
                <w:color w:val="000000"/>
                <w:sz w:val="16"/>
                <w:szCs w:val="16"/>
                <w:lang w:eastAsia="cs-CZ"/>
              </w:rPr>
              <w:t xml:space="preserve"> oblast</w:t>
            </w:r>
            <w:r>
              <w:rPr>
                <w:rFonts w:eastAsia="Times New Roman" w:cs="Arial"/>
                <w:b/>
                <w:bCs/>
                <w:color w:val="000000"/>
                <w:sz w:val="16"/>
                <w:szCs w:val="16"/>
                <w:lang w:eastAsia="cs-CZ"/>
              </w:rPr>
              <w:t>í</w:t>
            </w:r>
          </w:p>
        </w:tc>
        <w:tc>
          <w:tcPr>
            <w:tcW w:w="582" w:type="dxa"/>
            <w:tcBorders>
              <w:top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6C2B13">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Přírodní vědy</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7 334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6 999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7 428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7 266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7 995</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9 347</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62%</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Technické vědy</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1 108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1 021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1 237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1 090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1 065</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957</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Lékařské vědy</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651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684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770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665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755</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613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Zemědělské vědy</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768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794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775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717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776</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507</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Sociální vědy</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565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883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598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728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783</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r>
      <w:tr w:rsidR="005F77B8" w:rsidRPr="008306C7" w:rsidTr="00831850">
        <w:trPr>
          <w:cantSplit/>
          <w:trHeight w:hRule="exact" w:val="244"/>
        </w:trPr>
        <w:tc>
          <w:tcPr>
            <w:tcW w:w="2000" w:type="dxa"/>
            <w:tcBorders>
              <w:top w:val="nil"/>
              <w:left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Humanitní vědy</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880</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944</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1 028</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1 003</w:t>
            </w:r>
          </w:p>
        </w:tc>
        <w:tc>
          <w:tcPr>
            <w:tcW w:w="685" w:type="dxa"/>
            <w:tcBorders>
              <w:top w:val="nil"/>
              <w:left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1 030</w:t>
            </w:r>
          </w:p>
        </w:tc>
        <w:tc>
          <w:tcPr>
            <w:tcW w:w="686" w:type="dxa"/>
            <w:tcBorders>
              <w:top w:val="nil"/>
              <w:left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1 155</w:t>
            </w:r>
          </w:p>
        </w:tc>
        <w:tc>
          <w:tcPr>
            <w:tcW w:w="582" w:type="dxa"/>
            <w:tcBorders>
              <w:top w:val="nil"/>
              <w:left w:val="dotted" w:sz="4"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r>
      <w:tr w:rsidR="00384198" w:rsidRPr="008306C7" w:rsidTr="00831850">
        <w:trPr>
          <w:cantSplit/>
          <w:trHeight w:hRule="exact" w:val="244"/>
        </w:trPr>
        <w:tc>
          <w:tcPr>
            <w:tcW w:w="6111" w:type="dxa"/>
            <w:gridSpan w:val="7"/>
            <w:tcBorders>
              <w:top w:val="nil"/>
              <w:left w:val="nil"/>
              <w:bottom w:val="nil"/>
            </w:tcBorders>
            <w:shd w:val="clear" w:color="000000" w:fill="C5D9F1"/>
            <w:noWrap/>
            <w:vAlign w:val="center"/>
            <w:hideMark/>
          </w:tcPr>
          <w:p w:rsidR="00384198" w:rsidRPr="006C2B13" w:rsidRDefault="00384198" w:rsidP="00384198">
            <w:pPr>
              <w:spacing w:line="240" w:lineRule="auto"/>
              <w:rPr>
                <w:rFonts w:eastAsia="Times New Roman" w:cs="Arial"/>
                <w:sz w:val="16"/>
                <w:szCs w:val="16"/>
                <w:lang w:eastAsia="cs-CZ"/>
              </w:rPr>
            </w:pPr>
            <w:r w:rsidRPr="008306C7">
              <w:rPr>
                <w:rFonts w:eastAsia="Times New Roman" w:cs="Arial"/>
                <w:b/>
                <w:bCs/>
                <w:color w:val="000000"/>
                <w:sz w:val="16"/>
                <w:szCs w:val="16"/>
                <w:lang w:eastAsia="cs-CZ"/>
              </w:rPr>
              <w:t>podle krajů ČR</w:t>
            </w:r>
          </w:p>
        </w:tc>
        <w:tc>
          <w:tcPr>
            <w:tcW w:w="582" w:type="dxa"/>
            <w:tcBorders>
              <w:top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c>
          <w:tcPr>
            <w:tcW w:w="582" w:type="dxa"/>
            <w:tcBorders>
              <w:top w:val="nil"/>
              <w:left w:val="nil"/>
              <w:bottom w:val="nil"/>
              <w:right w:val="nil"/>
            </w:tcBorders>
            <w:shd w:val="clear" w:color="000000" w:fill="C5D9F1"/>
            <w:noWrap/>
            <w:vAlign w:val="center"/>
            <w:hideMark/>
          </w:tcPr>
          <w:p w:rsidR="00384198" w:rsidRPr="008306C7" w:rsidRDefault="00384198" w:rsidP="00384198">
            <w:pPr>
              <w:spacing w:line="240" w:lineRule="auto"/>
              <w:rPr>
                <w:rFonts w:eastAsia="Times New Roman" w:cs="Arial"/>
                <w:color w:val="000000"/>
                <w:sz w:val="16"/>
                <w:szCs w:val="16"/>
                <w:lang w:eastAsia="cs-CZ"/>
              </w:rPr>
            </w:pPr>
            <w:r w:rsidRPr="008306C7">
              <w:rPr>
                <w:rFonts w:eastAsia="Times New Roman" w:cs="Arial"/>
                <w:color w:val="000000"/>
                <w:sz w:val="16"/>
                <w:szCs w:val="16"/>
                <w:lang w:eastAsia="cs-CZ"/>
              </w:rPr>
              <w:t> </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Praha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8 501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8 371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8 546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8 351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9 180</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9 690</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72%</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73%</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73%</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Středočeský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982</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1 014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1 078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1 044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1 054</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968</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Jihočeský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550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596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629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630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465</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479</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Plzeňský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66</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60</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Karlovarský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Ústecký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13</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11</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 xml:space="preserve">Liberecký </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40</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152</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Královéhradecký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126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26</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Pardubický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51</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51</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Vysočina</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12</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24</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Jihomoravský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1 011</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1 058</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1 235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1 174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1 323</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1 723</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11%</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13%</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Olomoucký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17</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19</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12</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9</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nil"/>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Zlínský</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5</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6</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3</w:t>
            </w:r>
          </w:p>
        </w:tc>
        <w:tc>
          <w:tcPr>
            <w:tcW w:w="685"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4</w:t>
            </w:r>
          </w:p>
        </w:tc>
        <w:tc>
          <w:tcPr>
            <w:tcW w:w="686" w:type="dxa"/>
            <w:tcBorders>
              <w:top w:val="nil"/>
              <w:left w:val="nil"/>
              <w:bottom w:val="nil"/>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2</w:t>
            </w:r>
          </w:p>
        </w:tc>
        <w:tc>
          <w:tcPr>
            <w:tcW w:w="582" w:type="dxa"/>
            <w:tcBorders>
              <w:top w:val="nil"/>
              <w:left w:val="dotted" w:sz="4" w:space="0" w:color="auto"/>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c>
          <w:tcPr>
            <w:tcW w:w="582" w:type="dxa"/>
            <w:tcBorders>
              <w:top w:val="nil"/>
              <w:left w:val="nil"/>
              <w:bottom w:val="nil"/>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0%</w:t>
            </w:r>
          </w:p>
        </w:tc>
      </w:tr>
      <w:tr w:rsidR="005F77B8" w:rsidRPr="008306C7" w:rsidTr="00831850">
        <w:trPr>
          <w:cantSplit/>
          <w:trHeight w:hRule="exact" w:val="244"/>
        </w:trPr>
        <w:tc>
          <w:tcPr>
            <w:tcW w:w="2000" w:type="dxa"/>
            <w:tcBorders>
              <w:top w:val="nil"/>
              <w:left w:val="nil"/>
              <w:bottom w:val="single" w:sz="8" w:space="0" w:color="auto"/>
              <w:right w:val="nil"/>
            </w:tcBorders>
            <w:shd w:val="clear" w:color="auto" w:fill="auto"/>
            <w:noWrap/>
            <w:vAlign w:val="bottom"/>
            <w:hideMark/>
          </w:tcPr>
          <w:p w:rsidR="005F77B8" w:rsidRDefault="005F77B8" w:rsidP="00384198">
            <w:pPr>
              <w:rPr>
                <w:rFonts w:cs="Arial"/>
                <w:color w:val="000000"/>
                <w:sz w:val="16"/>
                <w:szCs w:val="16"/>
              </w:rPr>
            </w:pPr>
            <w:r>
              <w:rPr>
                <w:rFonts w:cs="Arial"/>
                <w:color w:val="000000"/>
                <w:sz w:val="16"/>
                <w:szCs w:val="16"/>
              </w:rPr>
              <w:t>Moravskoslezský</w:t>
            </w:r>
          </w:p>
        </w:tc>
        <w:tc>
          <w:tcPr>
            <w:tcW w:w="685"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74</w:t>
            </w:r>
          </w:p>
        </w:tc>
        <w:tc>
          <w:tcPr>
            <w:tcW w:w="685"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105</w:t>
            </w:r>
          </w:p>
        </w:tc>
        <w:tc>
          <w:tcPr>
            <w:tcW w:w="685"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86</w:t>
            </w:r>
          </w:p>
        </w:tc>
        <w:tc>
          <w:tcPr>
            <w:tcW w:w="685"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80</w:t>
            </w:r>
          </w:p>
        </w:tc>
        <w:tc>
          <w:tcPr>
            <w:tcW w:w="685"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155</w:t>
            </w:r>
          </w:p>
        </w:tc>
        <w:tc>
          <w:tcPr>
            <w:tcW w:w="686" w:type="dxa"/>
            <w:tcBorders>
              <w:top w:val="nil"/>
              <w:left w:val="nil"/>
              <w:bottom w:val="single" w:sz="8" w:space="0" w:color="auto"/>
              <w:right w:val="dotted" w:sz="4" w:space="0" w:color="auto"/>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128</w:t>
            </w:r>
          </w:p>
        </w:tc>
        <w:tc>
          <w:tcPr>
            <w:tcW w:w="582" w:type="dxa"/>
            <w:tcBorders>
              <w:top w:val="nil"/>
              <w:left w:val="dotted" w:sz="4" w:space="0" w:color="auto"/>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c>
          <w:tcPr>
            <w:tcW w:w="582" w:type="dxa"/>
            <w:tcBorders>
              <w:top w:val="nil"/>
              <w:left w:val="nil"/>
              <w:bottom w:val="single" w:sz="8" w:space="0" w:color="auto"/>
              <w:right w:val="nil"/>
            </w:tcBorders>
            <w:shd w:val="clear" w:color="auto" w:fill="auto"/>
            <w:noWrap/>
            <w:vAlign w:val="bottom"/>
            <w:hideMark/>
          </w:tcPr>
          <w:p w:rsidR="005F77B8" w:rsidRDefault="005F77B8">
            <w:pPr>
              <w:jc w:val="right"/>
              <w:rPr>
                <w:rFonts w:cs="Arial"/>
                <w:color w:val="000000"/>
                <w:sz w:val="16"/>
                <w:szCs w:val="16"/>
              </w:rPr>
            </w:pPr>
            <w:r>
              <w:rPr>
                <w:rFonts w:cs="Arial"/>
                <w:color w:val="000000"/>
                <w:sz w:val="16"/>
                <w:szCs w:val="16"/>
              </w:rPr>
              <w:t>1%</w:t>
            </w:r>
          </w:p>
        </w:tc>
      </w:tr>
    </w:tbl>
    <w:p w:rsidR="00FF75DD" w:rsidRPr="00B202D9" w:rsidRDefault="00FF75DD" w:rsidP="00FF75DD">
      <w:pPr>
        <w:pStyle w:val="Titulek"/>
        <w:rPr>
          <w:sz w:val="18"/>
          <w:szCs w:val="18"/>
        </w:rPr>
      </w:pPr>
      <w:bookmarkStart w:id="36" w:name="_Toc246493289"/>
      <w:bookmarkStart w:id="37" w:name="_Toc343782435"/>
      <w:r w:rsidRPr="00B202D9">
        <w:rPr>
          <w:sz w:val="18"/>
          <w:szCs w:val="18"/>
        </w:rPr>
        <w:t xml:space="preserve">Graf </w:t>
      </w:r>
      <w:r w:rsidR="00C8514E" w:rsidRPr="00B202D9">
        <w:rPr>
          <w:sz w:val="18"/>
          <w:szCs w:val="18"/>
        </w:rPr>
        <w:fldChar w:fldCharType="begin"/>
      </w:r>
      <w:r w:rsidRPr="00B202D9">
        <w:rPr>
          <w:sz w:val="18"/>
          <w:szCs w:val="18"/>
        </w:rPr>
        <w:instrText xml:space="preserve"> STYLEREF 1 \s </w:instrText>
      </w:r>
      <w:r w:rsidR="00C8514E" w:rsidRPr="00B202D9">
        <w:rPr>
          <w:sz w:val="18"/>
          <w:szCs w:val="18"/>
        </w:rPr>
        <w:fldChar w:fldCharType="separate"/>
      </w:r>
      <w:r w:rsidR="00CF5AFD">
        <w:rPr>
          <w:noProof/>
          <w:sz w:val="18"/>
          <w:szCs w:val="18"/>
        </w:rPr>
        <w:t>4</w:t>
      </w:r>
      <w:r w:rsidR="00C8514E" w:rsidRPr="00B202D9">
        <w:rPr>
          <w:sz w:val="18"/>
          <w:szCs w:val="18"/>
        </w:rPr>
        <w:fldChar w:fldCharType="end"/>
      </w:r>
      <w:r w:rsidRPr="00B202D9">
        <w:rPr>
          <w:sz w:val="18"/>
          <w:szCs w:val="18"/>
        </w:rPr>
        <w:t>.</w:t>
      </w:r>
      <w:r w:rsidR="00C8514E" w:rsidRPr="00B202D9">
        <w:rPr>
          <w:sz w:val="18"/>
          <w:szCs w:val="18"/>
        </w:rPr>
        <w:fldChar w:fldCharType="begin"/>
      </w:r>
      <w:r w:rsidR="00C8514E" w:rsidRPr="00B202D9">
        <w:rPr>
          <w:sz w:val="18"/>
          <w:szCs w:val="18"/>
        </w:rPr>
        <w:instrText xml:space="preserve"> SEQ Graf \* ARABIC \s 1 </w:instrText>
      </w:r>
      <w:r w:rsidR="00C8514E" w:rsidRPr="00B202D9">
        <w:rPr>
          <w:sz w:val="18"/>
          <w:szCs w:val="18"/>
        </w:rPr>
        <w:fldChar w:fldCharType="separate"/>
      </w:r>
      <w:r w:rsidR="00CF5AFD">
        <w:rPr>
          <w:noProof/>
          <w:sz w:val="18"/>
          <w:szCs w:val="18"/>
        </w:rPr>
        <w:t>10</w:t>
      </w:r>
      <w:r w:rsidR="00C8514E" w:rsidRPr="00B202D9">
        <w:rPr>
          <w:sz w:val="18"/>
          <w:szCs w:val="18"/>
        </w:rPr>
        <w:fldChar w:fldCharType="end"/>
      </w:r>
      <w:r w:rsidRPr="00B202D9">
        <w:rPr>
          <w:sz w:val="18"/>
          <w:szCs w:val="18"/>
        </w:rPr>
        <w:t>: Podíl výdajů na VaV ve vládním sektoru na celkových výdajích na VaV</w:t>
      </w:r>
      <w:r w:rsidR="00DF1DDD" w:rsidRPr="00B202D9">
        <w:rPr>
          <w:sz w:val="18"/>
          <w:szCs w:val="18"/>
        </w:rPr>
        <w:t>, 2011</w:t>
      </w:r>
      <w:r w:rsidRPr="00B202D9">
        <w:rPr>
          <w:sz w:val="18"/>
          <w:szCs w:val="18"/>
        </w:rPr>
        <w:t xml:space="preserve"> (%)</w:t>
      </w:r>
      <w:bookmarkEnd w:id="36"/>
      <w:bookmarkEnd w:id="37"/>
    </w:p>
    <w:p w:rsidR="00EB0051" w:rsidRPr="00EB0051" w:rsidRDefault="00831850" w:rsidP="00EB0051">
      <w:r w:rsidRPr="00F72EAE">
        <w:rPr>
          <w:noProof/>
          <w:lang w:eastAsia="cs-CZ"/>
        </w:rPr>
        <w:pict>
          <v:shape id="_x0000_i1034" type="#_x0000_t75" style="width:481.5pt;height:158.25pt;visibility:visible">
            <v:imagedata r:id="rId17" o:title=""/>
          </v:shape>
        </w:pict>
      </w:r>
    </w:p>
    <w:p w:rsidR="00FF75DD" w:rsidRPr="00B12190" w:rsidRDefault="00FF75DD" w:rsidP="00EB0051">
      <w:pPr>
        <w:pStyle w:val="poznamka"/>
      </w:pPr>
      <w:r w:rsidRPr="00EB0051">
        <w:t>* Údaje za</w:t>
      </w:r>
      <w:r w:rsidR="00DF1DDD">
        <w:t xml:space="preserve"> rok 2010</w:t>
      </w:r>
      <w:r w:rsidRPr="00EB0051">
        <w:t xml:space="preserve">;  </w:t>
      </w:r>
      <w:r>
        <w:t>*</w:t>
      </w:r>
      <w:r w:rsidR="00EB0051">
        <w:t>*</w:t>
      </w:r>
      <w:r>
        <w:t xml:space="preserve"> Údaj</w:t>
      </w:r>
      <w:r w:rsidR="00EB0051">
        <w:t>e</w:t>
      </w:r>
      <w:r>
        <w:t xml:space="preserve"> za rok 2007</w:t>
      </w:r>
    </w:p>
    <w:p w:rsidR="00FF75DD" w:rsidRPr="00E72AB7" w:rsidRDefault="00FF75DD" w:rsidP="00E72AB7">
      <w:pPr>
        <w:pStyle w:val="zdroj"/>
      </w:pPr>
      <w:r w:rsidRPr="00B12190">
        <w:t xml:space="preserve">Zdroj: OECD </w:t>
      </w:r>
      <w:r w:rsidR="0026473D">
        <w:t>MSTI 201</w:t>
      </w:r>
      <w:r w:rsidR="00DF1DDD">
        <w:t>3</w:t>
      </w:r>
      <w:r w:rsidR="0026473D">
        <w:t>–1</w:t>
      </w:r>
      <w:r w:rsidRPr="00B12190">
        <w:t>, Eurostat a dopočty ČSÚ</w:t>
      </w:r>
    </w:p>
    <w:p w:rsidR="00B202D9" w:rsidRPr="00B202D9" w:rsidRDefault="00FF75DD" w:rsidP="008147D0">
      <w:pPr>
        <w:pStyle w:val="Nadpis2"/>
        <w:numPr>
          <w:ilvl w:val="1"/>
          <w:numId w:val="2"/>
        </w:numPr>
        <w:spacing w:after="160"/>
        <w:ind w:left="431" w:hanging="431"/>
      </w:pPr>
      <w:r w:rsidRPr="00B12190">
        <w:lastRenderedPageBreak/>
        <w:t>Výdaje na výzkum a vývoj uskutečněn</w:t>
      </w:r>
      <w:r>
        <w:t>é</w:t>
      </w:r>
      <w:r w:rsidRPr="00B12190">
        <w:t xml:space="preserve"> ve vysokoškolském sektoru</w:t>
      </w:r>
    </w:p>
    <w:p w:rsidR="00DA1DAC" w:rsidRDefault="00DA1DAC" w:rsidP="008147D0">
      <w:pPr>
        <w:pStyle w:val="Odstavecseseznamem"/>
        <w:spacing w:after="60" w:line="252" w:lineRule="auto"/>
        <w:ind w:left="425" w:hanging="357"/>
        <w:contextualSpacing w:val="0"/>
      </w:pPr>
      <w:bookmarkStart w:id="38" w:name="_Toc246493290"/>
      <w:bookmarkStart w:id="39" w:name="_Toc343782436"/>
      <w:r>
        <w:t xml:space="preserve">Výzkum a vývoj ve vysokoškolském sektoru je prováděn především na </w:t>
      </w:r>
      <w:r w:rsidRPr="000D1135">
        <w:t>jednotliv</w:t>
      </w:r>
      <w:r>
        <w:t>ých pracovištích (fakultách)</w:t>
      </w:r>
      <w:r w:rsidRPr="000D1135">
        <w:t xml:space="preserve"> veřejných vysokých škol</w:t>
      </w:r>
      <w:r>
        <w:t xml:space="preserve"> (167 pracovišť)</w:t>
      </w:r>
      <w:r w:rsidRPr="000D1135">
        <w:t xml:space="preserve"> a od roku 2005 i 11 fakultních n</w:t>
      </w:r>
      <w:r>
        <w:t>emocnic. Kromě těchto pracovišť</w:t>
      </w:r>
      <w:r w:rsidRPr="000D1135">
        <w:t xml:space="preserve"> je VaV prováděn i na 24 soukromých vysokých školách a ostatních institucích postsekundárního vzdělávání. Význam soukromého vysokoškolského VaV je však u nás, pokud jde o výši výdajů na zde provedený</w:t>
      </w:r>
      <w:r>
        <w:t xml:space="preserve"> VaV</w:t>
      </w:r>
      <w:r w:rsidRPr="000D1135">
        <w:t>, zcela zanedbatelný.</w:t>
      </w:r>
    </w:p>
    <w:p w:rsidR="00B202D9" w:rsidRDefault="00B202D9" w:rsidP="008147D0">
      <w:pPr>
        <w:pStyle w:val="Odstavecseseznamem"/>
        <w:spacing w:after="60" w:line="252" w:lineRule="auto"/>
        <w:ind w:left="425" w:hanging="357"/>
        <w:contextualSpacing w:val="0"/>
      </w:pPr>
      <w:r>
        <w:t xml:space="preserve">Na VaV provedený ve vysokoškolském sektoru bylo v roce 2012 vynaloženo 19,9 mld. Kč. Pokračoval </w:t>
      </w:r>
      <w:r w:rsidR="00DA1DAC">
        <w:t xml:space="preserve">tak </w:t>
      </w:r>
      <w:r>
        <w:t>enormní meziroční nárůst výdajů započatý v roce 2010 (44 % mezi lety 2010 a 2011, 30% mezi lety 2011 a 2012).</w:t>
      </w:r>
      <w:r w:rsidR="00DA1DAC">
        <w:t xml:space="preserve"> </w:t>
      </w:r>
      <w:r w:rsidR="00DA1DAC" w:rsidRPr="00165DF6">
        <w:t xml:space="preserve">Podíl vysokoškolského sektoru na celkových výdajích </w:t>
      </w:r>
      <w:r w:rsidR="00850EB2">
        <w:t>na VaV vzrostl za posledních 11 </w:t>
      </w:r>
      <w:r w:rsidR="00DA1DAC" w:rsidRPr="00165DF6">
        <w:t>let z 14 % v roce 2000 na 28 % v roce 2012 a na veřejném</w:t>
      </w:r>
      <w:r w:rsidR="005D6648">
        <w:t xml:space="preserve"> výzkumu dokonce z 36 % na 60 %</w:t>
      </w:r>
      <w:r w:rsidR="00DA1DAC" w:rsidRPr="00165DF6">
        <w:t>. Na</w:t>
      </w:r>
      <w:r w:rsidR="005D6648">
        <w:t xml:space="preserve"> </w:t>
      </w:r>
      <w:r w:rsidR="00DA1DAC" w:rsidRPr="00165DF6">
        <w:t>rozdíl od vládního sektoru, výdaje za vysokoškolský VaV v tomto období</w:t>
      </w:r>
      <w:r w:rsidR="00850EB2">
        <w:t xml:space="preserve"> výrazně vzrostly i ve vztahu k </w:t>
      </w:r>
      <w:r w:rsidR="00DA1DAC" w:rsidRPr="00165DF6">
        <w:t>HDP, a to z 0,17 % v roce 2000 na 0,52 % v roce 2012.</w:t>
      </w:r>
    </w:p>
    <w:p w:rsidR="00B202D9" w:rsidRDefault="00B202D9" w:rsidP="008147D0">
      <w:pPr>
        <w:pStyle w:val="Odstavecseseznamem"/>
        <w:spacing w:after="60" w:line="252" w:lineRule="auto"/>
        <w:ind w:left="425" w:hanging="357"/>
        <w:contextualSpacing w:val="0"/>
      </w:pPr>
      <w:r>
        <w:t xml:space="preserve">Nejdůležitějším financiérem výzkumu na vysokých školách zůstává stát, i když podíl veřejných výdajů z ČR postupně klesl z 91 % v roce 2009 na 59 % v roce 2012. Hlavní zásluhu na velkém nárůstu objemu peněz vydaných na VaV ve vysokoškolském sektoru má neustále se zvyšující čerpání peněz ze strukturálních fondů Evropské unie. </w:t>
      </w:r>
      <w:r w:rsidR="00145126">
        <w:t xml:space="preserve">V roce 2012 dosáhly </w:t>
      </w:r>
      <w:r w:rsidR="00AA1B3E">
        <w:t>v</w:t>
      </w:r>
      <w:r>
        <w:t>ýdaje z ve</w:t>
      </w:r>
      <w:r w:rsidR="00850EB2">
        <w:t>řejných zahraničních zdrojů 7,4 </w:t>
      </w:r>
      <w:r>
        <w:t>mld. Kč</w:t>
      </w:r>
      <w:r w:rsidR="00850EB2">
        <w:t xml:space="preserve"> (37</w:t>
      </w:r>
      <w:r w:rsidR="00AA1B3E">
        <w:t>% podíl)</w:t>
      </w:r>
      <w:r>
        <w:t xml:space="preserve">, meziroční nárůst byl gigantických 102 %. Naopak finanční příspěvek podniků na </w:t>
      </w:r>
      <w:r w:rsidR="00AA1B3E">
        <w:t>VaV prováděný</w:t>
      </w:r>
      <w:r>
        <w:t xml:space="preserve"> na vysokých školách byl </w:t>
      </w:r>
      <w:r w:rsidR="00AA1B3E">
        <w:t xml:space="preserve">velmi </w:t>
      </w:r>
      <w:r>
        <w:t>nízký, jen necelých 160 mil. Kč</w:t>
      </w:r>
      <w:r w:rsidR="00AA1B3E">
        <w:t xml:space="preserve"> (0,8 %)</w:t>
      </w:r>
      <w:r>
        <w:t>.</w:t>
      </w:r>
    </w:p>
    <w:p w:rsidR="008147D0" w:rsidRDefault="008147D0" w:rsidP="008147D0">
      <w:pPr>
        <w:pStyle w:val="Odstavecseseznamem"/>
        <w:spacing w:after="60" w:line="252" w:lineRule="auto"/>
        <w:ind w:left="425" w:hanging="357"/>
        <w:contextualSpacing w:val="0"/>
      </w:pPr>
      <w:r>
        <w:t xml:space="preserve">Nárůst financování vysokoškolského VaV ze zahraničních veřejných zdrojů se výrazně projevil především v investičních výdajích, které za poslední dva roky </w:t>
      </w:r>
      <w:r w:rsidR="00850EB2">
        <w:t>v</w:t>
      </w:r>
      <w:r>
        <w:t>zrostly téměř desetkrát ze 765 mil. Kč v roce 2010 na 7,3 mld. Kč v roce 2012.</w:t>
      </w:r>
    </w:p>
    <w:p w:rsidR="00B202D9" w:rsidRDefault="00B202D9" w:rsidP="008147D0">
      <w:pPr>
        <w:pStyle w:val="Odstavecseseznamem"/>
        <w:spacing w:after="60" w:line="252" w:lineRule="auto"/>
        <w:ind w:left="425" w:hanging="357"/>
        <w:contextualSpacing w:val="0"/>
      </w:pPr>
      <w:r>
        <w:t>Na vysokých školách se provozuje především základní a aplikovaný výzkum (86 % výdajů ve vysokoškolském sektoru na VaV v roce 2012). Výše výdajů vydaná na aplikovaný výzkum je ukazatelem naznačujícím potenciál vysokých škol pro spolupráci s podnikatelským sektorem. Tento předpoklad se však zatím nenaplňuje.</w:t>
      </w:r>
    </w:p>
    <w:p w:rsidR="00B202D9" w:rsidRDefault="00B202D9" w:rsidP="008147D0">
      <w:pPr>
        <w:pStyle w:val="Odstavecseseznamem"/>
        <w:spacing w:after="60" w:line="252" w:lineRule="auto"/>
        <w:ind w:left="425" w:hanging="357"/>
        <w:contextualSpacing w:val="0"/>
      </w:pPr>
      <w:r>
        <w:t>Ačkoli výdaje na VaV na soukromých vysokých školách vzrostly meziročně o 65 % na 152 mil. Kč, jejich podíl na výdajích</w:t>
      </w:r>
      <w:r w:rsidR="00850EB2">
        <w:t xml:space="preserve"> vysokoškolského sektoru</w:t>
      </w:r>
      <w:r>
        <w:t xml:space="preserve"> byl jen necelé 1 %. Na </w:t>
      </w:r>
      <w:r w:rsidR="008147D0">
        <w:t xml:space="preserve">veřejných a </w:t>
      </w:r>
      <w:r>
        <w:t>státních vysokých školách se na VaV vynaložilo 125krát více než na soukromých školách. Zvýšené čerpání dotací z Evropské unie způsobilo, že se výdaje veřejných vysokých škol na VaV meziročně zvýšily o 5 mld. Kč a v roce 2012 se přiblížily 19 mld. Kč.</w:t>
      </w:r>
    </w:p>
    <w:p w:rsidR="00B202D9" w:rsidRDefault="00B202D9" w:rsidP="008147D0">
      <w:pPr>
        <w:pStyle w:val="Odstavecseseznamem"/>
        <w:spacing w:after="60" w:line="252" w:lineRule="auto"/>
        <w:ind w:left="425" w:hanging="357"/>
        <w:contextualSpacing w:val="0"/>
      </w:pPr>
      <w:r>
        <w:t>Ve všech vědních oblastech došlo ve vysokoškolském sektoru v roce 2012 k meziročnímu nárůstu výdajů na VaV, tento nárůst byl nejvýraznější v lékařských (48 %), zemědělských (46 %), přírodních (45 %) a technických vědách (17 %). Co se týče výše výdajů, jsou nejvýznamnějšími vědními oblastmi</w:t>
      </w:r>
      <w:r w:rsidR="00850EB2">
        <w:t xml:space="preserve"> technické a přírodní vědy s 67</w:t>
      </w:r>
      <w:r>
        <w:t xml:space="preserve">% podílem na celkových výdajích na VaV ve vysokoškolském sektoru v roce 2012. </w:t>
      </w:r>
    </w:p>
    <w:p w:rsidR="00B202D9" w:rsidRDefault="00B202D9" w:rsidP="008147D0">
      <w:pPr>
        <w:pStyle w:val="Odstavecseseznamem"/>
        <w:spacing w:after="60" w:line="252" w:lineRule="auto"/>
        <w:ind w:left="425" w:hanging="357"/>
        <w:contextualSpacing w:val="0"/>
      </w:pPr>
      <w:r>
        <w:t xml:space="preserve">K významné změně oproti roku 2011 došlo v regionálním rozdělení výdajů na VaV. Jihomoravský kraj zde poprvé porazil Prahu, a to zvláště díky vyšším příjmům ze strukturálních fondů Evropské unie. Náskok Jihomoravského kraje nad druhou Prahou je dokonce dost výrazný, když prvenství Prahy v roce 2011 v poměru 10:8 se změnilo ve ztrátu 10:12 v roce 2012. K prvenství Jihomoravského kraje přispěly největším dílem Masarykova univerzita v Brně </w:t>
      </w:r>
      <w:r w:rsidR="004803FC">
        <w:t>a Vysoké učení technické v Brně</w:t>
      </w:r>
      <w:r>
        <w:t>.</w:t>
      </w:r>
    </w:p>
    <w:p w:rsidR="00B202D9" w:rsidRDefault="00B202D9" w:rsidP="008147D0">
      <w:pPr>
        <w:pStyle w:val="Odstavecseseznamem"/>
        <w:spacing w:after="60" w:line="252" w:lineRule="auto"/>
        <w:ind w:left="425" w:hanging="357"/>
        <w:contextualSpacing w:val="0"/>
      </w:pPr>
      <w:r>
        <w:t>Ve vysokoškolském sektoru bylo v Evropské unii v roce 2011 n</w:t>
      </w:r>
      <w:r w:rsidR="00850EB2">
        <w:t>a VaV vynaloženo 59 mld. Eur. V </w:t>
      </w:r>
      <w:r>
        <w:t xml:space="preserve">Německu, Francii, </w:t>
      </w:r>
      <w:r w:rsidR="00850EB2">
        <w:t>Spojeném království</w:t>
      </w:r>
      <w:r>
        <w:t xml:space="preserve"> a Itálii bylo vynal</w:t>
      </w:r>
      <w:r w:rsidR="00850EB2">
        <w:t>oženo dohromady 37 mld. Eur (63</w:t>
      </w:r>
      <w:r>
        <w:t>% podíl EU28). V České republice se v roce 2011 vydalo na VaV ve vysokoškolském sektor</w:t>
      </w:r>
      <w:r w:rsidR="00850EB2">
        <w:t>u 0,6 mld. Eur (1</w:t>
      </w:r>
      <w:r>
        <w:t xml:space="preserve">% podíl EU28). </w:t>
      </w:r>
    </w:p>
    <w:p w:rsidR="00B202D9" w:rsidRDefault="00B202D9" w:rsidP="008147D0">
      <w:pPr>
        <w:pStyle w:val="Odstavecseseznamem"/>
        <w:spacing w:line="252" w:lineRule="auto"/>
        <w:ind w:left="425" w:hanging="357"/>
      </w:pPr>
      <w:r>
        <w:t>Podíl výdajů na VaV ve vysokoškolském sektoru na celkových výdajích na VaV byl v roce 2011 v EU28 27 %. V Litvě, Lotyšsku a Řecku byl tento podíl dokonce 50 %.</w:t>
      </w:r>
    </w:p>
    <w:p w:rsidR="00FF75DD" w:rsidRPr="00B202D9" w:rsidRDefault="00FF75DD" w:rsidP="001D3FF9">
      <w:pPr>
        <w:pStyle w:val="Titulek"/>
        <w:rPr>
          <w:sz w:val="18"/>
          <w:szCs w:val="18"/>
        </w:rPr>
      </w:pPr>
      <w:r w:rsidRPr="00B202D9">
        <w:rPr>
          <w:sz w:val="18"/>
          <w:szCs w:val="18"/>
        </w:rPr>
        <w:t xml:space="preserve">Graf </w:t>
      </w:r>
      <w:r w:rsidR="00C8514E" w:rsidRPr="00B202D9">
        <w:rPr>
          <w:sz w:val="18"/>
          <w:szCs w:val="18"/>
        </w:rPr>
        <w:fldChar w:fldCharType="begin"/>
      </w:r>
      <w:r w:rsidRPr="00B202D9">
        <w:rPr>
          <w:sz w:val="18"/>
          <w:szCs w:val="18"/>
        </w:rPr>
        <w:instrText xml:space="preserve"> STYLEREF 1 \s </w:instrText>
      </w:r>
      <w:r w:rsidR="00C8514E" w:rsidRPr="00B202D9">
        <w:rPr>
          <w:sz w:val="18"/>
          <w:szCs w:val="18"/>
        </w:rPr>
        <w:fldChar w:fldCharType="separate"/>
      </w:r>
      <w:r w:rsidR="00CF5AFD">
        <w:rPr>
          <w:noProof/>
          <w:sz w:val="18"/>
          <w:szCs w:val="18"/>
        </w:rPr>
        <w:t>4</w:t>
      </w:r>
      <w:r w:rsidR="00C8514E" w:rsidRPr="00B202D9">
        <w:rPr>
          <w:sz w:val="18"/>
          <w:szCs w:val="18"/>
        </w:rPr>
        <w:fldChar w:fldCharType="end"/>
      </w:r>
      <w:r w:rsidRPr="00B202D9">
        <w:rPr>
          <w:sz w:val="18"/>
          <w:szCs w:val="18"/>
        </w:rPr>
        <w:t>.</w:t>
      </w:r>
      <w:r w:rsidR="00C8514E" w:rsidRPr="00B202D9">
        <w:rPr>
          <w:sz w:val="18"/>
          <w:szCs w:val="18"/>
        </w:rPr>
        <w:fldChar w:fldCharType="begin"/>
      </w:r>
      <w:r w:rsidR="00C8514E" w:rsidRPr="00B202D9">
        <w:rPr>
          <w:sz w:val="18"/>
          <w:szCs w:val="18"/>
        </w:rPr>
        <w:instrText xml:space="preserve"> SEQ Graf \* ARABIC \s 1 </w:instrText>
      </w:r>
      <w:r w:rsidR="00C8514E" w:rsidRPr="00B202D9">
        <w:rPr>
          <w:sz w:val="18"/>
          <w:szCs w:val="18"/>
        </w:rPr>
        <w:fldChar w:fldCharType="separate"/>
      </w:r>
      <w:r w:rsidR="00CF5AFD">
        <w:rPr>
          <w:noProof/>
          <w:sz w:val="18"/>
          <w:szCs w:val="18"/>
        </w:rPr>
        <w:t>11</w:t>
      </w:r>
      <w:r w:rsidR="00C8514E" w:rsidRPr="00B202D9">
        <w:rPr>
          <w:sz w:val="18"/>
          <w:szCs w:val="18"/>
        </w:rPr>
        <w:fldChar w:fldCharType="end"/>
      </w:r>
      <w:r w:rsidRPr="00B202D9">
        <w:rPr>
          <w:sz w:val="18"/>
          <w:szCs w:val="18"/>
        </w:rPr>
        <w:t>: Výdaje na VaV uskutečněn</w:t>
      </w:r>
      <w:r w:rsidR="00EA0CB2">
        <w:rPr>
          <w:sz w:val="18"/>
          <w:szCs w:val="18"/>
        </w:rPr>
        <w:t>é</w:t>
      </w:r>
      <w:r w:rsidRPr="00B202D9">
        <w:rPr>
          <w:sz w:val="18"/>
          <w:szCs w:val="18"/>
        </w:rPr>
        <w:t xml:space="preserve"> ve vysokoškolském se</w:t>
      </w:r>
      <w:r w:rsidR="00A0372A" w:rsidRPr="00B202D9">
        <w:rPr>
          <w:sz w:val="18"/>
          <w:szCs w:val="18"/>
        </w:rPr>
        <w:t>ktoru podle druhu pracoviště</w:t>
      </w:r>
      <w:r w:rsidR="00EA0CB2">
        <w:rPr>
          <w:sz w:val="18"/>
          <w:szCs w:val="18"/>
        </w:rPr>
        <w:t xml:space="preserve"> </w:t>
      </w:r>
      <w:r w:rsidR="00A0372A" w:rsidRPr="00B202D9">
        <w:rPr>
          <w:sz w:val="18"/>
          <w:szCs w:val="18"/>
        </w:rPr>
        <w:t>(</w:t>
      </w:r>
      <w:r w:rsidRPr="00B202D9">
        <w:rPr>
          <w:sz w:val="18"/>
          <w:szCs w:val="18"/>
        </w:rPr>
        <w:t>mld. Kč)</w:t>
      </w:r>
      <w:bookmarkEnd w:id="38"/>
      <w:bookmarkEnd w:id="39"/>
    </w:p>
    <w:p w:rsidR="001D3FF9" w:rsidRPr="001D3FF9" w:rsidRDefault="004803FC" w:rsidP="001D3FF9">
      <w:r w:rsidRPr="00BF4877">
        <w:rPr>
          <w:noProof/>
          <w:lang w:eastAsia="cs-CZ"/>
        </w:rPr>
        <w:pict>
          <v:shape id="_x0000_i1035" type="#_x0000_t75" style="width:472.5pt;height:112.5pt;visibility:visible">
            <v:imagedata r:id="rId18" o:title=""/>
          </v:shape>
        </w:pict>
      </w:r>
    </w:p>
    <w:p w:rsidR="00FF75DD" w:rsidRPr="00B202D9" w:rsidRDefault="00FF75DD" w:rsidP="00FF75DD">
      <w:pPr>
        <w:pStyle w:val="Titulektabulky"/>
        <w:spacing w:before="0" w:after="0"/>
        <w:rPr>
          <w:sz w:val="18"/>
          <w:szCs w:val="18"/>
        </w:rPr>
      </w:pPr>
      <w:bookmarkStart w:id="40" w:name="_Toc246497430"/>
      <w:bookmarkStart w:id="41" w:name="_Toc343781869"/>
      <w:r w:rsidRPr="00B202D9">
        <w:rPr>
          <w:sz w:val="18"/>
          <w:szCs w:val="18"/>
        </w:rPr>
        <w:lastRenderedPageBreak/>
        <w:t xml:space="preserve">Tab. </w:t>
      </w:r>
      <w:r w:rsidR="00C8514E" w:rsidRPr="00B202D9">
        <w:rPr>
          <w:sz w:val="18"/>
          <w:szCs w:val="18"/>
        </w:rPr>
        <w:fldChar w:fldCharType="begin"/>
      </w:r>
      <w:r w:rsidRPr="00B202D9">
        <w:rPr>
          <w:sz w:val="18"/>
          <w:szCs w:val="18"/>
        </w:rPr>
        <w:instrText xml:space="preserve"> STYLEREF 1 \s </w:instrText>
      </w:r>
      <w:r w:rsidR="00C8514E" w:rsidRPr="00B202D9">
        <w:rPr>
          <w:sz w:val="18"/>
          <w:szCs w:val="18"/>
        </w:rPr>
        <w:fldChar w:fldCharType="separate"/>
      </w:r>
      <w:r w:rsidR="00CF5AFD">
        <w:rPr>
          <w:noProof/>
          <w:sz w:val="18"/>
          <w:szCs w:val="18"/>
        </w:rPr>
        <w:t>4</w:t>
      </w:r>
      <w:r w:rsidR="00C8514E" w:rsidRPr="00B202D9">
        <w:rPr>
          <w:sz w:val="18"/>
          <w:szCs w:val="18"/>
        </w:rPr>
        <w:fldChar w:fldCharType="end"/>
      </w:r>
      <w:r w:rsidRPr="00B202D9">
        <w:rPr>
          <w:sz w:val="18"/>
          <w:szCs w:val="18"/>
        </w:rPr>
        <w:t>.</w:t>
      </w:r>
      <w:r w:rsidR="00C8514E" w:rsidRPr="00B202D9">
        <w:rPr>
          <w:sz w:val="18"/>
          <w:szCs w:val="18"/>
        </w:rPr>
        <w:fldChar w:fldCharType="begin"/>
      </w:r>
      <w:r w:rsidR="00C8514E" w:rsidRPr="00B202D9">
        <w:rPr>
          <w:sz w:val="18"/>
          <w:szCs w:val="18"/>
        </w:rPr>
        <w:instrText xml:space="preserve"> SEQ Tab. \* ARABIC \s 1 </w:instrText>
      </w:r>
      <w:r w:rsidR="00C8514E" w:rsidRPr="00B202D9">
        <w:rPr>
          <w:sz w:val="18"/>
          <w:szCs w:val="18"/>
        </w:rPr>
        <w:fldChar w:fldCharType="separate"/>
      </w:r>
      <w:r w:rsidR="00CF5AFD">
        <w:rPr>
          <w:noProof/>
          <w:sz w:val="18"/>
          <w:szCs w:val="18"/>
        </w:rPr>
        <w:t>6</w:t>
      </w:r>
      <w:r w:rsidR="00C8514E" w:rsidRPr="00B202D9">
        <w:rPr>
          <w:sz w:val="18"/>
          <w:szCs w:val="18"/>
        </w:rPr>
        <w:fldChar w:fldCharType="end"/>
      </w:r>
      <w:r w:rsidRPr="00B202D9">
        <w:rPr>
          <w:sz w:val="18"/>
          <w:szCs w:val="18"/>
        </w:rPr>
        <w:t>: Výdaje na VaV uskutečněné ve vysokoškolském sektoru v ČR, 200</w:t>
      </w:r>
      <w:r w:rsidR="00F90816" w:rsidRPr="00B202D9">
        <w:rPr>
          <w:sz w:val="18"/>
          <w:szCs w:val="18"/>
        </w:rPr>
        <w:t>7</w:t>
      </w:r>
      <w:r w:rsidRPr="00B202D9">
        <w:rPr>
          <w:sz w:val="18"/>
          <w:szCs w:val="18"/>
        </w:rPr>
        <w:t>–201</w:t>
      </w:r>
      <w:bookmarkEnd w:id="40"/>
      <w:bookmarkEnd w:id="41"/>
      <w:r w:rsidR="00F90816" w:rsidRPr="00B202D9">
        <w:rPr>
          <w:sz w:val="18"/>
          <w:szCs w:val="18"/>
        </w:rPr>
        <w:t>2</w:t>
      </w:r>
    </w:p>
    <w:tbl>
      <w:tblPr>
        <w:tblW w:w="9678" w:type="dxa"/>
        <w:tblInd w:w="55" w:type="dxa"/>
        <w:tblLayout w:type="fixed"/>
        <w:tblCellMar>
          <w:left w:w="70" w:type="dxa"/>
          <w:right w:w="70" w:type="dxa"/>
        </w:tblCellMar>
        <w:tblLook w:val="04A0"/>
      </w:tblPr>
      <w:tblGrid>
        <w:gridCol w:w="1956"/>
        <w:gridCol w:w="44"/>
        <w:gridCol w:w="142"/>
        <w:gridCol w:w="518"/>
        <w:gridCol w:w="678"/>
        <w:gridCol w:w="725"/>
        <w:gridCol w:w="678"/>
        <w:gridCol w:w="703"/>
        <w:gridCol w:w="681"/>
        <w:gridCol w:w="592"/>
        <w:gridCol w:w="592"/>
        <w:gridCol w:w="592"/>
        <w:gridCol w:w="592"/>
        <w:gridCol w:w="592"/>
        <w:gridCol w:w="593"/>
      </w:tblGrid>
      <w:tr w:rsidR="00FF75DD" w:rsidRPr="00E777F7" w:rsidTr="006A2212">
        <w:trPr>
          <w:trHeight w:val="255"/>
        </w:trPr>
        <w:tc>
          <w:tcPr>
            <w:tcW w:w="1956" w:type="dxa"/>
            <w:vMerge w:val="restart"/>
            <w:tcBorders>
              <w:top w:val="single" w:sz="8" w:space="0" w:color="auto"/>
              <w:left w:val="nil"/>
              <w:right w:val="nil"/>
            </w:tcBorders>
            <w:shd w:val="clear" w:color="000000" w:fill="000099"/>
            <w:noWrap/>
            <w:vAlign w:val="center"/>
            <w:hideMark/>
          </w:tcPr>
          <w:p w:rsidR="00FF75DD" w:rsidRPr="00E777F7" w:rsidRDefault="00FF75DD" w:rsidP="00D42965">
            <w:pPr>
              <w:jc w:val="center"/>
              <w:rPr>
                <w:rFonts w:eastAsia="Times New Roman" w:cs="Arial"/>
                <w:b/>
                <w:bCs/>
                <w:color w:val="FFFFFF"/>
                <w:sz w:val="16"/>
                <w:szCs w:val="16"/>
                <w:lang w:eastAsia="cs-CZ"/>
              </w:rPr>
            </w:pPr>
          </w:p>
        </w:tc>
        <w:tc>
          <w:tcPr>
            <w:tcW w:w="4169" w:type="dxa"/>
            <w:gridSpan w:val="8"/>
            <w:tcBorders>
              <w:top w:val="single" w:sz="8" w:space="0" w:color="auto"/>
              <w:left w:val="nil"/>
              <w:bottom w:val="nil"/>
              <w:right w:val="dotted" w:sz="4" w:space="0" w:color="auto"/>
            </w:tcBorders>
            <w:shd w:val="clear" w:color="000000" w:fill="000099"/>
            <w:noWrap/>
            <w:vAlign w:val="center"/>
            <w:hideMark/>
          </w:tcPr>
          <w:p w:rsidR="00FF75DD" w:rsidRPr="00E777F7" w:rsidRDefault="00FF75DD" w:rsidP="00D42965">
            <w:pPr>
              <w:spacing w:line="240" w:lineRule="auto"/>
              <w:jc w:val="center"/>
              <w:rPr>
                <w:rFonts w:eastAsia="Times New Roman" w:cs="Arial"/>
                <w:b/>
                <w:bCs/>
                <w:color w:val="FFFFFF"/>
                <w:sz w:val="16"/>
                <w:szCs w:val="16"/>
                <w:lang w:eastAsia="cs-CZ"/>
              </w:rPr>
            </w:pPr>
            <w:r w:rsidRPr="00E777F7">
              <w:rPr>
                <w:rFonts w:eastAsia="Times New Roman" w:cs="Arial"/>
                <w:b/>
                <w:bCs/>
                <w:color w:val="FFFFFF"/>
                <w:sz w:val="16"/>
                <w:szCs w:val="16"/>
                <w:lang w:eastAsia="cs-CZ"/>
              </w:rPr>
              <w:t>mil. Kč – běžné ceny</w:t>
            </w:r>
          </w:p>
        </w:tc>
        <w:tc>
          <w:tcPr>
            <w:tcW w:w="3553" w:type="dxa"/>
            <w:gridSpan w:val="6"/>
            <w:tcBorders>
              <w:top w:val="single" w:sz="8" w:space="0" w:color="auto"/>
              <w:left w:val="dotted" w:sz="4" w:space="0" w:color="auto"/>
              <w:bottom w:val="nil"/>
              <w:right w:val="nil"/>
            </w:tcBorders>
            <w:shd w:val="clear" w:color="000000" w:fill="000099"/>
            <w:noWrap/>
            <w:vAlign w:val="center"/>
            <w:hideMark/>
          </w:tcPr>
          <w:p w:rsidR="00FF75DD" w:rsidRPr="00E777F7" w:rsidRDefault="00FF75DD" w:rsidP="00D42965">
            <w:pPr>
              <w:spacing w:line="240" w:lineRule="auto"/>
              <w:jc w:val="center"/>
              <w:rPr>
                <w:rFonts w:eastAsia="Times New Roman" w:cs="Arial"/>
                <w:b/>
                <w:bCs/>
                <w:color w:val="FFFFFF"/>
                <w:sz w:val="16"/>
                <w:szCs w:val="16"/>
                <w:lang w:eastAsia="cs-CZ"/>
              </w:rPr>
            </w:pPr>
            <w:r w:rsidRPr="00E777F7">
              <w:rPr>
                <w:rFonts w:eastAsia="Times New Roman" w:cs="Arial"/>
                <w:b/>
                <w:bCs/>
                <w:color w:val="FFFFFF"/>
                <w:sz w:val="16"/>
                <w:szCs w:val="16"/>
                <w:lang w:eastAsia="cs-CZ"/>
              </w:rPr>
              <w:t>struktura</w:t>
            </w:r>
          </w:p>
        </w:tc>
      </w:tr>
      <w:tr w:rsidR="006A2212" w:rsidRPr="00E777F7" w:rsidTr="006A2212">
        <w:trPr>
          <w:trHeight w:val="270"/>
        </w:trPr>
        <w:tc>
          <w:tcPr>
            <w:tcW w:w="1956" w:type="dxa"/>
            <w:vMerge/>
            <w:tcBorders>
              <w:left w:val="nil"/>
              <w:bottom w:val="single" w:sz="8" w:space="0" w:color="auto"/>
              <w:right w:val="nil"/>
            </w:tcBorders>
            <w:shd w:val="clear" w:color="000000" w:fill="000099"/>
            <w:noWrap/>
            <w:vAlign w:val="center"/>
            <w:hideMark/>
          </w:tcPr>
          <w:p w:rsidR="0096020A" w:rsidRPr="00E777F7" w:rsidRDefault="0096020A" w:rsidP="00D42965">
            <w:pPr>
              <w:spacing w:line="240" w:lineRule="auto"/>
              <w:rPr>
                <w:rFonts w:eastAsia="Times New Roman" w:cs="Arial"/>
                <w:b/>
                <w:bCs/>
                <w:color w:val="FFFFFF"/>
                <w:sz w:val="16"/>
                <w:szCs w:val="16"/>
                <w:lang w:eastAsia="cs-CZ"/>
              </w:rPr>
            </w:pPr>
          </w:p>
        </w:tc>
        <w:tc>
          <w:tcPr>
            <w:tcW w:w="704" w:type="dxa"/>
            <w:gridSpan w:val="3"/>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2007</w:t>
            </w:r>
          </w:p>
        </w:tc>
        <w:tc>
          <w:tcPr>
            <w:tcW w:w="678"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2008</w:t>
            </w:r>
          </w:p>
        </w:tc>
        <w:tc>
          <w:tcPr>
            <w:tcW w:w="725"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2009</w:t>
            </w:r>
          </w:p>
        </w:tc>
        <w:tc>
          <w:tcPr>
            <w:tcW w:w="678"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2010</w:t>
            </w:r>
          </w:p>
        </w:tc>
        <w:tc>
          <w:tcPr>
            <w:tcW w:w="703"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2011</w:t>
            </w:r>
          </w:p>
        </w:tc>
        <w:tc>
          <w:tcPr>
            <w:tcW w:w="681" w:type="dxa"/>
            <w:tcBorders>
              <w:top w:val="nil"/>
              <w:left w:val="nil"/>
              <w:bottom w:val="single" w:sz="8" w:space="0" w:color="auto"/>
              <w:right w:val="dotted" w:sz="4" w:space="0" w:color="auto"/>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2012</w:t>
            </w:r>
          </w:p>
        </w:tc>
        <w:tc>
          <w:tcPr>
            <w:tcW w:w="592" w:type="dxa"/>
            <w:tcBorders>
              <w:top w:val="nil"/>
              <w:left w:val="dotted" w:sz="4" w:space="0" w:color="auto"/>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2007</w:t>
            </w:r>
          </w:p>
        </w:tc>
        <w:tc>
          <w:tcPr>
            <w:tcW w:w="592"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2008</w:t>
            </w:r>
          </w:p>
        </w:tc>
        <w:tc>
          <w:tcPr>
            <w:tcW w:w="592"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2009</w:t>
            </w:r>
          </w:p>
        </w:tc>
        <w:tc>
          <w:tcPr>
            <w:tcW w:w="592"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2010</w:t>
            </w:r>
          </w:p>
        </w:tc>
        <w:tc>
          <w:tcPr>
            <w:tcW w:w="592"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2011</w:t>
            </w:r>
          </w:p>
        </w:tc>
        <w:tc>
          <w:tcPr>
            <w:tcW w:w="593" w:type="dxa"/>
            <w:tcBorders>
              <w:top w:val="nil"/>
              <w:left w:val="nil"/>
              <w:bottom w:val="single" w:sz="8" w:space="0" w:color="auto"/>
              <w:right w:val="nil"/>
            </w:tcBorders>
            <w:shd w:val="clear" w:color="000000" w:fill="000099"/>
            <w:noWrap/>
            <w:vAlign w:val="bottom"/>
            <w:hideMark/>
          </w:tcPr>
          <w:p w:rsidR="0096020A" w:rsidRDefault="0096020A">
            <w:pPr>
              <w:jc w:val="center"/>
              <w:rPr>
                <w:rFonts w:cs="Arial"/>
                <w:b/>
                <w:bCs/>
                <w:color w:val="FFFFFF"/>
                <w:sz w:val="16"/>
                <w:szCs w:val="16"/>
              </w:rPr>
            </w:pPr>
            <w:r>
              <w:rPr>
                <w:rFonts w:cs="Arial"/>
                <w:b/>
                <w:bCs/>
                <w:color w:val="FFFFFF"/>
                <w:sz w:val="16"/>
                <w:szCs w:val="16"/>
              </w:rPr>
              <w:t>2012</w:t>
            </w:r>
          </w:p>
        </w:tc>
      </w:tr>
      <w:tr w:rsidR="006A2212" w:rsidRPr="00E777F7" w:rsidTr="006A2212">
        <w:trPr>
          <w:trHeight w:val="270"/>
        </w:trPr>
        <w:tc>
          <w:tcPr>
            <w:tcW w:w="1956" w:type="dxa"/>
            <w:tcBorders>
              <w:top w:val="nil"/>
              <w:left w:val="nil"/>
              <w:bottom w:val="single" w:sz="8" w:space="0" w:color="auto"/>
              <w:right w:val="nil"/>
            </w:tcBorders>
            <w:shd w:val="clear" w:color="000000" w:fill="8DB4E3"/>
            <w:noWrap/>
            <w:vAlign w:val="bottom"/>
            <w:hideMark/>
          </w:tcPr>
          <w:p w:rsidR="0096020A" w:rsidRDefault="0096020A">
            <w:pPr>
              <w:rPr>
                <w:rFonts w:cs="Arial"/>
                <w:b/>
                <w:bCs/>
                <w:color w:val="000000"/>
                <w:sz w:val="16"/>
                <w:szCs w:val="16"/>
              </w:rPr>
            </w:pPr>
            <w:r>
              <w:rPr>
                <w:rFonts w:cs="Arial"/>
                <w:b/>
                <w:bCs/>
                <w:color w:val="000000"/>
                <w:sz w:val="16"/>
                <w:szCs w:val="16"/>
              </w:rPr>
              <w:t>Celkem</w:t>
            </w:r>
          </w:p>
        </w:tc>
        <w:tc>
          <w:tcPr>
            <w:tcW w:w="704" w:type="dxa"/>
            <w:gridSpan w:val="3"/>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9 158</w:t>
            </w:r>
          </w:p>
        </w:tc>
        <w:tc>
          <w:tcPr>
            <w:tcW w:w="678"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9 090</w:t>
            </w:r>
          </w:p>
        </w:tc>
        <w:tc>
          <w:tcPr>
            <w:tcW w:w="725"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10 022</w:t>
            </w:r>
          </w:p>
        </w:tc>
        <w:tc>
          <w:tcPr>
            <w:tcW w:w="678"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10 616</w:t>
            </w:r>
          </w:p>
        </w:tc>
        <w:tc>
          <w:tcPr>
            <w:tcW w:w="703"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15 288</w:t>
            </w:r>
          </w:p>
        </w:tc>
        <w:tc>
          <w:tcPr>
            <w:tcW w:w="681" w:type="dxa"/>
            <w:tcBorders>
              <w:top w:val="nil"/>
              <w:left w:val="nil"/>
              <w:bottom w:val="single" w:sz="8" w:space="0" w:color="auto"/>
              <w:right w:val="dotted" w:sz="4" w:space="0" w:color="auto"/>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19 879</w:t>
            </w:r>
          </w:p>
        </w:tc>
        <w:tc>
          <w:tcPr>
            <w:tcW w:w="592" w:type="dxa"/>
            <w:tcBorders>
              <w:top w:val="nil"/>
              <w:left w:val="dotted" w:sz="4" w:space="0" w:color="auto"/>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c>
          <w:tcPr>
            <w:tcW w:w="592"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c>
          <w:tcPr>
            <w:tcW w:w="592"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c>
          <w:tcPr>
            <w:tcW w:w="592"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c>
          <w:tcPr>
            <w:tcW w:w="592"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c>
          <w:tcPr>
            <w:tcW w:w="593" w:type="dxa"/>
            <w:tcBorders>
              <w:top w:val="nil"/>
              <w:left w:val="nil"/>
              <w:bottom w:val="single" w:sz="8" w:space="0" w:color="auto"/>
              <w:right w:val="nil"/>
            </w:tcBorders>
            <w:shd w:val="clear" w:color="000000" w:fill="8DB4E3"/>
            <w:noWrap/>
            <w:vAlign w:val="bottom"/>
            <w:hideMark/>
          </w:tcPr>
          <w:p w:rsidR="0096020A" w:rsidRDefault="0096020A">
            <w:pPr>
              <w:jc w:val="right"/>
              <w:rPr>
                <w:rFonts w:cs="Arial"/>
                <w:b/>
                <w:bCs/>
                <w:color w:val="000000"/>
                <w:sz w:val="16"/>
                <w:szCs w:val="16"/>
              </w:rPr>
            </w:pPr>
            <w:r>
              <w:rPr>
                <w:rFonts w:cs="Arial"/>
                <w:b/>
                <w:bCs/>
                <w:color w:val="000000"/>
                <w:sz w:val="16"/>
                <w:szCs w:val="16"/>
              </w:rPr>
              <w:t>100%</w:t>
            </w:r>
          </w:p>
        </w:tc>
      </w:tr>
      <w:tr w:rsidR="006A2212" w:rsidRPr="00E777F7" w:rsidTr="006A2212">
        <w:trPr>
          <w:trHeight w:val="255"/>
        </w:trPr>
        <w:tc>
          <w:tcPr>
            <w:tcW w:w="2142" w:type="dxa"/>
            <w:gridSpan w:val="3"/>
            <w:tcBorders>
              <w:top w:val="nil"/>
              <w:left w:val="nil"/>
              <w:bottom w:val="nil"/>
              <w:right w:val="nil"/>
            </w:tcBorders>
            <w:shd w:val="clear" w:color="000000" w:fill="C5D9F1"/>
            <w:noWrap/>
            <w:vAlign w:val="center"/>
            <w:hideMark/>
          </w:tcPr>
          <w:p w:rsidR="004B68BD" w:rsidRPr="00E777F7" w:rsidRDefault="004B68BD" w:rsidP="006A2212">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xml:space="preserve">podle zdroje </w:t>
            </w:r>
            <w:r w:rsidR="006A2212">
              <w:rPr>
                <w:rFonts w:eastAsia="Times New Roman" w:cs="Arial"/>
                <w:b/>
                <w:bCs/>
                <w:color w:val="000000"/>
                <w:sz w:val="16"/>
                <w:szCs w:val="16"/>
                <w:lang w:eastAsia="cs-CZ"/>
              </w:rPr>
              <w:t>f</w:t>
            </w:r>
            <w:r w:rsidRPr="00E777F7">
              <w:rPr>
                <w:rFonts w:eastAsia="Times New Roman" w:cs="Arial"/>
                <w:b/>
                <w:bCs/>
                <w:color w:val="000000"/>
                <w:sz w:val="16"/>
                <w:szCs w:val="16"/>
                <w:lang w:eastAsia="cs-CZ"/>
              </w:rPr>
              <w:t>inancování</w:t>
            </w:r>
          </w:p>
        </w:tc>
        <w:tc>
          <w:tcPr>
            <w:tcW w:w="1921" w:type="dxa"/>
            <w:gridSpan w:val="3"/>
            <w:tcBorders>
              <w:top w:val="nil"/>
              <w:left w:val="nil"/>
              <w:bottom w:val="nil"/>
              <w:right w:val="nil"/>
            </w:tcBorders>
            <w:shd w:val="clear" w:color="000000" w:fill="C5D9F1"/>
            <w:noWrap/>
            <w:vAlign w:val="center"/>
            <w:hideMark/>
          </w:tcPr>
          <w:p w:rsidR="004B68BD" w:rsidRPr="00E777F7" w:rsidRDefault="004B68BD" w:rsidP="000960F3">
            <w:pPr>
              <w:spacing w:line="240" w:lineRule="auto"/>
              <w:rPr>
                <w:rFonts w:eastAsia="Times New Roman" w:cs="Arial"/>
                <w:b/>
                <w:bCs/>
                <w:color w:val="000000"/>
                <w:sz w:val="16"/>
                <w:szCs w:val="16"/>
                <w:lang w:eastAsia="cs-CZ"/>
              </w:rPr>
            </w:pPr>
          </w:p>
        </w:tc>
        <w:tc>
          <w:tcPr>
            <w:tcW w:w="678"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703"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681" w:type="dxa"/>
            <w:tcBorders>
              <w:top w:val="single" w:sz="8" w:space="0" w:color="auto"/>
              <w:left w:val="nil"/>
              <w:bottom w:val="nil"/>
            </w:tcBorders>
            <w:shd w:val="clear" w:color="000000" w:fill="C5D9F1"/>
            <w:noWrap/>
            <w:vAlign w:val="center"/>
            <w:hideMark/>
          </w:tcPr>
          <w:p w:rsidR="004B68BD" w:rsidRPr="00E777F7" w:rsidRDefault="004B68BD" w:rsidP="000960F3">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single" w:sz="8" w:space="0" w:color="auto"/>
              <w:bottom w:val="nil"/>
              <w:right w:val="nil"/>
            </w:tcBorders>
            <w:shd w:val="clear" w:color="000000" w:fill="C5D9F1"/>
            <w:noWrap/>
            <w:vAlign w:val="center"/>
            <w:hideMark/>
          </w:tcPr>
          <w:p w:rsidR="004B68BD" w:rsidRPr="00E777F7" w:rsidRDefault="004B68BD" w:rsidP="000960F3">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D42965">
            <w:pPr>
              <w:spacing w:line="240" w:lineRule="auto"/>
              <w:jc w:val="right"/>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jc w:val="right"/>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jc w:val="right"/>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jc w:val="right"/>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3" w:type="dxa"/>
            <w:tcBorders>
              <w:top w:val="nil"/>
              <w:left w:val="nil"/>
              <w:bottom w:val="nil"/>
              <w:right w:val="nil"/>
            </w:tcBorders>
            <w:shd w:val="clear" w:color="000000" w:fill="C5D9F1"/>
            <w:noWrap/>
            <w:vAlign w:val="center"/>
            <w:hideMark/>
          </w:tcPr>
          <w:p w:rsidR="004B68BD" w:rsidRPr="00E777F7" w:rsidRDefault="004B68BD" w:rsidP="000960F3">
            <w:pPr>
              <w:spacing w:line="240" w:lineRule="auto"/>
              <w:jc w:val="right"/>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Podnikatelské z ČR</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67</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57</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106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113</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156</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158</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Podnikatelské </w:t>
            </w:r>
            <w:r>
              <w:rPr>
                <w:rFonts w:cs="Arial"/>
                <w:color w:val="000000"/>
                <w:sz w:val="16"/>
                <w:szCs w:val="16"/>
              </w:rPr>
              <w:br/>
              <w:t>ze zahraničí</w:t>
            </w:r>
          </w:p>
        </w:tc>
        <w:tc>
          <w:tcPr>
            <w:tcW w:w="660" w:type="dxa"/>
            <w:gridSpan w:val="2"/>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5</w:t>
            </w:r>
          </w:p>
        </w:tc>
        <w:tc>
          <w:tcPr>
            <w:tcW w:w="678"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3</w:t>
            </w:r>
          </w:p>
        </w:tc>
        <w:tc>
          <w:tcPr>
            <w:tcW w:w="725"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1</w:t>
            </w:r>
          </w:p>
        </w:tc>
        <w:tc>
          <w:tcPr>
            <w:tcW w:w="678"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6</w:t>
            </w:r>
          </w:p>
        </w:tc>
        <w:tc>
          <w:tcPr>
            <w:tcW w:w="703"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5</w:t>
            </w:r>
          </w:p>
        </w:tc>
        <w:tc>
          <w:tcPr>
            <w:tcW w:w="681" w:type="dxa"/>
            <w:tcBorders>
              <w:top w:val="nil"/>
              <w:left w:val="nil"/>
              <w:bottom w:val="nil"/>
              <w:right w:val="dotted" w:sz="4" w:space="0" w:color="auto"/>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3</w:t>
            </w:r>
          </w:p>
        </w:tc>
        <w:tc>
          <w:tcPr>
            <w:tcW w:w="592" w:type="dxa"/>
            <w:tcBorders>
              <w:top w:val="nil"/>
              <w:left w:val="dotted" w:sz="4" w:space="0" w:color="auto"/>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c>
          <w:tcPr>
            <w:tcW w:w="593" w:type="dxa"/>
            <w:tcBorders>
              <w:top w:val="nil"/>
              <w:left w:val="nil"/>
              <w:bottom w:val="nil"/>
              <w:right w:val="nil"/>
            </w:tcBorders>
            <w:shd w:val="clear" w:color="auto" w:fill="auto"/>
            <w:noWrap/>
            <w:vAlign w:val="center"/>
            <w:hideMark/>
          </w:tcPr>
          <w:p w:rsidR="0096020A" w:rsidRDefault="0096020A" w:rsidP="0096020A">
            <w:pPr>
              <w:jc w:val="right"/>
              <w:rPr>
                <w:rFonts w:cs="Arial"/>
                <w:color w:val="000000"/>
                <w:sz w:val="16"/>
                <w:szCs w:val="16"/>
              </w:rPr>
            </w:pPr>
            <w:r>
              <w:rPr>
                <w:rFonts w:cs="Arial"/>
                <w:color w:val="000000"/>
                <w:sz w:val="16"/>
                <w:szCs w:val="16"/>
              </w:rPr>
              <w:t>0%</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Veřejné z ČR</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8 387</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8 256</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9 076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9 216</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10 947</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11 640</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72%</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59%</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Veřejné ze zahraničí</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406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391</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425</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881</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3 636</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7 443</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24%</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Ostatní z ČR</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294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383</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415</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400</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545</w:t>
            </w:r>
          </w:p>
        </w:tc>
        <w:tc>
          <w:tcPr>
            <w:tcW w:w="681" w:type="dxa"/>
            <w:tcBorders>
              <w:top w:val="nil"/>
              <w:left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634</w:t>
            </w:r>
          </w:p>
        </w:tc>
        <w:tc>
          <w:tcPr>
            <w:tcW w:w="592" w:type="dxa"/>
            <w:tcBorders>
              <w:top w:val="nil"/>
              <w:left w:val="dotted" w:sz="4"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r>
      <w:tr w:rsidR="006A2212" w:rsidRPr="00E777F7" w:rsidTr="006A2212">
        <w:trPr>
          <w:trHeight w:val="255"/>
        </w:trPr>
        <w:tc>
          <w:tcPr>
            <w:tcW w:w="2000" w:type="dxa"/>
            <w:gridSpan w:val="2"/>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xml:space="preserve">podle typu VaV činnosti </w:t>
            </w:r>
          </w:p>
        </w:tc>
        <w:tc>
          <w:tcPr>
            <w:tcW w:w="2063" w:type="dxa"/>
            <w:gridSpan w:val="4"/>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p>
        </w:tc>
        <w:tc>
          <w:tcPr>
            <w:tcW w:w="678"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70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681" w:type="dxa"/>
            <w:tcBorders>
              <w:top w:val="nil"/>
              <w:left w:val="nil"/>
              <w:bottom w:val="nil"/>
            </w:tcBorders>
            <w:shd w:val="clear" w:color="000000" w:fill="C5D9F1"/>
            <w:noWrap/>
            <w:vAlign w:val="center"/>
            <w:hideMark/>
          </w:tcPr>
          <w:p w:rsidR="004B68BD" w:rsidRPr="00721FB4" w:rsidRDefault="004B68BD" w:rsidP="00721FB4">
            <w:pPr>
              <w:spacing w:line="240" w:lineRule="auto"/>
              <w:rPr>
                <w:rFonts w:eastAsia="Times New Roman" w:cs="Arial"/>
                <w:sz w:val="16"/>
                <w:szCs w:val="16"/>
                <w:lang w:eastAsia="cs-CZ"/>
              </w:rPr>
            </w:pPr>
            <w:r w:rsidRPr="00721FB4">
              <w:rPr>
                <w:rFonts w:eastAsia="Times New Roman" w:cs="Arial"/>
                <w:sz w:val="16"/>
                <w:szCs w:val="16"/>
                <w:lang w:eastAsia="cs-CZ"/>
              </w:rPr>
              <w:t> </w:t>
            </w:r>
          </w:p>
        </w:tc>
        <w:tc>
          <w:tcPr>
            <w:tcW w:w="592" w:type="dxa"/>
            <w:tcBorders>
              <w:top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3" w:type="dxa"/>
            <w:tcBorders>
              <w:top w:val="nil"/>
              <w:left w:val="nil"/>
              <w:bottom w:val="nil"/>
              <w:right w:val="nil"/>
            </w:tcBorders>
            <w:shd w:val="clear" w:color="000000" w:fill="C5D9F1"/>
            <w:noWrap/>
            <w:vAlign w:val="center"/>
            <w:hideMark/>
          </w:tcPr>
          <w:p w:rsidR="004B68BD" w:rsidRPr="00721FB4" w:rsidRDefault="004B68BD" w:rsidP="00721FB4">
            <w:pPr>
              <w:spacing w:line="240" w:lineRule="auto"/>
              <w:rPr>
                <w:rFonts w:eastAsia="Times New Roman" w:cs="Arial"/>
                <w:color w:val="000000"/>
                <w:sz w:val="16"/>
                <w:szCs w:val="16"/>
                <w:lang w:eastAsia="cs-CZ"/>
              </w:rPr>
            </w:pPr>
            <w:r w:rsidRPr="00721FB4">
              <w:rPr>
                <w:rFonts w:eastAsia="Times New Roman" w:cs="Arial"/>
                <w:color w:val="000000"/>
                <w:sz w:val="16"/>
                <w:szCs w:val="16"/>
                <w:lang w:eastAsia="cs-CZ"/>
              </w:rPr>
              <w:t> </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Základní výzkum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5 619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5 208</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6 032</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5 886</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7 905</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9 761</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52%</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49%</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Aplikovaný výzkum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3 059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3 364</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3 624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4 112</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5 704</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7 342</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39%</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Experimentální vývoj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480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519</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366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618</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1 679</w:t>
            </w:r>
          </w:p>
        </w:tc>
        <w:tc>
          <w:tcPr>
            <w:tcW w:w="681" w:type="dxa"/>
            <w:tcBorders>
              <w:top w:val="nil"/>
              <w:left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2 776</w:t>
            </w:r>
          </w:p>
        </w:tc>
        <w:tc>
          <w:tcPr>
            <w:tcW w:w="592" w:type="dxa"/>
            <w:tcBorders>
              <w:top w:val="nil"/>
              <w:left w:val="dotted" w:sz="4"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11%</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14%</w:t>
            </w:r>
          </w:p>
        </w:tc>
      </w:tr>
      <w:tr w:rsidR="006A2212" w:rsidRPr="00E777F7" w:rsidTr="006A2212">
        <w:trPr>
          <w:trHeight w:val="255"/>
        </w:trPr>
        <w:tc>
          <w:tcPr>
            <w:tcW w:w="2000" w:type="dxa"/>
            <w:gridSpan w:val="2"/>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xml:space="preserve">podle </w:t>
            </w:r>
            <w:r>
              <w:rPr>
                <w:rFonts w:eastAsia="Times New Roman" w:cs="Arial"/>
                <w:b/>
                <w:bCs/>
                <w:color w:val="000000"/>
                <w:sz w:val="16"/>
                <w:szCs w:val="16"/>
                <w:lang w:eastAsia="cs-CZ"/>
              </w:rPr>
              <w:t>druhu pracoviště</w:t>
            </w:r>
          </w:p>
        </w:tc>
        <w:tc>
          <w:tcPr>
            <w:tcW w:w="2063" w:type="dxa"/>
            <w:gridSpan w:val="4"/>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p>
        </w:tc>
        <w:tc>
          <w:tcPr>
            <w:tcW w:w="678"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70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681" w:type="dxa"/>
            <w:tcBorders>
              <w:top w:val="nil"/>
              <w:left w:val="nil"/>
              <w:bottom w:val="nil"/>
            </w:tcBorders>
            <w:shd w:val="clear" w:color="000000" w:fill="C5D9F1"/>
            <w:noWrap/>
            <w:vAlign w:val="center"/>
            <w:hideMark/>
          </w:tcPr>
          <w:p w:rsidR="004B68BD" w:rsidRPr="00721FB4" w:rsidRDefault="004B68BD" w:rsidP="00721FB4">
            <w:pPr>
              <w:spacing w:line="240" w:lineRule="auto"/>
              <w:rPr>
                <w:rFonts w:eastAsia="Times New Roman" w:cs="Arial"/>
                <w:sz w:val="16"/>
                <w:szCs w:val="16"/>
                <w:lang w:eastAsia="cs-CZ"/>
              </w:rPr>
            </w:pPr>
            <w:r w:rsidRPr="00721FB4">
              <w:rPr>
                <w:rFonts w:eastAsia="Times New Roman" w:cs="Arial"/>
                <w:sz w:val="16"/>
                <w:szCs w:val="16"/>
                <w:lang w:eastAsia="cs-CZ"/>
              </w:rPr>
              <w:t> </w:t>
            </w:r>
          </w:p>
        </w:tc>
        <w:tc>
          <w:tcPr>
            <w:tcW w:w="592" w:type="dxa"/>
            <w:tcBorders>
              <w:top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 </w:t>
            </w:r>
          </w:p>
        </w:tc>
        <w:tc>
          <w:tcPr>
            <w:tcW w:w="593" w:type="dxa"/>
            <w:tcBorders>
              <w:top w:val="nil"/>
              <w:left w:val="nil"/>
              <w:bottom w:val="nil"/>
              <w:right w:val="nil"/>
            </w:tcBorders>
            <w:shd w:val="clear" w:color="000000" w:fill="C5D9F1"/>
            <w:noWrap/>
            <w:vAlign w:val="center"/>
            <w:hideMark/>
          </w:tcPr>
          <w:p w:rsidR="004B68BD" w:rsidRPr="00721FB4" w:rsidRDefault="004B68BD" w:rsidP="00721FB4">
            <w:pPr>
              <w:spacing w:line="240" w:lineRule="auto"/>
              <w:rPr>
                <w:rFonts w:eastAsia="Times New Roman" w:cs="Arial"/>
                <w:color w:val="000000"/>
                <w:sz w:val="16"/>
                <w:szCs w:val="16"/>
                <w:lang w:eastAsia="cs-CZ"/>
              </w:rPr>
            </w:pPr>
            <w:r w:rsidRPr="00721FB4">
              <w:rPr>
                <w:rFonts w:eastAsia="Times New Roman" w:cs="Arial"/>
                <w:color w:val="000000"/>
                <w:sz w:val="16"/>
                <w:szCs w:val="16"/>
                <w:lang w:eastAsia="cs-CZ"/>
              </w:rPr>
              <w:t> </w:t>
            </w:r>
          </w:p>
        </w:tc>
      </w:tr>
      <w:tr w:rsidR="006A2212" w:rsidRPr="00E777F7" w:rsidTr="006A2212">
        <w:trPr>
          <w:trHeight w:hRule="exac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Veřejné a státní VŠ</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8 687</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8 664</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9 324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10 110</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14 702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18 980</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96%</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95%</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Fakultní nemocnice</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423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362</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620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419</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495</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747</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Soukromé VŠ, VOS</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64</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87</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92</w:t>
            </w:r>
          </w:p>
        </w:tc>
        <w:tc>
          <w:tcPr>
            <w:tcW w:w="681" w:type="dxa"/>
            <w:tcBorders>
              <w:top w:val="nil"/>
              <w:left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152</w:t>
            </w:r>
          </w:p>
        </w:tc>
        <w:tc>
          <w:tcPr>
            <w:tcW w:w="592" w:type="dxa"/>
            <w:tcBorders>
              <w:top w:val="nil"/>
              <w:left w:val="dotted" w:sz="4"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r>
      <w:tr w:rsidR="006A2212" w:rsidRPr="00E777F7" w:rsidTr="006A2212">
        <w:trPr>
          <w:trHeight w:val="255"/>
        </w:trPr>
        <w:tc>
          <w:tcPr>
            <w:tcW w:w="2000" w:type="dxa"/>
            <w:gridSpan w:val="2"/>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podle vědní</w:t>
            </w:r>
            <w:r>
              <w:rPr>
                <w:rFonts w:eastAsia="Times New Roman" w:cs="Arial"/>
                <w:b/>
                <w:bCs/>
                <w:color w:val="000000"/>
                <w:sz w:val="16"/>
                <w:szCs w:val="16"/>
                <w:lang w:eastAsia="cs-CZ"/>
              </w:rPr>
              <w:t>ch</w:t>
            </w:r>
            <w:r w:rsidRPr="00E777F7">
              <w:rPr>
                <w:rFonts w:eastAsia="Times New Roman" w:cs="Arial"/>
                <w:b/>
                <w:bCs/>
                <w:color w:val="000000"/>
                <w:sz w:val="16"/>
                <w:szCs w:val="16"/>
                <w:lang w:eastAsia="cs-CZ"/>
              </w:rPr>
              <w:t xml:space="preserve"> oblast</w:t>
            </w:r>
            <w:r>
              <w:rPr>
                <w:rFonts w:eastAsia="Times New Roman" w:cs="Arial"/>
                <w:b/>
                <w:bCs/>
                <w:color w:val="000000"/>
                <w:sz w:val="16"/>
                <w:szCs w:val="16"/>
                <w:lang w:eastAsia="cs-CZ"/>
              </w:rPr>
              <w:t>í</w:t>
            </w:r>
          </w:p>
        </w:tc>
        <w:tc>
          <w:tcPr>
            <w:tcW w:w="1338" w:type="dxa"/>
            <w:gridSpan w:val="3"/>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725"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678"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70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681" w:type="dxa"/>
            <w:tcBorders>
              <w:top w:val="nil"/>
              <w:left w:val="nil"/>
              <w:bottom w:val="nil"/>
            </w:tcBorders>
            <w:shd w:val="clear" w:color="000000" w:fill="C5D9F1"/>
            <w:noWrap/>
            <w:vAlign w:val="center"/>
            <w:hideMark/>
          </w:tcPr>
          <w:p w:rsidR="004B68BD" w:rsidRPr="00721FB4" w:rsidRDefault="004B68BD" w:rsidP="00721FB4">
            <w:pPr>
              <w:spacing w:line="240" w:lineRule="auto"/>
              <w:rPr>
                <w:rFonts w:eastAsia="Times New Roman" w:cs="Arial"/>
                <w:sz w:val="16"/>
                <w:szCs w:val="16"/>
                <w:lang w:eastAsia="cs-CZ"/>
              </w:rPr>
            </w:pPr>
            <w:r w:rsidRPr="00721FB4">
              <w:rPr>
                <w:rFonts w:eastAsia="Times New Roman" w:cs="Arial"/>
                <w:sz w:val="16"/>
                <w:szCs w:val="16"/>
                <w:lang w:eastAsia="cs-CZ"/>
              </w:rPr>
              <w:t> </w:t>
            </w:r>
          </w:p>
        </w:tc>
        <w:tc>
          <w:tcPr>
            <w:tcW w:w="592" w:type="dxa"/>
            <w:tcBorders>
              <w:top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Přírodní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1 911</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2 357</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2 446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2 819</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4 420</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6 388</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29%</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32%</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Technické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3 388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3 228</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3 474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3 761</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5 974</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6 973</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39%</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35%</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Lékařské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1 843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1 573</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2 084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1 833</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2 164</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3 201</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14%</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16%</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Zemědělské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606</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613</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717</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634</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812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1 187</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Sociální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922</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812</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713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784</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1 058</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1 157</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Humanitní vědy</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488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506</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588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786</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860</w:t>
            </w:r>
          </w:p>
        </w:tc>
        <w:tc>
          <w:tcPr>
            <w:tcW w:w="681" w:type="dxa"/>
            <w:tcBorders>
              <w:top w:val="nil"/>
              <w:left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972</w:t>
            </w:r>
          </w:p>
        </w:tc>
        <w:tc>
          <w:tcPr>
            <w:tcW w:w="592" w:type="dxa"/>
            <w:tcBorders>
              <w:top w:val="nil"/>
              <w:left w:val="dotted" w:sz="4"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r>
      <w:tr w:rsidR="006A2212" w:rsidRPr="00E777F7" w:rsidTr="006A2212">
        <w:trPr>
          <w:trHeight w:val="255"/>
        </w:trPr>
        <w:tc>
          <w:tcPr>
            <w:tcW w:w="2000" w:type="dxa"/>
            <w:gridSpan w:val="2"/>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b/>
                <w:bCs/>
                <w:color w:val="000000"/>
                <w:sz w:val="16"/>
                <w:szCs w:val="16"/>
                <w:lang w:eastAsia="cs-CZ"/>
              </w:rPr>
            </w:pPr>
            <w:r w:rsidRPr="00E777F7">
              <w:rPr>
                <w:rFonts w:eastAsia="Times New Roman" w:cs="Arial"/>
                <w:b/>
                <w:bCs/>
                <w:color w:val="000000"/>
                <w:sz w:val="16"/>
                <w:szCs w:val="16"/>
                <w:lang w:eastAsia="cs-CZ"/>
              </w:rPr>
              <w:t>podle krajů ČR</w:t>
            </w:r>
          </w:p>
        </w:tc>
        <w:tc>
          <w:tcPr>
            <w:tcW w:w="1338" w:type="dxa"/>
            <w:gridSpan w:val="3"/>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725"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678"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70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681" w:type="dxa"/>
            <w:tcBorders>
              <w:top w:val="nil"/>
              <w:left w:val="nil"/>
              <w:bottom w:val="nil"/>
            </w:tcBorders>
            <w:shd w:val="clear" w:color="000000" w:fill="C5D9F1"/>
            <w:noWrap/>
            <w:vAlign w:val="center"/>
            <w:hideMark/>
          </w:tcPr>
          <w:p w:rsidR="004B68BD" w:rsidRPr="00721FB4" w:rsidRDefault="004B68BD" w:rsidP="00721FB4">
            <w:pPr>
              <w:spacing w:line="240" w:lineRule="auto"/>
              <w:rPr>
                <w:rFonts w:eastAsia="Times New Roman" w:cs="Arial"/>
                <w:sz w:val="16"/>
                <w:szCs w:val="16"/>
                <w:lang w:eastAsia="cs-CZ"/>
              </w:rPr>
            </w:pPr>
            <w:r w:rsidRPr="00721FB4">
              <w:rPr>
                <w:rFonts w:eastAsia="Times New Roman" w:cs="Arial"/>
                <w:sz w:val="16"/>
                <w:szCs w:val="16"/>
                <w:lang w:eastAsia="cs-CZ"/>
              </w:rPr>
              <w:t> </w:t>
            </w:r>
          </w:p>
        </w:tc>
        <w:tc>
          <w:tcPr>
            <w:tcW w:w="592" w:type="dxa"/>
            <w:tcBorders>
              <w:top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2"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c>
          <w:tcPr>
            <w:tcW w:w="593" w:type="dxa"/>
            <w:tcBorders>
              <w:top w:val="nil"/>
              <w:left w:val="nil"/>
              <w:bottom w:val="nil"/>
              <w:right w:val="nil"/>
            </w:tcBorders>
            <w:shd w:val="clear" w:color="000000" w:fill="C5D9F1"/>
            <w:noWrap/>
            <w:vAlign w:val="center"/>
            <w:hideMark/>
          </w:tcPr>
          <w:p w:rsidR="004B68BD" w:rsidRPr="00E777F7" w:rsidRDefault="004B68BD" w:rsidP="00721FB4">
            <w:pPr>
              <w:spacing w:line="240" w:lineRule="auto"/>
              <w:rPr>
                <w:rFonts w:eastAsia="Times New Roman" w:cs="Arial"/>
                <w:color w:val="000000"/>
                <w:sz w:val="16"/>
                <w:szCs w:val="16"/>
                <w:lang w:eastAsia="cs-CZ"/>
              </w:rPr>
            </w:pPr>
            <w:r w:rsidRPr="00E777F7">
              <w:rPr>
                <w:rFonts w:eastAsia="Times New Roman" w:cs="Arial"/>
                <w:color w:val="000000"/>
                <w:sz w:val="16"/>
                <w:szCs w:val="16"/>
                <w:lang w:eastAsia="cs-CZ"/>
              </w:rPr>
              <w:t> </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Praha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4 180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4 213</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4 639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4 634</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5 334</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5 380</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35%</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27%</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Středočeský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12</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17</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12</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36</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Jihočeský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310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382</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383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410</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435</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701</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Plzeňský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435</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466</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398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448</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686</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916</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Karlovarský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678"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703"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681" w:type="dxa"/>
            <w:tcBorders>
              <w:top w:val="nil"/>
              <w:left w:val="nil"/>
              <w:bottom w:val="nil"/>
              <w:right w:val="dotted" w:sz="4" w:space="0" w:color="auto"/>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2"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3"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Ústecký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108</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115</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154</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142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177</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 xml:space="preserve">Liberecký </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233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181</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220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247</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662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577</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Královéhradecký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377</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286</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353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332</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412</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325</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Pardubický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190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194</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213</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235</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304</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531</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Vysočina</w:t>
            </w:r>
          </w:p>
        </w:tc>
        <w:tc>
          <w:tcPr>
            <w:tcW w:w="660" w:type="dxa"/>
            <w:gridSpan w:val="2"/>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678"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681" w:type="dxa"/>
            <w:tcBorders>
              <w:top w:val="nil"/>
              <w:left w:val="nil"/>
              <w:bottom w:val="nil"/>
              <w:right w:val="dotted" w:sz="4" w:space="0" w:color="auto"/>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2" w:type="dxa"/>
            <w:tcBorders>
              <w:top w:val="nil"/>
              <w:left w:val="dotted" w:sz="4" w:space="0" w:color="auto"/>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2"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0%</w:t>
            </w:r>
          </w:p>
        </w:tc>
        <w:tc>
          <w:tcPr>
            <w:tcW w:w="593" w:type="dxa"/>
            <w:tcBorders>
              <w:top w:val="nil"/>
              <w:left w:val="nil"/>
              <w:bottom w:val="nil"/>
              <w:right w:val="nil"/>
            </w:tcBorders>
            <w:shd w:val="clear" w:color="auto" w:fill="auto"/>
            <w:noWrap/>
            <w:vAlign w:val="bottom"/>
            <w:hideMark/>
          </w:tcPr>
          <w:p w:rsidR="0096020A" w:rsidRDefault="004973FE">
            <w:pPr>
              <w:jc w:val="right"/>
              <w:rPr>
                <w:rFonts w:cs="Arial"/>
                <w:color w:val="000000"/>
                <w:sz w:val="16"/>
                <w:szCs w:val="16"/>
              </w:rPr>
            </w:pPr>
            <w:r>
              <w:rPr>
                <w:rFonts w:cs="Arial"/>
                <w:color w:val="000000"/>
                <w:sz w:val="16"/>
                <w:szCs w:val="16"/>
              </w:rPr>
              <w:t>-</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Jihomoravský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1 918</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1 888</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2 264</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2 627</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4 366</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6 712</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23%</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25%</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29%</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34%</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Olomoucký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559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570</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622</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712</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1 041</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2 319</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12%</w:t>
            </w:r>
          </w:p>
        </w:tc>
      </w:tr>
      <w:tr w:rsidR="006A2212" w:rsidRPr="00E777F7" w:rsidTr="006A2212">
        <w:trPr>
          <w:trHeight w:val="255"/>
        </w:trPr>
        <w:tc>
          <w:tcPr>
            <w:tcW w:w="2000" w:type="dxa"/>
            <w:gridSpan w:val="2"/>
            <w:tcBorders>
              <w:top w:val="nil"/>
              <w:left w:val="nil"/>
              <w:bottom w:val="nil"/>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Zlínský</w:t>
            </w:r>
          </w:p>
        </w:tc>
        <w:tc>
          <w:tcPr>
            <w:tcW w:w="660" w:type="dxa"/>
            <w:gridSpan w:val="2"/>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139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183</w:t>
            </w:r>
          </w:p>
        </w:tc>
        <w:tc>
          <w:tcPr>
            <w:tcW w:w="725"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179</w:t>
            </w:r>
          </w:p>
        </w:tc>
        <w:tc>
          <w:tcPr>
            <w:tcW w:w="678"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141</w:t>
            </w:r>
          </w:p>
        </w:tc>
        <w:tc>
          <w:tcPr>
            <w:tcW w:w="70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188</w:t>
            </w:r>
          </w:p>
        </w:tc>
        <w:tc>
          <w:tcPr>
            <w:tcW w:w="681" w:type="dxa"/>
            <w:tcBorders>
              <w:top w:val="nil"/>
              <w:left w:val="nil"/>
              <w:bottom w:val="nil"/>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410</w:t>
            </w:r>
          </w:p>
        </w:tc>
        <w:tc>
          <w:tcPr>
            <w:tcW w:w="592" w:type="dxa"/>
            <w:tcBorders>
              <w:top w:val="nil"/>
              <w:left w:val="dotted" w:sz="4" w:space="0" w:color="auto"/>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2"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w:t>
            </w:r>
          </w:p>
        </w:tc>
        <w:tc>
          <w:tcPr>
            <w:tcW w:w="593" w:type="dxa"/>
            <w:tcBorders>
              <w:top w:val="nil"/>
              <w:left w:val="nil"/>
              <w:bottom w:val="nil"/>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2%</w:t>
            </w:r>
          </w:p>
        </w:tc>
      </w:tr>
      <w:tr w:rsidR="006A2212" w:rsidRPr="00E777F7" w:rsidTr="006A2212">
        <w:trPr>
          <w:trHeight w:val="270"/>
        </w:trPr>
        <w:tc>
          <w:tcPr>
            <w:tcW w:w="2000" w:type="dxa"/>
            <w:gridSpan w:val="2"/>
            <w:tcBorders>
              <w:top w:val="nil"/>
              <w:left w:val="nil"/>
              <w:bottom w:val="single" w:sz="8" w:space="0" w:color="auto"/>
              <w:right w:val="nil"/>
            </w:tcBorders>
            <w:shd w:val="clear" w:color="auto" w:fill="auto"/>
            <w:noWrap/>
            <w:vAlign w:val="bottom"/>
            <w:hideMark/>
          </w:tcPr>
          <w:p w:rsidR="0096020A" w:rsidRDefault="0096020A">
            <w:pPr>
              <w:rPr>
                <w:rFonts w:cs="Arial"/>
                <w:color w:val="000000"/>
                <w:sz w:val="16"/>
                <w:szCs w:val="16"/>
              </w:rPr>
            </w:pPr>
            <w:r>
              <w:rPr>
                <w:rFonts w:cs="Arial"/>
                <w:color w:val="000000"/>
                <w:sz w:val="16"/>
                <w:szCs w:val="16"/>
              </w:rPr>
              <w:t>Moravskoslezský</w:t>
            </w:r>
          </w:p>
        </w:tc>
        <w:tc>
          <w:tcPr>
            <w:tcW w:w="660" w:type="dxa"/>
            <w:gridSpan w:val="2"/>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706</w:t>
            </w:r>
          </w:p>
        </w:tc>
        <w:tc>
          <w:tcPr>
            <w:tcW w:w="678"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602</w:t>
            </w:r>
          </w:p>
        </w:tc>
        <w:tc>
          <w:tcPr>
            <w:tcW w:w="725"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633</w:t>
            </w:r>
          </w:p>
        </w:tc>
        <w:tc>
          <w:tcPr>
            <w:tcW w:w="678"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661</w:t>
            </w:r>
          </w:p>
        </w:tc>
        <w:tc>
          <w:tcPr>
            <w:tcW w:w="703"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1 704</w:t>
            </w:r>
          </w:p>
        </w:tc>
        <w:tc>
          <w:tcPr>
            <w:tcW w:w="681" w:type="dxa"/>
            <w:tcBorders>
              <w:top w:val="nil"/>
              <w:left w:val="nil"/>
              <w:bottom w:val="single" w:sz="8" w:space="0" w:color="auto"/>
              <w:right w:val="dotted" w:sz="4" w:space="0" w:color="auto"/>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1 794</w:t>
            </w:r>
          </w:p>
        </w:tc>
        <w:tc>
          <w:tcPr>
            <w:tcW w:w="592" w:type="dxa"/>
            <w:tcBorders>
              <w:top w:val="nil"/>
              <w:left w:val="dotted" w:sz="4" w:space="0" w:color="auto"/>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8%</w:t>
            </w:r>
          </w:p>
        </w:tc>
        <w:tc>
          <w:tcPr>
            <w:tcW w:w="592"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7%</w:t>
            </w:r>
          </w:p>
        </w:tc>
        <w:tc>
          <w:tcPr>
            <w:tcW w:w="592"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6%</w:t>
            </w:r>
          </w:p>
        </w:tc>
        <w:tc>
          <w:tcPr>
            <w:tcW w:w="592"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11%</w:t>
            </w:r>
          </w:p>
        </w:tc>
        <w:tc>
          <w:tcPr>
            <w:tcW w:w="593" w:type="dxa"/>
            <w:tcBorders>
              <w:top w:val="nil"/>
              <w:left w:val="nil"/>
              <w:bottom w:val="single" w:sz="8" w:space="0" w:color="auto"/>
              <w:right w:val="nil"/>
            </w:tcBorders>
            <w:shd w:val="clear" w:color="auto" w:fill="auto"/>
            <w:noWrap/>
            <w:vAlign w:val="bottom"/>
            <w:hideMark/>
          </w:tcPr>
          <w:p w:rsidR="0096020A" w:rsidRDefault="0096020A">
            <w:pPr>
              <w:jc w:val="right"/>
              <w:rPr>
                <w:rFonts w:cs="Arial"/>
                <w:color w:val="000000"/>
                <w:sz w:val="16"/>
                <w:szCs w:val="16"/>
              </w:rPr>
            </w:pPr>
            <w:r>
              <w:rPr>
                <w:rFonts w:cs="Arial"/>
                <w:color w:val="000000"/>
                <w:sz w:val="16"/>
                <w:szCs w:val="16"/>
              </w:rPr>
              <w:t>9%</w:t>
            </w:r>
          </w:p>
        </w:tc>
      </w:tr>
    </w:tbl>
    <w:p w:rsidR="00FF75DD" w:rsidRPr="00B202D9" w:rsidRDefault="00FF75DD" w:rsidP="00FF75DD">
      <w:pPr>
        <w:pStyle w:val="Titulek"/>
        <w:spacing w:before="180"/>
        <w:rPr>
          <w:sz w:val="18"/>
          <w:szCs w:val="18"/>
        </w:rPr>
      </w:pPr>
      <w:bookmarkStart w:id="42" w:name="_Toc246493291"/>
      <w:bookmarkStart w:id="43" w:name="_Toc343782437"/>
      <w:r w:rsidRPr="00B202D9">
        <w:rPr>
          <w:sz w:val="18"/>
          <w:szCs w:val="18"/>
        </w:rPr>
        <w:t xml:space="preserve">Graf </w:t>
      </w:r>
      <w:r w:rsidR="00C8514E" w:rsidRPr="00B202D9">
        <w:rPr>
          <w:sz w:val="18"/>
          <w:szCs w:val="18"/>
        </w:rPr>
        <w:fldChar w:fldCharType="begin"/>
      </w:r>
      <w:r w:rsidRPr="00B202D9">
        <w:rPr>
          <w:sz w:val="18"/>
          <w:szCs w:val="18"/>
        </w:rPr>
        <w:instrText xml:space="preserve"> STYLEREF 1 \s </w:instrText>
      </w:r>
      <w:r w:rsidR="00C8514E" w:rsidRPr="00B202D9">
        <w:rPr>
          <w:sz w:val="18"/>
          <w:szCs w:val="18"/>
        </w:rPr>
        <w:fldChar w:fldCharType="separate"/>
      </w:r>
      <w:r w:rsidR="00CF5AFD">
        <w:rPr>
          <w:noProof/>
          <w:sz w:val="18"/>
          <w:szCs w:val="18"/>
        </w:rPr>
        <w:t>4</w:t>
      </w:r>
      <w:r w:rsidR="00C8514E" w:rsidRPr="00B202D9">
        <w:rPr>
          <w:sz w:val="18"/>
          <w:szCs w:val="18"/>
        </w:rPr>
        <w:fldChar w:fldCharType="end"/>
      </w:r>
      <w:r w:rsidRPr="00B202D9">
        <w:rPr>
          <w:sz w:val="18"/>
          <w:szCs w:val="18"/>
        </w:rPr>
        <w:t>.</w:t>
      </w:r>
      <w:r w:rsidR="00C8514E" w:rsidRPr="00B202D9">
        <w:rPr>
          <w:sz w:val="18"/>
          <w:szCs w:val="18"/>
        </w:rPr>
        <w:fldChar w:fldCharType="begin"/>
      </w:r>
      <w:r w:rsidR="00C8514E" w:rsidRPr="00B202D9">
        <w:rPr>
          <w:sz w:val="18"/>
          <w:szCs w:val="18"/>
        </w:rPr>
        <w:instrText xml:space="preserve"> SEQ Graf \* ARABIC \s 1 </w:instrText>
      </w:r>
      <w:r w:rsidR="00C8514E" w:rsidRPr="00B202D9">
        <w:rPr>
          <w:sz w:val="18"/>
          <w:szCs w:val="18"/>
        </w:rPr>
        <w:fldChar w:fldCharType="separate"/>
      </w:r>
      <w:r w:rsidR="00CF5AFD">
        <w:rPr>
          <w:noProof/>
          <w:sz w:val="18"/>
          <w:szCs w:val="18"/>
        </w:rPr>
        <w:t>12</w:t>
      </w:r>
      <w:r w:rsidR="00C8514E" w:rsidRPr="00B202D9">
        <w:rPr>
          <w:sz w:val="18"/>
          <w:szCs w:val="18"/>
        </w:rPr>
        <w:fldChar w:fldCharType="end"/>
      </w:r>
      <w:r w:rsidRPr="00B202D9">
        <w:rPr>
          <w:sz w:val="18"/>
          <w:szCs w:val="18"/>
        </w:rPr>
        <w:t>: Podíl výdajů na VaV ve vysokoškolském sektoru na celkových výdajích na VaV</w:t>
      </w:r>
      <w:r w:rsidR="00A37647" w:rsidRPr="00B202D9">
        <w:rPr>
          <w:sz w:val="18"/>
          <w:szCs w:val="18"/>
        </w:rPr>
        <w:t>, 201</w:t>
      </w:r>
      <w:r w:rsidR="0096020A" w:rsidRPr="00B202D9">
        <w:rPr>
          <w:sz w:val="18"/>
          <w:szCs w:val="18"/>
        </w:rPr>
        <w:t>1</w:t>
      </w:r>
      <w:r w:rsidRPr="00B202D9">
        <w:rPr>
          <w:sz w:val="18"/>
          <w:szCs w:val="18"/>
        </w:rPr>
        <w:t xml:space="preserve"> (%)</w:t>
      </w:r>
      <w:bookmarkEnd w:id="42"/>
      <w:bookmarkEnd w:id="43"/>
    </w:p>
    <w:p w:rsidR="00646815" w:rsidRPr="00646815" w:rsidRDefault="00B202D9" w:rsidP="00646815">
      <w:r w:rsidRPr="00F72EAE">
        <w:rPr>
          <w:noProof/>
          <w:lang w:eastAsia="cs-CZ"/>
        </w:rPr>
        <w:pict>
          <v:shape id="_x0000_i1036" type="#_x0000_t75" style="width:468pt;height:164.25pt;visibility:visible">
            <v:imagedata r:id="rId19" o:title=""/>
          </v:shape>
        </w:pict>
      </w:r>
    </w:p>
    <w:p w:rsidR="00B202D9" w:rsidRDefault="00FF75DD" w:rsidP="00B202D9">
      <w:pPr>
        <w:pStyle w:val="poznamka"/>
      </w:pPr>
      <w:r>
        <w:t>* Údaje za rok 20</w:t>
      </w:r>
      <w:r w:rsidR="0096020A">
        <w:t>1</w:t>
      </w:r>
      <w:r>
        <w:t>0;  ** Údaj</w:t>
      </w:r>
      <w:r w:rsidR="0096020A">
        <w:t>e</w:t>
      </w:r>
      <w:r>
        <w:t xml:space="preserve"> za rok 2007</w:t>
      </w:r>
    </w:p>
    <w:p w:rsidR="008D176E" w:rsidRDefault="00FF75DD" w:rsidP="00B202D9">
      <w:pPr>
        <w:pStyle w:val="poznamka"/>
        <w:jc w:val="right"/>
      </w:pPr>
      <w:r>
        <w:t xml:space="preserve">Zdroj: OECD </w:t>
      </w:r>
      <w:r w:rsidR="0026473D">
        <w:t>MSTI 201</w:t>
      </w:r>
      <w:r w:rsidR="00F90816">
        <w:t>3</w:t>
      </w:r>
      <w:r w:rsidR="0026473D">
        <w:t>–1</w:t>
      </w:r>
      <w:r w:rsidRPr="00B12190">
        <w:t>, Eurostat a dopočty ČSÚ</w:t>
      </w:r>
    </w:p>
    <w:sectPr w:rsidR="008D176E" w:rsidSect="00C9609E">
      <w:pgSz w:w="11906" w:h="16838" w:code="9"/>
      <w:pgMar w:top="1134" w:right="873" w:bottom="1134" w:left="1440"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99F" w:rsidRDefault="004A699F" w:rsidP="00FF75DD">
      <w:pPr>
        <w:spacing w:line="240" w:lineRule="auto"/>
      </w:pPr>
      <w:r>
        <w:separator/>
      </w:r>
    </w:p>
  </w:endnote>
  <w:endnote w:type="continuationSeparator" w:id="0">
    <w:p w:rsidR="004A699F" w:rsidRDefault="004A699F" w:rsidP="00FF7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99F" w:rsidRDefault="004A699F" w:rsidP="00FF75DD">
      <w:pPr>
        <w:spacing w:line="240" w:lineRule="auto"/>
      </w:pPr>
      <w:r>
        <w:separator/>
      </w:r>
    </w:p>
  </w:footnote>
  <w:footnote w:type="continuationSeparator" w:id="0">
    <w:p w:rsidR="004A699F" w:rsidRDefault="004A699F" w:rsidP="00FF75DD">
      <w:pPr>
        <w:spacing w:line="240" w:lineRule="auto"/>
      </w:pPr>
      <w:r>
        <w:continuationSeparator/>
      </w:r>
    </w:p>
  </w:footnote>
  <w:footnote w:id="1">
    <w:p w:rsidR="00002EC9" w:rsidRDefault="00002EC9" w:rsidP="00CB4769">
      <w:pPr>
        <w:pStyle w:val="Textpoznpodarou"/>
        <w:jc w:val="both"/>
      </w:pPr>
      <w:r>
        <w:rPr>
          <w:rStyle w:val="Znakapoznpodarou"/>
        </w:rPr>
        <w:footnoteRef/>
      </w:r>
      <w:r>
        <w:t xml:space="preserve"> </w:t>
      </w:r>
      <w:r w:rsidRPr="00CB4769">
        <w:rPr>
          <w:sz w:val="16"/>
          <w:szCs w:val="16"/>
        </w:rPr>
        <w:t>Jedná se většinou o oborové veřejné výzkumné instituce, které dříve spadaly přímo pod jednotlivá ministerstva jako např. ministerstvo zemědělství nebo dopravy (proto resortní). Většina z nich v roce 2007 získala statut veřejných výzkumných institucí (např. VÚ rostlinné výroby, VÚ živočišné výroby, VÚ vodohospodářský T. G. Masaryka, Centrum dopravního výzkumu atd.).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2EA7C4"/>
    <w:lvl w:ilvl="0">
      <w:start w:val="1"/>
      <w:numFmt w:val="decimal"/>
      <w:lvlText w:val="%1."/>
      <w:lvlJc w:val="left"/>
      <w:pPr>
        <w:tabs>
          <w:tab w:val="num" w:pos="1492"/>
        </w:tabs>
        <w:ind w:left="1492" w:hanging="360"/>
      </w:pPr>
    </w:lvl>
  </w:abstractNum>
  <w:abstractNum w:abstractNumId="1">
    <w:nsid w:val="FFFFFF7D"/>
    <w:multiLevelType w:val="singleLevel"/>
    <w:tmpl w:val="815ACDC8"/>
    <w:lvl w:ilvl="0">
      <w:start w:val="1"/>
      <w:numFmt w:val="decimal"/>
      <w:lvlText w:val="%1."/>
      <w:lvlJc w:val="left"/>
      <w:pPr>
        <w:tabs>
          <w:tab w:val="num" w:pos="1209"/>
        </w:tabs>
        <w:ind w:left="1209" w:hanging="360"/>
      </w:pPr>
    </w:lvl>
  </w:abstractNum>
  <w:abstractNum w:abstractNumId="2">
    <w:nsid w:val="FFFFFF7E"/>
    <w:multiLevelType w:val="singleLevel"/>
    <w:tmpl w:val="082CD112"/>
    <w:lvl w:ilvl="0">
      <w:start w:val="1"/>
      <w:numFmt w:val="decimal"/>
      <w:lvlText w:val="%1."/>
      <w:lvlJc w:val="left"/>
      <w:pPr>
        <w:tabs>
          <w:tab w:val="num" w:pos="926"/>
        </w:tabs>
        <w:ind w:left="926" w:hanging="360"/>
      </w:pPr>
    </w:lvl>
  </w:abstractNum>
  <w:abstractNum w:abstractNumId="3">
    <w:nsid w:val="FFFFFF7F"/>
    <w:multiLevelType w:val="singleLevel"/>
    <w:tmpl w:val="2E70FA0C"/>
    <w:lvl w:ilvl="0">
      <w:start w:val="1"/>
      <w:numFmt w:val="decimal"/>
      <w:lvlText w:val="%1."/>
      <w:lvlJc w:val="left"/>
      <w:pPr>
        <w:tabs>
          <w:tab w:val="num" w:pos="643"/>
        </w:tabs>
        <w:ind w:left="643" w:hanging="360"/>
      </w:pPr>
    </w:lvl>
  </w:abstractNum>
  <w:abstractNum w:abstractNumId="4">
    <w:nsid w:val="FFFFFF80"/>
    <w:multiLevelType w:val="singleLevel"/>
    <w:tmpl w:val="7640F9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146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D072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FA3A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8ABF4E"/>
    <w:lvl w:ilvl="0">
      <w:start w:val="1"/>
      <w:numFmt w:val="decimal"/>
      <w:lvlText w:val="%1."/>
      <w:lvlJc w:val="left"/>
      <w:pPr>
        <w:tabs>
          <w:tab w:val="num" w:pos="360"/>
        </w:tabs>
        <w:ind w:left="360" w:hanging="360"/>
      </w:pPr>
    </w:lvl>
  </w:abstractNum>
  <w:abstractNum w:abstractNumId="9">
    <w:nsid w:val="FFFFFF89"/>
    <w:multiLevelType w:val="singleLevel"/>
    <w:tmpl w:val="49966FF2"/>
    <w:lvl w:ilvl="0">
      <w:start w:val="1"/>
      <w:numFmt w:val="bullet"/>
      <w:lvlText w:val=""/>
      <w:lvlJc w:val="left"/>
      <w:pPr>
        <w:tabs>
          <w:tab w:val="num" w:pos="360"/>
        </w:tabs>
        <w:ind w:left="360" w:hanging="360"/>
      </w:pPr>
      <w:rPr>
        <w:rFonts w:ascii="Symbol" w:hAnsi="Symbol" w:hint="default"/>
      </w:rPr>
    </w:lvl>
  </w:abstractNum>
  <w:abstractNum w:abstractNumId="10">
    <w:nsid w:val="06977858"/>
    <w:multiLevelType w:val="multilevel"/>
    <w:tmpl w:val="7D301CA2"/>
    <w:lvl w:ilvl="0">
      <w:start w:val="4"/>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B8C2736"/>
    <w:multiLevelType w:val="hybridMultilevel"/>
    <w:tmpl w:val="162CEB42"/>
    <w:lvl w:ilvl="0" w:tplc="918643D0">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0B17DDB"/>
    <w:multiLevelType w:val="hybridMultilevel"/>
    <w:tmpl w:val="15E42AD4"/>
    <w:lvl w:ilvl="0" w:tplc="909ADF08">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6D524C"/>
    <w:multiLevelType w:val="hybridMultilevel"/>
    <w:tmpl w:val="D33A0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1B5698"/>
    <w:multiLevelType w:val="hybridMultilevel"/>
    <w:tmpl w:val="88FA5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F43F61"/>
    <w:multiLevelType w:val="multilevel"/>
    <w:tmpl w:val="1A9882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944EAC"/>
    <w:multiLevelType w:val="hybridMultilevel"/>
    <w:tmpl w:val="D702FA54"/>
    <w:lvl w:ilvl="0" w:tplc="C2B40A5A">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4968D2"/>
    <w:multiLevelType w:val="hybridMultilevel"/>
    <w:tmpl w:val="10563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7D367B1"/>
    <w:multiLevelType w:val="hybridMultilevel"/>
    <w:tmpl w:val="64127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437E3D"/>
    <w:multiLevelType w:val="hybridMultilevel"/>
    <w:tmpl w:val="7EF85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F4C5C77"/>
    <w:multiLevelType w:val="hybridMultilevel"/>
    <w:tmpl w:val="FA2C0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0"/>
  </w:num>
  <w:num w:numId="4">
    <w:abstractNumId w:val="10"/>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 w:numId="17">
    <w:abstractNumId w:val="14"/>
  </w:num>
  <w:num w:numId="18">
    <w:abstractNumId w:val="18"/>
  </w:num>
  <w:num w:numId="19">
    <w:abstractNumId w:val="16"/>
  </w:num>
  <w:num w:numId="20">
    <w:abstractNumId w:val="20"/>
  </w:num>
  <w:num w:numId="21">
    <w:abstractNumId w:val="17"/>
  </w:num>
  <w:num w:numId="22">
    <w:abstractNumId w:val="12"/>
  </w:num>
  <w:num w:numId="23">
    <w:abstractNumId w:val="19"/>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stylePaneFormatFilter w:val="1028"/>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7119"/>
    <w:rsid w:val="00000AA0"/>
    <w:rsid w:val="00002EC9"/>
    <w:rsid w:val="00007C1E"/>
    <w:rsid w:val="0001173C"/>
    <w:rsid w:val="00027FD8"/>
    <w:rsid w:val="000336CA"/>
    <w:rsid w:val="00036897"/>
    <w:rsid w:val="000425FD"/>
    <w:rsid w:val="00042A09"/>
    <w:rsid w:val="00044416"/>
    <w:rsid w:val="00050B8C"/>
    <w:rsid w:val="000545DD"/>
    <w:rsid w:val="00057584"/>
    <w:rsid w:val="000578BF"/>
    <w:rsid w:val="0006039B"/>
    <w:rsid w:val="0006066A"/>
    <w:rsid w:val="000621EE"/>
    <w:rsid w:val="0006296B"/>
    <w:rsid w:val="00071572"/>
    <w:rsid w:val="000717BB"/>
    <w:rsid w:val="00082D03"/>
    <w:rsid w:val="000960F3"/>
    <w:rsid w:val="000A3F20"/>
    <w:rsid w:val="000A57AE"/>
    <w:rsid w:val="000B539D"/>
    <w:rsid w:val="000C0241"/>
    <w:rsid w:val="000C0D03"/>
    <w:rsid w:val="000C0ECA"/>
    <w:rsid w:val="000C3A27"/>
    <w:rsid w:val="000C56DD"/>
    <w:rsid w:val="000D023F"/>
    <w:rsid w:val="000D17EF"/>
    <w:rsid w:val="000D7494"/>
    <w:rsid w:val="000D74B2"/>
    <w:rsid w:val="000D7503"/>
    <w:rsid w:val="000E1DC6"/>
    <w:rsid w:val="000E67C8"/>
    <w:rsid w:val="000F2334"/>
    <w:rsid w:val="000F3553"/>
    <w:rsid w:val="000F5CE2"/>
    <w:rsid w:val="00106DC0"/>
    <w:rsid w:val="00107983"/>
    <w:rsid w:val="00115CCC"/>
    <w:rsid w:val="00115D99"/>
    <w:rsid w:val="001167EE"/>
    <w:rsid w:val="00116888"/>
    <w:rsid w:val="001268AF"/>
    <w:rsid w:val="0013074A"/>
    <w:rsid w:val="00133AA8"/>
    <w:rsid w:val="00133B2D"/>
    <w:rsid w:val="00141247"/>
    <w:rsid w:val="00143098"/>
    <w:rsid w:val="0014345F"/>
    <w:rsid w:val="00144270"/>
    <w:rsid w:val="00145126"/>
    <w:rsid w:val="00145A79"/>
    <w:rsid w:val="0014603E"/>
    <w:rsid w:val="00146C7B"/>
    <w:rsid w:val="0015093B"/>
    <w:rsid w:val="00155B22"/>
    <w:rsid w:val="00164CD8"/>
    <w:rsid w:val="00172A5B"/>
    <w:rsid w:val="0018209D"/>
    <w:rsid w:val="00186DB3"/>
    <w:rsid w:val="00196C57"/>
    <w:rsid w:val="00197F3B"/>
    <w:rsid w:val="001A0FE1"/>
    <w:rsid w:val="001A33AB"/>
    <w:rsid w:val="001A4D36"/>
    <w:rsid w:val="001B00C4"/>
    <w:rsid w:val="001B1BAD"/>
    <w:rsid w:val="001B56F5"/>
    <w:rsid w:val="001B747A"/>
    <w:rsid w:val="001B7B76"/>
    <w:rsid w:val="001B7E49"/>
    <w:rsid w:val="001C1994"/>
    <w:rsid w:val="001C19C7"/>
    <w:rsid w:val="001C20F3"/>
    <w:rsid w:val="001C7ED5"/>
    <w:rsid w:val="001D3FF9"/>
    <w:rsid w:val="001D4AEB"/>
    <w:rsid w:val="001E14A4"/>
    <w:rsid w:val="001E6BB2"/>
    <w:rsid w:val="001F3723"/>
    <w:rsid w:val="0020232B"/>
    <w:rsid w:val="0020277A"/>
    <w:rsid w:val="00214953"/>
    <w:rsid w:val="00221DF6"/>
    <w:rsid w:val="00222343"/>
    <w:rsid w:val="0022366C"/>
    <w:rsid w:val="002306CB"/>
    <w:rsid w:val="00231138"/>
    <w:rsid w:val="0023397D"/>
    <w:rsid w:val="002434BD"/>
    <w:rsid w:val="0024483E"/>
    <w:rsid w:val="002601BD"/>
    <w:rsid w:val="002625D5"/>
    <w:rsid w:val="0026458C"/>
    <w:rsid w:val="00264628"/>
    <w:rsid w:val="0026473D"/>
    <w:rsid w:val="002648EC"/>
    <w:rsid w:val="00265FE7"/>
    <w:rsid w:val="00267119"/>
    <w:rsid w:val="00267B64"/>
    <w:rsid w:val="002714B7"/>
    <w:rsid w:val="00272F64"/>
    <w:rsid w:val="0028090C"/>
    <w:rsid w:val="00280988"/>
    <w:rsid w:val="0028488C"/>
    <w:rsid w:val="002877AC"/>
    <w:rsid w:val="0029517B"/>
    <w:rsid w:val="00297075"/>
    <w:rsid w:val="002B27DA"/>
    <w:rsid w:val="002B42EF"/>
    <w:rsid w:val="002B591B"/>
    <w:rsid w:val="002C14A8"/>
    <w:rsid w:val="002C430D"/>
    <w:rsid w:val="002C4AB9"/>
    <w:rsid w:val="002D0C87"/>
    <w:rsid w:val="002D168D"/>
    <w:rsid w:val="002D5C25"/>
    <w:rsid w:val="002D64FD"/>
    <w:rsid w:val="002D7F43"/>
    <w:rsid w:val="002E5049"/>
    <w:rsid w:val="002E5ABF"/>
    <w:rsid w:val="002F54C5"/>
    <w:rsid w:val="002F55A4"/>
    <w:rsid w:val="002F71CA"/>
    <w:rsid w:val="0030541F"/>
    <w:rsid w:val="00311E78"/>
    <w:rsid w:val="003169BF"/>
    <w:rsid w:val="00320CC9"/>
    <w:rsid w:val="00322151"/>
    <w:rsid w:val="0033273B"/>
    <w:rsid w:val="00335172"/>
    <w:rsid w:val="00335FEB"/>
    <w:rsid w:val="0034435C"/>
    <w:rsid w:val="003467AF"/>
    <w:rsid w:val="0034713A"/>
    <w:rsid w:val="0035357C"/>
    <w:rsid w:val="0035559F"/>
    <w:rsid w:val="003614DA"/>
    <w:rsid w:val="00366C16"/>
    <w:rsid w:val="003670D3"/>
    <w:rsid w:val="0037192B"/>
    <w:rsid w:val="00371CCE"/>
    <w:rsid w:val="00381687"/>
    <w:rsid w:val="00383247"/>
    <w:rsid w:val="00384198"/>
    <w:rsid w:val="00386103"/>
    <w:rsid w:val="0039121A"/>
    <w:rsid w:val="003914D6"/>
    <w:rsid w:val="00391840"/>
    <w:rsid w:val="00396FB8"/>
    <w:rsid w:val="003A4AC5"/>
    <w:rsid w:val="003B3761"/>
    <w:rsid w:val="003B4DE1"/>
    <w:rsid w:val="003C03BC"/>
    <w:rsid w:val="003C127F"/>
    <w:rsid w:val="003C2EFC"/>
    <w:rsid w:val="003D0E2E"/>
    <w:rsid w:val="003D13F7"/>
    <w:rsid w:val="003D1D8D"/>
    <w:rsid w:val="003D2798"/>
    <w:rsid w:val="003D3076"/>
    <w:rsid w:val="003D3C01"/>
    <w:rsid w:val="003D6BCC"/>
    <w:rsid w:val="003D6CBD"/>
    <w:rsid w:val="003E1386"/>
    <w:rsid w:val="003E5713"/>
    <w:rsid w:val="003F0D4D"/>
    <w:rsid w:val="004079AB"/>
    <w:rsid w:val="00411173"/>
    <w:rsid w:val="004156E6"/>
    <w:rsid w:val="00416911"/>
    <w:rsid w:val="004260D7"/>
    <w:rsid w:val="00427241"/>
    <w:rsid w:val="00430DC1"/>
    <w:rsid w:val="00432C43"/>
    <w:rsid w:val="00437940"/>
    <w:rsid w:val="00437C01"/>
    <w:rsid w:val="00437F97"/>
    <w:rsid w:val="004447DC"/>
    <w:rsid w:val="00444C6B"/>
    <w:rsid w:val="00452BE1"/>
    <w:rsid w:val="00462734"/>
    <w:rsid w:val="00465CB2"/>
    <w:rsid w:val="004704BA"/>
    <w:rsid w:val="00472A01"/>
    <w:rsid w:val="00472DCA"/>
    <w:rsid w:val="00472F18"/>
    <w:rsid w:val="0047547B"/>
    <w:rsid w:val="004766FB"/>
    <w:rsid w:val="004803FC"/>
    <w:rsid w:val="00485A4F"/>
    <w:rsid w:val="00486360"/>
    <w:rsid w:val="004973FE"/>
    <w:rsid w:val="004A00BD"/>
    <w:rsid w:val="004A0EEB"/>
    <w:rsid w:val="004A2E54"/>
    <w:rsid w:val="004A3DD6"/>
    <w:rsid w:val="004A3E06"/>
    <w:rsid w:val="004A43B8"/>
    <w:rsid w:val="004A53AE"/>
    <w:rsid w:val="004A5A9F"/>
    <w:rsid w:val="004A699F"/>
    <w:rsid w:val="004B2821"/>
    <w:rsid w:val="004B30D4"/>
    <w:rsid w:val="004B68BD"/>
    <w:rsid w:val="004C0CA7"/>
    <w:rsid w:val="004C527D"/>
    <w:rsid w:val="004C55A0"/>
    <w:rsid w:val="004C5A52"/>
    <w:rsid w:val="004D4EAD"/>
    <w:rsid w:val="004D6B9C"/>
    <w:rsid w:val="004E6579"/>
    <w:rsid w:val="004F5684"/>
    <w:rsid w:val="004F6E97"/>
    <w:rsid w:val="005006F0"/>
    <w:rsid w:val="00501F9F"/>
    <w:rsid w:val="005048A6"/>
    <w:rsid w:val="00504AC4"/>
    <w:rsid w:val="0050658C"/>
    <w:rsid w:val="00511A53"/>
    <w:rsid w:val="00512140"/>
    <w:rsid w:val="0052155A"/>
    <w:rsid w:val="0052759C"/>
    <w:rsid w:val="00542BA4"/>
    <w:rsid w:val="0054546B"/>
    <w:rsid w:val="005459A5"/>
    <w:rsid w:val="00545FB5"/>
    <w:rsid w:val="00546683"/>
    <w:rsid w:val="00550E40"/>
    <w:rsid w:val="00553C56"/>
    <w:rsid w:val="00556F81"/>
    <w:rsid w:val="00556FD1"/>
    <w:rsid w:val="00560AE6"/>
    <w:rsid w:val="005641B8"/>
    <w:rsid w:val="00565B2E"/>
    <w:rsid w:val="00570249"/>
    <w:rsid w:val="0057071F"/>
    <w:rsid w:val="00572F4D"/>
    <w:rsid w:val="005754E6"/>
    <w:rsid w:val="00576A0A"/>
    <w:rsid w:val="005807BC"/>
    <w:rsid w:val="00586FDA"/>
    <w:rsid w:val="00590137"/>
    <w:rsid w:val="00592274"/>
    <w:rsid w:val="005A0A36"/>
    <w:rsid w:val="005A104F"/>
    <w:rsid w:val="005A55AF"/>
    <w:rsid w:val="005A5E07"/>
    <w:rsid w:val="005B050F"/>
    <w:rsid w:val="005B1BE3"/>
    <w:rsid w:val="005B6377"/>
    <w:rsid w:val="005B7198"/>
    <w:rsid w:val="005C3EFE"/>
    <w:rsid w:val="005C46B3"/>
    <w:rsid w:val="005C487B"/>
    <w:rsid w:val="005C7C5E"/>
    <w:rsid w:val="005D242C"/>
    <w:rsid w:val="005D643D"/>
    <w:rsid w:val="005D6648"/>
    <w:rsid w:val="005E01A5"/>
    <w:rsid w:val="005E1CA5"/>
    <w:rsid w:val="005E478F"/>
    <w:rsid w:val="005F093B"/>
    <w:rsid w:val="005F1647"/>
    <w:rsid w:val="005F28D6"/>
    <w:rsid w:val="005F77B8"/>
    <w:rsid w:val="00606909"/>
    <w:rsid w:val="00617538"/>
    <w:rsid w:val="00620BE9"/>
    <w:rsid w:val="006217A4"/>
    <w:rsid w:val="006218DF"/>
    <w:rsid w:val="00623870"/>
    <w:rsid w:val="00626858"/>
    <w:rsid w:val="00632C82"/>
    <w:rsid w:val="00633E83"/>
    <w:rsid w:val="006435D7"/>
    <w:rsid w:val="006444DD"/>
    <w:rsid w:val="00646815"/>
    <w:rsid w:val="00651162"/>
    <w:rsid w:val="006522BA"/>
    <w:rsid w:val="00656730"/>
    <w:rsid w:val="00665CE2"/>
    <w:rsid w:val="00667EC7"/>
    <w:rsid w:val="00674DB6"/>
    <w:rsid w:val="0068656E"/>
    <w:rsid w:val="006905ED"/>
    <w:rsid w:val="0069374E"/>
    <w:rsid w:val="00693A6A"/>
    <w:rsid w:val="006A0846"/>
    <w:rsid w:val="006A2212"/>
    <w:rsid w:val="006B4743"/>
    <w:rsid w:val="006B5F0A"/>
    <w:rsid w:val="006B6E82"/>
    <w:rsid w:val="006C2B13"/>
    <w:rsid w:val="006C3442"/>
    <w:rsid w:val="006C49C9"/>
    <w:rsid w:val="006D03B7"/>
    <w:rsid w:val="006D25E2"/>
    <w:rsid w:val="006D2BCC"/>
    <w:rsid w:val="006D718D"/>
    <w:rsid w:val="006E3277"/>
    <w:rsid w:val="006E5045"/>
    <w:rsid w:val="006E7842"/>
    <w:rsid w:val="006F11A1"/>
    <w:rsid w:val="006F1E5A"/>
    <w:rsid w:val="006F5B5E"/>
    <w:rsid w:val="006F6760"/>
    <w:rsid w:val="006F6F2E"/>
    <w:rsid w:val="00701AAE"/>
    <w:rsid w:val="00703A7C"/>
    <w:rsid w:val="00711D78"/>
    <w:rsid w:val="0071561F"/>
    <w:rsid w:val="00715E0B"/>
    <w:rsid w:val="00717F0A"/>
    <w:rsid w:val="00721FB4"/>
    <w:rsid w:val="00724600"/>
    <w:rsid w:val="00727CCB"/>
    <w:rsid w:val="00731B8C"/>
    <w:rsid w:val="00737E49"/>
    <w:rsid w:val="0074194D"/>
    <w:rsid w:val="0074447F"/>
    <w:rsid w:val="0074603C"/>
    <w:rsid w:val="00746E34"/>
    <w:rsid w:val="00757EFC"/>
    <w:rsid w:val="0076117B"/>
    <w:rsid w:val="00763AE3"/>
    <w:rsid w:val="00764343"/>
    <w:rsid w:val="00765D85"/>
    <w:rsid w:val="00774774"/>
    <w:rsid w:val="007910D5"/>
    <w:rsid w:val="0079153F"/>
    <w:rsid w:val="007920FA"/>
    <w:rsid w:val="0079282B"/>
    <w:rsid w:val="00793DD0"/>
    <w:rsid w:val="00794E3D"/>
    <w:rsid w:val="0079545F"/>
    <w:rsid w:val="007957EF"/>
    <w:rsid w:val="007973A4"/>
    <w:rsid w:val="007A2817"/>
    <w:rsid w:val="007A3335"/>
    <w:rsid w:val="007B0345"/>
    <w:rsid w:val="007B1B6E"/>
    <w:rsid w:val="007B2D1A"/>
    <w:rsid w:val="007B5815"/>
    <w:rsid w:val="007B74E8"/>
    <w:rsid w:val="007C124B"/>
    <w:rsid w:val="007C4EE3"/>
    <w:rsid w:val="007C5BD1"/>
    <w:rsid w:val="007C76F5"/>
    <w:rsid w:val="007D20F5"/>
    <w:rsid w:val="007D2D72"/>
    <w:rsid w:val="007D2FE3"/>
    <w:rsid w:val="007D31F9"/>
    <w:rsid w:val="007E168C"/>
    <w:rsid w:val="007E5480"/>
    <w:rsid w:val="007E59C0"/>
    <w:rsid w:val="007E5BCE"/>
    <w:rsid w:val="007E6690"/>
    <w:rsid w:val="007F3B29"/>
    <w:rsid w:val="007F5B80"/>
    <w:rsid w:val="007F7E32"/>
    <w:rsid w:val="0080185D"/>
    <w:rsid w:val="00802BEA"/>
    <w:rsid w:val="00806B4C"/>
    <w:rsid w:val="0081163A"/>
    <w:rsid w:val="008147D0"/>
    <w:rsid w:val="008170C8"/>
    <w:rsid w:val="0081756B"/>
    <w:rsid w:val="00817C44"/>
    <w:rsid w:val="0082308F"/>
    <w:rsid w:val="00823F15"/>
    <w:rsid w:val="00824238"/>
    <w:rsid w:val="00825884"/>
    <w:rsid w:val="00826843"/>
    <w:rsid w:val="00830415"/>
    <w:rsid w:val="0083063B"/>
    <w:rsid w:val="00831850"/>
    <w:rsid w:val="0083657B"/>
    <w:rsid w:val="00840C2C"/>
    <w:rsid w:val="00840E4A"/>
    <w:rsid w:val="00844222"/>
    <w:rsid w:val="008505ED"/>
    <w:rsid w:val="00850EB2"/>
    <w:rsid w:val="00851BE6"/>
    <w:rsid w:val="00851E4C"/>
    <w:rsid w:val="008533DF"/>
    <w:rsid w:val="0085350B"/>
    <w:rsid w:val="00854803"/>
    <w:rsid w:val="008548CF"/>
    <w:rsid w:val="00856ADB"/>
    <w:rsid w:val="0086195A"/>
    <w:rsid w:val="00863279"/>
    <w:rsid w:val="0086672B"/>
    <w:rsid w:val="00882C84"/>
    <w:rsid w:val="00886D1D"/>
    <w:rsid w:val="00887B54"/>
    <w:rsid w:val="008935AB"/>
    <w:rsid w:val="00894D4E"/>
    <w:rsid w:val="008A30EF"/>
    <w:rsid w:val="008A7238"/>
    <w:rsid w:val="008B0F4F"/>
    <w:rsid w:val="008B2205"/>
    <w:rsid w:val="008B32C2"/>
    <w:rsid w:val="008B3F95"/>
    <w:rsid w:val="008C6810"/>
    <w:rsid w:val="008C7706"/>
    <w:rsid w:val="008D0227"/>
    <w:rsid w:val="008D176E"/>
    <w:rsid w:val="008E5AE2"/>
    <w:rsid w:val="008F061B"/>
    <w:rsid w:val="008F33B3"/>
    <w:rsid w:val="008F7E20"/>
    <w:rsid w:val="00901715"/>
    <w:rsid w:val="00902950"/>
    <w:rsid w:val="00912F11"/>
    <w:rsid w:val="00913B73"/>
    <w:rsid w:val="00915319"/>
    <w:rsid w:val="00915495"/>
    <w:rsid w:val="00915F3F"/>
    <w:rsid w:val="0091633B"/>
    <w:rsid w:val="0091687E"/>
    <w:rsid w:val="00923D5F"/>
    <w:rsid w:val="00924EBB"/>
    <w:rsid w:val="00930E0D"/>
    <w:rsid w:val="00931E23"/>
    <w:rsid w:val="0093579F"/>
    <w:rsid w:val="00936351"/>
    <w:rsid w:val="0093680E"/>
    <w:rsid w:val="009402AE"/>
    <w:rsid w:val="00941239"/>
    <w:rsid w:val="0094750E"/>
    <w:rsid w:val="009537B6"/>
    <w:rsid w:val="00953CF3"/>
    <w:rsid w:val="00954F91"/>
    <w:rsid w:val="00955207"/>
    <w:rsid w:val="0096020A"/>
    <w:rsid w:val="00960FAE"/>
    <w:rsid w:val="009612F5"/>
    <w:rsid w:val="0097043C"/>
    <w:rsid w:val="00976950"/>
    <w:rsid w:val="0098604F"/>
    <w:rsid w:val="00991F60"/>
    <w:rsid w:val="009935B8"/>
    <w:rsid w:val="009A09E4"/>
    <w:rsid w:val="009A0D99"/>
    <w:rsid w:val="009A544B"/>
    <w:rsid w:val="009A5EE5"/>
    <w:rsid w:val="009D35B8"/>
    <w:rsid w:val="009D46D6"/>
    <w:rsid w:val="009D67EC"/>
    <w:rsid w:val="009E0B13"/>
    <w:rsid w:val="009E17C4"/>
    <w:rsid w:val="009F1EE5"/>
    <w:rsid w:val="009F296D"/>
    <w:rsid w:val="009F49A6"/>
    <w:rsid w:val="009F6D32"/>
    <w:rsid w:val="00A0109B"/>
    <w:rsid w:val="00A0372A"/>
    <w:rsid w:val="00A06364"/>
    <w:rsid w:val="00A17103"/>
    <w:rsid w:val="00A22A81"/>
    <w:rsid w:val="00A3037E"/>
    <w:rsid w:val="00A37647"/>
    <w:rsid w:val="00A4201B"/>
    <w:rsid w:val="00A42C1D"/>
    <w:rsid w:val="00A43839"/>
    <w:rsid w:val="00A4649B"/>
    <w:rsid w:val="00A46514"/>
    <w:rsid w:val="00A51297"/>
    <w:rsid w:val="00A518E9"/>
    <w:rsid w:val="00A51A9B"/>
    <w:rsid w:val="00A535D3"/>
    <w:rsid w:val="00A55861"/>
    <w:rsid w:val="00A57089"/>
    <w:rsid w:val="00A61E06"/>
    <w:rsid w:val="00A62768"/>
    <w:rsid w:val="00A64B9C"/>
    <w:rsid w:val="00A654A0"/>
    <w:rsid w:val="00A67402"/>
    <w:rsid w:val="00A71D5D"/>
    <w:rsid w:val="00A729CF"/>
    <w:rsid w:val="00A83DAA"/>
    <w:rsid w:val="00A84797"/>
    <w:rsid w:val="00A9786F"/>
    <w:rsid w:val="00AA1B3E"/>
    <w:rsid w:val="00AA267A"/>
    <w:rsid w:val="00AB0587"/>
    <w:rsid w:val="00AB3842"/>
    <w:rsid w:val="00AB4C70"/>
    <w:rsid w:val="00AB57DD"/>
    <w:rsid w:val="00AC17B5"/>
    <w:rsid w:val="00AC3F0B"/>
    <w:rsid w:val="00AC73F1"/>
    <w:rsid w:val="00AC7E0D"/>
    <w:rsid w:val="00AD045E"/>
    <w:rsid w:val="00AD097A"/>
    <w:rsid w:val="00AD1C36"/>
    <w:rsid w:val="00AD3230"/>
    <w:rsid w:val="00AD3C4F"/>
    <w:rsid w:val="00AD5C64"/>
    <w:rsid w:val="00AD5CE5"/>
    <w:rsid w:val="00AE304C"/>
    <w:rsid w:val="00AE75C0"/>
    <w:rsid w:val="00AF0D21"/>
    <w:rsid w:val="00AF20AC"/>
    <w:rsid w:val="00AF2BE4"/>
    <w:rsid w:val="00AF3BC0"/>
    <w:rsid w:val="00AF4986"/>
    <w:rsid w:val="00AF71A5"/>
    <w:rsid w:val="00B01F91"/>
    <w:rsid w:val="00B049FA"/>
    <w:rsid w:val="00B0514F"/>
    <w:rsid w:val="00B0602B"/>
    <w:rsid w:val="00B108CF"/>
    <w:rsid w:val="00B12213"/>
    <w:rsid w:val="00B2029F"/>
    <w:rsid w:val="00B202D9"/>
    <w:rsid w:val="00B20E19"/>
    <w:rsid w:val="00B21950"/>
    <w:rsid w:val="00B22505"/>
    <w:rsid w:val="00B237D3"/>
    <w:rsid w:val="00B34EC5"/>
    <w:rsid w:val="00B35D9D"/>
    <w:rsid w:val="00B36CFC"/>
    <w:rsid w:val="00B41B29"/>
    <w:rsid w:val="00B45C47"/>
    <w:rsid w:val="00B46137"/>
    <w:rsid w:val="00B5270C"/>
    <w:rsid w:val="00B55990"/>
    <w:rsid w:val="00B6081D"/>
    <w:rsid w:val="00B625E6"/>
    <w:rsid w:val="00B64325"/>
    <w:rsid w:val="00B64359"/>
    <w:rsid w:val="00B64C4F"/>
    <w:rsid w:val="00B73842"/>
    <w:rsid w:val="00B74610"/>
    <w:rsid w:val="00B929E0"/>
    <w:rsid w:val="00B9570C"/>
    <w:rsid w:val="00B95830"/>
    <w:rsid w:val="00BA0CD6"/>
    <w:rsid w:val="00BA1357"/>
    <w:rsid w:val="00BA23FB"/>
    <w:rsid w:val="00BA25CA"/>
    <w:rsid w:val="00BA3161"/>
    <w:rsid w:val="00BB1D1C"/>
    <w:rsid w:val="00BB45F8"/>
    <w:rsid w:val="00BB4CE5"/>
    <w:rsid w:val="00BB4DCB"/>
    <w:rsid w:val="00BB59E9"/>
    <w:rsid w:val="00BC1558"/>
    <w:rsid w:val="00BC485B"/>
    <w:rsid w:val="00BC76A8"/>
    <w:rsid w:val="00BD4F15"/>
    <w:rsid w:val="00BF2174"/>
    <w:rsid w:val="00BF449A"/>
    <w:rsid w:val="00BF5831"/>
    <w:rsid w:val="00BF5D97"/>
    <w:rsid w:val="00C04E77"/>
    <w:rsid w:val="00C074E4"/>
    <w:rsid w:val="00C116B5"/>
    <w:rsid w:val="00C12745"/>
    <w:rsid w:val="00C1313D"/>
    <w:rsid w:val="00C15BD9"/>
    <w:rsid w:val="00C22CCD"/>
    <w:rsid w:val="00C26D30"/>
    <w:rsid w:val="00C26E57"/>
    <w:rsid w:val="00C30EA0"/>
    <w:rsid w:val="00C32E30"/>
    <w:rsid w:val="00C34316"/>
    <w:rsid w:val="00C34B94"/>
    <w:rsid w:val="00C35F41"/>
    <w:rsid w:val="00C44D9A"/>
    <w:rsid w:val="00C453DC"/>
    <w:rsid w:val="00C530BC"/>
    <w:rsid w:val="00C532B7"/>
    <w:rsid w:val="00C53D41"/>
    <w:rsid w:val="00C5423E"/>
    <w:rsid w:val="00C555A6"/>
    <w:rsid w:val="00C63DC8"/>
    <w:rsid w:val="00C740E7"/>
    <w:rsid w:val="00C75645"/>
    <w:rsid w:val="00C756E8"/>
    <w:rsid w:val="00C818E3"/>
    <w:rsid w:val="00C8514E"/>
    <w:rsid w:val="00C855E7"/>
    <w:rsid w:val="00C866A0"/>
    <w:rsid w:val="00C86FC4"/>
    <w:rsid w:val="00C920D8"/>
    <w:rsid w:val="00C9609E"/>
    <w:rsid w:val="00C961F2"/>
    <w:rsid w:val="00C96FD6"/>
    <w:rsid w:val="00C97D57"/>
    <w:rsid w:val="00C97D88"/>
    <w:rsid w:val="00CA02FB"/>
    <w:rsid w:val="00CB002A"/>
    <w:rsid w:val="00CB0032"/>
    <w:rsid w:val="00CB4769"/>
    <w:rsid w:val="00CB4E2A"/>
    <w:rsid w:val="00CB52C0"/>
    <w:rsid w:val="00CB739C"/>
    <w:rsid w:val="00CB740E"/>
    <w:rsid w:val="00CC0A90"/>
    <w:rsid w:val="00CC7FE9"/>
    <w:rsid w:val="00CD5D80"/>
    <w:rsid w:val="00CD6DDB"/>
    <w:rsid w:val="00CF1C78"/>
    <w:rsid w:val="00CF3946"/>
    <w:rsid w:val="00CF5AFD"/>
    <w:rsid w:val="00CF7B20"/>
    <w:rsid w:val="00D02031"/>
    <w:rsid w:val="00D03B41"/>
    <w:rsid w:val="00D06C13"/>
    <w:rsid w:val="00D22BDC"/>
    <w:rsid w:val="00D2307B"/>
    <w:rsid w:val="00D24FC5"/>
    <w:rsid w:val="00D35DB9"/>
    <w:rsid w:val="00D414F3"/>
    <w:rsid w:val="00D42965"/>
    <w:rsid w:val="00D4352D"/>
    <w:rsid w:val="00D46C50"/>
    <w:rsid w:val="00D520A7"/>
    <w:rsid w:val="00D6418A"/>
    <w:rsid w:val="00D6446B"/>
    <w:rsid w:val="00D6688F"/>
    <w:rsid w:val="00D7169D"/>
    <w:rsid w:val="00D7291E"/>
    <w:rsid w:val="00D80BEF"/>
    <w:rsid w:val="00D92E2A"/>
    <w:rsid w:val="00D932F6"/>
    <w:rsid w:val="00D97B49"/>
    <w:rsid w:val="00DA1DAC"/>
    <w:rsid w:val="00DA2B3C"/>
    <w:rsid w:val="00DA5238"/>
    <w:rsid w:val="00DA7CDD"/>
    <w:rsid w:val="00DB1755"/>
    <w:rsid w:val="00DB397D"/>
    <w:rsid w:val="00DC0709"/>
    <w:rsid w:val="00DC5275"/>
    <w:rsid w:val="00DC6612"/>
    <w:rsid w:val="00DD01BF"/>
    <w:rsid w:val="00DD1294"/>
    <w:rsid w:val="00DD1907"/>
    <w:rsid w:val="00DD26D2"/>
    <w:rsid w:val="00DD730E"/>
    <w:rsid w:val="00DE392A"/>
    <w:rsid w:val="00DE5553"/>
    <w:rsid w:val="00DE6695"/>
    <w:rsid w:val="00DF1542"/>
    <w:rsid w:val="00DF1DDD"/>
    <w:rsid w:val="00DF4764"/>
    <w:rsid w:val="00DF5AAC"/>
    <w:rsid w:val="00E01585"/>
    <w:rsid w:val="00E0193E"/>
    <w:rsid w:val="00E02845"/>
    <w:rsid w:val="00E0394D"/>
    <w:rsid w:val="00E03D76"/>
    <w:rsid w:val="00E16795"/>
    <w:rsid w:val="00E17B99"/>
    <w:rsid w:val="00E21F89"/>
    <w:rsid w:val="00E3539B"/>
    <w:rsid w:val="00E35F26"/>
    <w:rsid w:val="00E379F9"/>
    <w:rsid w:val="00E41083"/>
    <w:rsid w:val="00E427C1"/>
    <w:rsid w:val="00E45F39"/>
    <w:rsid w:val="00E47265"/>
    <w:rsid w:val="00E5131A"/>
    <w:rsid w:val="00E567DB"/>
    <w:rsid w:val="00E629D9"/>
    <w:rsid w:val="00E6344D"/>
    <w:rsid w:val="00E6359C"/>
    <w:rsid w:val="00E6664E"/>
    <w:rsid w:val="00E72AB7"/>
    <w:rsid w:val="00E72C76"/>
    <w:rsid w:val="00E83480"/>
    <w:rsid w:val="00E928AA"/>
    <w:rsid w:val="00E95774"/>
    <w:rsid w:val="00E968F5"/>
    <w:rsid w:val="00E96CD1"/>
    <w:rsid w:val="00EA0CB2"/>
    <w:rsid w:val="00EA1F93"/>
    <w:rsid w:val="00EA2255"/>
    <w:rsid w:val="00EA716A"/>
    <w:rsid w:val="00EA7DC3"/>
    <w:rsid w:val="00EB0051"/>
    <w:rsid w:val="00EB0D3D"/>
    <w:rsid w:val="00EB41F5"/>
    <w:rsid w:val="00EB6F9C"/>
    <w:rsid w:val="00EC0ABB"/>
    <w:rsid w:val="00EC32C5"/>
    <w:rsid w:val="00EC3559"/>
    <w:rsid w:val="00EC51FF"/>
    <w:rsid w:val="00EC7B10"/>
    <w:rsid w:val="00ED0DAF"/>
    <w:rsid w:val="00ED29B8"/>
    <w:rsid w:val="00ED29FF"/>
    <w:rsid w:val="00ED5489"/>
    <w:rsid w:val="00ED5B9D"/>
    <w:rsid w:val="00EE5483"/>
    <w:rsid w:val="00F01349"/>
    <w:rsid w:val="00F017F7"/>
    <w:rsid w:val="00F059B6"/>
    <w:rsid w:val="00F11AC7"/>
    <w:rsid w:val="00F11B02"/>
    <w:rsid w:val="00F2597D"/>
    <w:rsid w:val="00F26DCD"/>
    <w:rsid w:val="00F342C4"/>
    <w:rsid w:val="00F36964"/>
    <w:rsid w:val="00F46305"/>
    <w:rsid w:val="00F507F8"/>
    <w:rsid w:val="00F53710"/>
    <w:rsid w:val="00F54BE9"/>
    <w:rsid w:val="00F615AC"/>
    <w:rsid w:val="00F6337F"/>
    <w:rsid w:val="00F71346"/>
    <w:rsid w:val="00F7201D"/>
    <w:rsid w:val="00F735C6"/>
    <w:rsid w:val="00F8612A"/>
    <w:rsid w:val="00F90816"/>
    <w:rsid w:val="00F9150F"/>
    <w:rsid w:val="00F91833"/>
    <w:rsid w:val="00FA52C5"/>
    <w:rsid w:val="00FA7CB5"/>
    <w:rsid w:val="00FB625C"/>
    <w:rsid w:val="00FC0D7F"/>
    <w:rsid w:val="00FC670B"/>
    <w:rsid w:val="00FD05E0"/>
    <w:rsid w:val="00FD545E"/>
    <w:rsid w:val="00FD662D"/>
    <w:rsid w:val="00FE33A9"/>
    <w:rsid w:val="00FF052C"/>
    <w:rsid w:val="00FF2DA9"/>
    <w:rsid w:val="00FF311B"/>
    <w:rsid w:val="00FF32B4"/>
    <w:rsid w:val="00FF5CA5"/>
    <w:rsid w:val="00FF63CC"/>
    <w:rsid w:val="00FF75D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161"/>
    <w:pPr>
      <w:spacing w:line="276" w:lineRule="auto"/>
    </w:pPr>
    <w:rPr>
      <w:rFonts w:ascii="Arial" w:hAnsi="Arial"/>
      <w:szCs w:val="22"/>
      <w:lang w:eastAsia="en-US"/>
    </w:rPr>
  </w:style>
  <w:style w:type="paragraph" w:styleId="Nadpis1">
    <w:name w:val="heading 1"/>
    <w:basedOn w:val="Normln"/>
    <w:next w:val="Normln"/>
    <w:link w:val="Nadpis1Char"/>
    <w:uiPriority w:val="9"/>
    <w:qFormat/>
    <w:rsid w:val="00221DF6"/>
    <w:pPr>
      <w:keepNext/>
      <w:numPr>
        <w:numId w:val="5"/>
      </w:numPr>
      <w:spacing w:after="120" w:line="240" w:lineRule="auto"/>
      <w:outlineLvl w:val="0"/>
    </w:pPr>
    <w:rPr>
      <w:rFonts w:eastAsia="Times New Roman"/>
      <w:b/>
      <w:bCs/>
      <w:kern w:val="32"/>
      <w:sz w:val="24"/>
      <w:szCs w:val="32"/>
    </w:rPr>
  </w:style>
  <w:style w:type="paragraph" w:styleId="Nadpis2">
    <w:name w:val="heading 2"/>
    <w:basedOn w:val="Normln"/>
    <w:next w:val="Normln"/>
    <w:link w:val="Nadpis2Char"/>
    <w:uiPriority w:val="9"/>
    <w:qFormat/>
    <w:rsid w:val="00941239"/>
    <w:pPr>
      <w:keepNext/>
      <w:numPr>
        <w:ilvl w:val="1"/>
        <w:numId w:val="5"/>
      </w:numPr>
      <w:outlineLvl w:val="1"/>
    </w:pPr>
    <w:rPr>
      <w:rFonts w:eastAsia="Times New Roman"/>
      <w:b/>
      <w:bCs/>
      <w:iCs/>
      <w:sz w:val="22"/>
      <w:szCs w:val="28"/>
    </w:rPr>
  </w:style>
  <w:style w:type="paragraph" w:styleId="Nadpis3">
    <w:name w:val="heading 3"/>
    <w:basedOn w:val="Normln"/>
    <w:next w:val="Normln"/>
    <w:link w:val="Nadpis3Char"/>
    <w:qFormat/>
    <w:rsid w:val="008170C8"/>
    <w:pPr>
      <w:spacing w:before="240" w:after="120" w:line="264" w:lineRule="auto"/>
      <w:outlineLvl w:val="2"/>
    </w:pPr>
    <w:rPr>
      <w:rFonts w:eastAsia="Times New Roman"/>
      <w:b/>
      <w:bCs/>
      <w:iCs/>
      <w:sz w:val="22"/>
    </w:rPr>
  </w:style>
  <w:style w:type="paragraph" w:styleId="Nadpis4">
    <w:name w:val="heading 4"/>
    <w:basedOn w:val="Normln"/>
    <w:next w:val="Normln"/>
    <w:link w:val="Nadpis4Char"/>
    <w:qFormat/>
    <w:rsid w:val="008170C8"/>
    <w:pPr>
      <w:keepNext/>
      <w:spacing w:after="120"/>
      <w:outlineLvl w:val="3"/>
    </w:pPr>
    <w:rPr>
      <w:b/>
      <w:bCs/>
      <w:color w:val="FF0000"/>
    </w:rPr>
  </w:style>
  <w:style w:type="paragraph" w:styleId="Nadpis5">
    <w:name w:val="heading 5"/>
    <w:basedOn w:val="Normln"/>
    <w:next w:val="Normln"/>
    <w:link w:val="Nadpis5Char"/>
    <w:qFormat/>
    <w:rsid w:val="008170C8"/>
    <w:pPr>
      <w:keepNext/>
      <w:spacing w:before="200" w:after="60" w:line="264" w:lineRule="auto"/>
      <w:jc w:val="both"/>
      <w:outlineLvl w:val="4"/>
    </w:pPr>
    <w:rPr>
      <w:b/>
      <w:bCs/>
    </w:rPr>
  </w:style>
  <w:style w:type="paragraph" w:styleId="Nadpis6">
    <w:name w:val="heading 6"/>
    <w:basedOn w:val="Normln"/>
    <w:next w:val="Normln"/>
    <w:link w:val="Nadpis6Char"/>
    <w:qFormat/>
    <w:rsid w:val="008170C8"/>
    <w:pPr>
      <w:keepNext/>
      <w:spacing w:after="120"/>
      <w:jc w:val="both"/>
      <w:outlineLvl w:val="5"/>
    </w:pPr>
    <w:rPr>
      <w:b/>
      <w:bCs/>
    </w:rPr>
  </w:style>
  <w:style w:type="paragraph" w:styleId="Nadpis7">
    <w:name w:val="heading 7"/>
    <w:basedOn w:val="Normln"/>
    <w:next w:val="Normln"/>
    <w:link w:val="Nadpis7Char"/>
    <w:qFormat/>
    <w:rsid w:val="008170C8"/>
    <w:pPr>
      <w:keepNext/>
      <w:jc w:val="right"/>
      <w:outlineLvl w:val="6"/>
    </w:pPr>
    <w:rPr>
      <w:i/>
      <w:sz w:val="16"/>
      <w:szCs w:val="14"/>
    </w:rPr>
  </w:style>
  <w:style w:type="paragraph" w:styleId="Nadpis8">
    <w:name w:val="heading 8"/>
    <w:basedOn w:val="Normln"/>
    <w:next w:val="Normln"/>
    <w:link w:val="Nadpis8Char"/>
    <w:qFormat/>
    <w:rsid w:val="008170C8"/>
    <w:pPr>
      <w:keepNext/>
      <w:outlineLvl w:val="7"/>
    </w:pPr>
    <w:rPr>
      <w:rFonts w:cs="Arial"/>
      <w:b/>
      <w:bCs/>
      <w:color w:val="FF0000"/>
      <w:sz w:val="16"/>
      <w:szCs w:val="16"/>
    </w:rPr>
  </w:style>
  <w:style w:type="paragraph" w:styleId="Nadpis9">
    <w:name w:val="heading 9"/>
    <w:basedOn w:val="Normln"/>
    <w:next w:val="Normln"/>
    <w:link w:val="Nadpis9Char"/>
    <w:qFormat/>
    <w:rsid w:val="008170C8"/>
    <w:pPr>
      <w:keepNext/>
      <w:spacing w:before="240" w:after="120"/>
      <w:outlineLvl w:val="8"/>
    </w:pPr>
    <w:rPr>
      <w:rFonts w:cs="Arial"/>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5B5E"/>
    <w:rPr>
      <w:rFonts w:ascii="Arial" w:eastAsia="Times New Roman" w:hAnsi="Arial"/>
      <w:b/>
      <w:bCs/>
      <w:kern w:val="32"/>
      <w:sz w:val="24"/>
      <w:szCs w:val="32"/>
      <w:lang w:eastAsia="en-US"/>
    </w:rPr>
  </w:style>
  <w:style w:type="character" w:customStyle="1" w:styleId="Nadpis2Char">
    <w:name w:val="Nadpis 2 Char"/>
    <w:basedOn w:val="Standardnpsmoodstavce"/>
    <w:link w:val="Nadpis2"/>
    <w:uiPriority w:val="9"/>
    <w:rsid w:val="00941239"/>
    <w:rPr>
      <w:rFonts w:ascii="Arial" w:eastAsia="Times New Roman" w:hAnsi="Arial"/>
      <w:b/>
      <w:bCs/>
      <w:iCs/>
      <w:sz w:val="22"/>
      <w:szCs w:val="28"/>
      <w:lang w:eastAsia="en-US"/>
    </w:rPr>
  </w:style>
  <w:style w:type="paragraph" w:customStyle="1" w:styleId="nadpisdefinice">
    <w:name w:val="nadpis definice"/>
    <w:basedOn w:val="Normln"/>
    <w:link w:val="nadpisdefiniceChar"/>
    <w:qFormat/>
    <w:rsid w:val="008170C8"/>
    <w:rPr>
      <w:rFonts w:cs="Arial"/>
      <w:sz w:val="32"/>
      <w:szCs w:val="32"/>
    </w:rPr>
  </w:style>
  <w:style w:type="character" w:customStyle="1" w:styleId="nadpisdefiniceChar">
    <w:name w:val="nadpis definice Char"/>
    <w:basedOn w:val="Standardnpsmoodstavce"/>
    <w:link w:val="nadpisdefinice"/>
    <w:rsid w:val="00565B2E"/>
    <w:rPr>
      <w:rFonts w:ascii="Arial" w:hAnsi="Arial" w:cs="Arial"/>
      <w:sz w:val="32"/>
      <w:szCs w:val="32"/>
      <w:lang w:eastAsia="en-US"/>
    </w:rPr>
  </w:style>
  <w:style w:type="paragraph" w:styleId="Titulek">
    <w:name w:val="caption"/>
    <w:basedOn w:val="Normln"/>
    <w:next w:val="Normln"/>
    <w:uiPriority w:val="35"/>
    <w:qFormat/>
    <w:rsid w:val="006435D7"/>
    <w:pPr>
      <w:spacing w:before="120" w:line="240" w:lineRule="auto"/>
    </w:pPr>
    <w:rPr>
      <w:b/>
      <w:bCs/>
      <w:sz w:val="16"/>
      <w:szCs w:val="20"/>
    </w:rPr>
  </w:style>
  <w:style w:type="character" w:customStyle="1" w:styleId="Nadpis3Char">
    <w:name w:val="Nadpis 3 Char"/>
    <w:basedOn w:val="Standardnpsmoodstavce"/>
    <w:link w:val="Nadpis3"/>
    <w:rsid w:val="008170C8"/>
    <w:rPr>
      <w:rFonts w:ascii="Arial" w:eastAsia="Times New Roman" w:hAnsi="Arial"/>
      <w:b/>
      <w:bCs/>
      <w:iCs/>
      <w:sz w:val="22"/>
      <w:szCs w:val="22"/>
      <w:lang w:eastAsia="en-US"/>
    </w:rPr>
  </w:style>
  <w:style w:type="character" w:customStyle="1" w:styleId="Nadpis4Char">
    <w:name w:val="Nadpis 4 Char"/>
    <w:basedOn w:val="Standardnpsmoodstavce"/>
    <w:link w:val="Nadpis4"/>
    <w:rsid w:val="008170C8"/>
    <w:rPr>
      <w:rFonts w:ascii="Arial" w:hAnsi="Arial"/>
      <w:b/>
      <w:bCs/>
      <w:color w:val="FF0000"/>
      <w:szCs w:val="22"/>
      <w:lang w:eastAsia="en-US"/>
    </w:rPr>
  </w:style>
  <w:style w:type="character" w:customStyle="1" w:styleId="Nadpis5Char">
    <w:name w:val="Nadpis 5 Char"/>
    <w:basedOn w:val="Standardnpsmoodstavce"/>
    <w:link w:val="Nadpis5"/>
    <w:rsid w:val="008170C8"/>
    <w:rPr>
      <w:rFonts w:ascii="Arial" w:hAnsi="Arial"/>
      <w:b/>
      <w:bCs/>
      <w:szCs w:val="22"/>
      <w:lang w:eastAsia="en-US"/>
    </w:rPr>
  </w:style>
  <w:style w:type="character" w:customStyle="1" w:styleId="Nadpis6Char">
    <w:name w:val="Nadpis 6 Char"/>
    <w:basedOn w:val="Standardnpsmoodstavce"/>
    <w:link w:val="Nadpis6"/>
    <w:rsid w:val="008170C8"/>
    <w:rPr>
      <w:rFonts w:ascii="Arial" w:hAnsi="Arial"/>
      <w:b/>
      <w:bCs/>
      <w:szCs w:val="22"/>
      <w:lang w:eastAsia="en-US"/>
    </w:rPr>
  </w:style>
  <w:style w:type="character" w:customStyle="1" w:styleId="Nadpis7Char">
    <w:name w:val="Nadpis 7 Char"/>
    <w:basedOn w:val="Standardnpsmoodstavce"/>
    <w:link w:val="Nadpis7"/>
    <w:rsid w:val="008170C8"/>
    <w:rPr>
      <w:rFonts w:ascii="Arial" w:hAnsi="Arial"/>
      <w:i/>
      <w:sz w:val="16"/>
      <w:szCs w:val="14"/>
      <w:lang w:eastAsia="en-US"/>
    </w:rPr>
  </w:style>
  <w:style w:type="character" w:customStyle="1" w:styleId="Nadpis8Char">
    <w:name w:val="Nadpis 8 Char"/>
    <w:basedOn w:val="Standardnpsmoodstavce"/>
    <w:link w:val="Nadpis8"/>
    <w:rsid w:val="008170C8"/>
    <w:rPr>
      <w:rFonts w:ascii="Arial" w:hAnsi="Arial" w:cs="Arial"/>
      <w:b/>
      <w:bCs/>
      <w:color w:val="FF0000"/>
      <w:sz w:val="16"/>
      <w:szCs w:val="16"/>
      <w:lang w:eastAsia="en-US"/>
    </w:rPr>
  </w:style>
  <w:style w:type="character" w:customStyle="1" w:styleId="Nadpis9Char">
    <w:name w:val="Nadpis 9 Char"/>
    <w:basedOn w:val="Standardnpsmoodstavce"/>
    <w:link w:val="Nadpis9"/>
    <w:rsid w:val="008170C8"/>
    <w:rPr>
      <w:rFonts w:ascii="Arial" w:hAnsi="Arial" w:cs="Arial"/>
      <w:b/>
      <w:bCs/>
      <w:sz w:val="16"/>
      <w:szCs w:val="16"/>
      <w:lang w:eastAsia="en-US"/>
    </w:rPr>
  </w:style>
  <w:style w:type="paragraph" w:customStyle="1" w:styleId="Titulektabulky">
    <w:name w:val="Titulek tabulky"/>
    <w:basedOn w:val="Titulek"/>
    <w:qFormat/>
    <w:rsid w:val="00221DF6"/>
    <w:pPr>
      <w:spacing w:after="60"/>
    </w:pPr>
  </w:style>
  <w:style w:type="paragraph" w:styleId="Odstavecseseznamem">
    <w:name w:val="List Paragraph"/>
    <w:basedOn w:val="Normln"/>
    <w:uiPriority w:val="34"/>
    <w:qFormat/>
    <w:rsid w:val="00941239"/>
    <w:pPr>
      <w:numPr>
        <w:numId w:val="22"/>
      </w:numPr>
      <w:spacing w:line="264" w:lineRule="auto"/>
      <w:ind w:left="426"/>
      <w:contextualSpacing/>
      <w:jc w:val="both"/>
    </w:pPr>
  </w:style>
  <w:style w:type="paragraph" w:styleId="Textbubliny">
    <w:name w:val="Balloon Text"/>
    <w:basedOn w:val="Normln"/>
    <w:link w:val="TextbublinyChar"/>
    <w:semiHidden/>
    <w:unhideWhenUsed/>
    <w:rsid w:val="006435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35D7"/>
    <w:rPr>
      <w:rFonts w:ascii="Tahoma" w:hAnsi="Tahoma" w:cs="Tahoma"/>
      <w:sz w:val="16"/>
      <w:szCs w:val="16"/>
      <w:lang w:eastAsia="en-US"/>
    </w:rPr>
  </w:style>
  <w:style w:type="paragraph" w:customStyle="1" w:styleId="podtitulek">
    <w:name w:val="podtitulek"/>
    <w:basedOn w:val="Normln"/>
    <w:qFormat/>
    <w:rsid w:val="00BA3161"/>
    <w:pPr>
      <w:spacing w:before="60" w:line="240" w:lineRule="auto"/>
      <w:ind w:firstLine="709"/>
    </w:pPr>
    <w:rPr>
      <w:b/>
      <w:sz w:val="16"/>
      <w:szCs w:val="16"/>
    </w:rPr>
  </w:style>
  <w:style w:type="paragraph" w:customStyle="1" w:styleId="tabulka">
    <w:name w:val="tabulka"/>
    <w:basedOn w:val="Normln"/>
    <w:qFormat/>
    <w:rsid w:val="00BA3161"/>
    <w:pPr>
      <w:spacing w:line="240" w:lineRule="auto"/>
    </w:pPr>
    <w:rPr>
      <w:rFonts w:eastAsia="Times New Roman" w:cs="Arial"/>
      <w:color w:val="000000"/>
      <w:sz w:val="16"/>
      <w:szCs w:val="16"/>
      <w:lang w:eastAsia="cs-CZ"/>
    </w:rPr>
  </w:style>
  <w:style w:type="paragraph" w:customStyle="1" w:styleId="poznamka">
    <w:name w:val="poznamka"/>
    <w:basedOn w:val="Normln"/>
    <w:qFormat/>
    <w:rsid w:val="008A30EF"/>
    <w:pPr>
      <w:spacing w:after="60" w:line="240" w:lineRule="auto"/>
      <w:jc w:val="both"/>
    </w:pPr>
    <w:rPr>
      <w:i/>
      <w:sz w:val="14"/>
      <w:szCs w:val="14"/>
    </w:rPr>
  </w:style>
  <w:style w:type="paragraph" w:customStyle="1" w:styleId="zdroj">
    <w:name w:val="zdroj"/>
    <w:basedOn w:val="Normln"/>
    <w:qFormat/>
    <w:rsid w:val="008A30EF"/>
    <w:pPr>
      <w:spacing w:line="240" w:lineRule="auto"/>
      <w:jc w:val="right"/>
    </w:pPr>
    <w:rPr>
      <w:i/>
      <w:sz w:val="14"/>
      <w:szCs w:val="14"/>
    </w:rPr>
  </w:style>
  <w:style w:type="character" w:styleId="Hypertextovodkaz">
    <w:name w:val="Hyperlink"/>
    <w:basedOn w:val="Standardnpsmoodstavce"/>
    <w:uiPriority w:val="99"/>
    <w:unhideWhenUsed/>
    <w:rsid w:val="00FF75DD"/>
    <w:rPr>
      <w:color w:val="0000FF"/>
      <w:u w:val="single"/>
    </w:rPr>
  </w:style>
  <w:style w:type="paragraph" w:styleId="Seznamobrzk">
    <w:name w:val="table of figures"/>
    <w:basedOn w:val="Normln"/>
    <w:next w:val="Normln"/>
    <w:uiPriority w:val="99"/>
    <w:unhideWhenUsed/>
    <w:rsid w:val="00FF75DD"/>
    <w:pPr>
      <w:spacing w:before="120" w:after="200"/>
    </w:pPr>
  </w:style>
  <w:style w:type="table" w:styleId="Mkatabulky">
    <w:name w:val="Table Grid"/>
    <w:basedOn w:val="Normlntabulka"/>
    <w:uiPriority w:val="59"/>
    <w:rsid w:val="00FF75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FF75DD"/>
    <w:pPr>
      <w:spacing w:before="120" w:after="200"/>
    </w:pPr>
    <w:rPr>
      <w:szCs w:val="20"/>
    </w:rPr>
  </w:style>
  <w:style w:type="character" w:customStyle="1" w:styleId="TextpoznpodarouChar">
    <w:name w:val="Text pozn. pod čarou Char"/>
    <w:basedOn w:val="Standardnpsmoodstavce"/>
    <w:link w:val="Textpoznpodarou"/>
    <w:uiPriority w:val="99"/>
    <w:semiHidden/>
    <w:rsid w:val="00FF75DD"/>
    <w:rPr>
      <w:rFonts w:ascii="Arial" w:hAnsi="Arial"/>
      <w:lang w:eastAsia="en-US"/>
    </w:rPr>
  </w:style>
  <w:style w:type="character" w:styleId="Znakapoznpodarou">
    <w:name w:val="footnote reference"/>
    <w:basedOn w:val="Standardnpsmoodstavce"/>
    <w:uiPriority w:val="99"/>
    <w:semiHidden/>
    <w:unhideWhenUsed/>
    <w:rsid w:val="00FF75DD"/>
    <w:rPr>
      <w:vertAlign w:val="superscript"/>
    </w:rPr>
  </w:style>
  <w:style w:type="paragraph" w:styleId="Zhlav">
    <w:name w:val="header"/>
    <w:basedOn w:val="Normln"/>
    <w:link w:val="ZhlavChar"/>
    <w:uiPriority w:val="99"/>
    <w:semiHidden/>
    <w:unhideWhenUsed/>
    <w:rsid w:val="00FF75DD"/>
    <w:pPr>
      <w:tabs>
        <w:tab w:val="center" w:pos="4536"/>
        <w:tab w:val="right" w:pos="9072"/>
      </w:tabs>
      <w:spacing w:before="120" w:after="200"/>
    </w:pPr>
  </w:style>
  <w:style w:type="character" w:customStyle="1" w:styleId="ZhlavChar">
    <w:name w:val="Záhlaví Char"/>
    <w:basedOn w:val="Standardnpsmoodstavce"/>
    <w:link w:val="Zhlav"/>
    <w:uiPriority w:val="99"/>
    <w:semiHidden/>
    <w:rsid w:val="00FF75DD"/>
    <w:rPr>
      <w:rFonts w:ascii="Arial" w:hAnsi="Arial"/>
      <w:szCs w:val="22"/>
      <w:lang w:eastAsia="en-US"/>
    </w:rPr>
  </w:style>
  <w:style w:type="paragraph" w:styleId="Zpat">
    <w:name w:val="footer"/>
    <w:basedOn w:val="Normln"/>
    <w:link w:val="ZpatChar"/>
    <w:uiPriority w:val="99"/>
    <w:semiHidden/>
    <w:unhideWhenUsed/>
    <w:rsid w:val="00FF75DD"/>
    <w:pPr>
      <w:tabs>
        <w:tab w:val="center" w:pos="4536"/>
        <w:tab w:val="right" w:pos="9072"/>
      </w:tabs>
      <w:spacing w:before="120" w:after="200"/>
    </w:pPr>
  </w:style>
  <w:style w:type="character" w:customStyle="1" w:styleId="ZpatChar">
    <w:name w:val="Zápatí Char"/>
    <w:basedOn w:val="Standardnpsmoodstavce"/>
    <w:link w:val="Zpat"/>
    <w:uiPriority w:val="99"/>
    <w:semiHidden/>
    <w:rsid w:val="00FF75DD"/>
    <w:rPr>
      <w:rFonts w:ascii="Arial" w:hAnsi="Arial"/>
      <w:szCs w:val="22"/>
      <w:lang w:eastAsia="en-US"/>
    </w:rPr>
  </w:style>
  <w:style w:type="paragraph" w:styleId="Rozvrendokumentu">
    <w:name w:val="Document Map"/>
    <w:basedOn w:val="Normln"/>
    <w:link w:val="RozvrendokumentuChar"/>
    <w:uiPriority w:val="99"/>
    <w:semiHidden/>
    <w:unhideWhenUsed/>
    <w:rsid w:val="00FF75DD"/>
    <w:pPr>
      <w:spacing w:before="120" w:after="200"/>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F75DD"/>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FF75DD"/>
    <w:pPr>
      <w:spacing w:before="120" w:after="200"/>
    </w:pPr>
    <w:rPr>
      <w:szCs w:val="20"/>
    </w:rPr>
  </w:style>
  <w:style w:type="character" w:customStyle="1" w:styleId="TextvysvtlivekChar">
    <w:name w:val="Text vysvětlivek Char"/>
    <w:basedOn w:val="Standardnpsmoodstavce"/>
    <w:link w:val="Textvysvtlivek"/>
    <w:uiPriority w:val="99"/>
    <w:semiHidden/>
    <w:rsid w:val="00FF75DD"/>
    <w:rPr>
      <w:rFonts w:ascii="Arial" w:hAnsi="Arial"/>
      <w:lang w:eastAsia="en-US"/>
    </w:rPr>
  </w:style>
  <w:style w:type="character" w:styleId="Odkaznavysvtlivky">
    <w:name w:val="endnote reference"/>
    <w:basedOn w:val="Standardnpsmoodstavce"/>
    <w:uiPriority w:val="99"/>
    <w:semiHidden/>
    <w:unhideWhenUsed/>
    <w:rsid w:val="00FF75DD"/>
    <w:rPr>
      <w:vertAlign w:val="superscript"/>
    </w:rPr>
  </w:style>
  <w:style w:type="character" w:styleId="Odkaznakoment">
    <w:name w:val="annotation reference"/>
    <w:basedOn w:val="Standardnpsmoodstavce"/>
    <w:uiPriority w:val="99"/>
    <w:semiHidden/>
    <w:unhideWhenUsed/>
    <w:rsid w:val="00FF75DD"/>
    <w:rPr>
      <w:sz w:val="16"/>
      <w:szCs w:val="16"/>
    </w:rPr>
  </w:style>
  <w:style w:type="paragraph" w:styleId="Textkomente">
    <w:name w:val="annotation text"/>
    <w:basedOn w:val="Normln"/>
    <w:link w:val="TextkomenteChar"/>
    <w:uiPriority w:val="99"/>
    <w:semiHidden/>
    <w:unhideWhenUsed/>
    <w:rsid w:val="00FF75DD"/>
    <w:pPr>
      <w:spacing w:before="120" w:after="200"/>
    </w:pPr>
    <w:rPr>
      <w:szCs w:val="20"/>
    </w:rPr>
  </w:style>
  <w:style w:type="character" w:customStyle="1" w:styleId="TextkomenteChar">
    <w:name w:val="Text komentáře Char"/>
    <w:basedOn w:val="Standardnpsmoodstavce"/>
    <w:link w:val="Textkomente"/>
    <w:uiPriority w:val="99"/>
    <w:semiHidden/>
    <w:rsid w:val="00FF75DD"/>
    <w:rPr>
      <w:rFonts w:ascii="Arial" w:hAnsi="Arial"/>
      <w:lang w:eastAsia="en-US"/>
    </w:rPr>
  </w:style>
  <w:style w:type="paragraph" w:styleId="Pedmtkomente">
    <w:name w:val="annotation subject"/>
    <w:basedOn w:val="Textkomente"/>
    <w:next w:val="Textkomente"/>
    <w:link w:val="PedmtkomenteChar"/>
    <w:uiPriority w:val="99"/>
    <w:semiHidden/>
    <w:unhideWhenUsed/>
    <w:rsid w:val="00FF75DD"/>
    <w:rPr>
      <w:b/>
      <w:bCs/>
    </w:rPr>
  </w:style>
  <w:style w:type="character" w:customStyle="1" w:styleId="PedmtkomenteChar">
    <w:name w:val="Předmět komentáře Char"/>
    <w:basedOn w:val="TextkomenteChar"/>
    <w:link w:val="Pedmtkomente"/>
    <w:uiPriority w:val="99"/>
    <w:semiHidden/>
    <w:rsid w:val="00FF75DD"/>
    <w:rPr>
      <w:b/>
      <w:bCs/>
    </w:rPr>
  </w:style>
  <w:style w:type="paragraph" w:styleId="Nadpisobsahu">
    <w:name w:val="TOC Heading"/>
    <w:basedOn w:val="Nadpis1"/>
    <w:next w:val="Normln"/>
    <w:uiPriority w:val="39"/>
    <w:semiHidden/>
    <w:unhideWhenUsed/>
    <w:qFormat/>
    <w:rsid w:val="00FF75DD"/>
    <w:pPr>
      <w:keepLines/>
      <w:numPr>
        <w:numId w:val="0"/>
      </w:numPr>
      <w:spacing w:before="480" w:after="0" w:line="276" w:lineRule="auto"/>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FF75DD"/>
    <w:pPr>
      <w:spacing w:before="120" w:after="200"/>
    </w:pPr>
  </w:style>
  <w:style w:type="paragraph" w:styleId="Obsah2">
    <w:name w:val="toc 2"/>
    <w:basedOn w:val="Normln"/>
    <w:next w:val="Normln"/>
    <w:autoRedefine/>
    <w:uiPriority w:val="39"/>
    <w:unhideWhenUsed/>
    <w:rsid w:val="00FF75DD"/>
    <w:pPr>
      <w:spacing w:before="120" w:after="200"/>
      <w:ind w:left="200"/>
    </w:pPr>
  </w:style>
</w:styles>
</file>

<file path=word/webSettings.xml><?xml version="1.0" encoding="utf-8"?>
<w:webSettings xmlns:r="http://schemas.openxmlformats.org/officeDocument/2006/relationships" xmlns:w="http://schemas.openxmlformats.org/wordprocessingml/2006/main">
  <w:divs>
    <w:div w:id="55977532">
      <w:bodyDiv w:val="1"/>
      <w:marLeft w:val="0"/>
      <w:marRight w:val="0"/>
      <w:marTop w:val="0"/>
      <w:marBottom w:val="0"/>
      <w:divBdr>
        <w:top w:val="none" w:sz="0" w:space="0" w:color="auto"/>
        <w:left w:val="none" w:sz="0" w:space="0" w:color="auto"/>
        <w:bottom w:val="none" w:sz="0" w:space="0" w:color="auto"/>
        <w:right w:val="none" w:sz="0" w:space="0" w:color="auto"/>
      </w:divBdr>
    </w:div>
    <w:div w:id="149947333">
      <w:bodyDiv w:val="1"/>
      <w:marLeft w:val="0"/>
      <w:marRight w:val="0"/>
      <w:marTop w:val="0"/>
      <w:marBottom w:val="0"/>
      <w:divBdr>
        <w:top w:val="none" w:sz="0" w:space="0" w:color="auto"/>
        <w:left w:val="none" w:sz="0" w:space="0" w:color="auto"/>
        <w:bottom w:val="none" w:sz="0" w:space="0" w:color="auto"/>
        <w:right w:val="none" w:sz="0" w:space="0" w:color="auto"/>
      </w:divBdr>
    </w:div>
    <w:div w:id="352652259">
      <w:bodyDiv w:val="1"/>
      <w:marLeft w:val="0"/>
      <w:marRight w:val="0"/>
      <w:marTop w:val="0"/>
      <w:marBottom w:val="0"/>
      <w:divBdr>
        <w:top w:val="none" w:sz="0" w:space="0" w:color="auto"/>
        <w:left w:val="none" w:sz="0" w:space="0" w:color="auto"/>
        <w:bottom w:val="none" w:sz="0" w:space="0" w:color="auto"/>
        <w:right w:val="none" w:sz="0" w:space="0" w:color="auto"/>
      </w:divBdr>
    </w:div>
    <w:div w:id="526406886">
      <w:bodyDiv w:val="1"/>
      <w:marLeft w:val="0"/>
      <w:marRight w:val="0"/>
      <w:marTop w:val="0"/>
      <w:marBottom w:val="0"/>
      <w:divBdr>
        <w:top w:val="none" w:sz="0" w:space="0" w:color="auto"/>
        <w:left w:val="none" w:sz="0" w:space="0" w:color="auto"/>
        <w:bottom w:val="none" w:sz="0" w:space="0" w:color="auto"/>
        <w:right w:val="none" w:sz="0" w:space="0" w:color="auto"/>
      </w:divBdr>
    </w:div>
    <w:div w:id="589893270">
      <w:bodyDiv w:val="1"/>
      <w:marLeft w:val="0"/>
      <w:marRight w:val="0"/>
      <w:marTop w:val="0"/>
      <w:marBottom w:val="0"/>
      <w:divBdr>
        <w:top w:val="none" w:sz="0" w:space="0" w:color="auto"/>
        <w:left w:val="none" w:sz="0" w:space="0" w:color="auto"/>
        <w:bottom w:val="none" w:sz="0" w:space="0" w:color="auto"/>
        <w:right w:val="none" w:sz="0" w:space="0" w:color="auto"/>
      </w:divBdr>
    </w:div>
    <w:div w:id="774667524">
      <w:bodyDiv w:val="1"/>
      <w:marLeft w:val="0"/>
      <w:marRight w:val="0"/>
      <w:marTop w:val="0"/>
      <w:marBottom w:val="0"/>
      <w:divBdr>
        <w:top w:val="none" w:sz="0" w:space="0" w:color="auto"/>
        <w:left w:val="none" w:sz="0" w:space="0" w:color="auto"/>
        <w:bottom w:val="none" w:sz="0" w:space="0" w:color="auto"/>
        <w:right w:val="none" w:sz="0" w:space="0" w:color="auto"/>
      </w:divBdr>
    </w:div>
    <w:div w:id="806119533">
      <w:bodyDiv w:val="1"/>
      <w:marLeft w:val="0"/>
      <w:marRight w:val="0"/>
      <w:marTop w:val="0"/>
      <w:marBottom w:val="0"/>
      <w:divBdr>
        <w:top w:val="none" w:sz="0" w:space="0" w:color="auto"/>
        <w:left w:val="none" w:sz="0" w:space="0" w:color="auto"/>
        <w:bottom w:val="none" w:sz="0" w:space="0" w:color="auto"/>
        <w:right w:val="none" w:sz="0" w:space="0" w:color="auto"/>
      </w:divBdr>
    </w:div>
    <w:div w:id="897325676">
      <w:bodyDiv w:val="1"/>
      <w:marLeft w:val="0"/>
      <w:marRight w:val="0"/>
      <w:marTop w:val="0"/>
      <w:marBottom w:val="0"/>
      <w:divBdr>
        <w:top w:val="none" w:sz="0" w:space="0" w:color="auto"/>
        <w:left w:val="none" w:sz="0" w:space="0" w:color="auto"/>
        <w:bottom w:val="none" w:sz="0" w:space="0" w:color="auto"/>
        <w:right w:val="none" w:sz="0" w:space="0" w:color="auto"/>
      </w:divBdr>
    </w:div>
    <w:div w:id="1211844572">
      <w:bodyDiv w:val="1"/>
      <w:marLeft w:val="0"/>
      <w:marRight w:val="0"/>
      <w:marTop w:val="0"/>
      <w:marBottom w:val="0"/>
      <w:divBdr>
        <w:top w:val="none" w:sz="0" w:space="0" w:color="auto"/>
        <w:left w:val="none" w:sz="0" w:space="0" w:color="auto"/>
        <w:bottom w:val="none" w:sz="0" w:space="0" w:color="auto"/>
        <w:right w:val="none" w:sz="0" w:space="0" w:color="auto"/>
      </w:divBdr>
    </w:div>
    <w:div w:id="1546016448">
      <w:bodyDiv w:val="1"/>
      <w:marLeft w:val="0"/>
      <w:marRight w:val="0"/>
      <w:marTop w:val="0"/>
      <w:marBottom w:val="0"/>
      <w:divBdr>
        <w:top w:val="none" w:sz="0" w:space="0" w:color="auto"/>
        <w:left w:val="none" w:sz="0" w:space="0" w:color="auto"/>
        <w:bottom w:val="none" w:sz="0" w:space="0" w:color="auto"/>
        <w:right w:val="none" w:sz="0" w:space="0" w:color="auto"/>
      </w:divBdr>
    </w:div>
    <w:div w:id="1696082104">
      <w:bodyDiv w:val="1"/>
      <w:marLeft w:val="0"/>
      <w:marRight w:val="0"/>
      <w:marTop w:val="0"/>
      <w:marBottom w:val="0"/>
      <w:divBdr>
        <w:top w:val="none" w:sz="0" w:space="0" w:color="auto"/>
        <w:left w:val="none" w:sz="0" w:space="0" w:color="auto"/>
        <w:bottom w:val="none" w:sz="0" w:space="0" w:color="auto"/>
        <w:right w:val="none" w:sz="0" w:space="0" w:color="auto"/>
      </w:divBdr>
    </w:div>
    <w:div w:id="1756823916">
      <w:bodyDiv w:val="1"/>
      <w:marLeft w:val="0"/>
      <w:marRight w:val="0"/>
      <w:marTop w:val="0"/>
      <w:marBottom w:val="0"/>
      <w:divBdr>
        <w:top w:val="none" w:sz="0" w:space="0" w:color="auto"/>
        <w:left w:val="none" w:sz="0" w:space="0" w:color="auto"/>
        <w:bottom w:val="none" w:sz="0" w:space="0" w:color="auto"/>
        <w:right w:val="none" w:sz="0" w:space="0" w:color="auto"/>
      </w:divBdr>
    </w:div>
    <w:div w:id="1899510426">
      <w:bodyDiv w:val="1"/>
      <w:marLeft w:val="0"/>
      <w:marRight w:val="0"/>
      <w:marTop w:val="0"/>
      <w:marBottom w:val="0"/>
      <w:divBdr>
        <w:top w:val="none" w:sz="0" w:space="0" w:color="auto"/>
        <w:left w:val="none" w:sz="0" w:space="0" w:color="auto"/>
        <w:bottom w:val="none" w:sz="0" w:space="0" w:color="auto"/>
        <w:right w:val="none" w:sz="0" w:space="0" w:color="auto"/>
      </w:divBdr>
    </w:div>
    <w:div w:id="21122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0C1A-FF8D-42DC-917A-39AE3D1A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5705</Words>
  <Characters>33665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peroutkova6027</dc:creator>
  <cp:keywords/>
  <dc:description/>
  <cp:lastModifiedBy>System Service</cp:lastModifiedBy>
  <cp:revision>2</cp:revision>
  <cp:lastPrinted>2013-01-02T08:27:00Z</cp:lastPrinted>
  <dcterms:created xsi:type="dcterms:W3CDTF">2014-01-16T12:51:00Z</dcterms:created>
  <dcterms:modified xsi:type="dcterms:W3CDTF">2014-01-16T12:51:00Z</dcterms:modified>
</cp:coreProperties>
</file>