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4806C8D2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8005CD">
        <w:rPr>
          <w:rFonts w:ascii="Arial" w:hAnsi="Arial" w:cs="Arial"/>
          <w:b/>
          <w:color w:val="BD1B21"/>
          <w:sz w:val="30"/>
          <w:szCs w:val="30"/>
        </w:rPr>
        <w:t>2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FF1256">
        <w:rPr>
          <w:rFonts w:ascii="Arial" w:hAnsi="Arial" w:cs="Arial"/>
          <w:b/>
          <w:color w:val="BD1B21"/>
          <w:sz w:val="30"/>
          <w:szCs w:val="30"/>
        </w:rPr>
        <w:t>2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0FE24F83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2C76A14C" w14:textId="77777777" w:rsidR="002817E0" w:rsidRDefault="002817E0" w:rsidP="002817E0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5547162D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 xml:space="preserve">Jolana Gubalová, Petra Medveďová, Jana Špirková: </w:t>
      </w:r>
    </w:p>
    <w:p w14:paraId="232AA639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The Global Pension Index of Slovakia</w:t>
      </w:r>
    </w:p>
    <w:p w14:paraId="3637A56F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0FD26D2B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Peter Pisár, Alexandra Mertinková, Miroslav Šipikal, Mária Stachová</w:t>
      </w:r>
      <w:r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6B2B5EF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The Importance of Determinants of Transition from U</w:t>
      </w:r>
      <w:r>
        <w:rPr>
          <w:rFonts w:ascii="Arial" w:eastAsia="Calibri" w:hAnsi="Arial" w:cs="Arial"/>
          <w:i/>
          <w:sz w:val="20"/>
          <w:szCs w:val="20"/>
        </w:rPr>
        <w:t xml:space="preserve">nemployment to Self-Employment: Evidence from Slovak </w:t>
      </w:r>
      <w:r w:rsidRPr="00E24C22">
        <w:rPr>
          <w:rFonts w:ascii="Arial" w:eastAsia="Calibri" w:hAnsi="Arial" w:cs="Arial"/>
          <w:i/>
          <w:sz w:val="20"/>
          <w:szCs w:val="20"/>
        </w:rPr>
        <w:t>Micro-Data</w:t>
      </w:r>
    </w:p>
    <w:p w14:paraId="60FA44D9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C302D6B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Havanur Ergün Tatar, Gökhan Konat, Mehmet Temiz</w:t>
      </w:r>
      <w:r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F4B53FC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 xml:space="preserve">The Relationship between Financial Development, Trade </w:t>
      </w:r>
      <w:r>
        <w:rPr>
          <w:rFonts w:ascii="Arial" w:eastAsia="Calibri" w:hAnsi="Arial" w:cs="Arial"/>
          <w:i/>
          <w:sz w:val="20"/>
          <w:szCs w:val="20"/>
        </w:rPr>
        <w:t xml:space="preserve">Openness and Economic Growth in Turkey: Evidence </w:t>
      </w:r>
      <w:r w:rsidRPr="00E24C22">
        <w:rPr>
          <w:rFonts w:ascii="Arial" w:eastAsia="Calibri" w:hAnsi="Arial" w:cs="Arial"/>
          <w:i/>
          <w:sz w:val="20"/>
          <w:szCs w:val="20"/>
        </w:rPr>
        <w:t>from Fourier Tests</w:t>
      </w:r>
    </w:p>
    <w:p w14:paraId="67E1DCF6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5EE6B137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Sonu Madan, Surender Mor</w:t>
      </w:r>
      <w:r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32981BE" w14:textId="77777777" w:rsidR="008005CD" w:rsidRPr="00E24C22" w:rsidRDefault="008005CD" w:rsidP="008005CD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Is Gender Earnings Gap a Reality? Signals from Indian Labour Market</w:t>
      </w:r>
    </w:p>
    <w:p w14:paraId="7A632C0A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99D698D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Fatih Chellai</w:t>
      </w:r>
      <w:r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6E7320C" w14:textId="77777777" w:rsidR="008005CD" w:rsidRPr="00E24C22" w:rsidRDefault="008005CD" w:rsidP="008005CD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Application of the Hybrid Forecasting Models to Road Traffic Accidents in Algeria</w:t>
      </w:r>
    </w:p>
    <w:p w14:paraId="5E77B872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1EBCF32" w14:textId="77777777" w:rsidR="008005CD" w:rsidRPr="00E24C22" w:rsidRDefault="008005CD" w:rsidP="008005C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E24C22">
        <w:rPr>
          <w:rFonts w:ascii="Arial" w:hAnsi="Arial" w:cs="Arial"/>
          <w:b/>
          <w:sz w:val="20"/>
          <w:szCs w:val="20"/>
        </w:rPr>
        <w:t>Juraj Medzihorský, Peter Krištofík</w:t>
      </w:r>
      <w:r w:rsidRPr="00E24C22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E788C94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Can Individual Human Financial Behaviour Be Mathematically</w:t>
      </w:r>
      <w:r>
        <w:rPr>
          <w:rFonts w:ascii="Arial" w:eastAsia="Calibri" w:hAnsi="Arial" w:cs="Arial"/>
          <w:i/>
          <w:sz w:val="20"/>
          <w:szCs w:val="20"/>
        </w:rPr>
        <w:t xml:space="preserve"> Modelled? A Case Study of Elon Musk’s Dogecoin </w:t>
      </w:r>
      <w:r w:rsidRPr="00E24C22">
        <w:rPr>
          <w:rFonts w:ascii="Arial" w:eastAsia="Calibri" w:hAnsi="Arial" w:cs="Arial"/>
          <w:i/>
          <w:sz w:val="20"/>
          <w:szCs w:val="20"/>
        </w:rPr>
        <w:t>Tweets</w:t>
      </w:r>
    </w:p>
    <w:p w14:paraId="31B5D452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79F1D5D" w14:textId="77777777" w:rsidR="008005CD" w:rsidRPr="00E24C22" w:rsidRDefault="008005CD" w:rsidP="008005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b/>
          <w:sz w:val="20"/>
          <w:szCs w:val="20"/>
        </w:rPr>
        <w:t>Jaromír Antoch, Francesco Mola, Ondřej Vozár</w:t>
      </w:r>
      <w:r w:rsidRPr="00E24C22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1E364EE1" w14:textId="77777777" w:rsidR="008005CD" w:rsidRPr="00E24C22" w:rsidRDefault="008005CD" w:rsidP="008005CD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24C22">
        <w:rPr>
          <w:rFonts w:ascii="Arial" w:eastAsia="Calibri" w:hAnsi="Arial" w:cs="Arial"/>
          <w:i/>
          <w:sz w:val="20"/>
          <w:szCs w:val="20"/>
        </w:rPr>
        <w:t>New Randomized Response Technique for Estimating the Pop</w:t>
      </w:r>
      <w:r>
        <w:rPr>
          <w:rFonts w:ascii="Arial" w:eastAsia="Calibri" w:hAnsi="Arial" w:cs="Arial"/>
          <w:i/>
          <w:sz w:val="20"/>
          <w:szCs w:val="20"/>
        </w:rPr>
        <w:t xml:space="preserve">ulation Total of a Quantitative </w:t>
      </w:r>
      <w:r w:rsidRPr="00E24C22">
        <w:rPr>
          <w:rFonts w:ascii="Arial" w:eastAsia="Calibri" w:hAnsi="Arial" w:cs="Arial"/>
          <w:i/>
          <w:sz w:val="20"/>
          <w:szCs w:val="20"/>
        </w:rPr>
        <w:t>Variable</w:t>
      </w:r>
    </w:p>
    <w:p w14:paraId="651ADDF7" w14:textId="77777777" w:rsidR="008005CD" w:rsidRDefault="008005CD" w:rsidP="002817E0">
      <w:pPr>
        <w:spacing w:before="240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24CBF2F7" w:rsidR="00B050AD" w:rsidRPr="00B050AD" w:rsidRDefault="00B050AD" w:rsidP="002817E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2817E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website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: </w:t>
      </w:r>
      <w:hyperlink r:id="rId8" w:history="1">
        <w:r w:rsidRPr="00B050AD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21BCFB77" w14:textId="705D7E6C" w:rsidR="004A34CE" w:rsidRPr="002817E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2C0C38F0" w14:textId="23562137" w:rsidR="00A11F63" w:rsidRPr="009B667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7E660" w14:textId="77777777" w:rsidR="00D31B66" w:rsidRDefault="00D31B66" w:rsidP="00A579D5">
      <w:r>
        <w:separator/>
      </w:r>
    </w:p>
  </w:endnote>
  <w:endnote w:type="continuationSeparator" w:id="0">
    <w:p w14:paraId="362A06CE" w14:textId="77777777" w:rsidR="00D31B66" w:rsidRDefault="00D31B66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BD08" w14:textId="77777777" w:rsidR="00D31B66" w:rsidRDefault="00D31B66" w:rsidP="00A579D5">
      <w:r>
        <w:separator/>
      </w:r>
    </w:p>
  </w:footnote>
  <w:footnote w:type="continuationSeparator" w:id="0">
    <w:p w14:paraId="1046429E" w14:textId="77777777" w:rsidR="00D31B66" w:rsidRDefault="00D31B66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E1781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31B66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2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FC83E-DE81-4C49-A931-1B295955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2022-06-09T17:31:00Z</dcterms:created>
  <dcterms:modified xsi:type="dcterms:W3CDTF">2022-06-15T10:42:00Z</dcterms:modified>
</cp:coreProperties>
</file>