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FD4" w:rsidRDefault="00F11E12" w:rsidP="00F11E12">
      <w:pPr>
        <w:jc w:val="left"/>
        <w:rPr>
          <w:b/>
          <w:bCs/>
          <w:sz w:val="22"/>
          <w:szCs w:val="22"/>
          <w:lang w:val="en-AU"/>
        </w:rPr>
      </w:pPr>
      <w:bookmarkStart w:id="0" w:name="_GoBack"/>
      <w:bookmarkEnd w:id="0"/>
      <w:r w:rsidRPr="00AF4026">
        <w:rPr>
          <w:b/>
          <w:bCs/>
          <w:sz w:val="22"/>
          <w:szCs w:val="22"/>
          <w:lang w:val="en-AU"/>
        </w:rPr>
        <w:t xml:space="preserve">International trade </w:t>
      </w:r>
      <w:r w:rsidR="00C04808" w:rsidRPr="00AF4026">
        <w:rPr>
          <w:b/>
          <w:bCs/>
          <w:sz w:val="22"/>
          <w:szCs w:val="22"/>
          <w:lang w:val="en-AU"/>
        </w:rPr>
        <w:t>in goods (change of ownership)</w:t>
      </w:r>
      <w:r w:rsidR="00C04808" w:rsidRPr="00AF4026">
        <w:rPr>
          <w:rStyle w:val="Znakapoznpodarou"/>
          <w:b/>
          <w:bCs/>
          <w:sz w:val="22"/>
          <w:szCs w:val="22"/>
          <w:lang w:val="en-AU"/>
        </w:rPr>
        <w:footnoteReference w:id="1"/>
      </w:r>
      <w:r w:rsidR="00C04808" w:rsidRPr="00AF4026">
        <w:rPr>
          <w:b/>
          <w:bCs/>
          <w:sz w:val="22"/>
          <w:szCs w:val="22"/>
          <w:lang w:val="en-AU"/>
        </w:rPr>
        <w:t xml:space="preserve"> </w:t>
      </w:r>
      <w:r w:rsidRPr="00AF4026">
        <w:rPr>
          <w:rFonts w:cs="Arial"/>
          <w:b/>
          <w:sz w:val="22"/>
          <w:szCs w:val="22"/>
          <w:lang w:val="en-AU"/>
        </w:rPr>
        <w:t>of the Czech Republic</w:t>
      </w:r>
      <w:r w:rsidRPr="00AF4026">
        <w:rPr>
          <w:b/>
          <w:bCs/>
          <w:sz w:val="22"/>
          <w:szCs w:val="22"/>
          <w:lang w:val="en-AU"/>
        </w:rPr>
        <w:t xml:space="preserve"> in 20</w:t>
      </w:r>
      <w:r w:rsidR="003D126E" w:rsidRPr="00AF4026">
        <w:rPr>
          <w:b/>
          <w:bCs/>
          <w:sz w:val="22"/>
          <w:szCs w:val="22"/>
          <w:lang w:val="en-AU"/>
        </w:rPr>
        <w:t>2</w:t>
      </w:r>
      <w:r w:rsidR="00655AF8">
        <w:rPr>
          <w:b/>
          <w:bCs/>
          <w:sz w:val="22"/>
          <w:szCs w:val="22"/>
          <w:lang w:val="en-AU"/>
        </w:rPr>
        <w:t>4</w:t>
      </w:r>
      <w:r w:rsidR="003B34AA">
        <w:rPr>
          <w:rStyle w:val="Znakapoznpodarou"/>
          <w:b/>
          <w:bCs/>
          <w:sz w:val="22"/>
          <w:szCs w:val="22"/>
          <w:lang w:val="en-AU"/>
        </w:rPr>
        <w:footnoteReference w:id="2"/>
      </w:r>
    </w:p>
    <w:p w:rsidR="00FC2777" w:rsidRPr="00AF4026" w:rsidRDefault="00FC2777" w:rsidP="00F11E12">
      <w:pPr>
        <w:jc w:val="left"/>
        <w:rPr>
          <w:b/>
          <w:bCs/>
          <w:sz w:val="22"/>
          <w:szCs w:val="22"/>
          <w:lang w:val="en-AU"/>
        </w:rPr>
      </w:pPr>
    </w:p>
    <w:p w:rsidR="000F2FD4" w:rsidRPr="00AF4026" w:rsidRDefault="000F2FD4">
      <w:pPr>
        <w:jc w:val="center"/>
        <w:rPr>
          <w:b/>
          <w:bCs/>
          <w:sz w:val="18"/>
          <w:lang w:val="en-AU"/>
        </w:rPr>
      </w:pPr>
    </w:p>
    <w:p w:rsidR="00655AF8" w:rsidRPr="00962655" w:rsidRDefault="00962655" w:rsidP="00D547E9">
      <w:pPr>
        <w:spacing w:after="160"/>
        <w:rPr>
          <w:sz w:val="18"/>
          <w:szCs w:val="18"/>
          <w:lang w:val="en-GB"/>
        </w:rPr>
      </w:pPr>
      <w:r w:rsidRPr="00962655">
        <w:rPr>
          <w:sz w:val="18"/>
          <w:szCs w:val="18"/>
          <w:lang w:val="en-GB"/>
        </w:rPr>
        <w:t xml:space="preserve">After a slight decline in 2023, </w:t>
      </w:r>
      <w:r>
        <w:rPr>
          <w:sz w:val="18"/>
          <w:szCs w:val="18"/>
          <w:lang w:val="en-GB"/>
        </w:rPr>
        <w:t>international</w:t>
      </w:r>
      <w:r w:rsidRPr="00962655">
        <w:rPr>
          <w:sz w:val="18"/>
          <w:szCs w:val="18"/>
          <w:lang w:val="en-GB"/>
        </w:rPr>
        <w:t xml:space="preserve"> trade in goods</w:t>
      </w:r>
      <w:r>
        <w:rPr>
          <w:sz w:val="18"/>
          <w:szCs w:val="18"/>
          <w:lang w:val="en-GB"/>
        </w:rPr>
        <w:t xml:space="preserve"> (change of ownership)</w:t>
      </w:r>
      <w:r w:rsidRPr="00962655">
        <w:rPr>
          <w:sz w:val="18"/>
          <w:szCs w:val="18"/>
          <w:lang w:val="en-GB"/>
        </w:rPr>
        <w:t xml:space="preserve"> grew again in 2024. Compared to 2023, </w:t>
      </w:r>
      <w:r>
        <w:rPr>
          <w:sz w:val="18"/>
          <w:szCs w:val="18"/>
          <w:lang w:val="en-GB"/>
        </w:rPr>
        <w:t>international</w:t>
      </w:r>
      <w:r w:rsidRPr="00962655">
        <w:rPr>
          <w:sz w:val="18"/>
          <w:szCs w:val="18"/>
          <w:lang w:val="en-GB"/>
        </w:rPr>
        <w:t xml:space="preserve"> trade in goods increased by 3.9%, which in absolute terms represents growt</w:t>
      </w:r>
      <w:r w:rsidR="000B47D5">
        <w:rPr>
          <w:sz w:val="18"/>
          <w:szCs w:val="18"/>
          <w:lang w:val="en-GB"/>
        </w:rPr>
        <w:t xml:space="preserve">h of CZK 343.5 </w:t>
      </w:r>
      <w:r w:rsidR="007230AA">
        <w:rPr>
          <w:sz w:val="18"/>
          <w:szCs w:val="18"/>
          <w:lang w:val="en-GB"/>
        </w:rPr>
        <w:t>billion (</w:t>
      </w:r>
      <w:proofErr w:type="spellStart"/>
      <w:r w:rsidR="000B47D5">
        <w:rPr>
          <w:sz w:val="18"/>
          <w:szCs w:val="18"/>
          <w:lang w:val="en-GB"/>
        </w:rPr>
        <w:t>bn</w:t>
      </w:r>
      <w:proofErr w:type="spellEnd"/>
      <w:r w:rsidR="007230AA">
        <w:rPr>
          <w:sz w:val="18"/>
          <w:szCs w:val="18"/>
          <w:lang w:val="en-GB"/>
        </w:rPr>
        <w:t>). The </w:t>
      </w:r>
      <w:r w:rsidR="000B47D5">
        <w:rPr>
          <w:sz w:val="18"/>
          <w:szCs w:val="18"/>
          <w:lang w:val="en-GB"/>
        </w:rPr>
        <w:t>value of </w:t>
      </w:r>
      <w:r w:rsidRPr="00962655">
        <w:rPr>
          <w:sz w:val="18"/>
          <w:szCs w:val="18"/>
          <w:lang w:val="en-GB"/>
        </w:rPr>
        <w:t xml:space="preserve">turnover in 2024 reached CZK 9,105.9 </w:t>
      </w:r>
      <w:proofErr w:type="spellStart"/>
      <w:r w:rsidRPr="00962655">
        <w:rPr>
          <w:sz w:val="18"/>
          <w:szCs w:val="18"/>
          <w:lang w:val="en-GB"/>
        </w:rPr>
        <w:t>bn</w:t>
      </w:r>
      <w:proofErr w:type="spellEnd"/>
      <w:r w:rsidRPr="00962655">
        <w:rPr>
          <w:sz w:val="18"/>
          <w:szCs w:val="18"/>
          <w:lang w:val="en-GB"/>
        </w:rPr>
        <w:t>, the highest since the establishment of the Czech Republic.</w:t>
      </w:r>
    </w:p>
    <w:p w:rsidR="00962655" w:rsidRDefault="00655AF8" w:rsidP="00D547E9">
      <w:pPr>
        <w:spacing w:after="160"/>
        <w:rPr>
          <w:sz w:val="18"/>
          <w:szCs w:val="18"/>
          <w:lang w:val="en-GB"/>
        </w:rPr>
      </w:pPr>
      <w:r w:rsidRPr="00655AF8">
        <w:rPr>
          <w:b/>
          <w:bCs/>
          <w:sz w:val="18"/>
          <w:szCs w:val="18"/>
          <w:lang w:val="en-GB"/>
        </w:rPr>
        <w:t>Final 2024 data </w:t>
      </w:r>
      <w:r w:rsidRPr="00655AF8">
        <w:rPr>
          <w:sz w:val="18"/>
          <w:szCs w:val="18"/>
          <w:lang w:val="en-GB"/>
        </w:rPr>
        <w:t>on international trade in goods says, that y</w:t>
      </w:r>
      <w:r>
        <w:rPr>
          <w:sz w:val="18"/>
          <w:szCs w:val="18"/>
          <w:lang w:val="en-GB"/>
        </w:rPr>
        <w:t>-</w:t>
      </w:r>
      <w:r w:rsidRPr="00655AF8">
        <w:rPr>
          <w:sz w:val="18"/>
          <w:szCs w:val="18"/>
          <w:lang w:val="en-GB"/>
        </w:rPr>
        <w:t>o</w:t>
      </w:r>
      <w:r>
        <w:rPr>
          <w:sz w:val="18"/>
          <w:szCs w:val="18"/>
          <w:lang w:val="en-GB"/>
        </w:rPr>
        <w:t>-</w:t>
      </w:r>
      <w:r w:rsidRPr="00655AF8">
        <w:rPr>
          <w:sz w:val="18"/>
          <w:szCs w:val="18"/>
          <w:lang w:val="en-GB"/>
        </w:rPr>
        <w:t>y exports grew by 5.0% to CZK 4 663.2 </w:t>
      </w:r>
      <w:proofErr w:type="spellStart"/>
      <w:r w:rsidRPr="00655AF8">
        <w:rPr>
          <w:sz w:val="18"/>
          <w:szCs w:val="18"/>
          <w:lang w:val="en-GB"/>
        </w:rPr>
        <w:t>bn</w:t>
      </w:r>
      <w:proofErr w:type="spellEnd"/>
      <w:r w:rsidRPr="00655AF8">
        <w:rPr>
          <w:sz w:val="18"/>
          <w:szCs w:val="18"/>
          <w:lang w:val="en-GB"/>
        </w:rPr>
        <w:t xml:space="preserve"> and imports rose by 2.8% to CZK 4 442.7 bn. </w:t>
      </w:r>
    </w:p>
    <w:p w:rsidR="00655AF8" w:rsidRPr="00655AF8" w:rsidRDefault="00655AF8" w:rsidP="00D547E9">
      <w:pPr>
        <w:spacing w:after="160"/>
        <w:rPr>
          <w:sz w:val="18"/>
          <w:szCs w:val="18"/>
          <w:lang w:val="en-GB"/>
        </w:rPr>
      </w:pPr>
      <w:r w:rsidRPr="000B47D5">
        <w:rPr>
          <w:b/>
          <w:sz w:val="18"/>
          <w:szCs w:val="18"/>
          <w:lang w:val="en-GB"/>
        </w:rPr>
        <w:t>Balance of international trade in goods</w:t>
      </w:r>
      <w:r w:rsidRPr="00655AF8">
        <w:rPr>
          <w:sz w:val="18"/>
          <w:szCs w:val="18"/>
          <w:lang w:val="en-GB"/>
        </w:rPr>
        <w:t xml:space="preserve"> for the year 2024 ended in a surplus of CZK</w:t>
      </w:r>
      <w:r w:rsidR="000B47D5">
        <w:rPr>
          <w:sz w:val="18"/>
          <w:szCs w:val="18"/>
          <w:lang w:val="en-GB"/>
        </w:rPr>
        <w:t xml:space="preserve"> 220.5 </w:t>
      </w:r>
      <w:proofErr w:type="spellStart"/>
      <w:r w:rsidR="000B47D5">
        <w:rPr>
          <w:sz w:val="18"/>
          <w:szCs w:val="18"/>
          <w:lang w:val="en-GB"/>
        </w:rPr>
        <w:t>bn</w:t>
      </w:r>
      <w:proofErr w:type="spellEnd"/>
      <w:r w:rsidR="000B47D5">
        <w:rPr>
          <w:sz w:val="18"/>
          <w:szCs w:val="18"/>
          <w:lang w:val="en-GB"/>
        </w:rPr>
        <w:t xml:space="preserve"> which was by CZK 98.0 </w:t>
      </w:r>
      <w:proofErr w:type="spellStart"/>
      <w:r w:rsidRPr="00655AF8">
        <w:rPr>
          <w:sz w:val="18"/>
          <w:szCs w:val="18"/>
          <w:lang w:val="en-GB"/>
        </w:rPr>
        <w:t>bn</w:t>
      </w:r>
      <w:proofErr w:type="spellEnd"/>
      <w:r w:rsidRPr="00655AF8">
        <w:rPr>
          <w:sz w:val="18"/>
          <w:szCs w:val="18"/>
          <w:lang w:val="en-GB"/>
        </w:rPr>
        <w:t xml:space="preserve"> higher than in 2023.</w:t>
      </w:r>
      <w:r w:rsidR="005B2272">
        <w:rPr>
          <w:sz w:val="18"/>
          <w:szCs w:val="18"/>
          <w:lang w:val="en-GB"/>
        </w:rPr>
        <w:t xml:space="preserve"> </w:t>
      </w:r>
      <w:r w:rsidR="005B2272" w:rsidRPr="005B2272">
        <w:rPr>
          <w:sz w:val="18"/>
          <w:szCs w:val="18"/>
          <w:lang w:val="en-GB"/>
        </w:rPr>
        <w:t xml:space="preserve">The </w:t>
      </w:r>
      <w:r w:rsidR="000B47D5" w:rsidRPr="005B2272">
        <w:rPr>
          <w:sz w:val="18"/>
          <w:szCs w:val="18"/>
          <w:lang w:val="en-GB"/>
        </w:rPr>
        <w:t xml:space="preserve">achieved </w:t>
      </w:r>
      <w:r w:rsidR="005B2272" w:rsidRPr="005B2272">
        <w:rPr>
          <w:sz w:val="18"/>
          <w:szCs w:val="18"/>
          <w:lang w:val="en-GB"/>
        </w:rPr>
        <w:t xml:space="preserve">active balance was the result of positive balances in all quarters. The highest trade surplus was evident in the first quarter (CZK 82.3 </w:t>
      </w:r>
      <w:proofErr w:type="spellStart"/>
      <w:r w:rsidR="005B2272" w:rsidRPr="005B2272">
        <w:rPr>
          <w:sz w:val="18"/>
          <w:szCs w:val="18"/>
          <w:lang w:val="en-GB"/>
        </w:rPr>
        <w:t>bn</w:t>
      </w:r>
      <w:proofErr w:type="spellEnd"/>
      <w:r w:rsidR="005B2272" w:rsidRPr="005B2272">
        <w:rPr>
          <w:sz w:val="18"/>
          <w:szCs w:val="18"/>
          <w:lang w:val="en-GB"/>
        </w:rPr>
        <w:t xml:space="preserve">), falling to CZK 71.0 </w:t>
      </w:r>
      <w:proofErr w:type="spellStart"/>
      <w:r w:rsidR="005B2272" w:rsidRPr="005B2272">
        <w:rPr>
          <w:sz w:val="18"/>
          <w:szCs w:val="18"/>
          <w:lang w:val="en-GB"/>
        </w:rPr>
        <w:t>bn</w:t>
      </w:r>
      <w:proofErr w:type="spellEnd"/>
      <w:r w:rsidR="005B2272" w:rsidRPr="005B2272">
        <w:rPr>
          <w:sz w:val="18"/>
          <w:szCs w:val="18"/>
          <w:lang w:val="en-GB"/>
        </w:rPr>
        <w:t xml:space="preserve"> in the second quarter and reaching its lowest value (CZK 27.3 </w:t>
      </w:r>
      <w:proofErr w:type="spellStart"/>
      <w:r w:rsidR="005B2272" w:rsidRPr="005B2272">
        <w:rPr>
          <w:sz w:val="18"/>
          <w:szCs w:val="18"/>
          <w:lang w:val="en-GB"/>
        </w:rPr>
        <w:t>bn</w:t>
      </w:r>
      <w:proofErr w:type="spellEnd"/>
      <w:r w:rsidR="005B2272" w:rsidRPr="005B2272">
        <w:rPr>
          <w:sz w:val="18"/>
          <w:szCs w:val="18"/>
          <w:lang w:val="en-GB"/>
        </w:rPr>
        <w:t xml:space="preserve">) in the third quarter, before rising again in the fourth quarter (CZK 39.9 </w:t>
      </w:r>
      <w:proofErr w:type="spellStart"/>
      <w:r w:rsidR="005B2272" w:rsidRPr="005B2272">
        <w:rPr>
          <w:sz w:val="18"/>
          <w:szCs w:val="18"/>
          <w:lang w:val="en-GB"/>
        </w:rPr>
        <w:t>bn</w:t>
      </w:r>
      <w:proofErr w:type="spellEnd"/>
      <w:r w:rsidR="005B2272" w:rsidRPr="005B2272">
        <w:rPr>
          <w:sz w:val="18"/>
          <w:szCs w:val="18"/>
          <w:lang w:val="en-GB"/>
        </w:rPr>
        <w:t>).</w:t>
      </w:r>
    </w:p>
    <w:p w:rsidR="00D547E9" w:rsidRPr="00655AF8" w:rsidRDefault="00D547E9" w:rsidP="00D547E9">
      <w:pPr>
        <w:spacing w:after="160"/>
        <w:rPr>
          <w:color w:val="FF0000"/>
          <w:sz w:val="18"/>
          <w:szCs w:val="18"/>
          <w:lang w:val="en-GB"/>
        </w:rPr>
      </w:pPr>
      <w:r w:rsidRPr="00962655">
        <w:rPr>
          <w:b/>
          <w:sz w:val="18"/>
          <w:szCs w:val="18"/>
          <w:lang w:val="en-GB"/>
        </w:rPr>
        <w:t>Motor vehicles</w:t>
      </w:r>
      <w:r w:rsidRPr="00962655">
        <w:rPr>
          <w:sz w:val="18"/>
          <w:szCs w:val="18"/>
          <w:lang w:val="en-GB"/>
        </w:rPr>
        <w:t xml:space="preserve"> (including parts and accessories) in particular had </w:t>
      </w:r>
      <w:r w:rsidRPr="00962655">
        <w:rPr>
          <w:b/>
          <w:sz w:val="18"/>
          <w:szCs w:val="18"/>
          <w:lang w:val="en-GB"/>
        </w:rPr>
        <w:t xml:space="preserve">a favourable impact on the </w:t>
      </w:r>
      <w:r w:rsidR="008402B1" w:rsidRPr="00962655">
        <w:rPr>
          <w:b/>
          <w:sz w:val="18"/>
          <w:szCs w:val="18"/>
          <w:lang w:val="en-GB"/>
        </w:rPr>
        <w:t>total</w:t>
      </w:r>
      <w:r w:rsidRPr="00962655">
        <w:rPr>
          <w:b/>
          <w:sz w:val="18"/>
          <w:szCs w:val="18"/>
          <w:lang w:val="en-GB"/>
        </w:rPr>
        <w:t xml:space="preserve"> balance</w:t>
      </w:r>
      <w:r w:rsidR="000B47D5">
        <w:rPr>
          <w:sz w:val="18"/>
          <w:szCs w:val="18"/>
          <w:lang w:val="en-GB"/>
        </w:rPr>
        <w:t xml:space="preserve"> of </w:t>
      </w:r>
      <w:r w:rsidR="00E46F33" w:rsidRPr="00962655">
        <w:rPr>
          <w:sz w:val="18"/>
          <w:szCs w:val="18"/>
          <w:lang w:val="en-GB"/>
        </w:rPr>
        <w:t>international trade in goods (change of ownership)</w:t>
      </w:r>
      <w:r w:rsidRPr="00962655">
        <w:rPr>
          <w:sz w:val="18"/>
          <w:szCs w:val="18"/>
          <w:lang w:val="en-GB"/>
        </w:rPr>
        <w:t>. In 202</w:t>
      </w:r>
      <w:r w:rsidR="00962655" w:rsidRPr="00962655">
        <w:rPr>
          <w:sz w:val="18"/>
          <w:szCs w:val="18"/>
          <w:lang w:val="en-GB"/>
        </w:rPr>
        <w:t>4</w:t>
      </w:r>
      <w:r w:rsidRPr="00962655">
        <w:rPr>
          <w:sz w:val="18"/>
          <w:szCs w:val="18"/>
          <w:lang w:val="en-GB"/>
        </w:rPr>
        <w:t xml:space="preserve">, their trade balance ended with a surplus of CZK </w:t>
      </w:r>
      <w:r w:rsidR="00962655" w:rsidRPr="00962655">
        <w:rPr>
          <w:sz w:val="18"/>
          <w:szCs w:val="18"/>
          <w:lang w:val="en-GB"/>
        </w:rPr>
        <w:t>633</w:t>
      </w:r>
      <w:r w:rsidRPr="00962655">
        <w:rPr>
          <w:sz w:val="18"/>
          <w:szCs w:val="18"/>
          <w:lang w:val="en-GB"/>
        </w:rPr>
        <w:t>.</w:t>
      </w:r>
      <w:r w:rsidR="00962655" w:rsidRPr="00962655">
        <w:rPr>
          <w:sz w:val="18"/>
          <w:szCs w:val="18"/>
          <w:lang w:val="en-GB"/>
        </w:rPr>
        <w:t>7</w:t>
      </w:r>
      <w:r w:rsidRPr="00962655">
        <w:rPr>
          <w:sz w:val="18"/>
          <w:szCs w:val="18"/>
          <w:lang w:val="en-GB"/>
        </w:rPr>
        <w:t xml:space="preserve"> </w:t>
      </w:r>
      <w:proofErr w:type="spellStart"/>
      <w:r w:rsidR="00E46F33" w:rsidRPr="00962655">
        <w:rPr>
          <w:sz w:val="18"/>
          <w:szCs w:val="18"/>
          <w:lang w:val="en-GB"/>
        </w:rPr>
        <w:t>bn</w:t>
      </w:r>
      <w:proofErr w:type="spellEnd"/>
      <w:r w:rsidR="00A624DC" w:rsidRPr="00962655">
        <w:rPr>
          <w:sz w:val="18"/>
          <w:szCs w:val="18"/>
          <w:lang w:val="en-GB"/>
        </w:rPr>
        <w:t>, an </w:t>
      </w:r>
      <w:r w:rsidRPr="00962655">
        <w:rPr>
          <w:sz w:val="18"/>
          <w:szCs w:val="18"/>
          <w:lang w:val="en-GB"/>
        </w:rPr>
        <w:t xml:space="preserve">improvement of CZK </w:t>
      </w:r>
      <w:r w:rsidR="00962655" w:rsidRPr="00962655">
        <w:rPr>
          <w:sz w:val="18"/>
          <w:szCs w:val="18"/>
          <w:lang w:val="en-GB"/>
        </w:rPr>
        <w:t>59</w:t>
      </w:r>
      <w:r w:rsidRPr="00962655">
        <w:rPr>
          <w:sz w:val="18"/>
          <w:szCs w:val="18"/>
          <w:lang w:val="en-GB"/>
        </w:rPr>
        <w:t>.</w:t>
      </w:r>
      <w:r w:rsidR="00962655" w:rsidRPr="00962655">
        <w:rPr>
          <w:sz w:val="18"/>
          <w:szCs w:val="18"/>
          <w:lang w:val="en-GB"/>
        </w:rPr>
        <w:t>1</w:t>
      </w:r>
      <w:r w:rsidRPr="00962655">
        <w:rPr>
          <w:sz w:val="18"/>
          <w:szCs w:val="18"/>
          <w:lang w:val="en-GB"/>
        </w:rPr>
        <w:t xml:space="preserve"> </w:t>
      </w:r>
      <w:proofErr w:type="spellStart"/>
      <w:r w:rsidR="00E46F33" w:rsidRPr="00962655">
        <w:rPr>
          <w:sz w:val="18"/>
          <w:szCs w:val="18"/>
          <w:lang w:val="en-GB"/>
        </w:rPr>
        <w:t>bn</w:t>
      </w:r>
      <w:proofErr w:type="spellEnd"/>
      <w:r w:rsidRPr="00962655">
        <w:rPr>
          <w:sz w:val="18"/>
          <w:szCs w:val="18"/>
          <w:lang w:val="en-GB"/>
        </w:rPr>
        <w:t xml:space="preserve"> year-on-year. Exports of these goods from the Czech Republic rose by CZK </w:t>
      </w:r>
      <w:r w:rsidR="00962655" w:rsidRPr="00962655">
        <w:rPr>
          <w:sz w:val="18"/>
          <w:szCs w:val="18"/>
          <w:lang w:val="en-GB"/>
        </w:rPr>
        <w:t>76</w:t>
      </w:r>
      <w:r w:rsidRPr="00962655">
        <w:rPr>
          <w:sz w:val="18"/>
          <w:szCs w:val="18"/>
          <w:lang w:val="en-GB"/>
        </w:rPr>
        <w:t>.</w:t>
      </w:r>
      <w:r w:rsidR="00962655" w:rsidRPr="00962655">
        <w:rPr>
          <w:sz w:val="18"/>
          <w:szCs w:val="18"/>
          <w:lang w:val="en-GB"/>
        </w:rPr>
        <w:t>2</w:t>
      </w:r>
      <w:r w:rsidRPr="00962655">
        <w:rPr>
          <w:sz w:val="18"/>
          <w:szCs w:val="18"/>
          <w:lang w:val="en-GB"/>
        </w:rPr>
        <w:t xml:space="preserve"> </w:t>
      </w:r>
      <w:proofErr w:type="spellStart"/>
      <w:r w:rsidR="00E46F33" w:rsidRPr="00962655">
        <w:rPr>
          <w:sz w:val="18"/>
          <w:szCs w:val="18"/>
          <w:lang w:val="en-GB"/>
        </w:rPr>
        <w:t>bn</w:t>
      </w:r>
      <w:proofErr w:type="spellEnd"/>
      <w:r w:rsidR="000B47D5">
        <w:rPr>
          <w:sz w:val="18"/>
          <w:szCs w:val="18"/>
          <w:lang w:val="en-GB"/>
        </w:rPr>
        <w:t xml:space="preserve"> to </w:t>
      </w:r>
      <w:r w:rsidRPr="00962655">
        <w:rPr>
          <w:sz w:val="18"/>
          <w:szCs w:val="18"/>
          <w:lang w:val="en-GB"/>
        </w:rPr>
        <w:t>CZK 1</w:t>
      </w:r>
      <w:r w:rsidR="008402B1" w:rsidRPr="00962655">
        <w:rPr>
          <w:sz w:val="18"/>
          <w:szCs w:val="18"/>
          <w:lang w:val="en-GB"/>
        </w:rPr>
        <w:t xml:space="preserve"> </w:t>
      </w:r>
      <w:r w:rsidR="00962655" w:rsidRPr="00962655">
        <w:rPr>
          <w:sz w:val="18"/>
          <w:szCs w:val="18"/>
          <w:lang w:val="en-GB"/>
        </w:rPr>
        <w:t>305</w:t>
      </w:r>
      <w:r w:rsidRPr="00962655">
        <w:rPr>
          <w:sz w:val="18"/>
          <w:szCs w:val="18"/>
          <w:lang w:val="en-GB"/>
        </w:rPr>
        <w:t>.</w:t>
      </w:r>
      <w:r w:rsidR="00962655" w:rsidRPr="00962655">
        <w:rPr>
          <w:sz w:val="18"/>
          <w:szCs w:val="18"/>
          <w:lang w:val="en-GB"/>
        </w:rPr>
        <w:t>0</w:t>
      </w:r>
      <w:r w:rsidRPr="00962655">
        <w:rPr>
          <w:sz w:val="18"/>
          <w:szCs w:val="18"/>
          <w:lang w:val="en-GB"/>
        </w:rPr>
        <w:t xml:space="preserve"> </w:t>
      </w:r>
      <w:proofErr w:type="spellStart"/>
      <w:r w:rsidR="00E46F33" w:rsidRPr="00962655">
        <w:rPr>
          <w:sz w:val="18"/>
          <w:szCs w:val="18"/>
          <w:lang w:val="en-GB"/>
        </w:rPr>
        <w:t>bn</w:t>
      </w:r>
      <w:proofErr w:type="spellEnd"/>
      <w:r w:rsidRPr="00962655">
        <w:rPr>
          <w:sz w:val="18"/>
          <w:szCs w:val="18"/>
          <w:lang w:val="en-GB"/>
        </w:rPr>
        <w:t xml:space="preserve"> and imports into the Czech Republic rose by CZK </w:t>
      </w:r>
      <w:r w:rsidR="00962655" w:rsidRPr="00962655">
        <w:rPr>
          <w:sz w:val="18"/>
          <w:szCs w:val="18"/>
          <w:lang w:val="en-GB"/>
        </w:rPr>
        <w:t>17</w:t>
      </w:r>
      <w:r w:rsidRPr="00962655">
        <w:rPr>
          <w:sz w:val="18"/>
          <w:szCs w:val="18"/>
          <w:lang w:val="en-GB"/>
        </w:rPr>
        <w:t>.</w:t>
      </w:r>
      <w:r w:rsidR="00962655" w:rsidRPr="00962655">
        <w:rPr>
          <w:sz w:val="18"/>
          <w:szCs w:val="18"/>
          <w:lang w:val="en-GB"/>
        </w:rPr>
        <w:t>1</w:t>
      </w:r>
      <w:r w:rsidRPr="00962655">
        <w:rPr>
          <w:sz w:val="18"/>
          <w:szCs w:val="18"/>
          <w:lang w:val="en-GB"/>
        </w:rPr>
        <w:t xml:space="preserve"> </w:t>
      </w:r>
      <w:proofErr w:type="spellStart"/>
      <w:r w:rsidR="00E46F33" w:rsidRPr="00962655">
        <w:rPr>
          <w:sz w:val="18"/>
          <w:szCs w:val="18"/>
          <w:lang w:val="en-GB"/>
        </w:rPr>
        <w:t>bn</w:t>
      </w:r>
      <w:proofErr w:type="spellEnd"/>
      <w:r w:rsidRPr="00962655">
        <w:rPr>
          <w:sz w:val="18"/>
          <w:szCs w:val="18"/>
          <w:lang w:val="en-GB"/>
        </w:rPr>
        <w:t xml:space="preserve"> to CZK </w:t>
      </w:r>
      <w:r w:rsidR="00962655" w:rsidRPr="00962655">
        <w:rPr>
          <w:sz w:val="18"/>
          <w:szCs w:val="18"/>
          <w:lang w:val="en-GB"/>
        </w:rPr>
        <w:t>671</w:t>
      </w:r>
      <w:r w:rsidRPr="00962655">
        <w:rPr>
          <w:sz w:val="18"/>
          <w:szCs w:val="18"/>
          <w:lang w:val="en-GB"/>
        </w:rPr>
        <w:t xml:space="preserve">.3 </w:t>
      </w:r>
      <w:r w:rsidR="00E46F33" w:rsidRPr="00962655">
        <w:rPr>
          <w:sz w:val="18"/>
          <w:szCs w:val="18"/>
          <w:lang w:val="en-GB"/>
        </w:rPr>
        <w:t>bn</w:t>
      </w:r>
      <w:r w:rsidRPr="00962655">
        <w:rPr>
          <w:sz w:val="18"/>
          <w:szCs w:val="18"/>
          <w:lang w:val="en-GB"/>
        </w:rPr>
        <w:t>.</w:t>
      </w:r>
    </w:p>
    <w:p w:rsidR="005B2272" w:rsidRDefault="00D547E9" w:rsidP="00D547E9">
      <w:pPr>
        <w:spacing w:after="160"/>
        <w:rPr>
          <w:color w:val="FF0000"/>
          <w:sz w:val="18"/>
          <w:szCs w:val="18"/>
          <w:lang w:val="en-GB"/>
        </w:rPr>
      </w:pPr>
      <w:r w:rsidRPr="00962655">
        <w:rPr>
          <w:sz w:val="18"/>
          <w:szCs w:val="18"/>
          <w:lang w:val="en-GB"/>
        </w:rPr>
        <w:t xml:space="preserve">The </w:t>
      </w:r>
      <w:r w:rsidR="008402B1" w:rsidRPr="00962655">
        <w:rPr>
          <w:sz w:val="18"/>
          <w:szCs w:val="18"/>
          <w:lang w:val="en-GB"/>
        </w:rPr>
        <w:t>total</w:t>
      </w:r>
      <w:r w:rsidRPr="00962655">
        <w:rPr>
          <w:sz w:val="18"/>
          <w:szCs w:val="18"/>
          <w:lang w:val="en-GB"/>
        </w:rPr>
        <w:t xml:space="preserve"> balance of </w:t>
      </w:r>
      <w:r w:rsidR="00E46F33" w:rsidRPr="00962655">
        <w:rPr>
          <w:sz w:val="18"/>
          <w:szCs w:val="18"/>
          <w:lang w:val="en-GB"/>
        </w:rPr>
        <w:t>international trade in goods</w:t>
      </w:r>
      <w:r w:rsidRPr="00962655">
        <w:rPr>
          <w:sz w:val="18"/>
          <w:szCs w:val="18"/>
          <w:lang w:val="en-GB"/>
        </w:rPr>
        <w:t xml:space="preserve"> was further affected by year-on-year smaller balance deficits in </w:t>
      </w:r>
      <w:r w:rsidR="008402B1" w:rsidRPr="00962655">
        <w:rPr>
          <w:sz w:val="18"/>
          <w:szCs w:val="18"/>
          <w:lang w:val="en-GB"/>
        </w:rPr>
        <w:t>crude petroleum</w:t>
      </w:r>
      <w:r w:rsidRPr="00962655">
        <w:rPr>
          <w:sz w:val="18"/>
          <w:szCs w:val="18"/>
          <w:lang w:val="en-GB"/>
        </w:rPr>
        <w:t xml:space="preserve"> and </w:t>
      </w:r>
      <w:r w:rsidR="008402B1" w:rsidRPr="00962655">
        <w:rPr>
          <w:sz w:val="18"/>
          <w:szCs w:val="18"/>
          <w:lang w:val="en-GB"/>
        </w:rPr>
        <w:t xml:space="preserve">natural </w:t>
      </w:r>
      <w:r w:rsidRPr="00962655">
        <w:rPr>
          <w:sz w:val="18"/>
          <w:szCs w:val="18"/>
          <w:lang w:val="en-GB"/>
        </w:rPr>
        <w:t xml:space="preserve">gas by CZK </w:t>
      </w:r>
      <w:r w:rsidR="00962655">
        <w:rPr>
          <w:sz w:val="18"/>
          <w:szCs w:val="18"/>
          <w:lang w:val="en-GB"/>
        </w:rPr>
        <w:t>24</w:t>
      </w:r>
      <w:r w:rsidRPr="00962655">
        <w:rPr>
          <w:sz w:val="18"/>
          <w:szCs w:val="18"/>
          <w:lang w:val="en-GB"/>
        </w:rPr>
        <w:t>.</w:t>
      </w:r>
      <w:r w:rsidR="00962655">
        <w:rPr>
          <w:sz w:val="18"/>
          <w:szCs w:val="18"/>
          <w:lang w:val="en-GB"/>
        </w:rPr>
        <w:t>2</w:t>
      </w:r>
      <w:r w:rsidRPr="00962655">
        <w:rPr>
          <w:sz w:val="18"/>
          <w:szCs w:val="18"/>
          <w:lang w:val="en-GB"/>
        </w:rPr>
        <w:t xml:space="preserve"> </w:t>
      </w:r>
      <w:r w:rsidR="00E46F33" w:rsidRPr="00962655">
        <w:rPr>
          <w:sz w:val="18"/>
          <w:szCs w:val="18"/>
          <w:lang w:val="en-GB"/>
        </w:rPr>
        <w:t>bn</w:t>
      </w:r>
      <w:r w:rsidR="001C1E0F">
        <w:rPr>
          <w:sz w:val="18"/>
          <w:szCs w:val="18"/>
          <w:lang w:val="en-GB"/>
        </w:rPr>
        <w:t>.</w:t>
      </w:r>
      <w:r w:rsidRPr="005B2272">
        <w:rPr>
          <w:sz w:val="18"/>
          <w:szCs w:val="18"/>
          <w:lang w:val="en-GB"/>
        </w:rPr>
        <w:t xml:space="preserve"> </w:t>
      </w:r>
      <w:r w:rsidR="005B2272" w:rsidRPr="005B2272">
        <w:rPr>
          <w:sz w:val="18"/>
          <w:szCs w:val="18"/>
          <w:lang w:val="en-GB"/>
        </w:rPr>
        <w:t xml:space="preserve">Trade in electrical equipment ended 2024 with a surplus of CZK 32.5 </w:t>
      </w:r>
      <w:proofErr w:type="spellStart"/>
      <w:r w:rsidR="005B2272" w:rsidRPr="005B2272">
        <w:rPr>
          <w:sz w:val="18"/>
          <w:szCs w:val="18"/>
          <w:lang w:val="en-GB"/>
        </w:rPr>
        <w:t>bn</w:t>
      </w:r>
      <w:proofErr w:type="spellEnd"/>
      <w:r w:rsidR="005B2272" w:rsidRPr="005B2272">
        <w:rPr>
          <w:sz w:val="18"/>
          <w:szCs w:val="18"/>
          <w:lang w:val="en-GB"/>
        </w:rPr>
        <w:t xml:space="preserve">, compared with a deficit of CZK 2.7 </w:t>
      </w:r>
      <w:proofErr w:type="spellStart"/>
      <w:r w:rsidR="005B2272" w:rsidRPr="005B2272">
        <w:rPr>
          <w:sz w:val="18"/>
          <w:szCs w:val="18"/>
          <w:lang w:val="en-GB"/>
        </w:rPr>
        <w:t>bn</w:t>
      </w:r>
      <w:proofErr w:type="spellEnd"/>
      <w:r w:rsidR="005B2272" w:rsidRPr="005B2272">
        <w:rPr>
          <w:sz w:val="18"/>
          <w:szCs w:val="18"/>
          <w:lang w:val="en-GB"/>
        </w:rPr>
        <w:t xml:space="preserve"> in the previous year.</w:t>
      </w:r>
    </w:p>
    <w:p w:rsidR="0017648E" w:rsidRPr="0017648E" w:rsidRDefault="00D547E9" w:rsidP="00D547E9">
      <w:pPr>
        <w:spacing w:after="160"/>
        <w:rPr>
          <w:sz w:val="18"/>
          <w:szCs w:val="18"/>
          <w:lang w:val="en-GB"/>
        </w:rPr>
      </w:pPr>
      <w:r w:rsidRPr="005B2272">
        <w:rPr>
          <w:sz w:val="18"/>
          <w:szCs w:val="18"/>
          <w:lang w:val="en-GB"/>
        </w:rPr>
        <w:t xml:space="preserve">The </w:t>
      </w:r>
      <w:r w:rsidR="008402B1" w:rsidRPr="005B2272">
        <w:rPr>
          <w:sz w:val="18"/>
          <w:szCs w:val="18"/>
          <w:lang w:val="en-GB"/>
        </w:rPr>
        <w:t>total</w:t>
      </w:r>
      <w:r w:rsidRPr="005B2272">
        <w:rPr>
          <w:sz w:val="18"/>
          <w:szCs w:val="18"/>
          <w:lang w:val="en-GB"/>
        </w:rPr>
        <w:t xml:space="preserve"> balance of </w:t>
      </w:r>
      <w:r w:rsidR="00E46F33" w:rsidRPr="005B2272">
        <w:rPr>
          <w:sz w:val="18"/>
          <w:szCs w:val="18"/>
          <w:lang w:val="en-GB"/>
        </w:rPr>
        <w:t>international trade in goods</w:t>
      </w:r>
      <w:r w:rsidRPr="005B2272">
        <w:rPr>
          <w:sz w:val="18"/>
          <w:szCs w:val="18"/>
          <w:lang w:val="en-GB"/>
        </w:rPr>
        <w:t xml:space="preserve"> was </w:t>
      </w:r>
      <w:r w:rsidRPr="005B2272">
        <w:rPr>
          <w:b/>
          <w:sz w:val="18"/>
          <w:szCs w:val="18"/>
          <w:lang w:val="en-GB"/>
        </w:rPr>
        <w:t>adversely affected</w:t>
      </w:r>
      <w:r w:rsidRPr="005B2272">
        <w:rPr>
          <w:sz w:val="18"/>
          <w:szCs w:val="18"/>
          <w:lang w:val="en-GB"/>
        </w:rPr>
        <w:t xml:space="preserve"> mainly by a year-on-year decline in the active balance </w:t>
      </w:r>
      <w:r w:rsidRPr="0017648E">
        <w:rPr>
          <w:sz w:val="18"/>
          <w:szCs w:val="18"/>
          <w:lang w:val="en-GB"/>
        </w:rPr>
        <w:t xml:space="preserve">with </w:t>
      </w:r>
      <w:r w:rsidR="0017648E" w:rsidRPr="0017648E">
        <w:rPr>
          <w:sz w:val="18"/>
          <w:szCs w:val="18"/>
          <w:lang w:val="en-GB"/>
        </w:rPr>
        <w:t>fabricated metal products</w:t>
      </w:r>
      <w:r w:rsidRPr="0017648E">
        <w:rPr>
          <w:sz w:val="18"/>
          <w:szCs w:val="18"/>
          <w:lang w:val="en-GB"/>
        </w:rPr>
        <w:t xml:space="preserve"> by CZK </w:t>
      </w:r>
      <w:r w:rsidR="0017648E" w:rsidRPr="0017648E">
        <w:rPr>
          <w:sz w:val="18"/>
          <w:szCs w:val="18"/>
          <w:lang w:val="en-GB"/>
        </w:rPr>
        <w:t>15</w:t>
      </w:r>
      <w:r w:rsidRPr="0017648E">
        <w:rPr>
          <w:sz w:val="18"/>
          <w:szCs w:val="18"/>
          <w:lang w:val="en-GB"/>
        </w:rPr>
        <w:t>.</w:t>
      </w:r>
      <w:r w:rsidR="0017648E" w:rsidRPr="0017648E">
        <w:rPr>
          <w:sz w:val="18"/>
          <w:szCs w:val="18"/>
          <w:lang w:val="en-GB"/>
        </w:rPr>
        <w:t>3</w:t>
      </w:r>
      <w:r w:rsidRPr="0017648E">
        <w:rPr>
          <w:sz w:val="18"/>
          <w:szCs w:val="18"/>
          <w:lang w:val="en-GB"/>
        </w:rPr>
        <w:t xml:space="preserve"> </w:t>
      </w:r>
      <w:r w:rsidR="00E46F33" w:rsidRPr="0017648E">
        <w:rPr>
          <w:sz w:val="18"/>
          <w:szCs w:val="18"/>
          <w:lang w:val="en-GB"/>
        </w:rPr>
        <w:t>bn</w:t>
      </w:r>
      <w:r w:rsidR="0017648E">
        <w:rPr>
          <w:sz w:val="18"/>
          <w:szCs w:val="18"/>
          <w:lang w:val="en-GB"/>
        </w:rPr>
        <w:t xml:space="preserve">. </w:t>
      </w:r>
      <w:r w:rsidR="0017648E" w:rsidRPr="0017648E">
        <w:rPr>
          <w:sz w:val="18"/>
          <w:szCs w:val="18"/>
          <w:lang w:val="en-GB"/>
        </w:rPr>
        <w:t xml:space="preserve">Furthermore, the passive balance </w:t>
      </w:r>
      <w:r w:rsidR="001C1E0F">
        <w:rPr>
          <w:sz w:val="18"/>
          <w:szCs w:val="18"/>
          <w:lang w:val="en-GB"/>
        </w:rPr>
        <w:t>in</w:t>
      </w:r>
      <w:r w:rsidR="0017648E" w:rsidRPr="0017648E">
        <w:rPr>
          <w:sz w:val="18"/>
          <w:szCs w:val="18"/>
          <w:lang w:val="en-GB"/>
        </w:rPr>
        <w:t xml:space="preserve"> refined petroleum products </w:t>
      </w:r>
      <w:r w:rsidR="000B47D5">
        <w:rPr>
          <w:sz w:val="18"/>
          <w:szCs w:val="18"/>
          <w:lang w:val="en-GB"/>
        </w:rPr>
        <w:t xml:space="preserve">and base metals </w:t>
      </w:r>
      <w:r w:rsidR="0017648E" w:rsidRPr="0017648E">
        <w:rPr>
          <w:sz w:val="18"/>
          <w:szCs w:val="18"/>
          <w:lang w:val="en-GB"/>
        </w:rPr>
        <w:t xml:space="preserve">deepened by CZK 18.0 </w:t>
      </w:r>
      <w:proofErr w:type="spellStart"/>
      <w:r w:rsidR="0017648E" w:rsidRPr="0017648E">
        <w:rPr>
          <w:sz w:val="18"/>
          <w:szCs w:val="18"/>
          <w:lang w:val="en-GB"/>
        </w:rPr>
        <w:t>bn</w:t>
      </w:r>
      <w:proofErr w:type="spellEnd"/>
      <w:r w:rsidR="0017648E" w:rsidRPr="0017648E">
        <w:rPr>
          <w:sz w:val="18"/>
          <w:szCs w:val="18"/>
          <w:lang w:val="en-GB"/>
        </w:rPr>
        <w:t xml:space="preserve"> and CZK 13.2 </w:t>
      </w:r>
      <w:proofErr w:type="spellStart"/>
      <w:r w:rsidR="0017648E" w:rsidRPr="0017648E">
        <w:rPr>
          <w:sz w:val="18"/>
          <w:szCs w:val="18"/>
          <w:lang w:val="en-GB"/>
        </w:rPr>
        <w:t>bn</w:t>
      </w:r>
      <w:proofErr w:type="spellEnd"/>
      <w:r w:rsidR="001C1E0F">
        <w:rPr>
          <w:sz w:val="18"/>
          <w:szCs w:val="18"/>
          <w:lang w:val="en-GB"/>
        </w:rPr>
        <w:t>, respectively</w:t>
      </w:r>
      <w:r w:rsidR="0017648E" w:rsidRPr="0017648E">
        <w:rPr>
          <w:sz w:val="18"/>
          <w:szCs w:val="18"/>
          <w:lang w:val="en-GB"/>
        </w:rPr>
        <w:t>.</w:t>
      </w:r>
    </w:p>
    <w:p w:rsidR="00D547E9" w:rsidRDefault="00D547E9" w:rsidP="00D547E9">
      <w:pPr>
        <w:spacing w:after="160"/>
        <w:rPr>
          <w:sz w:val="18"/>
          <w:szCs w:val="18"/>
          <w:lang w:val="en-GB"/>
        </w:rPr>
      </w:pPr>
      <w:r w:rsidRPr="000B47D5">
        <w:rPr>
          <w:b/>
          <w:sz w:val="18"/>
          <w:szCs w:val="18"/>
          <w:lang w:val="en-GB"/>
        </w:rPr>
        <w:t>The surplus of the balance</w:t>
      </w:r>
      <w:r w:rsidRPr="0017648E">
        <w:rPr>
          <w:sz w:val="18"/>
          <w:szCs w:val="18"/>
          <w:lang w:val="en-GB"/>
        </w:rPr>
        <w:t xml:space="preserve"> of </w:t>
      </w:r>
      <w:r w:rsidR="00E46F33" w:rsidRPr="0017648E">
        <w:rPr>
          <w:sz w:val="18"/>
          <w:szCs w:val="18"/>
          <w:lang w:val="en-GB"/>
        </w:rPr>
        <w:t>international trade in goods</w:t>
      </w:r>
      <w:r w:rsidRPr="0017648E">
        <w:rPr>
          <w:sz w:val="18"/>
          <w:szCs w:val="18"/>
          <w:lang w:val="en-GB"/>
        </w:rPr>
        <w:t xml:space="preserve"> with </w:t>
      </w:r>
      <w:r w:rsidR="000B44AA" w:rsidRPr="0017648E">
        <w:rPr>
          <w:b/>
          <w:sz w:val="18"/>
          <w:szCs w:val="18"/>
          <w:lang w:val="en-GB"/>
        </w:rPr>
        <w:t>the European Union</w:t>
      </w:r>
      <w:r w:rsidRPr="0017648E">
        <w:rPr>
          <w:sz w:val="18"/>
          <w:szCs w:val="18"/>
          <w:lang w:val="en-GB"/>
        </w:rPr>
        <w:t xml:space="preserve"> </w:t>
      </w:r>
      <w:r w:rsidR="000B44AA" w:rsidRPr="0017648E">
        <w:rPr>
          <w:b/>
          <w:sz w:val="18"/>
          <w:szCs w:val="18"/>
          <w:lang w:val="en-GB"/>
        </w:rPr>
        <w:t>Member States</w:t>
      </w:r>
      <w:r w:rsidR="00962655" w:rsidRPr="0017648E">
        <w:rPr>
          <w:rStyle w:val="Znakapoznpodarou"/>
          <w:b/>
          <w:sz w:val="18"/>
          <w:szCs w:val="18"/>
          <w:lang w:val="en-GB"/>
        </w:rPr>
        <w:footnoteReference w:id="3"/>
      </w:r>
      <w:r w:rsidR="000B47D5">
        <w:rPr>
          <w:sz w:val="18"/>
          <w:szCs w:val="18"/>
          <w:lang w:val="en-GB"/>
        </w:rPr>
        <w:t xml:space="preserve"> reached CZK </w:t>
      </w:r>
      <w:r w:rsidR="0017648E" w:rsidRPr="0017648E">
        <w:rPr>
          <w:sz w:val="18"/>
          <w:szCs w:val="18"/>
          <w:lang w:val="en-GB"/>
        </w:rPr>
        <w:t>857</w:t>
      </w:r>
      <w:r w:rsidR="00FC2777" w:rsidRPr="0017648E">
        <w:rPr>
          <w:sz w:val="18"/>
          <w:szCs w:val="18"/>
          <w:lang w:val="en-GB"/>
        </w:rPr>
        <w:t>.</w:t>
      </w:r>
      <w:r w:rsidR="0017648E" w:rsidRPr="0017648E">
        <w:rPr>
          <w:sz w:val="18"/>
          <w:szCs w:val="18"/>
          <w:lang w:val="en-GB"/>
        </w:rPr>
        <w:t>9</w:t>
      </w:r>
      <w:r w:rsidR="00FC2777" w:rsidRPr="0017648E">
        <w:rPr>
          <w:sz w:val="18"/>
          <w:szCs w:val="18"/>
          <w:lang w:val="en-GB"/>
        </w:rPr>
        <w:t> </w:t>
      </w:r>
      <w:proofErr w:type="spellStart"/>
      <w:r w:rsidR="00E46F33" w:rsidRPr="0017648E">
        <w:rPr>
          <w:sz w:val="18"/>
          <w:szCs w:val="18"/>
          <w:lang w:val="en-GB"/>
        </w:rPr>
        <w:t>bn</w:t>
      </w:r>
      <w:proofErr w:type="spellEnd"/>
      <w:r w:rsidR="0017648E" w:rsidRPr="0017648E">
        <w:rPr>
          <w:sz w:val="18"/>
          <w:szCs w:val="18"/>
          <w:lang w:val="en-GB"/>
        </w:rPr>
        <w:t xml:space="preserve">, down CZK 16.4 </w:t>
      </w:r>
      <w:proofErr w:type="spellStart"/>
      <w:r w:rsidR="0017648E" w:rsidRPr="0017648E">
        <w:rPr>
          <w:sz w:val="18"/>
          <w:szCs w:val="18"/>
          <w:lang w:val="en-GB"/>
        </w:rPr>
        <w:t>bn</w:t>
      </w:r>
      <w:proofErr w:type="spellEnd"/>
      <w:r w:rsidR="0017648E" w:rsidRPr="0017648E">
        <w:rPr>
          <w:sz w:val="18"/>
          <w:szCs w:val="18"/>
          <w:lang w:val="en-GB"/>
        </w:rPr>
        <w:t xml:space="preserve"> compared to 2023. </w:t>
      </w:r>
      <w:r w:rsidR="0017648E" w:rsidRPr="000B47D5">
        <w:rPr>
          <w:b/>
          <w:sz w:val="18"/>
          <w:szCs w:val="18"/>
          <w:lang w:val="en-GB"/>
        </w:rPr>
        <w:t>The deficit in the balance</w:t>
      </w:r>
      <w:r w:rsidR="0017648E" w:rsidRPr="0017648E">
        <w:rPr>
          <w:sz w:val="18"/>
          <w:szCs w:val="18"/>
          <w:lang w:val="en-GB"/>
        </w:rPr>
        <w:t xml:space="preserve"> of in</w:t>
      </w:r>
      <w:r w:rsidR="000B47D5">
        <w:rPr>
          <w:sz w:val="18"/>
          <w:szCs w:val="18"/>
          <w:lang w:val="en-GB"/>
        </w:rPr>
        <w:t>ternational trade in goods with </w:t>
      </w:r>
      <w:r w:rsidR="000B47D5">
        <w:rPr>
          <w:b/>
          <w:sz w:val="18"/>
          <w:szCs w:val="18"/>
          <w:lang w:val="en-GB"/>
        </w:rPr>
        <w:t>non</w:t>
      </w:r>
      <w:r w:rsidR="000B47D5">
        <w:rPr>
          <w:b/>
          <w:sz w:val="18"/>
          <w:szCs w:val="18"/>
          <w:lang w:val="en-GB"/>
        </w:rPr>
        <w:noBreakHyphen/>
      </w:r>
      <w:r w:rsidR="0017648E" w:rsidRPr="0017648E">
        <w:rPr>
          <w:b/>
          <w:sz w:val="18"/>
          <w:szCs w:val="18"/>
          <w:lang w:val="en-GB"/>
        </w:rPr>
        <w:t>EU countries</w:t>
      </w:r>
      <w:r w:rsidR="0017648E" w:rsidRPr="0017648E">
        <w:rPr>
          <w:sz w:val="18"/>
          <w:szCs w:val="18"/>
          <w:lang w:val="en-GB"/>
        </w:rPr>
        <w:t xml:space="preserve"> decreased by CZK 115.0 </w:t>
      </w:r>
      <w:proofErr w:type="spellStart"/>
      <w:r w:rsidR="0017648E" w:rsidRPr="0017648E">
        <w:rPr>
          <w:sz w:val="18"/>
          <w:szCs w:val="18"/>
          <w:lang w:val="en-GB"/>
        </w:rPr>
        <w:t>bn</w:t>
      </w:r>
      <w:proofErr w:type="spellEnd"/>
      <w:r w:rsidR="0017648E" w:rsidRPr="0017648E">
        <w:rPr>
          <w:sz w:val="18"/>
          <w:szCs w:val="18"/>
          <w:lang w:val="en-GB"/>
        </w:rPr>
        <w:t xml:space="preserve"> year-on-year to CZK 602.9 bn</w:t>
      </w:r>
      <w:r w:rsidR="0017648E">
        <w:rPr>
          <w:sz w:val="18"/>
          <w:szCs w:val="18"/>
          <w:lang w:val="en-GB"/>
        </w:rPr>
        <w:t>.</w:t>
      </w:r>
    </w:p>
    <w:p w:rsidR="000B2557" w:rsidRPr="000B2557" w:rsidRDefault="000B2557" w:rsidP="00D547E9">
      <w:pPr>
        <w:spacing w:after="160"/>
        <w:rPr>
          <w:sz w:val="18"/>
          <w:szCs w:val="18"/>
          <w:lang w:val="en-GB"/>
        </w:rPr>
      </w:pPr>
      <w:r w:rsidRPr="000B2557">
        <w:rPr>
          <w:sz w:val="18"/>
          <w:szCs w:val="18"/>
          <w:lang w:val="en-GB"/>
        </w:rPr>
        <w:t xml:space="preserve">In 2024, almost 80% of </w:t>
      </w:r>
      <w:r w:rsidRPr="000B2557">
        <w:rPr>
          <w:b/>
          <w:sz w:val="18"/>
          <w:szCs w:val="18"/>
          <w:lang w:val="en-GB"/>
        </w:rPr>
        <w:t>exports from the Czech Republic</w:t>
      </w:r>
      <w:r w:rsidRPr="000B2557">
        <w:rPr>
          <w:sz w:val="18"/>
          <w:szCs w:val="18"/>
          <w:lang w:val="en-GB"/>
        </w:rPr>
        <w:t xml:space="preserve"> went to thirteen countries, ten of which were EU member states and three were non-EU countries. As in previous years, the highest value (CZK 1,372.1 </w:t>
      </w:r>
      <w:proofErr w:type="spellStart"/>
      <w:r w:rsidRPr="000B2557">
        <w:rPr>
          <w:sz w:val="18"/>
          <w:szCs w:val="18"/>
          <w:lang w:val="en-GB"/>
        </w:rPr>
        <w:t>bn</w:t>
      </w:r>
      <w:proofErr w:type="spellEnd"/>
      <w:r w:rsidRPr="000B2557">
        <w:rPr>
          <w:sz w:val="18"/>
          <w:szCs w:val="18"/>
          <w:lang w:val="en-GB"/>
        </w:rPr>
        <w:t>) of goods was exported to Germany. None of the other twelve countries achieved such a high share of total exports as Germany (29.4%), with their shares ranging from 1.7% for Switzerland in thirteenth place to 9.1% for Slovakia in second place.</w:t>
      </w:r>
    </w:p>
    <w:p w:rsidR="000B2557" w:rsidRPr="000B2557" w:rsidRDefault="000B2557" w:rsidP="00D547E9">
      <w:pPr>
        <w:spacing w:after="160"/>
        <w:rPr>
          <w:sz w:val="18"/>
          <w:szCs w:val="18"/>
          <w:lang w:val="en-GB"/>
        </w:rPr>
      </w:pPr>
      <w:r w:rsidRPr="000B2557">
        <w:rPr>
          <w:sz w:val="18"/>
          <w:szCs w:val="18"/>
          <w:lang w:val="en-GB"/>
        </w:rPr>
        <w:t xml:space="preserve">More than three-quarters of </w:t>
      </w:r>
      <w:r w:rsidRPr="000B2557">
        <w:rPr>
          <w:b/>
          <w:sz w:val="18"/>
          <w:szCs w:val="18"/>
          <w:lang w:val="en-GB"/>
        </w:rPr>
        <w:t>imports to the Czech Republic</w:t>
      </w:r>
      <w:r w:rsidRPr="000B2557">
        <w:rPr>
          <w:sz w:val="18"/>
          <w:szCs w:val="18"/>
          <w:lang w:val="en-GB"/>
        </w:rPr>
        <w:t xml:space="preserve"> in 2024 came from fourteen countries. Germany </w:t>
      </w:r>
      <w:r w:rsidR="000B47D5">
        <w:rPr>
          <w:sz w:val="18"/>
          <w:szCs w:val="18"/>
          <w:lang w:val="en-GB"/>
        </w:rPr>
        <w:t>recorded</w:t>
      </w:r>
      <w:r w:rsidRPr="000B2557">
        <w:rPr>
          <w:sz w:val="18"/>
          <w:szCs w:val="18"/>
          <w:lang w:val="en-GB"/>
        </w:rPr>
        <w:t xml:space="preserve"> the strongest position in total imports (22.7%). The position of the remaining thirteen countries in </w:t>
      </w:r>
      <w:r w:rsidR="000B47D5">
        <w:rPr>
          <w:sz w:val="18"/>
          <w:szCs w:val="18"/>
          <w:lang w:val="en-GB"/>
        </w:rPr>
        <w:t>total imports ranged from </w:t>
      </w:r>
      <w:r w:rsidRPr="000B2557">
        <w:rPr>
          <w:sz w:val="18"/>
          <w:szCs w:val="18"/>
          <w:lang w:val="en-GB"/>
        </w:rPr>
        <w:t>1.8% for the Russian Federation to 12.2% for China.</w:t>
      </w:r>
    </w:p>
    <w:sectPr w:rsidR="000B2557" w:rsidRPr="000B2557">
      <w:footerReference w:type="even" r:id="rId8"/>
      <w:pgSz w:w="11906" w:h="16838"/>
      <w:pgMar w:top="1418" w:right="1134" w:bottom="1418"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7A1" w:rsidRDefault="00BF77A1">
      <w:r>
        <w:separator/>
      </w:r>
    </w:p>
  </w:endnote>
  <w:endnote w:type="continuationSeparator" w:id="0">
    <w:p w:rsidR="00BF77A1" w:rsidRDefault="00BF7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FD4" w:rsidRDefault="000F2FD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0F2FD4" w:rsidRDefault="000F2FD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7A1" w:rsidRDefault="00BF77A1">
      <w:r>
        <w:separator/>
      </w:r>
    </w:p>
  </w:footnote>
  <w:footnote w:type="continuationSeparator" w:id="0">
    <w:p w:rsidR="00BF77A1" w:rsidRDefault="00BF77A1">
      <w:r>
        <w:continuationSeparator/>
      </w:r>
    </w:p>
  </w:footnote>
  <w:footnote w:id="1">
    <w:p w:rsidR="00C04808" w:rsidRPr="00580779" w:rsidRDefault="00C04808" w:rsidP="003B34AA">
      <w:pPr>
        <w:pStyle w:val="Textpoznpodarou"/>
        <w:spacing w:before="120" w:after="120"/>
        <w:rPr>
          <w:sz w:val="17"/>
          <w:szCs w:val="17"/>
        </w:rPr>
      </w:pPr>
      <w:r w:rsidRPr="00580779">
        <w:rPr>
          <w:rStyle w:val="Znakapoznpodarou"/>
          <w:sz w:val="17"/>
          <w:szCs w:val="17"/>
        </w:rPr>
        <w:footnoteRef/>
      </w:r>
      <w:r w:rsidRPr="00580779">
        <w:rPr>
          <w:sz w:val="17"/>
          <w:szCs w:val="17"/>
        </w:rPr>
        <w:t xml:space="preserve"> </w:t>
      </w:r>
      <w:r w:rsidR="00C11D3C" w:rsidRPr="00580779">
        <w:rPr>
          <w:rStyle w:val="Zdraznn"/>
          <w:rFonts w:cs="Arial"/>
          <w:i w:val="0"/>
          <w:sz w:val="17"/>
          <w:szCs w:val="17"/>
          <w:bdr w:val="none" w:sz="0" w:space="0" w:color="auto" w:frame="1"/>
          <w:shd w:val="clear" w:color="auto" w:fill="FFFFFF"/>
          <w:lang w:val="en-GB"/>
        </w:rPr>
        <w:t>The </w:t>
      </w:r>
      <w:r w:rsidR="00C11D3C" w:rsidRPr="00580779">
        <w:rPr>
          <w:rStyle w:val="Zdraznn"/>
          <w:rFonts w:cs="Arial"/>
          <w:b/>
          <w:bCs/>
          <w:i w:val="0"/>
          <w:sz w:val="17"/>
          <w:szCs w:val="17"/>
          <w:bdr w:val="none" w:sz="0" w:space="0" w:color="auto" w:frame="1"/>
          <w:shd w:val="clear" w:color="auto" w:fill="FFFFFF"/>
          <w:lang w:val="en-GB"/>
        </w:rPr>
        <w:t>international trade in goods (change of ownership)</w:t>
      </w:r>
      <w:r w:rsidR="00C11D3C" w:rsidRPr="00580779">
        <w:rPr>
          <w:rStyle w:val="Zdraznn"/>
          <w:rFonts w:cs="Arial"/>
          <w:i w:val="0"/>
          <w:sz w:val="17"/>
          <w:szCs w:val="17"/>
          <w:bdr w:val="none" w:sz="0" w:space="0" w:color="auto" w:frame="1"/>
          <w:shd w:val="clear" w:color="auto" w:fill="FFFFFF"/>
          <w:lang w:val="en-GB"/>
        </w:rPr>
        <w:t> reflects export and import performance of the Czech economy, i.e. the international trade balance of the Czech Republic as well. It measures real trade in goods carried out between Czech entities and foreign ones, i.e. the change of ownership between residents and non-residents.</w:t>
      </w:r>
    </w:p>
  </w:footnote>
  <w:footnote w:id="2">
    <w:p w:rsidR="003B34AA" w:rsidRPr="00580779" w:rsidRDefault="003B34AA" w:rsidP="003B34AA">
      <w:pPr>
        <w:pStyle w:val="Textpoznpodarou"/>
        <w:spacing w:after="120"/>
        <w:rPr>
          <w:b/>
          <w:sz w:val="17"/>
          <w:szCs w:val="17"/>
        </w:rPr>
      </w:pPr>
      <w:r w:rsidRPr="00580779">
        <w:rPr>
          <w:rStyle w:val="Znakapoznpodarou"/>
          <w:sz w:val="17"/>
          <w:szCs w:val="17"/>
        </w:rPr>
        <w:footnoteRef/>
      </w:r>
      <w:r w:rsidRPr="00580779">
        <w:rPr>
          <w:sz w:val="17"/>
          <w:szCs w:val="17"/>
        </w:rPr>
        <w:t xml:space="preserve"> </w:t>
      </w:r>
      <w:r w:rsidRPr="00580779">
        <w:rPr>
          <w:rFonts w:cs="Arial"/>
          <w:b/>
          <w:bCs/>
          <w:sz w:val="17"/>
          <w:szCs w:val="17"/>
          <w:lang w:val="en-GB"/>
        </w:rPr>
        <w:t>202</w:t>
      </w:r>
      <w:r w:rsidR="00655AF8">
        <w:rPr>
          <w:rFonts w:cs="Arial"/>
          <w:b/>
          <w:bCs/>
          <w:sz w:val="17"/>
          <w:szCs w:val="17"/>
          <w:lang w:val="en-GB"/>
        </w:rPr>
        <w:t>3</w:t>
      </w:r>
      <w:r w:rsidRPr="00580779">
        <w:rPr>
          <w:rFonts w:cs="Arial"/>
          <w:b/>
          <w:bCs/>
          <w:sz w:val="17"/>
          <w:szCs w:val="17"/>
          <w:lang w:val="en-GB"/>
        </w:rPr>
        <w:t xml:space="preserve"> and 202</w:t>
      </w:r>
      <w:r w:rsidR="00655AF8">
        <w:rPr>
          <w:rFonts w:cs="Arial"/>
          <w:b/>
          <w:bCs/>
          <w:sz w:val="17"/>
          <w:szCs w:val="17"/>
          <w:lang w:val="en-GB"/>
        </w:rPr>
        <w:t>4</w:t>
      </w:r>
      <w:r w:rsidRPr="00580779">
        <w:rPr>
          <w:rFonts w:cs="Arial"/>
          <w:b/>
          <w:bCs/>
          <w:sz w:val="17"/>
          <w:szCs w:val="17"/>
          <w:lang w:val="en-GB"/>
        </w:rPr>
        <w:t xml:space="preserve"> data are final.</w:t>
      </w:r>
      <w:r w:rsidR="00A909A4" w:rsidRPr="00580779">
        <w:rPr>
          <w:rFonts w:cs="Arial"/>
          <w:b/>
          <w:bCs/>
          <w:sz w:val="17"/>
          <w:szCs w:val="17"/>
          <w:lang w:val="en-GB"/>
        </w:rPr>
        <w:t xml:space="preserve"> </w:t>
      </w:r>
      <w:r w:rsidR="00A909A4" w:rsidRPr="00580779">
        <w:rPr>
          <w:rFonts w:cs="Arial"/>
          <w:b/>
          <w:bCs/>
          <w:iCs/>
          <w:sz w:val="17"/>
          <w:szCs w:val="17"/>
          <w:lang w:val="en-GB"/>
        </w:rPr>
        <w:t>From 2020 onwards, data for International trade in goods (change of ownership) are subject to recalculation using an updated method, based on a higher level of detail.</w:t>
      </w:r>
    </w:p>
  </w:footnote>
  <w:footnote w:id="3">
    <w:p w:rsidR="00962655" w:rsidRPr="00580779" w:rsidRDefault="00962655" w:rsidP="00962655">
      <w:pPr>
        <w:rPr>
          <w:rFonts w:cs="Arial"/>
          <w:sz w:val="17"/>
          <w:szCs w:val="17"/>
          <w:lang w:val="en-GB"/>
        </w:rPr>
      </w:pPr>
      <w:r>
        <w:rPr>
          <w:rStyle w:val="Znakapoznpodarou"/>
        </w:rPr>
        <w:footnoteRef/>
      </w:r>
      <w:r>
        <w:t xml:space="preserve"> </w:t>
      </w:r>
      <w:r w:rsidRPr="00580779">
        <w:rPr>
          <w:rFonts w:cs="Arial"/>
          <w:b/>
          <w:sz w:val="17"/>
          <w:szCs w:val="17"/>
          <w:lang w:val="en-GB"/>
        </w:rPr>
        <w:t>EU (European Union) - 27 Member States of the European Union:</w:t>
      </w:r>
      <w:r w:rsidRPr="00580779">
        <w:rPr>
          <w:rFonts w:cs="Arial"/>
          <w:sz w:val="17"/>
          <w:szCs w:val="17"/>
          <w:lang w:val="en-GB"/>
        </w:rPr>
        <w:t xml:space="preserve"> </w:t>
      </w:r>
    </w:p>
    <w:p w:rsidR="00962655" w:rsidRDefault="00962655" w:rsidP="00962655">
      <w:pPr>
        <w:pStyle w:val="Textpoznpodarou"/>
      </w:pPr>
      <w:r w:rsidRPr="00580779">
        <w:rPr>
          <w:rFonts w:cs="Arial"/>
          <w:sz w:val="17"/>
          <w:szCs w:val="17"/>
          <w:lang w:val="en-GB"/>
        </w:rPr>
        <w:t>Austria, Belgium, Bulgaria, Croatia, Cyprus, Czech Republic, Denmark, Estonia, Finland, France, Germany, Greece, Hungary, Ireland, Italy, Latvia, Lithuania, Luxembourg, Malta, Netherlands, Poland, Portugal, Romania, Slovakia, Slovenia, Spain, Sweden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C0299"/>
    <w:multiLevelType w:val="hybridMultilevel"/>
    <w:tmpl w:val="B5E0FF56"/>
    <w:lvl w:ilvl="0" w:tplc="C02A922C">
      <w:start w:val="1"/>
      <w:numFmt w:val="bullet"/>
      <w:pStyle w:val="normalnsodrkami"/>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1DC430A"/>
    <w:multiLevelType w:val="multilevel"/>
    <w:tmpl w:val="1080472A"/>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mirrorMargins/>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E12"/>
    <w:rsid w:val="00012FF2"/>
    <w:rsid w:val="00027F30"/>
    <w:rsid w:val="00041768"/>
    <w:rsid w:val="00057295"/>
    <w:rsid w:val="00083399"/>
    <w:rsid w:val="00087EC3"/>
    <w:rsid w:val="000B00AB"/>
    <w:rsid w:val="000B2557"/>
    <w:rsid w:val="000B44AA"/>
    <w:rsid w:val="000B47D5"/>
    <w:rsid w:val="000C0E1D"/>
    <w:rsid w:val="000F2FD4"/>
    <w:rsid w:val="00143D04"/>
    <w:rsid w:val="00154A5D"/>
    <w:rsid w:val="0017648E"/>
    <w:rsid w:val="001C09D9"/>
    <w:rsid w:val="001C1E0F"/>
    <w:rsid w:val="001E09FE"/>
    <w:rsid w:val="001F3066"/>
    <w:rsid w:val="0021026A"/>
    <w:rsid w:val="00213D46"/>
    <w:rsid w:val="002166EE"/>
    <w:rsid w:val="002348EA"/>
    <w:rsid w:val="00255056"/>
    <w:rsid w:val="00256163"/>
    <w:rsid w:val="002746A8"/>
    <w:rsid w:val="0029235D"/>
    <w:rsid w:val="002C7FA9"/>
    <w:rsid w:val="002E00A6"/>
    <w:rsid w:val="00307637"/>
    <w:rsid w:val="003259C0"/>
    <w:rsid w:val="00325A62"/>
    <w:rsid w:val="003404F8"/>
    <w:rsid w:val="00366F60"/>
    <w:rsid w:val="003B34AA"/>
    <w:rsid w:val="003B750A"/>
    <w:rsid w:val="003B7ACD"/>
    <w:rsid w:val="003C23A8"/>
    <w:rsid w:val="003C36A7"/>
    <w:rsid w:val="003D126E"/>
    <w:rsid w:val="003D3915"/>
    <w:rsid w:val="003D53B8"/>
    <w:rsid w:val="003D778E"/>
    <w:rsid w:val="003E2EE3"/>
    <w:rsid w:val="00411A9F"/>
    <w:rsid w:val="00413A9B"/>
    <w:rsid w:val="00427C1B"/>
    <w:rsid w:val="004543E5"/>
    <w:rsid w:val="00473FB4"/>
    <w:rsid w:val="00480C90"/>
    <w:rsid w:val="0049773C"/>
    <w:rsid w:val="004A08D6"/>
    <w:rsid w:val="004A7583"/>
    <w:rsid w:val="004B6BC5"/>
    <w:rsid w:val="004F2DEA"/>
    <w:rsid w:val="005115C0"/>
    <w:rsid w:val="005270B4"/>
    <w:rsid w:val="00562550"/>
    <w:rsid w:val="00571605"/>
    <w:rsid w:val="00580779"/>
    <w:rsid w:val="00597757"/>
    <w:rsid w:val="005B2272"/>
    <w:rsid w:val="005E4EFF"/>
    <w:rsid w:val="00621A51"/>
    <w:rsid w:val="0064454B"/>
    <w:rsid w:val="006524B3"/>
    <w:rsid w:val="006534FA"/>
    <w:rsid w:val="00655AF8"/>
    <w:rsid w:val="00661583"/>
    <w:rsid w:val="006711AD"/>
    <w:rsid w:val="00682C0B"/>
    <w:rsid w:val="00691E8D"/>
    <w:rsid w:val="006B1C01"/>
    <w:rsid w:val="006B26A3"/>
    <w:rsid w:val="006B3325"/>
    <w:rsid w:val="006C37B1"/>
    <w:rsid w:val="006D3749"/>
    <w:rsid w:val="00704973"/>
    <w:rsid w:val="007052C3"/>
    <w:rsid w:val="00707EB9"/>
    <w:rsid w:val="007230AA"/>
    <w:rsid w:val="00733AD8"/>
    <w:rsid w:val="00763570"/>
    <w:rsid w:val="0078376E"/>
    <w:rsid w:val="00794500"/>
    <w:rsid w:val="007A5421"/>
    <w:rsid w:val="007D617D"/>
    <w:rsid w:val="007E4310"/>
    <w:rsid w:val="008000AF"/>
    <w:rsid w:val="0080176F"/>
    <w:rsid w:val="00814700"/>
    <w:rsid w:val="00815BBB"/>
    <w:rsid w:val="00831F39"/>
    <w:rsid w:val="008402B1"/>
    <w:rsid w:val="00884F1B"/>
    <w:rsid w:val="00897C59"/>
    <w:rsid w:val="008B6EB4"/>
    <w:rsid w:val="008F265D"/>
    <w:rsid w:val="009005D8"/>
    <w:rsid w:val="0092363F"/>
    <w:rsid w:val="009500E8"/>
    <w:rsid w:val="009535C4"/>
    <w:rsid w:val="00962655"/>
    <w:rsid w:val="00974AB8"/>
    <w:rsid w:val="0098101F"/>
    <w:rsid w:val="00984802"/>
    <w:rsid w:val="009B0D21"/>
    <w:rsid w:val="009B1821"/>
    <w:rsid w:val="009E7AA3"/>
    <w:rsid w:val="009F493A"/>
    <w:rsid w:val="00A0123F"/>
    <w:rsid w:val="00A1510F"/>
    <w:rsid w:val="00A15815"/>
    <w:rsid w:val="00A34B53"/>
    <w:rsid w:val="00A35277"/>
    <w:rsid w:val="00A43672"/>
    <w:rsid w:val="00A470F0"/>
    <w:rsid w:val="00A477E6"/>
    <w:rsid w:val="00A529E9"/>
    <w:rsid w:val="00A5562B"/>
    <w:rsid w:val="00A624DC"/>
    <w:rsid w:val="00A745FA"/>
    <w:rsid w:val="00A823A1"/>
    <w:rsid w:val="00A909A4"/>
    <w:rsid w:val="00A97341"/>
    <w:rsid w:val="00AF4026"/>
    <w:rsid w:val="00AF7720"/>
    <w:rsid w:val="00B02486"/>
    <w:rsid w:val="00B14B8F"/>
    <w:rsid w:val="00B3551B"/>
    <w:rsid w:val="00B43616"/>
    <w:rsid w:val="00B56D34"/>
    <w:rsid w:val="00B85E07"/>
    <w:rsid w:val="00BA3331"/>
    <w:rsid w:val="00BA6F2F"/>
    <w:rsid w:val="00BB5083"/>
    <w:rsid w:val="00BD1D09"/>
    <w:rsid w:val="00BD23A2"/>
    <w:rsid w:val="00BF77A1"/>
    <w:rsid w:val="00C04808"/>
    <w:rsid w:val="00C10B08"/>
    <w:rsid w:val="00C11D3C"/>
    <w:rsid w:val="00C16ED4"/>
    <w:rsid w:val="00C63B05"/>
    <w:rsid w:val="00C70A8D"/>
    <w:rsid w:val="00C80B6F"/>
    <w:rsid w:val="00C81A46"/>
    <w:rsid w:val="00CD348E"/>
    <w:rsid w:val="00CF1E98"/>
    <w:rsid w:val="00D21B4C"/>
    <w:rsid w:val="00D547E9"/>
    <w:rsid w:val="00D73A58"/>
    <w:rsid w:val="00D82529"/>
    <w:rsid w:val="00D903ED"/>
    <w:rsid w:val="00DC4086"/>
    <w:rsid w:val="00DD58D0"/>
    <w:rsid w:val="00DE7AFC"/>
    <w:rsid w:val="00DF06D8"/>
    <w:rsid w:val="00E46F33"/>
    <w:rsid w:val="00E526D2"/>
    <w:rsid w:val="00E65E1D"/>
    <w:rsid w:val="00E83A83"/>
    <w:rsid w:val="00E9708B"/>
    <w:rsid w:val="00EC7101"/>
    <w:rsid w:val="00F11E12"/>
    <w:rsid w:val="00F14AB8"/>
    <w:rsid w:val="00F758D8"/>
    <w:rsid w:val="00F775EE"/>
    <w:rsid w:val="00F9023F"/>
    <w:rsid w:val="00F967DD"/>
    <w:rsid w:val="00F96D95"/>
    <w:rsid w:val="00FA6903"/>
    <w:rsid w:val="00FC2777"/>
    <w:rsid w:val="00FD1AB1"/>
    <w:rsid w:val="00FD1B09"/>
    <w:rsid w:val="00FE7A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6CA12B-95B5-4B04-B9FD-5E26D384C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hAnsi="Arial"/>
      <w:szCs w:val="24"/>
    </w:rPr>
  </w:style>
  <w:style w:type="paragraph" w:styleId="Nadpis1">
    <w:name w:val="heading 1"/>
    <w:basedOn w:val="Normln"/>
    <w:next w:val="Normln"/>
    <w:qFormat/>
    <w:pPr>
      <w:keepNext/>
      <w:spacing w:before="240" w:after="240"/>
      <w:outlineLvl w:val="0"/>
    </w:pPr>
    <w:rPr>
      <w:rFonts w:cs="Arial"/>
      <w:b/>
      <w:bCs/>
      <w:kern w:val="32"/>
      <w:sz w:val="24"/>
      <w:szCs w:val="32"/>
    </w:rPr>
  </w:style>
  <w:style w:type="paragraph" w:styleId="Nadpis2">
    <w:name w:val="heading 2"/>
    <w:basedOn w:val="Normln"/>
    <w:next w:val="Normln"/>
    <w:qFormat/>
    <w:pPr>
      <w:keepNext/>
      <w:spacing w:before="240" w:after="240"/>
      <w:outlineLvl w:val="1"/>
    </w:pPr>
    <w:rPr>
      <w:rFonts w:cs="Arial"/>
      <w:b/>
      <w:bCs/>
      <w:iCs/>
      <w:szCs w:val="28"/>
    </w:rPr>
  </w:style>
  <w:style w:type="paragraph" w:styleId="Nadpis3">
    <w:name w:val="heading 3"/>
    <w:basedOn w:val="Normln"/>
    <w:next w:val="Normln"/>
    <w:qFormat/>
    <w:pPr>
      <w:keepNext/>
      <w:spacing w:before="240" w:after="60"/>
      <w:outlineLvl w:val="2"/>
    </w:pPr>
    <w:rPr>
      <w:rFonts w:cs="Arial"/>
      <w:b/>
      <w:bCs/>
      <w:szCs w:val="26"/>
    </w:rPr>
  </w:style>
  <w:style w:type="paragraph" w:styleId="Nadpis4">
    <w:name w:val="heading 4"/>
    <w:basedOn w:val="Normln"/>
    <w:next w:val="Normln"/>
    <w:qFormat/>
    <w:pPr>
      <w:keepNext/>
      <w:jc w:val="left"/>
      <w:outlineLvl w:val="3"/>
    </w:pPr>
    <w:rPr>
      <w:b/>
      <w:bCs/>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spacing w:before="240" w:after="240"/>
      <w:jc w:val="center"/>
      <w:outlineLvl w:val="0"/>
    </w:pPr>
    <w:rPr>
      <w:rFonts w:cs="Arial"/>
      <w:b/>
      <w:bCs/>
      <w:kern w:val="28"/>
      <w:sz w:val="28"/>
      <w:szCs w:val="32"/>
    </w:rPr>
  </w:style>
  <w:style w:type="paragraph" w:customStyle="1" w:styleId="normalnsodrkami">
    <w:name w:val="normalní s odrážkami"/>
    <w:basedOn w:val="Normln"/>
    <w:pPr>
      <w:numPr>
        <w:numId w:val="3"/>
      </w:numPr>
    </w:p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kladntext">
    <w:name w:val="Body Text"/>
    <w:basedOn w:val="Normln"/>
    <w:semiHidden/>
    <w:rPr>
      <w:sz w:val="18"/>
      <w:lang w:val="en-GB"/>
    </w:rPr>
  </w:style>
  <w:style w:type="paragraph" w:styleId="Zkladntext2">
    <w:name w:val="Body Text 2"/>
    <w:basedOn w:val="Normln"/>
    <w:link w:val="Zkladntext2Char"/>
    <w:semiHidden/>
    <w:rPr>
      <w:sz w:val="22"/>
      <w:lang w:val="en-GB"/>
    </w:rPr>
  </w:style>
  <w:style w:type="paragraph" w:styleId="Textpoznpodarou">
    <w:name w:val="footnote text"/>
    <w:basedOn w:val="Normln"/>
    <w:link w:val="TextpoznpodarouChar"/>
    <w:uiPriority w:val="99"/>
    <w:unhideWhenUsed/>
    <w:rsid w:val="00B02486"/>
    <w:rPr>
      <w:szCs w:val="20"/>
    </w:rPr>
  </w:style>
  <w:style w:type="character" w:customStyle="1" w:styleId="TextpoznpodarouChar">
    <w:name w:val="Text pozn. pod čarou Char"/>
    <w:link w:val="Textpoznpodarou"/>
    <w:uiPriority w:val="99"/>
    <w:rsid w:val="00B02486"/>
    <w:rPr>
      <w:rFonts w:ascii="Arial" w:hAnsi="Arial"/>
    </w:rPr>
  </w:style>
  <w:style w:type="character" w:styleId="Znakapoznpodarou">
    <w:name w:val="footnote reference"/>
    <w:uiPriority w:val="99"/>
    <w:semiHidden/>
    <w:unhideWhenUsed/>
    <w:rsid w:val="00B02486"/>
    <w:rPr>
      <w:vertAlign w:val="superscript"/>
    </w:rPr>
  </w:style>
  <w:style w:type="character" w:customStyle="1" w:styleId="st">
    <w:name w:val="st"/>
    <w:rsid w:val="00D73A58"/>
  </w:style>
  <w:style w:type="character" w:styleId="Zdraznn">
    <w:name w:val="Emphasis"/>
    <w:uiPriority w:val="20"/>
    <w:qFormat/>
    <w:rsid w:val="00D73A58"/>
    <w:rPr>
      <w:i/>
      <w:iCs/>
    </w:rPr>
  </w:style>
  <w:style w:type="character" w:customStyle="1" w:styleId="Zkladntext2Char">
    <w:name w:val="Základní text 2 Char"/>
    <w:link w:val="Zkladntext2"/>
    <w:semiHidden/>
    <w:rsid w:val="00C81A46"/>
    <w:rPr>
      <w:rFonts w:ascii="Arial" w:hAnsi="Arial"/>
      <w:sz w:val="22"/>
      <w:szCs w:val="24"/>
      <w:lang w:val="en-GB"/>
    </w:rPr>
  </w:style>
  <w:style w:type="character" w:customStyle="1" w:styleId="spelle">
    <w:name w:val="spelle"/>
    <w:rsid w:val="001C09D9"/>
  </w:style>
  <w:style w:type="character" w:styleId="Siln">
    <w:name w:val="Strong"/>
    <w:basedOn w:val="Standardnpsmoodstavce"/>
    <w:uiPriority w:val="22"/>
    <w:qFormat/>
    <w:rsid w:val="00F758D8"/>
    <w:rPr>
      <w:b/>
      <w:bCs/>
    </w:rPr>
  </w:style>
  <w:style w:type="paragraph" w:styleId="Zhlav">
    <w:name w:val="header"/>
    <w:basedOn w:val="Normln"/>
    <w:link w:val="ZhlavChar"/>
    <w:uiPriority w:val="99"/>
    <w:unhideWhenUsed/>
    <w:rsid w:val="00707EB9"/>
    <w:pPr>
      <w:tabs>
        <w:tab w:val="center" w:pos="4536"/>
        <w:tab w:val="right" w:pos="9072"/>
      </w:tabs>
    </w:pPr>
  </w:style>
  <w:style w:type="character" w:customStyle="1" w:styleId="ZhlavChar">
    <w:name w:val="Záhlaví Char"/>
    <w:basedOn w:val="Standardnpsmoodstavce"/>
    <w:link w:val="Zhlav"/>
    <w:uiPriority w:val="99"/>
    <w:rsid w:val="00707EB9"/>
    <w:rPr>
      <w:rFonts w:ascii="Arial" w:hAnsi="Arial"/>
      <w:szCs w:val="24"/>
    </w:rPr>
  </w:style>
  <w:style w:type="character" w:styleId="Odkaznakoment">
    <w:name w:val="annotation reference"/>
    <w:basedOn w:val="Standardnpsmoodstavce"/>
    <w:uiPriority w:val="99"/>
    <w:semiHidden/>
    <w:unhideWhenUsed/>
    <w:rsid w:val="000B44AA"/>
    <w:rPr>
      <w:sz w:val="16"/>
      <w:szCs w:val="16"/>
    </w:rPr>
  </w:style>
  <w:style w:type="paragraph" w:styleId="Textkomente">
    <w:name w:val="annotation text"/>
    <w:basedOn w:val="Normln"/>
    <w:link w:val="TextkomenteChar"/>
    <w:uiPriority w:val="99"/>
    <w:semiHidden/>
    <w:unhideWhenUsed/>
    <w:rsid w:val="000B44AA"/>
    <w:rPr>
      <w:szCs w:val="20"/>
    </w:rPr>
  </w:style>
  <w:style w:type="character" w:customStyle="1" w:styleId="TextkomenteChar">
    <w:name w:val="Text komentáře Char"/>
    <w:basedOn w:val="Standardnpsmoodstavce"/>
    <w:link w:val="Textkomente"/>
    <w:uiPriority w:val="99"/>
    <w:semiHidden/>
    <w:rsid w:val="000B44AA"/>
    <w:rPr>
      <w:rFonts w:ascii="Arial" w:hAnsi="Arial"/>
    </w:rPr>
  </w:style>
  <w:style w:type="paragraph" w:styleId="Pedmtkomente">
    <w:name w:val="annotation subject"/>
    <w:basedOn w:val="Textkomente"/>
    <w:next w:val="Textkomente"/>
    <w:link w:val="PedmtkomenteChar"/>
    <w:uiPriority w:val="99"/>
    <w:semiHidden/>
    <w:unhideWhenUsed/>
    <w:rsid w:val="000B44AA"/>
    <w:rPr>
      <w:b/>
      <w:bCs/>
    </w:rPr>
  </w:style>
  <w:style w:type="character" w:customStyle="1" w:styleId="PedmtkomenteChar">
    <w:name w:val="Předmět komentáře Char"/>
    <w:basedOn w:val="TextkomenteChar"/>
    <w:link w:val="Pedmtkomente"/>
    <w:uiPriority w:val="99"/>
    <w:semiHidden/>
    <w:rsid w:val="000B44AA"/>
    <w:rPr>
      <w:rFonts w:ascii="Arial" w:hAnsi="Arial"/>
      <w:b/>
      <w:bCs/>
    </w:rPr>
  </w:style>
  <w:style w:type="paragraph" w:styleId="Textbubliny">
    <w:name w:val="Balloon Text"/>
    <w:basedOn w:val="Normln"/>
    <w:link w:val="TextbublinyChar"/>
    <w:uiPriority w:val="99"/>
    <w:semiHidden/>
    <w:unhideWhenUsed/>
    <w:rsid w:val="000B44A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B44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3822C-97A7-4D2D-A0CC-8ACD7C5DE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1</Pages>
  <Words>451</Words>
  <Characters>2667</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Commentary</vt:lpstr>
    </vt:vector>
  </TitlesOfParts>
  <Company>CSU</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Commentary</dc:title>
  <dc:subject/>
  <dc:creator>SystemService</dc:creator>
  <cp:keywords/>
  <dc:description/>
  <cp:lastModifiedBy>Bartlová Monika</cp:lastModifiedBy>
  <cp:revision>55</cp:revision>
  <cp:lastPrinted>2009-06-10T09:50:00Z</cp:lastPrinted>
  <dcterms:created xsi:type="dcterms:W3CDTF">2021-09-22T08:33:00Z</dcterms:created>
  <dcterms:modified xsi:type="dcterms:W3CDTF">2025-09-12T07:46:00Z</dcterms:modified>
</cp:coreProperties>
</file>