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38337" w14:textId="21DB28FE" w:rsidR="00B112AC" w:rsidRPr="00C923E0" w:rsidRDefault="00E577BC" w:rsidP="00B112AC">
      <w:pPr>
        <w:pStyle w:val="Nadpis1"/>
        <w:spacing w:after="120"/>
        <w:rPr>
          <w:color w:val="009CB5"/>
          <w:sz w:val="30"/>
          <w:szCs w:val="30"/>
        </w:rPr>
      </w:pPr>
      <w:r w:rsidRPr="00C923E0">
        <w:rPr>
          <w:color w:val="009CB5"/>
          <w:sz w:val="30"/>
          <w:szCs w:val="30"/>
        </w:rPr>
        <w:t>3</w:t>
      </w:r>
      <w:r w:rsidR="00B112AC" w:rsidRPr="00C923E0">
        <w:rPr>
          <w:color w:val="009CB5"/>
          <w:sz w:val="30"/>
          <w:szCs w:val="30"/>
        </w:rPr>
        <w:t>.</w:t>
      </w:r>
      <w:r w:rsidR="00DC3549" w:rsidRPr="00C923E0">
        <w:rPr>
          <w:color w:val="009CB5"/>
          <w:sz w:val="30"/>
          <w:szCs w:val="30"/>
        </w:rPr>
        <w:t xml:space="preserve">  </w:t>
      </w:r>
      <w:r w:rsidR="00B83ED0" w:rsidRPr="00C923E0">
        <w:rPr>
          <w:color w:val="009CB5"/>
          <w:sz w:val="30"/>
          <w:szCs w:val="30"/>
        </w:rPr>
        <w:t xml:space="preserve">IT odborníci </w:t>
      </w:r>
      <w:r w:rsidR="00B312BA" w:rsidRPr="00C923E0">
        <w:rPr>
          <w:color w:val="009CB5"/>
          <w:sz w:val="30"/>
          <w:szCs w:val="30"/>
        </w:rPr>
        <w:t>v podnicích</w:t>
      </w:r>
    </w:p>
    <w:p w14:paraId="067DB544" w14:textId="771E02A6" w:rsidR="00316ACA" w:rsidRPr="00316ACA" w:rsidRDefault="00316ACA" w:rsidP="00C923E0">
      <w:pPr>
        <w:pStyle w:val="Box"/>
      </w:pPr>
      <w:r w:rsidRPr="00316ACA">
        <w:t>Stále větší digitalizace ekonomiky vyžaduje rostoucí počet</w:t>
      </w:r>
      <w:r w:rsidR="00921C8C">
        <w:t xml:space="preserve"> IT</w:t>
      </w:r>
      <w:r w:rsidRPr="00316ACA">
        <w:t xml:space="preserve"> </w:t>
      </w:r>
      <w:r w:rsidR="00CF6477">
        <w:t>odborníků</w:t>
      </w:r>
      <w:r w:rsidRPr="00316ACA">
        <w:t xml:space="preserve">. Za posledních </w:t>
      </w:r>
      <w:r w:rsidR="00644346">
        <w:t>deset</w:t>
      </w:r>
      <w:r w:rsidRPr="00316ACA">
        <w:t xml:space="preserve"> let </w:t>
      </w:r>
      <w:r w:rsidR="005461C8">
        <w:t>vzrostl</w:t>
      </w:r>
      <w:r w:rsidRPr="00316ACA">
        <w:t xml:space="preserve"> podíl IT odborníků na celkovém počtu zaměstnanců v Česk</w:t>
      </w:r>
      <w:r w:rsidR="004C7DBA">
        <w:t>u</w:t>
      </w:r>
      <w:r w:rsidR="00751986">
        <w:t xml:space="preserve"> přibližně</w:t>
      </w:r>
      <w:r w:rsidRPr="00316ACA">
        <w:t xml:space="preserve"> </w:t>
      </w:r>
      <w:r w:rsidR="005461C8">
        <w:t>1,</w:t>
      </w:r>
      <w:r w:rsidR="00EA1C49">
        <w:t>5</w:t>
      </w:r>
      <w:r w:rsidR="005461C8">
        <w:t xml:space="preserve"> krát</w:t>
      </w:r>
      <w:r w:rsidRPr="00316ACA">
        <w:t>, přesto jich</w:t>
      </w:r>
      <w:r w:rsidR="00751986">
        <w:t xml:space="preserve"> je</w:t>
      </w:r>
      <w:r w:rsidRPr="00316ACA">
        <w:t xml:space="preserve"> stále nedostatek. </w:t>
      </w:r>
      <w:r w:rsidR="00BD38E9">
        <w:t>V</w:t>
      </w:r>
      <w:r w:rsidR="00BD38E9" w:rsidRPr="00316ACA">
        <w:t> roce 20</w:t>
      </w:r>
      <w:r w:rsidR="00BD38E9">
        <w:t xml:space="preserve">23 bylo u nás </w:t>
      </w:r>
      <w:r w:rsidR="00644346">
        <w:t>2</w:t>
      </w:r>
      <w:r w:rsidR="00EA1C49">
        <w:t>8</w:t>
      </w:r>
      <w:r w:rsidR="00644346">
        <w:t xml:space="preserve"> % </w:t>
      </w:r>
      <w:r w:rsidR="00F01932">
        <w:t>podniků</w:t>
      </w:r>
      <w:r w:rsidRPr="00316ACA">
        <w:t>, které</w:t>
      </w:r>
      <w:r w:rsidR="00634FC6">
        <w:t xml:space="preserve"> sice</w:t>
      </w:r>
      <w:r w:rsidRPr="00316ACA">
        <w:t xml:space="preserve"> zaměstnáva</w:t>
      </w:r>
      <w:r w:rsidR="00634FC6">
        <w:t>ly</w:t>
      </w:r>
      <w:r w:rsidRPr="00316ACA">
        <w:t xml:space="preserve"> IT odborníky</w:t>
      </w:r>
      <w:r w:rsidR="00634FC6">
        <w:t>, ale zároveň</w:t>
      </w:r>
      <w:r w:rsidR="005D3D26">
        <w:t xml:space="preserve"> </w:t>
      </w:r>
      <w:r w:rsidRPr="00316ACA">
        <w:t>měly volná místa, pro které bylo těžké sehnat IT odborník</w:t>
      </w:r>
      <w:r w:rsidR="005D3D26">
        <w:t>y</w:t>
      </w:r>
      <w:r w:rsidRPr="00316ACA">
        <w:t xml:space="preserve"> s odpovídajícími znalostmi a dovednostmi. Tyto problémy </w:t>
      </w:r>
      <w:r w:rsidR="004A75B7">
        <w:t>tráp</w:t>
      </w:r>
      <w:r w:rsidR="005D3D26">
        <w:t>ily</w:t>
      </w:r>
      <w:r w:rsidRPr="00316ACA">
        <w:t xml:space="preserve"> </w:t>
      </w:r>
      <w:r w:rsidR="00644346">
        <w:t xml:space="preserve">41 % velkých podniků zaměstnávajících IT odborníky a dokonce </w:t>
      </w:r>
      <w:r w:rsidR="00644B72">
        <w:t>62 % firem působících v oblasti</w:t>
      </w:r>
      <w:r w:rsidR="00644346">
        <w:t> IT</w:t>
      </w:r>
      <w:r w:rsidRPr="00316ACA">
        <w:t>.</w:t>
      </w:r>
    </w:p>
    <w:p w14:paraId="1F9FB4D7" w14:textId="77777777" w:rsidR="00B112AC" w:rsidRPr="00C923E0" w:rsidRDefault="00B112AC" w:rsidP="004A75B7">
      <w:pPr>
        <w:pStyle w:val="Nadpis2"/>
        <w:spacing w:before="240" w:after="120" w:line="240" w:lineRule="auto"/>
        <w:rPr>
          <w:color w:val="009CB5"/>
          <w:sz w:val="24"/>
          <w:szCs w:val="24"/>
        </w:rPr>
      </w:pPr>
      <w:r w:rsidRPr="00C923E0">
        <w:rPr>
          <w:color w:val="009CB5"/>
          <w:sz w:val="24"/>
          <w:szCs w:val="24"/>
        </w:rPr>
        <w:t>Hlavní zjištění</w:t>
      </w:r>
    </w:p>
    <w:p w14:paraId="43A17D10" w14:textId="4D893F52" w:rsidR="000D7D91" w:rsidRPr="00D81EF6" w:rsidRDefault="00316ACA" w:rsidP="00D560E1">
      <w:pPr>
        <w:pStyle w:val="Zkladntext"/>
        <w:numPr>
          <w:ilvl w:val="0"/>
          <w:numId w:val="2"/>
        </w:numPr>
        <w:tabs>
          <w:tab w:val="clear" w:pos="360"/>
        </w:tabs>
        <w:spacing w:before="0" w:after="60" w:line="276" w:lineRule="auto"/>
        <w:ind w:left="284" w:right="0" w:hanging="284"/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921C8C">
        <w:rPr>
          <w:rFonts w:ascii="Arial" w:eastAsia="Calibri" w:hAnsi="Arial" w:cs="Arial"/>
          <w:sz w:val="20"/>
          <w:szCs w:val="20"/>
          <w:lang w:eastAsia="en-US"/>
        </w:rPr>
        <w:t>V </w:t>
      </w:r>
      <w:r w:rsidR="004A75B7" w:rsidRPr="00921C8C">
        <w:rPr>
          <w:rFonts w:ascii="Arial" w:eastAsia="Calibri" w:hAnsi="Arial" w:cs="Arial"/>
          <w:sz w:val="20"/>
          <w:szCs w:val="20"/>
          <w:lang w:eastAsia="en-US"/>
        </w:rPr>
        <w:t>roce</w:t>
      </w:r>
      <w:r w:rsidRPr="00921C8C">
        <w:rPr>
          <w:rFonts w:ascii="Arial" w:eastAsia="Calibri" w:hAnsi="Arial" w:cs="Arial"/>
          <w:sz w:val="20"/>
          <w:szCs w:val="20"/>
          <w:lang w:eastAsia="en-US"/>
        </w:rPr>
        <w:t xml:space="preserve"> 20</w:t>
      </w:r>
      <w:r w:rsidR="001B5D3C" w:rsidRPr="00921C8C">
        <w:rPr>
          <w:rFonts w:ascii="Arial" w:eastAsia="Calibri" w:hAnsi="Arial" w:cs="Arial"/>
          <w:sz w:val="20"/>
          <w:szCs w:val="20"/>
          <w:lang w:eastAsia="en-US"/>
        </w:rPr>
        <w:t>2</w:t>
      </w:r>
      <w:r w:rsidR="00557DFF">
        <w:rPr>
          <w:rFonts w:ascii="Arial" w:eastAsia="Calibri" w:hAnsi="Arial" w:cs="Arial"/>
          <w:sz w:val="20"/>
          <w:szCs w:val="20"/>
          <w:lang w:eastAsia="en-US"/>
        </w:rPr>
        <w:t>5</w:t>
      </w:r>
      <w:r w:rsidRPr="00921C8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9201E6" w:rsidRPr="00921C8C">
        <w:rPr>
          <w:rFonts w:ascii="Arial" w:eastAsia="Calibri" w:hAnsi="Arial" w:cs="Arial"/>
          <w:sz w:val="20"/>
          <w:szCs w:val="20"/>
          <w:lang w:eastAsia="en-US"/>
        </w:rPr>
        <w:t>zaměstnával</w:t>
      </w:r>
      <w:r w:rsidR="009201E6">
        <w:rPr>
          <w:rFonts w:ascii="Arial" w:eastAsia="Calibri" w:hAnsi="Arial" w:cs="Arial"/>
          <w:sz w:val="20"/>
          <w:szCs w:val="20"/>
          <w:lang w:eastAsia="en-US"/>
        </w:rPr>
        <w:t>o</w:t>
      </w:r>
      <w:r w:rsidR="009201E6" w:rsidRPr="00921C8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21C8C">
        <w:rPr>
          <w:rFonts w:ascii="Arial" w:eastAsia="Calibri" w:hAnsi="Arial" w:cs="Arial"/>
          <w:sz w:val="20"/>
          <w:szCs w:val="20"/>
          <w:lang w:eastAsia="en-US"/>
        </w:rPr>
        <w:t>IT odborníky pro své potřeby</w:t>
      </w:r>
      <w:r w:rsidR="001B5D3C" w:rsidRPr="00921C8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557DFF">
        <w:rPr>
          <w:rFonts w:ascii="Arial" w:eastAsia="Calibri" w:hAnsi="Arial" w:cs="Arial"/>
          <w:b/>
          <w:sz w:val="20"/>
          <w:szCs w:val="20"/>
          <w:lang w:eastAsia="en-US"/>
        </w:rPr>
        <w:t>18</w:t>
      </w:r>
      <w:r w:rsidR="009201E6">
        <w:rPr>
          <w:rFonts w:ascii="Arial" w:eastAsia="Calibri" w:hAnsi="Arial" w:cs="Arial"/>
          <w:b/>
          <w:sz w:val="20"/>
          <w:szCs w:val="20"/>
          <w:lang w:eastAsia="en-US"/>
        </w:rPr>
        <w:t> %</w:t>
      </w:r>
      <w:r w:rsidR="00277391">
        <w:rPr>
          <w:rFonts w:ascii="Arial" w:eastAsia="Calibri" w:hAnsi="Arial" w:cs="Arial"/>
          <w:b/>
          <w:sz w:val="20"/>
          <w:szCs w:val="20"/>
          <w:lang w:eastAsia="en-US"/>
        </w:rPr>
        <w:t xml:space="preserve"> </w:t>
      </w:r>
      <w:r w:rsidR="007A1547">
        <w:rPr>
          <w:rFonts w:ascii="Arial" w:eastAsia="Calibri" w:hAnsi="Arial" w:cs="Arial"/>
          <w:b/>
          <w:sz w:val="20"/>
          <w:szCs w:val="20"/>
          <w:lang w:eastAsia="en-US"/>
        </w:rPr>
        <w:t xml:space="preserve">podniků u nás </w:t>
      </w:r>
      <w:r w:rsidR="00277391" w:rsidRPr="000D7D91">
        <w:rPr>
          <w:rFonts w:ascii="Arial" w:eastAsia="Calibri" w:hAnsi="Arial" w:cs="Arial"/>
          <w:bCs/>
          <w:sz w:val="20"/>
          <w:szCs w:val="20"/>
          <w:lang w:eastAsia="en-US"/>
        </w:rPr>
        <w:t xml:space="preserve">a tento podíl </w:t>
      </w:r>
      <w:r w:rsidR="00FD6D63" w:rsidRPr="000D7D91">
        <w:rPr>
          <w:rFonts w:ascii="Arial" w:eastAsia="Calibri" w:hAnsi="Arial" w:cs="Arial"/>
          <w:bCs/>
          <w:sz w:val="20"/>
          <w:szCs w:val="20"/>
          <w:lang w:eastAsia="en-US"/>
        </w:rPr>
        <w:t xml:space="preserve">se </w:t>
      </w:r>
      <w:r w:rsidR="00277391">
        <w:rPr>
          <w:rFonts w:ascii="Arial" w:eastAsia="Calibri" w:hAnsi="Arial" w:cs="Arial"/>
          <w:b/>
          <w:sz w:val="20"/>
          <w:szCs w:val="20"/>
          <w:lang w:eastAsia="en-US"/>
        </w:rPr>
        <w:t>v posledních deseti letech</w:t>
      </w:r>
      <w:r w:rsidR="00FD6D63">
        <w:rPr>
          <w:rFonts w:ascii="Arial" w:eastAsia="Calibri" w:hAnsi="Arial" w:cs="Arial"/>
          <w:b/>
          <w:sz w:val="20"/>
          <w:szCs w:val="20"/>
          <w:lang w:eastAsia="en-US"/>
        </w:rPr>
        <w:t xml:space="preserve"> pohybuje</w:t>
      </w:r>
      <w:r w:rsidR="00277391">
        <w:rPr>
          <w:rFonts w:ascii="Arial" w:eastAsia="Calibri" w:hAnsi="Arial" w:cs="Arial"/>
          <w:b/>
          <w:sz w:val="20"/>
          <w:szCs w:val="20"/>
          <w:lang w:eastAsia="en-US"/>
        </w:rPr>
        <w:t xml:space="preserve"> stabiln</w:t>
      </w:r>
      <w:r w:rsidR="00FD6D63">
        <w:rPr>
          <w:rFonts w:ascii="Arial" w:eastAsia="Calibri" w:hAnsi="Arial" w:cs="Arial"/>
          <w:b/>
          <w:sz w:val="20"/>
          <w:szCs w:val="20"/>
          <w:lang w:eastAsia="en-US"/>
        </w:rPr>
        <w:t>ě kolem 20% hranice</w:t>
      </w:r>
      <w:r w:rsidR="009201E6">
        <w:rPr>
          <w:rFonts w:ascii="Arial" w:eastAsia="Calibri" w:hAnsi="Arial" w:cs="Arial"/>
          <w:b/>
          <w:sz w:val="20"/>
          <w:szCs w:val="20"/>
          <w:lang w:eastAsia="en-US"/>
        </w:rPr>
        <w:t>.</w:t>
      </w:r>
      <w:r w:rsidRPr="00921C8C">
        <w:rPr>
          <w:rFonts w:ascii="Arial" w:eastAsia="Calibri" w:hAnsi="Arial" w:cs="Arial"/>
          <w:b/>
          <w:sz w:val="20"/>
          <w:szCs w:val="20"/>
          <w:lang w:eastAsia="en-US"/>
        </w:rPr>
        <w:t xml:space="preserve"> </w:t>
      </w:r>
      <w:r w:rsidR="00DC56C6" w:rsidRPr="00D81EF6">
        <w:rPr>
          <w:rFonts w:ascii="Arial" w:eastAsia="Calibri" w:hAnsi="Arial" w:cs="Arial"/>
          <w:bCs/>
          <w:sz w:val="20"/>
          <w:szCs w:val="20"/>
          <w:lang w:eastAsia="en-US"/>
        </w:rPr>
        <w:t>Velkých podniků, které zaměstnáva</w:t>
      </w:r>
      <w:r w:rsidR="00275083">
        <w:rPr>
          <w:rFonts w:ascii="Arial" w:eastAsia="Calibri" w:hAnsi="Arial" w:cs="Arial"/>
          <w:bCs/>
          <w:sz w:val="20"/>
          <w:szCs w:val="20"/>
          <w:lang w:eastAsia="en-US"/>
        </w:rPr>
        <w:t>jí</w:t>
      </w:r>
      <w:r w:rsidR="00DC56C6" w:rsidRPr="00D81EF6">
        <w:rPr>
          <w:rFonts w:ascii="Arial" w:eastAsia="Calibri" w:hAnsi="Arial" w:cs="Arial"/>
          <w:bCs/>
          <w:sz w:val="20"/>
          <w:szCs w:val="20"/>
          <w:lang w:eastAsia="en-US"/>
        </w:rPr>
        <w:t xml:space="preserve"> IT odborníky</w:t>
      </w:r>
      <w:r w:rsidR="00275083">
        <w:rPr>
          <w:rFonts w:ascii="Arial" w:eastAsia="Calibri" w:hAnsi="Arial" w:cs="Arial"/>
          <w:bCs/>
          <w:sz w:val="20"/>
          <w:szCs w:val="20"/>
          <w:lang w:eastAsia="en-US"/>
        </w:rPr>
        <w:t xml:space="preserve"> je dlouhodobě více než 80</w:t>
      </w:r>
      <w:r w:rsidR="00BB13B2">
        <w:rPr>
          <w:rFonts w:ascii="Arial" w:eastAsia="Calibri" w:hAnsi="Arial" w:cs="Arial"/>
          <w:bCs/>
          <w:sz w:val="20"/>
          <w:szCs w:val="20"/>
          <w:lang w:eastAsia="en-US"/>
        </w:rPr>
        <w:t xml:space="preserve"> %</w:t>
      </w:r>
      <w:r w:rsidR="00DC56C6" w:rsidRPr="00D81EF6">
        <w:rPr>
          <w:rFonts w:ascii="Arial" w:eastAsia="Calibri" w:hAnsi="Arial" w:cs="Arial"/>
          <w:bCs/>
          <w:sz w:val="20"/>
          <w:szCs w:val="20"/>
          <w:lang w:eastAsia="en-US"/>
        </w:rPr>
        <w:t xml:space="preserve">, </w:t>
      </w:r>
      <w:r w:rsidR="00BB13B2">
        <w:rPr>
          <w:rFonts w:ascii="Arial" w:eastAsia="Calibri" w:hAnsi="Arial" w:cs="Arial"/>
          <w:bCs/>
          <w:sz w:val="20"/>
          <w:szCs w:val="20"/>
          <w:lang w:eastAsia="en-US"/>
        </w:rPr>
        <w:t>ro</w:t>
      </w:r>
      <w:r w:rsidR="00036D4A">
        <w:rPr>
          <w:rFonts w:ascii="Arial" w:eastAsia="Calibri" w:hAnsi="Arial" w:cs="Arial"/>
          <w:bCs/>
          <w:sz w:val="20"/>
          <w:szCs w:val="20"/>
          <w:lang w:eastAsia="en-US"/>
        </w:rPr>
        <w:t>k</w:t>
      </w:r>
      <w:r w:rsidR="00BB13B2">
        <w:rPr>
          <w:rFonts w:ascii="Arial" w:eastAsia="Calibri" w:hAnsi="Arial" w:cs="Arial"/>
          <w:bCs/>
          <w:sz w:val="20"/>
          <w:szCs w:val="20"/>
          <w:lang w:eastAsia="en-US"/>
        </w:rPr>
        <w:t xml:space="preserve"> 2025 </w:t>
      </w:r>
      <w:r w:rsidR="00036D4A">
        <w:rPr>
          <w:rFonts w:ascii="Arial" w:eastAsia="Calibri" w:hAnsi="Arial" w:cs="Arial"/>
          <w:bCs/>
          <w:sz w:val="20"/>
          <w:szCs w:val="20"/>
          <w:lang w:eastAsia="en-US"/>
        </w:rPr>
        <w:t>nebyl výjimkou</w:t>
      </w:r>
      <w:r w:rsidR="00D81EF6" w:rsidRPr="00D81EF6">
        <w:rPr>
          <w:rFonts w:ascii="Arial" w:eastAsia="Calibri" w:hAnsi="Arial" w:cs="Arial"/>
          <w:bCs/>
          <w:sz w:val="20"/>
          <w:szCs w:val="20"/>
          <w:lang w:eastAsia="en-US"/>
        </w:rPr>
        <w:t>. Středně velkých</w:t>
      </w:r>
      <w:r w:rsidR="00375223">
        <w:rPr>
          <w:rFonts w:ascii="Arial" w:eastAsia="Calibri" w:hAnsi="Arial" w:cs="Arial"/>
          <w:bCs/>
          <w:sz w:val="20"/>
          <w:szCs w:val="20"/>
          <w:lang w:eastAsia="en-US"/>
        </w:rPr>
        <w:t xml:space="preserve"> podniků, které zaměstnávají IT odborníky</w:t>
      </w:r>
      <w:r w:rsidR="00261C46">
        <w:rPr>
          <w:rFonts w:ascii="Arial" w:eastAsia="Calibri" w:hAnsi="Arial" w:cs="Arial"/>
          <w:bCs/>
          <w:sz w:val="20"/>
          <w:szCs w:val="20"/>
          <w:lang w:eastAsia="en-US"/>
        </w:rPr>
        <w:t>,</w:t>
      </w:r>
      <w:r w:rsidR="00D81EF6" w:rsidRPr="00D81EF6">
        <w:rPr>
          <w:rFonts w:ascii="Arial" w:eastAsia="Calibri" w:hAnsi="Arial" w:cs="Arial"/>
          <w:bCs/>
          <w:sz w:val="20"/>
          <w:szCs w:val="20"/>
          <w:lang w:eastAsia="en-US"/>
        </w:rPr>
        <w:t xml:space="preserve"> bylo</w:t>
      </w:r>
      <w:r w:rsidR="00C56B9B">
        <w:rPr>
          <w:rFonts w:ascii="Arial" w:eastAsia="Calibri" w:hAnsi="Arial" w:cs="Arial"/>
          <w:bCs/>
          <w:sz w:val="20"/>
          <w:szCs w:val="20"/>
          <w:lang w:eastAsia="en-US"/>
        </w:rPr>
        <w:t xml:space="preserve"> v roce 2025 celkově</w:t>
      </w:r>
      <w:r w:rsidR="00D81EF6" w:rsidRPr="00D81EF6">
        <w:rPr>
          <w:rFonts w:ascii="Arial" w:eastAsia="Calibri" w:hAnsi="Arial" w:cs="Arial"/>
          <w:bCs/>
          <w:sz w:val="20"/>
          <w:szCs w:val="20"/>
          <w:lang w:eastAsia="en-US"/>
        </w:rPr>
        <w:t xml:space="preserve"> 38 % a malých 11 %.</w:t>
      </w:r>
      <w:r w:rsidR="00C56B9B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 w:rsidR="00406169">
        <w:rPr>
          <w:rFonts w:ascii="Arial" w:eastAsia="Calibri" w:hAnsi="Arial" w:cs="Arial"/>
          <w:bCs/>
          <w:sz w:val="20"/>
          <w:szCs w:val="20"/>
          <w:lang w:eastAsia="en-US"/>
        </w:rPr>
        <w:t>Tyto podíly jsou v poslední dekádě také prakticky neměnné.</w:t>
      </w:r>
    </w:p>
    <w:p w14:paraId="64AA4A1F" w14:textId="4AD39CD1" w:rsidR="00D560E1" w:rsidRPr="00063D0D" w:rsidRDefault="00DB2A78" w:rsidP="00D560E1">
      <w:pPr>
        <w:numPr>
          <w:ilvl w:val="0"/>
          <w:numId w:val="2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80"/>
        <w:ind w:left="284" w:hanging="284"/>
        <w:jc w:val="both"/>
        <w:rPr>
          <w:rFonts w:ascii="Arial" w:hAnsi="Arial" w:cs="Arial"/>
          <w:sz w:val="20"/>
        </w:rPr>
      </w:pPr>
      <w:r w:rsidRPr="002467A5">
        <w:rPr>
          <w:rFonts w:ascii="Arial" w:hAnsi="Arial" w:cs="Arial"/>
          <w:sz w:val="20"/>
          <w:szCs w:val="20"/>
        </w:rPr>
        <w:t>Ve srovnání s ostatními zeměmi EU byly podniky působící v </w:t>
      </w:r>
      <w:r>
        <w:rPr>
          <w:rFonts w:ascii="Arial" w:hAnsi="Arial" w:cs="Arial"/>
          <w:sz w:val="20"/>
          <w:szCs w:val="20"/>
        </w:rPr>
        <w:t>Česku</w:t>
      </w:r>
      <w:r w:rsidRPr="002467A5">
        <w:rPr>
          <w:rFonts w:ascii="Arial" w:hAnsi="Arial" w:cs="Arial"/>
          <w:sz w:val="20"/>
          <w:szCs w:val="20"/>
        </w:rPr>
        <w:t xml:space="preserve"> v zaměstnávání ICT odborníků v roce 2024 na evropském</w:t>
      </w:r>
      <w:r w:rsidRPr="002467A5">
        <w:rPr>
          <w:rFonts w:ascii="Arial" w:hAnsi="Arial" w:cs="Arial"/>
          <w:b/>
          <w:sz w:val="20"/>
          <w:szCs w:val="20"/>
        </w:rPr>
        <w:t xml:space="preserve"> průměru, který činí 20 % podniků.</w:t>
      </w:r>
      <w:r w:rsidRPr="002467A5">
        <w:rPr>
          <w:rFonts w:ascii="Arial" w:hAnsi="Arial" w:cs="Arial"/>
          <w:sz w:val="20"/>
          <w:szCs w:val="20"/>
        </w:rPr>
        <w:t xml:space="preserve"> IT odborníky zaměstnáv</w:t>
      </w:r>
      <w:r>
        <w:rPr>
          <w:rFonts w:ascii="Arial" w:hAnsi="Arial" w:cs="Arial"/>
          <w:sz w:val="20"/>
          <w:szCs w:val="20"/>
        </w:rPr>
        <w:t>alo v tomto roce</w:t>
      </w:r>
      <w:r w:rsidRPr="002467A5">
        <w:rPr>
          <w:rFonts w:ascii="Arial" w:hAnsi="Arial" w:cs="Arial"/>
          <w:sz w:val="20"/>
          <w:szCs w:val="20"/>
        </w:rPr>
        <w:t xml:space="preserve"> nejvíce podniků na</w:t>
      </w:r>
      <w:r>
        <w:rPr>
          <w:rFonts w:ascii="Arial" w:hAnsi="Arial" w:cs="Arial"/>
          <w:sz w:val="20"/>
          <w:szCs w:val="20"/>
        </w:rPr>
        <w:t> </w:t>
      </w:r>
      <w:r w:rsidRPr="002467A5">
        <w:rPr>
          <w:rFonts w:ascii="Arial" w:hAnsi="Arial" w:cs="Arial"/>
          <w:sz w:val="20"/>
          <w:szCs w:val="20"/>
        </w:rPr>
        <w:t xml:space="preserve">Maltě (34 %) a také v Dánsku a Finsku (v každé zemi 31 % podniků). </w:t>
      </w:r>
      <w:r>
        <w:rPr>
          <w:rFonts w:ascii="Arial" w:hAnsi="Arial" w:cs="Arial"/>
          <w:sz w:val="20"/>
          <w:szCs w:val="20"/>
        </w:rPr>
        <w:t>Nejméně IT odborníků bylo v roce 2024 zaměstnaných naopak v podnicích v Rumunsku (11 % podniků) nebo v Itálii (12 % podniků).</w:t>
      </w:r>
      <w:r w:rsidR="00D560E1">
        <w:rPr>
          <w:rFonts w:ascii="Arial" w:hAnsi="Arial" w:cs="Arial"/>
          <w:sz w:val="20"/>
          <w:szCs w:val="20"/>
        </w:rPr>
        <w:t xml:space="preserve"> </w:t>
      </w:r>
      <w:r w:rsidR="00D560E1">
        <w:rPr>
          <w:rFonts w:ascii="Arial" w:hAnsi="Arial" w:cs="Arial"/>
          <w:sz w:val="20"/>
        </w:rPr>
        <w:t>Údaje za rok 2025 za země EU27 nejsou k dispozici, tento ukazatel se v šetření nezjišťoval.</w:t>
      </w:r>
      <w:r w:rsidR="00D560E1" w:rsidRPr="00063D0D">
        <w:rPr>
          <w:rFonts w:ascii="Arial" w:hAnsi="Arial" w:cs="Arial"/>
          <w:sz w:val="20"/>
        </w:rPr>
        <w:t xml:space="preserve"> </w:t>
      </w:r>
    </w:p>
    <w:p w14:paraId="2DB57530" w14:textId="73ED7B79" w:rsidR="00651503" w:rsidRPr="00651503" w:rsidRDefault="00D560E1" w:rsidP="00D560E1">
      <w:pPr>
        <w:pStyle w:val="Zkladntext"/>
        <w:numPr>
          <w:ilvl w:val="0"/>
          <w:numId w:val="2"/>
        </w:numPr>
        <w:tabs>
          <w:tab w:val="clear" w:pos="360"/>
        </w:tabs>
        <w:spacing w:before="0" w:after="60" w:line="276" w:lineRule="auto"/>
        <w:ind w:left="284" w:right="0" w:hanging="284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V</w:t>
      </w:r>
      <w:r w:rsidR="009201E6" w:rsidRPr="00921C8C">
        <w:rPr>
          <w:rFonts w:ascii="Arial" w:eastAsia="Calibri" w:hAnsi="Arial" w:cs="Arial"/>
          <w:sz w:val="20"/>
          <w:szCs w:val="20"/>
          <w:lang w:eastAsia="en-US"/>
        </w:rPr>
        <w:t> podnicích s 10 a více zaměstnanci v</w:t>
      </w:r>
      <w:r w:rsidR="009201E6">
        <w:rPr>
          <w:rFonts w:ascii="Arial" w:eastAsia="Calibri" w:hAnsi="Arial" w:cs="Arial"/>
          <w:sz w:val="20"/>
          <w:szCs w:val="20"/>
          <w:lang w:eastAsia="en-US"/>
        </w:rPr>
        <w:t> </w:t>
      </w:r>
      <w:r w:rsidR="009201E6" w:rsidRPr="00921C8C">
        <w:rPr>
          <w:rFonts w:ascii="Arial" w:eastAsia="Calibri" w:hAnsi="Arial" w:cs="Arial"/>
          <w:sz w:val="20"/>
          <w:szCs w:val="20"/>
          <w:lang w:eastAsia="en-US"/>
        </w:rPr>
        <w:t>Č</w:t>
      </w:r>
      <w:r w:rsidR="009201E6">
        <w:rPr>
          <w:rFonts w:ascii="Arial" w:eastAsia="Calibri" w:hAnsi="Arial" w:cs="Arial"/>
          <w:sz w:val="20"/>
          <w:szCs w:val="20"/>
          <w:lang w:eastAsia="en-US"/>
        </w:rPr>
        <w:t>esku</w:t>
      </w:r>
      <w:r w:rsidR="009201E6">
        <w:rPr>
          <w:rFonts w:ascii="Arial" w:eastAsia="Calibri" w:hAnsi="Arial" w:cs="Arial"/>
          <w:b/>
          <w:sz w:val="20"/>
          <w:szCs w:val="20"/>
          <w:lang w:eastAsia="en-US"/>
        </w:rPr>
        <w:t xml:space="preserve"> </w:t>
      </w:r>
      <w:r w:rsidR="009201E6" w:rsidRPr="00921C8C">
        <w:rPr>
          <w:rFonts w:ascii="Arial" w:eastAsia="Calibri" w:hAnsi="Arial" w:cs="Arial"/>
          <w:b/>
          <w:sz w:val="20"/>
          <w:szCs w:val="20"/>
          <w:lang w:eastAsia="en-US"/>
        </w:rPr>
        <w:t xml:space="preserve">tvořili </w:t>
      </w:r>
      <w:r w:rsidR="0023074E">
        <w:rPr>
          <w:rFonts w:ascii="Arial" w:eastAsia="Calibri" w:hAnsi="Arial" w:cs="Arial"/>
          <w:b/>
          <w:sz w:val="20"/>
          <w:szCs w:val="20"/>
          <w:lang w:eastAsia="en-US"/>
        </w:rPr>
        <w:t>v</w:t>
      </w:r>
      <w:r w:rsidR="00C568E6">
        <w:rPr>
          <w:rFonts w:ascii="Arial" w:eastAsia="Calibri" w:hAnsi="Arial" w:cs="Arial"/>
          <w:b/>
          <w:sz w:val="20"/>
          <w:szCs w:val="20"/>
          <w:lang w:eastAsia="en-US"/>
        </w:rPr>
        <w:t xml:space="preserve"> roce </w:t>
      </w:r>
      <w:r w:rsidR="0023074E">
        <w:rPr>
          <w:rFonts w:ascii="Arial" w:eastAsia="Calibri" w:hAnsi="Arial" w:cs="Arial"/>
          <w:b/>
          <w:sz w:val="20"/>
          <w:szCs w:val="20"/>
          <w:lang w:eastAsia="en-US"/>
        </w:rPr>
        <w:t xml:space="preserve">2025 </w:t>
      </w:r>
      <w:r w:rsidR="00277391">
        <w:rPr>
          <w:rFonts w:ascii="Arial" w:eastAsia="Calibri" w:hAnsi="Arial" w:cs="Arial"/>
          <w:b/>
          <w:sz w:val="20"/>
          <w:szCs w:val="20"/>
          <w:lang w:eastAsia="en-US"/>
        </w:rPr>
        <w:t>IT</w:t>
      </w:r>
      <w:r w:rsidR="009B7249" w:rsidRPr="00921C8C">
        <w:rPr>
          <w:rFonts w:ascii="Arial" w:eastAsia="Calibri" w:hAnsi="Arial" w:cs="Arial"/>
          <w:b/>
          <w:sz w:val="20"/>
          <w:szCs w:val="20"/>
          <w:lang w:eastAsia="en-US"/>
        </w:rPr>
        <w:t xml:space="preserve"> odborní</w:t>
      </w:r>
      <w:r w:rsidR="00277391">
        <w:rPr>
          <w:rFonts w:ascii="Arial" w:eastAsia="Calibri" w:hAnsi="Arial" w:cs="Arial"/>
          <w:b/>
          <w:sz w:val="20"/>
          <w:szCs w:val="20"/>
          <w:lang w:eastAsia="en-US"/>
        </w:rPr>
        <w:t>ci</w:t>
      </w:r>
      <w:r w:rsidR="009B7249" w:rsidRPr="00921C8C">
        <w:rPr>
          <w:rFonts w:ascii="Arial" w:eastAsia="Calibri" w:hAnsi="Arial" w:cs="Arial"/>
          <w:b/>
          <w:sz w:val="20"/>
          <w:szCs w:val="20"/>
          <w:lang w:eastAsia="en-US"/>
        </w:rPr>
        <w:t xml:space="preserve"> </w:t>
      </w:r>
      <w:r w:rsidR="0023074E">
        <w:rPr>
          <w:rFonts w:ascii="Arial" w:eastAsia="Calibri" w:hAnsi="Arial" w:cs="Arial"/>
          <w:b/>
          <w:sz w:val="20"/>
          <w:szCs w:val="20"/>
          <w:lang w:eastAsia="en-US"/>
        </w:rPr>
        <w:t>4</w:t>
      </w:r>
      <w:r w:rsidR="00AA74B8" w:rsidRPr="00921C8C">
        <w:rPr>
          <w:rFonts w:ascii="Arial" w:eastAsia="Calibri" w:hAnsi="Arial" w:cs="Arial"/>
          <w:b/>
          <w:sz w:val="20"/>
          <w:szCs w:val="20"/>
          <w:lang w:eastAsia="en-US"/>
        </w:rPr>
        <w:t> </w:t>
      </w:r>
      <w:r w:rsidR="00316ACA" w:rsidRPr="00921C8C">
        <w:rPr>
          <w:rFonts w:ascii="Arial" w:eastAsia="Calibri" w:hAnsi="Arial" w:cs="Arial"/>
          <w:b/>
          <w:sz w:val="20"/>
          <w:szCs w:val="20"/>
          <w:lang w:eastAsia="en-US"/>
        </w:rPr>
        <w:t xml:space="preserve">% </w:t>
      </w:r>
      <w:r w:rsidR="00316ACA" w:rsidRPr="00921C8C">
        <w:rPr>
          <w:rFonts w:ascii="Arial" w:eastAsia="Calibri" w:hAnsi="Arial" w:cs="Arial"/>
          <w:sz w:val="20"/>
          <w:szCs w:val="20"/>
          <w:lang w:eastAsia="en-US"/>
        </w:rPr>
        <w:t xml:space="preserve">všech zaměstnaných osob. </w:t>
      </w:r>
      <w:r w:rsidR="00680396">
        <w:rPr>
          <w:rFonts w:ascii="Arial" w:eastAsia="Calibri" w:hAnsi="Arial" w:cs="Arial"/>
          <w:sz w:val="20"/>
          <w:szCs w:val="20"/>
          <w:lang w:eastAsia="en-US"/>
        </w:rPr>
        <w:t>Jejich podíl</w:t>
      </w:r>
      <w:r w:rsidR="00F75A22" w:rsidRPr="00921C8C">
        <w:rPr>
          <w:rFonts w:ascii="Arial" w:eastAsia="Calibri" w:hAnsi="Arial" w:cs="Arial"/>
          <w:sz w:val="20"/>
          <w:szCs w:val="20"/>
          <w:lang w:eastAsia="en-US"/>
        </w:rPr>
        <w:t xml:space="preserve"> na celkové pracovní síle je nepatrně vyšší ve velkých podnicích s více než 250 zaměstnanci, kde</w:t>
      </w:r>
      <w:r w:rsidR="00651503">
        <w:rPr>
          <w:rFonts w:ascii="Arial" w:eastAsia="Calibri" w:hAnsi="Arial" w:cs="Arial"/>
          <w:sz w:val="20"/>
          <w:szCs w:val="20"/>
          <w:lang w:eastAsia="en-US"/>
        </w:rPr>
        <w:t xml:space="preserve"> v roce 2025</w:t>
      </w:r>
      <w:r w:rsidR="00F75A22" w:rsidRPr="00921C8C">
        <w:rPr>
          <w:rFonts w:ascii="Arial" w:eastAsia="Calibri" w:hAnsi="Arial" w:cs="Arial"/>
          <w:sz w:val="20"/>
          <w:szCs w:val="20"/>
          <w:lang w:eastAsia="en-US"/>
        </w:rPr>
        <w:t xml:space="preserve"> tvo</w:t>
      </w:r>
      <w:r w:rsidR="006D2C1B">
        <w:rPr>
          <w:rFonts w:ascii="Arial" w:eastAsia="Calibri" w:hAnsi="Arial" w:cs="Arial"/>
          <w:sz w:val="20"/>
          <w:szCs w:val="20"/>
          <w:lang w:eastAsia="en-US"/>
        </w:rPr>
        <w:t>řil</w:t>
      </w:r>
      <w:r w:rsidR="00F75A22" w:rsidRPr="00651503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6801A5">
        <w:rPr>
          <w:rFonts w:ascii="Arial" w:eastAsia="Calibri" w:hAnsi="Arial" w:cs="Arial"/>
          <w:sz w:val="20"/>
          <w:szCs w:val="20"/>
          <w:lang w:eastAsia="en-US"/>
        </w:rPr>
        <w:t>5</w:t>
      </w:r>
      <w:r w:rsidR="00F75A22" w:rsidRPr="00651503">
        <w:rPr>
          <w:rFonts w:ascii="Arial" w:eastAsia="Calibri" w:hAnsi="Arial" w:cs="Arial"/>
          <w:sz w:val="20"/>
          <w:szCs w:val="20"/>
          <w:lang w:eastAsia="en-US"/>
        </w:rPr>
        <w:t xml:space="preserve"> % všech zaměstnanců</w:t>
      </w:r>
      <w:r w:rsidR="006D2C1B">
        <w:rPr>
          <w:rFonts w:ascii="Arial" w:eastAsia="Calibri" w:hAnsi="Arial" w:cs="Arial"/>
          <w:sz w:val="20"/>
          <w:szCs w:val="20"/>
          <w:lang w:eastAsia="en-US"/>
        </w:rPr>
        <w:t xml:space="preserve">. Jejich podíl se </w:t>
      </w:r>
      <w:r w:rsidR="00DC7B31" w:rsidRPr="00651503">
        <w:rPr>
          <w:rFonts w:ascii="Arial" w:eastAsia="Calibri" w:hAnsi="Arial" w:cs="Arial"/>
          <w:sz w:val="20"/>
          <w:szCs w:val="20"/>
          <w:lang w:eastAsia="en-US"/>
        </w:rPr>
        <w:t xml:space="preserve">za posledních deset let </w:t>
      </w:r>
      <w:r w:rsidR="00651503" w:rsidRPr="00651503">
        <w:rPr>
          <w:rFonts w:ascii="Arial" w:eastAsia="Calibri" w:hAnsi="Arial" w:cs="Arial"/>
          <w:sz w:val="20"/>
          <w:szCs w:val="20"/>
          <w:lang w:eastAsia="en-US"/>
        </w:rPr>
        <w:t>téměř zdvojnásobil</w:t>
      </w:r>
      <w:r w:rsidR="00F75A22" w:rsidRPr="00651503">
        <w:rPr>
          <w:rFonts w:ascii="Arial" w:eastAsia="Calibri" w:hAnsi="Arial" w:cs="Arial"/>
          <w:sz w:val="20"/>
          <w:szCs w:val="20"/>
          <w:lang w:eastAsia="en-US"/>
        </w:rPr>
        <w:t>.</w:t>
      </w:r>
      <w:r w:rsidR="00B910B4">
        <w:rPr>
          <w:rFonts w:ascii="Arial" w:eastAsia="Calibri" w:hAnsi="Arial" w:cs="Arial"/>
          <w:sz w:val="20"/>
          <w:szCs w:val="20"/>
          <w:lang w:eastAsia="en-US"/>
        </w:rPr>
        <w:t xml:space="preserve"> V malých firmách tvoří IT odborníci 3 % ze všech zaměstnanců</w:t>
      </w:r>
      <w:r w:rsidR="000E7658">
        <w:rPr>
          <w:rFonts w:ascii="Arial" w:eastAsia="Calibri" w:hAnsi="Arial" w:cs="Arial"/>
          <w:sz w:val="20"/>
          <w:szCs w:val="20"/>
          <w:lang w:eastAsia="en-US"/>
        </w:rPr>
        <w:t xml:space="preserve"> a ve středně velkých </w:t>
      </w:r>
      <w:r w:rsidR="009D55C0">
        <w:rPr>
          <w:rFonts w:ascii="Arial" w:eastAsia="Calibri" w:hAnsi="Arial" w:cs="Arial"/>
          <w:sz w:val="20"/>
          <w:szCs w:val="20"/>
          <w:lang w:eastAsia="en-US"/>
        </w:rPr>
        <w:t xml:space="preserve">jde </w:t>
      </w:r>
      <w:r w:rsidR="000E7658">
        <w:rPr>
          <w:rFonts w:ascii="Arial" w:eastAsia="Calibri" w:hAnsi="Arial" w:cs="Arial"/>
          <w:sz w:val="20"/>
          <w:szCs w:val="20"/>
          <w:lang w:eastAsia="en-US"/>
        </w:rPr>
        <w:t xml:space="preserve">o </w:t>
      </w:r>
      <w:r w:rsidR="006801A5">
        <w:rPr>
          <w:rFonts w:ascii="Arial" w:eastAsia="Calibri" w:hAnsi="Arial" w:cs="Arial"/>
          <w:sz w:val="20"/>
          <w:szCs w:val="20"/>
          <w:lang w:eastAsia="en-US"/>
        </w:rPr>
        <w:t>4</w:t>
      </w:r>
      <w:r w:rsidR="000E7658">
        <w:rPr>
          <w:rFonts w:ascii="Arial" w:eastAsia="Calibri" w:hAnsi="Arial" w:cs="Arial"/>
          <w:sz w:val="20"/>
          <w:szCs w:val="20"/>
          <w:lang w:eastAsia="en-US"/>
        </w:rPr>
        <w:t>% podíl</w:t>
      </w:r>
      <w:r w:rsidR="00B910B4">
        <w:rPr>
          <w:rFonts w:ascii="Arial" w:eastAsia="Calibri" w:hAnsi="Arial" w:cs="Arial"/>
          <w:sz w:val="20"/>
          <w:szCs w:val="20"/>
          <w:lang w:eastAsia="en-US"/>
        </w:rPr>
        <w:t>.</w:t>
      </w:r>
      <w:r w:rsidR="00F75A22" w:rsidRPr="00651503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14:paraId="4CE96C5A" w14:textId="6526AF95" w:rsidR="009E4403" w:rsidRDefault="00295306" w:rsidP="00D560E1">
      <w:pPr>
        <w:pStyle w:val="Zkladntext"/>
        <w:numPr>
          <w:ilvl w:val="0"/>
          <w:numId w:val="2"/>
        </w:numPr>
        <w:tabs>
          <w:tab w:val="clear" w:pos="360"/>
        </w:tabs>
        <w:spacing w:before="0" w:after="60" w:line="276" w:lineRule="auto"/>
        <w:ind w:left="284" w:right="0" w:hanging="284"/>
        <w:rPr>
          <w:rFonts w:ascii="Arial" w:eastAsia="Calibri" w:hAnsi="Arial" w:cs="Arial"/>
          <w:sz w:val="20"/>
          <w:szCs w:val="20"/>
          <w:lang w:eastAsia="en-US"/>
        </w:rPr>
      </w:pPr>
      <w:r w:rsidRPr="00921C8C">
        <w:rPr>
          <w:rFonts w:ascii="Arial" w:eastAsia="Calibri" w:hAnsi="Arial" w:cs="Arial"/>
          <w:sz w:val="20"/>
          <w:szCs w:val="20"/>
          <w:lang w:eastAsia="en-US"/>
        </w:rPr>
        <w:t>N</w:t>
      </w:r>
      <w:r w:rsidR="00316ACA" w:rsidRPr="00921C8C">
        <w:rPr>
          <w:rFonts w:ascii="Arial" w:eastAsia="Calibri" w:hAnsi="Arial" w:cs="Arial"/>
          <w:sz w:val="20"/>
          <w:szCs w:val="20"/>
          <w:lang w:eastAsia="en-US"/>
        </w:rPr>
        <w:t xml:space="preserve">ejvíce </w:t>
      </w:r>
      <w:r w:rsidR="00680396">
        <w:rPr>
          <w:rFonts w:ascii="Arial" w:eastAsia="Calibri" w:hAnsi="Arial" w:cs="Arial"/>
          <w:sz w:val="20"/>
          <w:szCs w:val="20"/>
          <w:lang w:eastAsia="en-US"/>
        </w:rPr>
        <w:t xml:space="preserve">IT odborníků </w:t>
      </w:r>
      <w:r w:rsidR="00316ACA" w:rsidRPr="00921C8C">
        <w:rPr>
          <w:rFonts w:ascii="Arial" w:eastAsia="Calibri" w:hAnsi="Arial" w:cs="Arial"/>
          <w:sz w:val="20"/>
          <w:szCs w:val="20"/>
          <w:lang w:eastAsia="en-US"/>
        </w:rPr>
        <w:t xml:space="preserve">nacházíme </w:t>
      </w:r>
      <w:r w:rsidRPr="00921C8C">
        <w:rPr>
          <w:rFonts w:ascii="Arial" w:eastAsia="Calibri" w:hAnsi="Arial" w:cs="Arial"/>
          <w:sz w:val="20"/>
          <w:szCs w:val="20"/>
          <w:lang w:eastAsia="en-US"/>
        </w:rPr>
        <w:t xml:space="preserve">tradičně </w:t>
      </w:r>
      <w:r w:rsidR="00316ACA" w:rsidRPr="00921C8C">
        <w:rPr>
          <w:rFonts w:ascii="Arial" w:eastAsia="Calibri" w:hAnsi="Arial" w:cs="Arial"/>
          <w:sz w:val="20"/>
          <w:szCs w:val="20"/>
          <w:lang w:eastAsia="en-US"/>
        </w:rPr>
        <w:t>v odvětvové sekci J Informační a komunikační činnosti</w:t>
      </w:r>
      <w:r w:rsidRPr="00921C8C">
        <w:rPr>
          <w:rFonts w:ascii="Arial" w:eastAsia="Calibri" w:hAnsi="Arial" w:cs="Arial"/>
          <w:sz w:val="20"/>
          <w:szCs w:val="20"/>
          <w:lang w:eastAsia="en-US"/>
        </w:rPr>
        <w:t xml:space="preserve">, zvláště pak v oboru </w:t>
      </w:r>
      <w:r w:rsidR="009B7249" w:rsidRPr="00921C8C">
        <w:rPr>
          <w:rFonts w:ascii="Arial" w:eastAsia="Calibri" w:hAnsi="Arial" w:cs="Arial"/>
          <w:sz w:val="20"/>
          <w:szCs w:val="20"/>
          <w:lang w:eastAsia="en-US"/>
        </w:rPr>
        <w:t>č</w:t>
      </w:r>
      <w:r w:rsidRPr="00921C8C">
        <w:rPr>
          <w:rFonts w:ascii="Arial" w:eastAsia="Calibri" w:hAnsi="Arial" w:cs="Arial"/>
          <w:sz w:val="20"/>
          <w:szCs w:val="20"/>
          <w:lang w:eastAsia="en-US"/>
        </w:rPr>
        <w:t>innosti v oblasti IT</w:t>
      </w:r>
      <w:r w:rsidR="007418A9">
        <w:rPr>
          <w:rFonts w:ascii="Arial" w:eastAsia="Calibri" w:hAnsi="Arial" w:cs="Arial"/>
          <w:sz w:val="20"/>
          <w:szCs w:val="20"/>
          <w:lang w:eastAsia="en-US"/>
        </w:rPr>
        <w:t xml:space="preserve"> (NACE 62)</w:t>
      </w:r>
      <w:r w:rsidR="00316ACA" w:rsidRPr="00921C8C">
        <w:rPr>
          <w:rFonts w:ascii="Arial" w:eastAsia="Calibri" w:hAnsi="Arial" w:cs="Arial"/>
          <w:sz w:val="20"/>
          <w:szCs w:val="20"/>
          <w:lang w:eastAsia="en-US"/>
        </w:rPr>
        <w:t xml:space="preserve">, </w:t>
      </w:r>
      <w:r w:rsidR="00316ACA" w:rsidRPr="00921C8C">
        <w:rPr>
          <w:rFonts w:ascii="Arial" w:eastAsia="Calibri" w:hAnsi="Arial" w:cs="Arial"/>
          <w:b/>
          <w:sz w:val="20"/>
          <w:szCs w:val="20"/>
          <w:lang w:eastAsia="en-US"/>
        </w:rPr>
        <w:t>kde</w:t>
      </w:r>
      <w:r w:rsidR="009B7249" w:rsidRPr="00921C8C">
        <w:rPr>
          <w:rFonts w:ascii="Arial" w:eastAsia="Calibri" w:hAnsi="Arial" w:cs="Arial"/>
          <w:b/>
          <w:sz w:val="20"/>
          <w:szCs w:val="20"/>
          <w:lang w:eastAsia="en-US"/>
        </w:rPr>
        <w:t xml:space="preserve"> </w:t>
      </w:r>
      <w:r w:rsidR="00393D62" w:rsidRPr="00921C8C">
        <w:rPr>
          <w:rFonts w:ascii="Arial" w:eastAsia="Calibri" w:hAnsi="Arial" w:cs="Arial"/>
          <w:b/>
          <w:sz w:val="20"/>
          <w:szCs w:val="20"/>
          <w:lang w:eastAsia="en-US"/>
        </w:rPr>
        <w:t xml:space="preserve">IT odborníky </w:t>
      </w:r>
      <w:r w:rsidR="00792104">
        <w:rPr>
          <w:rFonts w:ascii="Arial" w:eastAsia="Calibri" w:hAnsi="Arial" w:cs="Arial"/>
          <w:b/>
          <w:sz w:val="20"/>
          <w:szCs w:val="20"/>
          <w:lang w:eastAsia="en-US"/>
        </w:rPr>
        <w:t xml:space="preserve">v roce 2025 </w:t>
      </w:r>
      <w:r w:rsidR="00393D62" w:rsidRPr="00921C8C">
        <w:rPr>
          <w:rFonts w:ascii="Arial" w:eastAsia="Calibri" w:hAnsi="Arial" w:cs="Arial"/>
          <w:b/>
          <w:sz w:val="20"/>
          <w:szCs w:val="20"/>
          <w:lang w:eastAsia="en-US"/>
        </w:rPr>
        <w:t>zaměstnáv</w:t>
      </w:r>
      <w:r w:rsidR="00792104">
        <w:rPr>
          <w:rFonts w:ascii="Arial" w:eastAsia="Calibri" w:hAnsi="Arial" w:cs="Arial"/>
          <w:b/>
          <w:sz w:val="20"/>
          <w:szCs w:val="20"/>
          <w:lang w:eastAsia="en-US"/>
        </w:rPr>
        <w:t>alo více než</w:t>
      </w:r>
      <w:r w:rsidR="00FA6B59">
        <w:rPr>
          <w:rFonts w:ascii="Arial" w:eastAsia="Calibri" w:hAnsi="Arial" w:cs="Arial"/>
          <w:b/>
          <w:sz w:val="20"/>
          <w:szCs w:val="20"/>
          <w:lang w:eastAsia="en-US"/>
        </w:rPr>
        <w:t xml:space="preserve"> 87</w:t>
      </w:r>
      <w:r w:rsidR="00393D62" w:rsidRPr="00792104">
        <w:rPr>
          <w:rFonts w:ascii="Arial" w:eastAsia="Calibri" w:hAnsi="Arial" w:cs="Arial"/>
          <w:b/>
          <w:sz w:val="20"/>
          <w:szCs w:val="20"/>
          <w:lang w:eastAsia="en-US"/>
        </w:rPr>
        <w:t> </w:t>
      </w:r>
      <w:r w:rsidR="009B7249" w:rsidRPr="00792104">
        <w:rPr>
          <w:rFonts w:ascii="Arial" w:eastAsia="Calibri" w:hAnsi="Arial" w:cs="Arial"/>
          <w:b/>
          <w:sz w:val="20"/>
          <w:szCs w:val="20"/>
          <w:lang w:eastAsia="en-US"/>
        </w:rPr>
        <w:t>% podniků</w:t>
      </w:r>
      <w:r w:rsidRPr="00792104">
        <w:rPr>
          <w:rFonts w:ascii="Arial" w:eastAsia="Calibri" w:hAnsi="Arial" w:cs="Arial"/>
          <w:sz w:val="20"/>
          <w:szCs w:val="20"/>
          <w:lang w:eastAsia="en-US"/>
        </w:rPr>
        <w:t>. N</w:t>
      </w:r>
      <w:r w:rsidR="00316ACA" w:rsidRPr="00792104">
        <w:rPr>
          <w:rFonts w:ascii="Arial" w:eastAsia="Calibri" w:hAnsi="Arial" w:cs="Arial"/>
          <w:sz w:val="20"/>
          <w:szCs w:val="20"/>
          <w:lang w:eastAsia="en-US"/>
        </w:rPr>
        <w:t>a všech zaměstnan</w:t>
      </w:r>
      <w:r w:rsidR="0018639A" w:rsidRPr="00792104">
        <w:rPr>
          <w:rFonts w:ascii="Arial" w:eastAsia="Calibri" w:hAnsi="Arial" w:cs="Arial"/>
          <w:sz w:val="20"/>
          <w:szCs w:val="20"/>
          <w:lang w:eastAsia="en-US"/>
        </w:rPr>
        <w:t>cích</w:t>
      </w:r>
      <w:r w:rsidR="00316ACA" w:rsidRPr="00792104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D16932">
        <w:rPr>
          <w:rFonts w:ascii="Arial" w:eastAsia="Calibri" w:hAnsi="Arial" w:cs="Arial"/>
          <w:sz w:val="20"/>
          <w:szCs w:val="20"/>
          <w:lang w:eastAsia="en-US"/>
        </w:rPr>
        <w:t>v tomto</w:t>
      </w:r>
      <w:r w:rsidR="00316ACA" w:rsidRPr="00792104">
        <w:rPr>
          <w:rFonts w:ascii="Arial" w:eastAsia="Calibri" w:hAnsi="Arial" w:cs="Arial"/>
          <w:sz w:val="20"/>
          <w:szCs w:val="20"/>
          <w:lang w:eastAsia="en-US"/>
        </w:rPr>
        <w:t xml:space="preserve"> odvětví se </w:t>
      </w:r>
      <w:r w:rsidR="00316ACA" w:rsidRPr="00792104">
        <w:rPr>
          <w:rFonts w:ascii="Arial" w:eastAsia="Calibri" w:hAnsi="Arial" w:cs="Arial"/>
          <w:b/>
          <w:sz w:val="20"/>
          <w:szCs w:val="20"/>
          <w:lang w:eastAsia="en-US"/>
        </w:rPr>
        <w:t xml:space="preserve">IT odborníci podílí </w:t>
      </w:r>
      <w:r w:rsidR="00374C44">
        <w:rPr>
          <w:rFonts w:ascii="Arial" w:eastAsia="Calibri" w:hAnsi="Arial" w:cs="Arial"/>
          <w:b/>
          <w:sz w:val="20"/>
          <w:szCs w:val="20"/>
          <w:lang w:eastAsia="en-US"/>
        </w:rPr>
        <w:t>61</w:t>
      </w:r>
      <w:r w:rsidR="00A37C3E" w:rsidRPr="00792104">
        <w:rPr>
          <w:rFonts w:ascii="Arial" w:eastAsia="Calibri" w:hAnsi="Arial" w:cs="Arial"/>
          <w:b/>
          <w:sz w:val="20"/>
          <w:szCs w:val="20"/>
          <w:lang w:eastAsia="en-US"/>
        </w:rPr>
        <w:t> </w:t>
      </w:r>
      <w:r w:rsidR="00316ACA" w:rsidRPr="00792104">
        <w:rPr>
          <w:rFonts w:ascii="Arial" w:eastAsia="Calibri" w:hAnsi="Arial" w:cs="Arial"/>
          <w:b/>
          <w:sz w:val="20"/>
          <w:szCs w:val="20"/>
          <w:lang w:eastAsia="en-US"/>
        </w:rPr>
        <w:t>%</w:t>
      </w:r>
      <w:r w:rsidR="00316ACA" w:rsidRPr="00792104">
        <w:rPr>
          <w:rFonts w:ascii="Arial" w:eastAsia="Calibri" w:hAnsi="Arial" w:cs="Arial"/>
          <w:sz w:val="20"/>
          <w:szCs w:val="20"/>
          <w:lang w:eastAsia="en-US"/>
        </w:rPr>
        <w:t xml:space="preserve">. </w:t>
      </w:r>
    </w:p>
    <w:p w14:paraId="1DBC2409" w14:textId="3F5DCABE" w:rsidR="008D536B" w:rsidRPr="00BC7448" w:rsidRDefault="003D780B" w:rsidP="00D560E1">
      <w:pPr>
        <w:pStyle w:val="Zkladntext"/>
        <w:numPr>
          <w:ilvl w:val="0"/>
          <w:numId w:val="2"/>
        </w:numPr>
        <w:tabs>
          <w:tab w:val="clear" w:pos="360"/>
        </w:tabs>
        <w:spacing w:before="0" w:after="60" w:line="276" w:lineRule="auto"/>
        <w:ind w:left="284" w:right="0" w:hanging="284"/>
        <w:rPr>
          <w:rFonts w:ascii="Arial" w:eastAsia="Calibri" w:hAnsi="Arial" w:cs="Arial"/>
          <w:sz w:val="20"/>
          <w:szCs w:val="20"/>
          <w:lang w:eastAsia="en-US"/>
        </w:rPr>
      </w:pPr>
      <w:r w:rsidRPr="00BC7448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Programátoři </w:t>
      </w:r>
      <w:r w:rsidR="00C02621" w:rsidRPr="00BC7448">
        <w:rPr>
          <w:rFonts w:ascii="Arial" w:eastAsia="Calibri" w:hAnsi="Arial" w:cs="Arial"/>
          <w:b/>
          <w:bCs/>
          <w:sz w:val="20"/>
          <w:szCs w:val="20"/>
          <w:lang w:eastAsia="en-US"/>
        </w:rPr>
        <w:t>zaměstnaní v podnicích v Česku tvořili v roce 2025 bezmála 2 % všech zaměstnanců</w:t>
      </w:r>
      <w:r w:rsidR="00C02621" w:rsidRPr="00BC7448">
        <w:rPr>
          <w:rFonts w:ascii="Arial" w:eastAsia="Calibri" w:hAnsi="Arial" w:cs="Arial"/>
          <w:sz w:val="20"/>
          <w:szCs w:val="20"/>
          <w:lang w:eastAsia="en-US"/>
        </w:rPr>
        <w:t xml:space="preserve"> tě</w:t>
      </w:r>
      <w:r w:rsidR="003F61AE" w:rsidRPr="00BC7448">
        <w:rPr>
          <w:rFonts w:ascii="Arial" w:eastAsia="Calibri" w:hAnsi="Arial" w:cs="Arial"/>
          <w:sz w:val="20"/>
          <w:szCs w:val="20"/>
          <w:lang w:eastAsia="en-US"/>
        </w:rPr>
        <w:t xml:space="preserve">chto podniků. </w:t>
      </w:r>
      <w:r w:rsidR="008A6361" w:rsidRPr="00BC7448">
        <w:rPr>
          <w:rFonts w:ascii="Arial" w:eastAsia="Calibri" w:hAnsi="Arial" w:cs="Arial"/>
          <w:sz w:val="20"/>
          <w:szCs w:val="20"/>
          <w:lang w:eastAsia="en-US"/>
        </w:rPr>
        <w:t xml:space="preserve">V odvětví činnosti v oblasti IT (NACE 62) </w:t>
      </w:r>
      <w:r w:rsidR="00BF204C" w:rsidRPr="00BC7448">
        <w:rPr>
          <w:rFonts w:ascii="Arial" w:eastAsia="Calibri" w:hAnsi="Arial" w:cs="Arial"/>
          <w:sz w:val="20"/>
          <w:szCs w:val="20"/>
          <w:lang w:eastAsia="en-US"/>
        </w:rPr>
        <w:t>tvořili programátoři t</w:t>
      </w:r>
      <w:r w:rsidR="003F61AE" w:rsidRPr="00BC7448">
        <w:rPr>
          <w:rFonts w:ascii="Arial" w:eastAsia="Calibri" w:hAnsi="Arial" w:cs="Arial"/>
          <w:sz w:val="20"/>
          <w:szCs w:val="20"/>
          <w:lang w:eastAsia="en-US"/>
        </w:rPr>
        <w:t>řetinu</w:t>
      </w:r>
      <w:r w:rsidR="00C91EB8" w:rsidRPr="00BC7448">
        <w:rPr>
          <w:rFonts w:ascii="Arial" w:eastAsia="Calibri" w:hAnsi="Arial" w:cs="Arial"/>
          <w:sz w:val="20"/>
          <w:szCs w:val="20"/>
          <w:lang w:eastAsia="en-US"/>
        </w:rPr>
        <w:t xml:space="preserve"> (36 %)</w:t>
      </w:r>
      <w:r w:rsidR="008A6361" w:rsidRPr="00BC7448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BF204C" w:rsidRPr="00BC7448">
        <w:rPr>
          <w:rFonts w:ascii="Arial" w:eastAsia="Calibri" w:hAnsi="Arial" w:cs="Arial"/>
          <w:sz w:val="20"/>
          <w:szCs w:val="20"/>
          <w:lang w:eastAsia="en-US"/>
        </w:rPr>
        <w:t>všech zaměstnanců</w:t>
      </w:r>
      <w:r w:rsidR="000C65D9" w:rsidRPr="00BC7448">
        <w:rPr>
          <w:rFonts w:ascii="Arial" w:eastAsia="Calibri" w:hAnsi="Arial" w:cs="Arial"/>
          <w:sz w:val="20"/>
          <w:szCs w:val="20"/>
          <w:lang w:eastAsia="en-US"/>
        </w:rPr>
        <w:t xml:space="preserve"> a jedná se o nejvyšší zastoupení</w:t>
      </w:r>
      <w:r w:rsidR="00BC7448">
        <w:rPr>
          <w:rFonts w:ascii="Arial" w:eastAsia="Calibri" w:hAnsi="Arial" w:cs="Arial"/>
          <w:sz w:val="20"/>
          <w:szCs w:val="20"/>
          <w:lang w:eastAsia="en-US"/>
        </w:rPr>
        <w:t>. N</w:t>
      </w:r>
      <w:r w:rsidR="000C65D9" w:rsidRPr="00BC7448">
        <w:rPr>
          <w:rFonts w:ascii="Arial" w:eastAsia="Calibri" w:hAnsi="Arial" w:cs="Arial"/>
          <w:sz w:val="20"/>
          <w:szCs w:val="20"/>
          <w:lang w:eastAsia="en-US"/>
        </w:rPr>
        <w:t>apř. ve výzkumu a vývoji (NACE 72)</w:t>
      </w:r>
      <w:r w:rsidR="001558B3">
        <w:rPr>
          <w:rFonts w:ascii="Arial" w:eastAsia="Calibri" w:hAnsi="Arial" w:cs="Arial"/>
          <w:sz w:val="20"/>
          <w:szCs w:val="20"/>
          <w:lang w:eastAsia="en-US"/>
        </w:rPr>
        <w:t xml:space="preserve"> nebo v</w:t>
      </w:r>
      <w:r w:rsidR="00FF5E8D">
        <w:rPr>
          <w:rFonts w:ascii="Arial" w:eastAsia="Calibri" w:hAnsi="Arial" w:cs="Arial"/>
          <w:sz w:val="20"/>
          <w:szCs w:val="20"/>
          <w:lang w:eastAsia="en-US"/>
        </w:rPr>
        <w:t> mediálním sektoru (NACE 58-60)</w:t>
      </w:r>
      <w:r w:rsidR="001558B3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0C65D9" w:rsidRPr="00BC7448">
        <w:rPr>
          <w:rFonts w:ascii="Arial" w:eastAsia="Calibri" w:hAnsi="Arial" w:cs="Arial"/>
          <w:sz w:val="20"/>
          <w:szCs w:val="20"/>
          <w:lang w:eastAsia="en-US"/>
        </w:rPr>
        <w:t>bylo</w:t>
      </w:r>
      <w:r w:rsidR="00BC7448">
        <w:rPr>
          <w:rFonts w:ascii="Arial" w:eastAsia="Calibri" w:hAnsi="Arial" w:cs="Arial"/>
          <w:sz w:val="20"/>
          <w:szCs w:val="20"/>
          <w:lang w:eastAsia="en-US"/>
        </w:rPr>
        <w:t xml:space="preserve"> ve stejném roce</w:t>
      </w:r>
      <w:r w:rsidR="00417287">
        <w:rPr>
          <w:rFonts w:ascii="Arial" w:eastAsia="Calibri" w:hAnsi="Arial" w:cs="Arial"/>
          <w:sz w:val="20"/>
          <w:szCs w:val="20"/>
          <w:lang w:eastAsia="en-US"/>
        </w:rPr>
        <w:t xml:space="preserve"> v průměru</w:t>
      </w:r>
      <w:r w:rsidR="000C65D9" w:rsidRPr="00BC7448">
        <w:rPr>
          <w:rFonts w:ascii="Arial" w:eastAsia="Calibri" w:hAnsi="Arial" w:cs="Arial"/>
          <w:sz w:val="20"/>
          <w:szCs w:val="20"/>
          <w:lang w:eastAsia="en-US"/>
        </w:rPr>
        <w:t xml:space="preserve"> 10 % programátorů</w:t>
      </w:r>
      <w:r w:rsidR="00417287">
        <w:rPr>
          <w:rFonts w:ascii="Arial" w:eastAsia="Calibri" w:hAnsi="Arial" w:cs="Arial"/>
          <w:sz w:val="20"/>
          <w:szCs w:val="20"/>
          <w:lang w:eastAsia="en-US"/>
        </w:rPr>
        <w:t xml:space="preserve"> ze všech zaměstnanců</w:t>
      </w:r>
      <w:r w:rsidR="000E435A" w:rsidRPr="00BC7448">
        <w:rPr>
          <w:rFonts w:ascii="Arial" w:eastAsia="Calibri" w:hAnsi="Arial" w:cs="Arial"/>
          <w:sz w:val="20"/>
          <w:szCs w:val="20"/>
          <w:lang w:eastAsia="en-US"/>
        </w:rPr>
        <w:t xml:space="preserve"> a</w:t>
      </w:r>
      <w:r w:rsidR="004C7DBA">
        <w:rPr>
          <w:rFonts w:ascii="Arial" w:eastAsia="Calibri" w:hAnsi="Arial" w:cs="Arial"/>
          <w:sz w:val="20"/>
          <w:szCs w:val="20"/>
          <w:lang w:eastAsia="en-US"/>
        </w:rPr>
        <w:t> </w:t>
      </w:r>
      <w:r w:rsidR="000E435A" w:rsidRPr="00BC7448">
        <w:rPr>
          <w:rFonts w:ascii="Arial" w:eastAsia="Calibri" w:hAnsi="Arial" w:cs="Arial"/>
          <w:sz w:val="20"/>
          <w:szCs w:val="20"/>
          <w:lang w:eastAsia="en-US"/>
        </w:rPr>
        <w:t xml:space="preserve">v elektronickém průmyslu (NACE 26) </w:t>
      </w:r>
      <w:r w:rsidR="004E03CD">
        <w:rPr>
          <w:rFonts w:ascii="Arial" w:eastAsia="Calibri" w:hAnsi="Arial" w:cs="Arial"/>
          <w:sz w:val="20"/>
          <w:szCs w:val="20"/>
          <w:lang w:eastAsia="en-US"/>
        </w:rPr>
        <w:t xml:space="preserve">nebo v telekomunikačních činnostech (NACE 61) </w:t>
      </w:r>
      <w:r w:rsidR="002A1A96">
        <w:rPr>
          <w:rFonts w:ascii="Arial" w:eastAsia="Calibri" w:hAnsi="Arial" w:cs="Arial"/>
          <w:sz w:val="20"/>
          <w:szCs w:val="20"/>
          <w:lang w:eastAsia="en-US"/>
        </w:rPr>
        <w:t>tvořil podíl</w:t>
      </w:r>
      <w:r w:rsidR="00417287">
        <w:rPr>
          <w:rFonts w:ascii="Arial" w:eastAsia="Calibri" w:hAnsi="Arial" w:cs="Arial"/>
          <w:sz w:val="20"/>
          <w:szCs w:val="20"/>
          <w:lang w:eastAsia="en-US"/>
        </w:rPr>
        <w:t xml:space="preserve"> programátorů</w:t>
      </w:r>
      <w:r w:rsidR="002A1A96">
        <w:rPr>
          <w:rFonts w:ascii="Arial" w:eastAsia="Calibri" w:hAnsi="Arial" w:cs="Arial"/>
          <w:sz w:val="20"/>
          <w:szCs w:val="20"/>
          <w:lang w:eastAsia="en-US"/>
        </w:rPr>
        <w:t xml:space="preserve"> na celkovém počtu zaměstnanců</w:t>
      </w:r>
      <w:r w:rsidR="00BC7448" w:rsidRPr="00BC7448">
        <w:rPr>
          <w:rFonts w:ascii="Arial" w:eastAsia="Calibri" w:hAnsi="Arial" w:cs="Arial"/>
          <w:sz w:val="20"/>
          <w:szCs w:val="20"/>
          <w:lang w:eastAsia="en-US"/>
        </w:rPr>
        <w:t xml:space="preserve"> 4 %</w:t>
      </w:r>
      <w:r w:rsidR="00F52621" w:rsidRPr="00BC7448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4913C3FE" w14:textId="77777777" w:rsidR="002A1A96" w:rsidRDefault="002A1A96" w:rsidP="008A4302">
      <w:pPr>
        <w:spacing w:after="0" w:line="240" w:lineRule="auto"/>
        <w:rPr>
          <w:rFonts w:ascii="Arial" w:hAnsi="Arial" w:cs="Arial"/>
          <w:b/>
          <w:sz w:val="20"/>
        </w:rPr>
      </w:pPr>
    </w:p>
    <w:p w14:paraId="3CEBBF81" w14:textId="708568D6" w:rsidR="00921C8C" w:rsidRDefault="00921C8C" w:rsidP="008A4302">
      <w:pPr>
        <w:spacing w:after="0" w:line="240" w:lineRule="auto"/>
        <w:rPr>
          <w:rFonts w:ascii="Arial" w:hAnsi="Arial" w:cs="Arial"/>
          <w:b/>
          <w:sz w:val="20"/>
        </w:rPr>
      </w:pPr>
      <w:r w:rsidRPr="00F73064">
        <w:rPr>
          <w:rFonts w:ascii="Arial" w:hAnsi="Arial" w:cs="Arial"/>
          <w:b/>
          <w:sz w:val="20"/>
        </w:rPr>
        <w:t xml:space="preserve">Graf </w:t>
      </w:r>
      <w:r w:rsidR="00E577BC">
        <w:rPr>
          <w:rFonts w:ascii="Arial" w:hAnsi="Arial" w:cs="Arial"/>
          <w:b/>
          <w:sz w:val="20"/>
        </w:rPr>
        <w:t>3</w:t>
      </w:r>
      <w:r w:rsidRPr="00F73064">
        <w:rPr>
          <w:rFonts w:ascii="Arial" w:hAnsi="Arial" w:cs="Arial"/>
          <w:b/>
          <w:sz w:val="20"/>
        </w:rPr>
        <w:t>.</w:t>
      </w:r>
      <w:r>
        <w:rPr>
          <w:rFonts w:ascii="Arial" w:hAnsi="Arial" w:cs="Arial"/>
          <w:b/>
          <w:sz w:val="20"/>
        </w:rPr>
        <w:t>1</w:t>
      </w:r>
      <w:r w:rsidRPr="00F73064">
        <w:rPr>
          <w:rFonts w:ascii="Arial" w:hAnsi="Arial" w:cs="Arial"/>
          <w:b/>
          <w:sz w:val="20"/>
        </w:rPr>
        <w:t xml:space="preserve">: </w:t>
      </w:r>
      <w:r w:rsidR="00B85C6E">
        <w:rPr>
          <w:rFonts w:ascii="Arial" w:hAnsi="Arial" w:cs="Arial"/>
          <w:b/>
          <w:sz w:val="20"/>
        </w:rPr>
        <w:t xml:space="preserve">Zaměstnávání </w:t>
      </w:r>
      <w:r>
        <w:rPr>
          <w:rFonts w:ascii="Arial" w:hAnsi="Arial" w:cs="Arial"/>
          <w:b/>
          <w:sz w:val="20"/>
        </w:rPr>
        <w:t>IT odborní</w:t>
      </w:r>
      <w:r w:rsidR="00B85C6E">
        <w:rPr>
          <w:rFonts w:ascii="Arial" w:hAnsi="Arial" w:cs="Arial"/>
          <w:b/>
          <w:sz w:val="20"/>
        </w:rPr>
        <w:t>ků v</w:t>
      </w:r>
      <w:r>
        <w:rPr>
          <w:rFonts w:ascii="Arial" w:hAnsi="Arial" w:cs="Arial"/>
          <w:b/>
          <w:sz w:val="20"/>
        </w:rPr>
        <w:t xml:space="preserve"> podnicích v</w:t>
      </w:r>
      <w:r w:rsidR="00B85C6E">
        <w:rPr>
          <w:rFonts w:ascii="Arial" w:hAnsi="Arial" w:cs="Arial"/>
          <w:b/>
          <w:sz w:val="20"/>
        </w:rPr>
        <w:t> </w:t>
      </w:r>
      <w:r>
        <w:rPr>
          <w:rFonts w:ascii="Arial" w:hAnsi="Arial" w:cs="Arial"/>
          <w:b/>
          <w:sz w:val="20"/>
        </w:rPr>
        <w:t>Č</w:t>
      </w:r>
      <w:r w:rsidR="00B85C6E">
        <w:rPr>
          <w:rFonts w:ascii="Arial" w:hAnsi="Arial" w:cs="Arial"/>
          <w:b/>
          <w:sz w:val="20"/>
        </w:rPr>
        <w:t>esku v roce 2025</w:t>
      </w:r>
    </w:p>
    <w:p w14:paraId="4152225F" w14:textId="1427B6EF" w:rsidR="00EF4D3B" w:rsidRDefault="002B59E3" w:rsidP="00921C8C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noProof/>
          <w:sz w:val="20"/>
          <w:lang w:eastAsia="cs-CZ"/>
        </w:rPr>
      </w:pPr>
      <w:r>
        <w:rPr>
          <w:noProof/>
        </w:rPr>
        <w:drawing>
          <wp:inline distT="0" distB="0" distL="0" distR="0" wp14:anchorId="52A19869" wp14:editId="71C1E940">
            <wp:extent cx="6057900" cy="2705100"/>
            <wp:effectExtent l="0" t="0" r="0" b="0"/>
            <wp:docPr id="514007384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0A99393" w14:textId="3155441A" w:rsidR="00AB52DA" w:rsidRDefault="00AB52DA" w:rsidP="00AB52DA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sz w:val="20"/>
        </w:rPr>
      </w:pPr>
      <w:r w:rsidRPr="002467A5">
        <w:rPr>
          <w:rFonts w:ascii="Arial" w:hAnsi="Arial" w:cs="Arial"/>
          <w:b/>
          <w:sz w:val="20"/>
        </w:rPr>
        <w:lastRenderedPageBreak/>
        <w:t xml:space="preserve">Graf </w:t>
      </w:r>
      <w:r>
        <w:rPr>
          <w:rFonts w:ascii="Arial" w:hAnsi="Arial" w:cs="Arial"/>
          <w:b/>
          <w:sz w:val="20"/>
        </w:rPr>
        <w:t>3</w:t>
      </w:r>
      <w:r w:rsidRPr="002467A5">
        <w:rPr>
          <w:rFonts w:ascii="Arial" w:hAnsi="Arial" w:cs="Arial"/>
          <w:b/>
          <w:sz w:val="20"/>
        </w:rPr>
        <w:t>.</w:t>
      </w:r>
      <w:r>
        <w:rPr>
          <w:rFonts w:ascii="Arial" w:hAnsi="Arial" w:cs="Arial"/>
          <w:b/>
          <w:sz w:val="20"/>
        </w:rPr>
        <w:t>2</w:t>
      </w:r>
      <w:r w:rsidRPr="002467A5">
        <w:rPr>
          <w:rFonts w:ascii="Arial" w:hAnsi="Arial" w:cs="Arial"/>
          <w:b/>
          <w:sz w:val="20"/>
        </w:rPr>
        <w:t>: Podniky v </w:t>
      </w:r>
      <w:r>
        <w:rPr>
          <w:rFonts w:ascii="Arial" w:hAnsi="Arial" w:cs="Arial"/>
          <w:b/>
          <w:sz w:val="20"/>
        </w:rPr>
        <w:t>Česku</w:t>
      </w:r>
      <w:r w:rsidRPr="002467A5">
        <w:rPr>
          <w:rFonts w:ascii="Arial" w:hAnsi="Arial" w:cs="Arial"/>
          <w:b/>
          <w:sz w:val="20"/>
        </w:rPr>
        <w:t xml:space="preserve"> zaměstnávající IT odborníky</w:t>
      </w:r>
      <w:r>
        <w:rPr>
          <w:rFonts w:ascii="Arial" w:hAnsi="Arial" w:cs="Arial"/>
          <w:b/>
          <w:sz w:val="20"/>
        </w:rPr>
        <w:t xml:space="preserve"> v roce</w:t>
      </w:r>
      <w:r w:rsidRPr="002467A5">
        <w:rPr>
          <w:rFonts w:ascii="Arial" w:hAnsi="Arial" w:cs="Arial"/>
          <w:b/>
          <w:sz w:val="20"/>
        </w:rPr>
        <w:t xml:space="preserve"> 202</w:t>
      </w:r>
      <w:r>
        <w:rPr>
          <w:rFonts w:ascii="Arial" w:hAnsi="Arial" w:cs="Arial"/>
          <w:b/>
          <w:sz w:val="20"/>
        </w:rPr>
        <w:t>5</w:t>
      </w:r>
    </w:p>
    <w:p w14:paraId="548F3B34" w14:textId="2F59EF2B" w:rsidR="00AB52DA" w:rsidRPr="0030380D" w:rsidRDefault="00AB52DA" w:rsidP="00AB52DA">
      <w:pPr>
        <w:autoSpaceDE w:val="0"/>
        <w:autoSpaceDN w:val="0"/>
        <w:adjustRightInd w:val="0"/>
        <w:spacing w:before="60" w:after="120" w:line="240" w:lineRule="auto"/>
        <w:ind w:right="-1"/>
        <w:rPr>
          <w:rFonts w:ascii="Arial" w:hAnsi="Arial" w:cs="Arial"/>
          <w:bCs/>
          <w:sz w:val="18"/>
          <w:szCs w:val="16"/>
        </w:rPr>
      </w:pPr>
      <w:r w:rsidRPr="0030380D">
        <w:rPr>
          <w:rFonts w:ascii="Arial" w:hAnsi="Arial" w:cs="Arial"/>
          <w:bCs/>
          <w:sz w:val="18"/>
          <w:szCs w:val="16"/>
        </w:rPr>
        <w:t>(% z celkového počtu podniků s 10+ zaměstnanci)</w:t>
      </w:r>
    </w:p>
    <w:p w14:paraId="27EEA818" w14:textId="296BBEDE" w:rsidR="00AB52DA" w:rsidRDefault="003F6713" w:rsidP="00921C8C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noProof/>
          <w:sz w:val="20"/>
          <w:lang w:eastAsia="cs-CZ"/>
        </w:rPr>
      </w:pPr>
      <w:r>
        <w:rPr>
          <w:noProof/>
        </w:rPr>
        <w:drawing>
          <wp:inline distT="0" distB="0" distL="0" distR="0" wp14:anchorId="258604A5" wp14:editId="216CF80C">
            <wp:extent cx="5943600" cy="4229100"/>
            <wp:effectExtent l="0" t="0" r="0" b="0"/>
            <wp:docPr id="2048550602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F96D155F-AF22-4EDB-82CC-156F137738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04F667A" w14:textId="77777777" w:rsidR="00921C8C" w:rsidRPr="00AA74B8" w:rsidRDefault="00921C8C" w:rsidP="00921C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14:paraId="267544AE" w14:textId="283907AF" w:rsidR="00D93CB7" w:rsidRDefault="00D93CB7" w:rsidP="003F64D9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sz w:val="20"/>
        </w:rPr>
      </w:pPr>
    </w:p>
    <w:p w14:paraId="210DB342" w14:textId="1B330845" w:rsidR="004B59A4" w:rsidRDefault="00D27797" w:rsidP="003F64D9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sz w:val="20"/>
        </w:rPr>
      </w:pPr>
      <w:r w:rsidRPr="002467A5">
        <w:rPr>
          <w:rFonts w:ascii="Arial" w:hAnsi="Arial" w:cs="Arial"/>
          <w:b/>
          <w:sz w:val="20"/>
        </w:rPr>
        <w:t xml:space="preserve">Graf </w:t>
      </w:r>
      <w:r w:rsidR="00E577BC">
        <w:rPr>
          <w:rFonts w:ascii="Arial" w:hAnsi="Arial" w:cs="Arial"/>
          <w:b/>
          <w:sz w:val="20"/>
        </w:rPr>
        <w:t>3</w:t>
      </w:r>
      <w:r w:rsidRPr="002467A5">
        <w:rPr>
          <w:rFonts w:ascii="Arial" w:hAnsi="Arial" w:cs="Arial"/>
          <w:b/>
          <w:sz w:val="20"/>
        </w:rPr>
        <w:t>.</w:t>
      </w:r>
      <w:r w:rsidR="003F6713">
        <w:rPr>
          <w:rFonts w:ascii="Arial" w:hAnsi="Arial" w:cs="Arial"/>
          <w:b/>
          <w:sz w:val="20"/>
        </w:rPr>
        <w:t>3</w:t>
      </w:r>
      <w:r w:rsidRPr="002467A5">
        <w:rPr>
          <w:rFonts w:ascii="Arial" w:hAnsi="Arial" w:cs="Arial"/>
          <w:b/>
          <w:sz w:val="20"/>
        </w:rPr>
        <w:t>: Podniky v zemích</w:t>
      </w:r>
      <w:r w:rsidR="005833F0" w:rsidRPr="002467A5">
        <w:rPr>
          <w:rFonts w:ascii="Arial" w:hAnsi="Arial" w:cs="Arial"/>
          <w:b/>
          <w:sz w:val="20"/>
        </w:rPr>
        <w:t xml:space="preserve"> EU</w:t>
      </w:r>
      <w:r w:rsidR="00487CC3">
        <w:rPr>
          <w:rFonts w:ascii="Arial" w:hAnsi="Arial" w:cs="Arial"/>
          <w:b/>
          <w:sz w:val="20"/>
        </w:rPr>
        <w:t>27</w:t>
      </w:r>
      <w:r w:rsidR="005833F0" w:rsidRPr="002467A5">
        <w:rPr>
          <w:rFonts w:ascii="Arial" w:hAnsi="Arial" w:cs="Arial"/>
          <w:b/>
          <w:sz w:val="20"/>
        </w:rPr>
        <w:t xml:space="preserve"> zaměstnávající IT odborníky</w:t>
      </w:r>
      <w:r w:rsidR="00487CC3">
        <w:rPr>
          <w:rFonts w:ascii="Arial" w:hAnsi="Arial" w:cs="Arial"/>
          <w:b/>
          <w:sz w:val="20"/>
        </w:rPr>
        <w:t xml:space="preserve"> v roce</w:t>
      </w:r>
      <w:r w:rsidR="005833F0" w:rsidRPr="002467A5">
        <w:rPr>
          <w:rFonts w:ascii="Arial" w:hAnsi="Arial" w:cs="Arial"/>
          <w:b/>
          <w:sz w:val="20"/>
        </w:rPr>
        <w:t xml:space="preserve"> </w:t>
      </w:r>
      <w:r w:rsidRPr="002467A5">
        <w:rPr>
          <w:rFonts w:ascii="Arial" w:hAnsi="Arial" w:cs="Arial"/>
          <w:b/>
          <w:sz w:val="20"/>
        </w:rPr>
        <w:t>202</w:t>
      </w:r>
      <w:r w:rsidR="00B312BA" w:rsidRPr="002467A5">
        <w:rPr>
          <w:rFonts w:ascii="Arial" w:hAnsi="Arial" w:cs="Arial"/>
          <w:b/>
          <w:sz w:val="20"/>
        </w:rPr>
        <w:t>4</w:t>
      </w:r>
    </w:p>
    <w:p w14:paraId="5D20B59C" w14:textId="4C8FB385" w:rsidR="00B85C6E" w:rsidRPr="0030380D" w:rsidRDefault="00B85C6E" w:rsidP="00B85C6E">
      <w:pPr>
        <w:autoSpaceDE w:val="0"/>
        <w:autoSpaceDN w:val="0"/>
        <w:adjustRightInd w:val="0"/>
        <w:spacing w:before="60" w:after="120" w:line="240" w:lineRule="auto"/>
        <w:ind w:right="-1"/>
        <w:rPr>
          <w:rFonts w:ascii="Arial" w:hAnsi="Arial" w:cs="Arial"/>
          <w:bCs/>
          <w:sz w:val="18"/>
          <w:szCs w:val="16"/>
        </w:rPr>
      </w:pPr>
      <w:r w:rsidRPr="0030380D">
        <w:rPr>
          <w:rFonts w:ascii="Arial" w:hAnsi="Arial" w:cs="Arial"/>
          <w:bCs/>
          <w:sz w:val="18"/>
          <w:szCs w:val="16"/>
        </w:rPr>
        <w:t>(% z celkového počtu podniků s 10+ zaměstnanci v dané zemi)</w:t>
      </w:r>
    </w:p>
    <w:p w14:paraId="5BC21B94" w14:textId="5DF9E53C" w:rsidR="00D27797" w:rsidRPr="00B312BA" w:rsidRDefault="00836382" w:rsidP="00C84DBD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CDA2632" wp14:editId="1903BC1A">
            <wp:extent cx="6134100" cy="3457575"/>
            <wp:effectExtent l="0" t="0" r="0" b="0"/>
            <wp:docPr id="45273457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sectPr w:rsidR="00D27797" w:rsidRPr="00B312BA" w:rsidSect="005B39F9">
      <w:footerReference w:type="default" r:id="rId11"/>
      <w:pgSz w:w="11906" w:h="16838" w:code="9"/>
      <w:pgMar w:top="1134" w:right="1133" w:bottom="1418" w:left="1134" w:header="680" w:footer="680" w:gutter="0"/>
      <w:pgNumType w:start="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0B306" w14:textId="77777777" w:rsidR="008D41BB" w:rsidRDefault="008D41BB" w:rsidP="00E71A58">
      <w:r>
        <w:separator/>
      </w:r>
    </w:p>
  </w:endnote>
  <w:endnote w:type="continuationSeparator" w:id="0">
    <w:p w14:paraId="5BEBA6C3" w14:textId="77777777" w:rsidR="008D41BB" w:rsidRDefault="008D41BB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Times New Roman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882B3" w14:textId="77777777" w:rsidR="00D27797" w:rsidRDefault="00D27797" w:rsidP="003A6B3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tab/>
    </w:r>
    <w:r>
      <w:tab/>
    </w:r>
    <w:r w:rsidRPr="00DC5B3B">
      <w:t xml:space="preserve">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5D85F" w14:textId="77777777" w:rsidR="008D41BB" w:rsidRDefault="008D41BB" w:rsidP="00E71A58">
      <w:r>
        <w:separator/>
      </w:r>
    </w:p>
  </w:footnote>
  <w:footnote w:type="continuationSeparator" w:id="0">
    <w:p w14:paraId="4D2A7BC2" w14:textId="77777777" w:rsidR="008D41BB" w:rsidRDefault="008D41BB" w:rsidP="00E71A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E3146"/>
    <w:multiLevelType w:val="hybridMultilevel"/>
    <w:tmpl w:val="F1387CC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F720E"/>
    <w:multiLevelType w:val="hybridMultilevel"/>
    <w:tmpl w:val="5AAE437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8EC1A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D4E8C"/>
    <w:multiLevelType w:val="hybridMultilevel"/>
    <w:tmpl w:val="31DE8C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3B4673"/>
    <w:multiLevelType w:val="hybridMultilevel"/>
    <w:tmpl w:val="7A40518A"/>
    <w:lvl w:ilvl="0" w:tplc="3174A9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45204271">
    <w:abstractNumId w:val="3"/>
  </w:num>
  <w:num w:numId="2" w16cid:durableId="714157633">
    <w:abstractNumId w:val="1"/>
  </w:num>
  <w:num w:numId="3" w16cid:durableId="2107535290">
    <w:abstractNumId w:val="2"/>
  </w:num>
  <w:num w:numId="4" w16cid:durableId="1712880473">
    <w:abstractNumId w:val="0"/>
  </w:num>
  <w:num w:numId="5" w16cid:durableId="1545018648">
    <w:abstractNumId w:val="4"/>
  </w:num>
  <w:num w:numId="6" w16cid:durableId="1197934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416F"/>
    <w:rsid w:val="00003368"/>
    <w:rsid w:val="0000767A"/>
    <w:rsid w:val="00010702"/>
    <w:rsid w:val="00013538"/>
    <w:rsid w:val="00022AE9"/>
    <w:rsid w:val="00036D4A"/>
    <w:rsid w:val="000376CD"/>
    <w:rsid w:val="0004396D"/>
    <w:rsid w:val="0004694F"/>
    <w:rsid w:val="00047382"/>
    <w:rsid w:val="00061814"/>
    <w:rsid w:val="00062E74"/>
    <w:rsid w:val="00062EC5"/>
    <w:rsid w:val="000674CD"/>
    <w:rsid w:val="00073955"/>
    <w:rsid w:val="00074E63"/>
    <w:rsid w:val="000819D2"/>
    <w:rsid w:val="00081DB1"/>
    <w:rsid w:val="00087634"/>
    <w:rsid w:val="000A00F3"/>
    <w:rsid w:val="000A1183"/>
    <w:rsid w:val="000A627B"/>
    <w:rsid w:val="000B2C93"/>
    <w:rsid w:val="000B664C"/>
    <w:rsid w:val="000C3408"/>
    <w:rsid w:val="000C6202"/>
    <w:rsid w:val="000C65D9"/>
    <w:rsid w:val="000D0BA7"/>
    <w:rsid w:val="000D7D91"/>
    <w:rsid w:val="000E435A"/>
    <w:rsid w:val="000E7658"/>
    <w:rsid w:val="000F6F29"/>
    <w:rsid w:val="00102119"/>
    <w:rsid w:val="00104071"/>
    <w:rsid w:val="001041FC"/>
    <w:rsid w:val="001073C1"/>
    <w:rsid w:val="001228FF"/>
    <w:rsid w:val="001273E4"/>
    <w:rsid w:val="001376DA"/>
    <w:rsid w:val="001405FA"/>
    <w:rsid w:val="001425C3"/>
    <w:rsid w:val="00143453"/>
    <w:rsid w:val="00143B13"/>
    <w:rsid w:val="00145C32"/>
    <w:rsid w:val="0015109B"/>
    <w:rsid w:val="00152532"/>
    <w:rsid w:val="001558B3"/>
    <w:rsid w:val="001573CF"/>
    <w:rsid w:val="00161F96"/>
    <w:rsid w:val="00163793"/>
    <w:rsid w:val="0016380A"/>
    <w:rsid w:val="0016780B"/>
    <w:rsid w:val="001714F2"/>
    <w:rsid w:val="00181DD6"/>
    <w:rsid w:val="00184B9E"/>
    <w:rsid w:val="00185010"/>
    <w:rsid w:val="0018639A"/>
    <w:rsid w:val="00192B8E"/>
    <w:rsid w:val="00194F66"/>
    <w:rsid w:val="001A552F"/>
    <w:rsid w:val="001A60C9"/>
    <w:rsid w:val="001A641B"/>
    <w:rsid w:val="001B2A77"/>
    <w:rsid w:val="001B3110"/>
    <w:rsid w:val="001B5D3C"/>
    <w:rsid w:val="001B7FBA"/>
    <w:rsid w:val="001C2F49"/>
    <w:rsid w:val="001C55AC"/>
    <w:rsid w:val="001D552E"/>
    <w:rsid w:val="001F3765"/>
    <w:rsid w:val="001F3EF8"/>
    <w:rsid w:val="001F4597"/>
    <w:rsid w:val="001F6759"/>
    <w:rsid w:val="001F74F8"/>
    <w:rsid w:val="00213D70"/>
    <w:rsid w:val="0022139E"/>
    <w:rsid w:val="00221910"/>
    <w:rsid w:val="00222342"/>
    <w:rsid w:val="00222DE1"/>
    <w:rsid w:val="002252E0"/>
    <w:rsid w:val="002255F6"/>
    <w:rsid w:val="0023074E"/>
    <w:rsid w:val="00236443"/>
    <w:rsid w:val="00243142"/>
    <w:rsid w:val="002436BA"/>
    <w:rsid w:val="00244A15"/>
    <w:rsid w:val="002467A5"/>
    <w:rsid w:val="0024799E"/>
    <w:rsid w:val="00257D75"/>
    <w:rsid w:val="00261C46"/>
    <w:rsid w:val="00275083"/>
    <w:rsid w:val="00277391"/>
    <w:rsid w:val="00277892"/>
    <w:rsid w:val="0028698F"/>
    <w:rsid w:val="002873E7"/>
    <w:rsid w:val="00295306"/>
    <w:rsid w:val="002A1A96"/>
    <w:rsid w:val="002B4205"/>
    <w:rsid w:val="002B59E3"/>
    <w:rsid w:val="002B6682"/>
    <w:rsid w:val="002C12A6"/>
    <w:rsid w:val="002C31D3"/>
    <w:rsid w:val="002C43BD"/>
    <w:rsid w:val="002C471F"/>
    <w:rsid w:val="002C7D9B"/>
    <w:rsid w:val="002D4CBE"/>
    <w:rsid w:val="002D59B1"/>
    <w:rsid w:val="002D6453"/>
    <w:rsid w:val="002D6C0F"/>
    <w:rsid w:val="002E02A1"/>
    <w:rsid w:val="002E6335"/>
    <w:rsid w:val="002F6FE3"/>
    <w:rsid w:val="00302A3A"/>
    <w:rsid w:val="00304771"/>
    <w:rsid w:val="00306C5B"/>
    <w:rsid w:val="00310FDC"/>
    <w:rsid w:val="00316ACA"/>
    <w:rsid w:val="00317114"/>
    <w:rsid w:val="003209D6"/>
    <w:rsid w:val="00326185"/>
    <w:rsid w:val="00340698"/>
    <w:rsid w:val="00341A48"/>
    <w:rsid w:val="00343195"/>
    <w:rsid w:val="00343E00"/>
    <w:rsid w:val="00351E96"/>
    <w:rsid w:val="00360849"/>
    <w:rsid w:val="00364A6C"/>
    <w:rsid w:val="003657F3"/>
    <w:rsid w:val="00365D1E"/>
    <w:rsid w:val="00374C44"/>
    <w:rsid w:val="00375223"/>
    <w:rsid w:val="00385D98"/>
    <w:rsid w:val="003938AB"/>
    <w:rsid w:val="00393D62"/>
    <w:rsid w:val="00394553"/>
    <w:rsid w:val="003A2B4D"/>
    <w:rsid w:val="003A327C"/>
    <w:rsid w:val="003A478C"/>
    <w:rsid w:val="003A5525"/>
    <w:rsid w:val="003A6B38"/>
    <w:rsid w:val="003B5A32"/>
    <w:rsid w:val="003C149C"/>
    <w:rsid w:val="003C73E3"/>
    <w:rsid w:val="003D780B"/>
    <w:rsid w:val="003D7BEA"/>
    <w:rsid w:val="003F26DC"/>
    <w:rsid w:val="003F313C"/>
    <w:rsid w:val="003F4F3D"/>
    <w:rsid w:val="003F61AE"/>
    <w:rsid w:val="003F64D9"/>
    <w:rsid w:val="003F6713"/>
    <w:rsid w:val="003F7CA1"/>
    <w:rsid w:val="00405AE5"/>
    <w:rsid w:val="00406169"/>
    <w:rsid w:val="00410545"/>
    <w:rsid w:val="00413550"/>
    <w:rsid w:val="00414240"/>
    <w:rsid w:val="00417287"/>
    <w:rsid w:val="004226E2"/>
    <w:rsid w:val="0043194A"/>
    <w:rsid w:val="00432469"/>
    <w:rsid w:val="00435C12"/>
    <w:rsid w:val="00435EAD"/>
    <w:rsid w:val="00442036"/>
    <w:rsid w:val="0046162F"/>
    <w:rsid w:val="0046437B"/>
    <w:rsid w:val="00471948"/>
    <w:rsid w:val="004734C2"/>
    <w:rsid w:val="00476406"/>
    <w:rsid w:val="00480A90"/>
    <w:rsid w:val="0048139F"/>
    <w:rsid w:val="00483D49"/>
    <w:rsid w:val="00487CC3"/>
    <w:rsid w:val="00492224"/>
    <w:rsid w:val="00493CD2"/>
    <w:rsid w:val="0049799E"/>
    <w:rsid w:val="004A182D"/>
    <w:rsid w:val="004A75B7"/>
    <w:rsid w:val="004A77DF"/>
    <w:rsid w:val="004B55B7"/>
    <w:rsid w:val="004B59A4"/>
    <w:rsid w:val="004B62B6"/>
    <w:rsid w:val="004C05E0"/>
    <w:rsid w:val="004C3867"/>
    <w:rsid w:val="004C4CD0"/>
    <w:rsid w:val="004C70DC"/>
    <w:rsid w:val="004C7DBA"/>
    <w:rsid w:val="004D0211"/>
    <w:rsid w:val="004D131C"/>
    <w:rsid w:val="004D3BE8"/>
    <w:rsid w:val="004D4E05"/>
    <w:rsid w:val="004D7CC3"/>
    <w:rsid w:val="004E03CD"/>
    <w:rsid w:val="004E616A"/>
    <w:rsid w:val="004F06F5"/>
    <w:rsid w:val="004F0DF9"/>
    <w:rsid w:val="004F33A0"/>
    <w:rsid w:val="004F37F0"/>
    <w:rsid w:val="004F4666"/>
    <w:rsid w:val="004F7C4F"/>
    <w:rsid w:val="005068F4"/>
    <w:rsid w:val="005108C0"/>
    <w:rsid w:val="00511873"/>
    <w:rsid w:val="00513B7E"/>
    <w:rsid w:val="0052251C"/>
    <w:rsid w:val="00525137"/>
    <w:rsid w:val="005251DD"/>
    <w:rsid w:val="00534ACF"/>
    <w:rsid w:val="005461C8"/>
    <w:rsid w:val="005518F1"/>
    <w:rsid w:val="00553139"/>
    <w:rsid w:val="0055707E"/>
    <w:rsid w:val="00557DFF"/>
    <w:rsid w:val="00576082"/>
    <w:rsid w:val="005833F0"/>
    <w:rsid w:val="00583FFD"/>
    <w:rsid w:val="00584C65"/>
    <w:rsid w:val="00585475"/>
    <w:rsid w:val="00590B03"/>
    <w:rsid w:val="00593152"/>
    <w:rsid w:val="005A21E0"/>
    <w:rsid w:val="005B39F9"/>
    <w:rsid w:val="005B4204"/>
    <w:rsid w:val="005C3A03"/>
    <w:rsid w:val="005D3D26"/>
    <w:rsid w:val="005D5802"/>
    <w:rsid w:val="005E7241"/>
    <w:rsid w:val="005F419A"/>
    <w:rsid w:val="005F7FA5"/>
    <w:rsid w:val="00600261"/>
    <w:rsid w:val="00604307"/>
    <w:rsid w:val="0060487F"/>
    <w:rsid w:val="006058FE"/>
    <w:rsid w:val="006123F0"/>
    <w:rsid w:val="00620E4B"/>
    <w:rsid w:val="00621213"/>
    <w:rsid w:val="00624093"/>
    <w:rsid w:val="00631B6B"/>
    <w:rsid w:val="00631BF8"/>
    <w:rsid w:val="00634FC6"/>
    <w:rsid w:val="0064036A"/>
    <w:rsid w:val="006404A7"/>
    <w:rsid w:val="00641710"/>
    <w:rsid w:val="00644346"/>
    <w:rsid w:val="00644B72"/>
    <w:rsid w:val="006451E4"/>
    <w:rsid w:val="00651503"/>
    <w:rsid w:val="00657968"/>
    <w:rsid w:val="00657E87"/>
    <w:rsid w:val="006710C9"/>
    <w:rsid w:val="00675E37"/>
    <w:rsid w:val="006801A5"/>
    <w:rsid w:val="00680396"/>
    <w:rsid w:val="006812B1"/>
    <w:rsid w:val="0068260E"/>
    <w:rsid w:val="00684DF6"/>
    <w:rsid w:val="00684ECC"/>
    <w:rsid w:val="00693C50"/>
    <w:rsid w:val="006953D1"/>
    <w:rsid w:val="00695BEF"/>
    <w:rsid w:val="006977F6"/>
    <w:rsid w:val="00697A13"/>
    <w:rsid w:val="006A09CC"/>
    <w:rsid w:val="006A109C"/>
    <w:rsid w:val="006B78D8"/>
    <w:rsid w:val="006C113F"/>
    <w:rsid w:val="006D1307"/>
    <w:rsid w:val="006D220E"/>
    <w:rsid w:val="006D2C1B"/>
    <w:rsid w:val="006D36BF"/>
    <w:rsid w:val="006D4D85"/>
    <w:rsid w:val="006D61F6"/>
    <w:rsid w:val="006D7127"/>
    <w:rsid w:val="006E279A"/>
    <w:rsid w:val="006E313B"/>
    <w:rsid w:val="006E7DE3"/>
    <w:rsid w:val="007108D3"/>
    <w:rsid w:val="007140F1"/>
    <w:rsid w:val="0071510F"/>
    <w:rsid w:val="007211F5"/>
    <w:rsid w:val="00721EE7"/>
    <w:rsid w:val="007234EB"/>
    <w:rsid w:val="00730AE8"/>
    <w:rsid w:val="007349DB"/>
    <w:rsid w:val="00741493"/>
    <w:rsid w:val="007418A9"/>
    <w:rsid w:val="0074613B"/>
    <w:rsid w:val="00746B9F"/>
    <w:rsid w:val="00751986"/>
    <w:rsid w:val="00752180"/>
    <w:rsid w:val="00755D3A"/>
    <w:rsid w:val="007609C6"/>
    <w:rsid w:val="00761B3D"/>
    <w:rsid w:val="007635C8"/>
    <w:rsid w:val="00772929"/>
    <w:rsid w:val="00774742"/>
    <w:rsid w:val="00775437"/>
    <w:rsid w:val="00776527"/>
    <w:rsid w:val="007856B9"/>
    <w:rsid w:val="00785B2D"/>
    <w:rsid w:val="00792104"/>
    <w:rsid w:val="007960D0"/>
    <w:rsid w:val="007976C3"/>
    <w:rsid w:val="007A1547"/>
    <w:rsid w:val="007A2818"/>
    <w:rsid w:val="007A5C36"/>
    <w:rsid w:val="007B3CF5"/>
    <w:rsid w:val="007B4232"/>
    <w:rsid w:val="007C3F6A"/>
    <w:rsid w:val="007D4479"/>
    <w:rsid w:val="007D7174"/>
    <w:rsid w:val="007E08BB"/>
    <w:rsid w:val="007E22C6"/>
    <w:rsid w:val="007E3D24"/>
    <w:rsid w:val="007E663B"/>
    <w:rsid w:val="007E7E61"/>
    <w:rsid w:val="007F0845"/>
    <w:rsid w:val="00807732"/>
    <w:rsid w:val="00813AFD"/>
    <w:rsid w:val="00814B24"/>
    <w:rsid w:val="00821FF6"/>
    <w:rsid w:val="0083143E"/>
    <w:rsid w:val="00834FAA"/>
    <w:rsid w:val="00836086"/>
    <w:rsid w:val="00836382"/>
    <w:rsid w:val="00842928"/>
    <w:rsid w:val="008560AF"/>
    <w:rsid w:val="00864FD0"/>
    <w:rsid w:val="00867019"/>
    <w:rsid w:val="00867412"/>
    <w:rsid w:val="00867E8F"/>
    <w:rsid w:val="00876086"/>
    <w:rsid w:val="00877385"/>
    <w:rsid w:val="008801A7"/>
    <w:rsid w:val="00887079"/>
    <w:rsid w:val="008A4302"/>
    <w:rsid w:val="008A6361"/>
    <w:rsid w:val="008B2589"/>
    <w:rsid w:val="008B5F8C"/>
    <w:rsid w:val="008B7C02"/>
    <w:rsid w:val="008C0E88"/>
    <w:rsid w:val="008D2A16"/>
    <w:rsid w:val="008D41BB"/>
    <w:rsid w:val="008D536B"/>
    <w:rsid w:val="008E04E5"/>
    <w:rsid w:val="008E31FF"/>
    <w:rsid w:val="008E4DE6"/>
    <w:rsid w:val="008E4E57"/>
    <w:rsid w:val="008E7769"/>
    <w:rsid w:val="008F41A9"/>
    <w:rsid w:val="009003A8"/>
    <w:rsid w:val="00902EFF"/>
    <w:rsid w:val="00911712"/>
    <w:rsid w:val="009201E6"/>
    <w:rsid w:val="00921C8C"/>
    <w:rsid w:val="00921F14"/>
    <w:rsid w:val="00922DC4"/>
    <w:rsid w:val="0094427A"/>
    <w:rsid w:val="00967F43"/>
    <w:rsid w:val="00974923"/>
    <w:rsid w:val="00984ED6"/>
    <w:rsid w:val="0098620F"/>
    <w:rsid w:val="00987E97"/>
    <w:rsid w:val="00994473"/>
    <w:rsid w:val="009948BD"/>
    <w:rsid w:val="009970A0"/>
    <w:rsid w:val="009A2F92"/>
    <w:rsid w:val="009B4B27"/>
    <w:rsid w:val="009B6FD3"/>
    <w:rsid w:val="009B7249"/>
    <w:rsid w:val="009C23C8"/>
    <w:rsid w:val="009C31B1"/>
    <w:rsid w:val="009C5819"/>
    <w:rsid w:val="009D55C0"/>
    <w:rsid w:val="009E4403"/>
    <w:rsid w:val="009E4CA5"/>
    <w:rsid w:val="009F303B"/>
    <w:rsid w:val="00A10D66"/>
    <w:rsid w:val="00A12074"/>
    <w:rsid w:val="00A2087D"/>
    <w:rsid w:val="00A22C4D"/>
    <w:rsid w:val="00A23E43"/>
    <w:rsid w:val="00A317D5"/>
    <w:rsid w:val="00A33748"/>
    <w:rsid w:val="00A37C3E"/>
    <w:rsid w:val="00A41727"/>
    <w:rsid w:val="00A42547"/>
    <w:rsid w:val="00A454DB"/>
    <w:rsid w:val="00A46DE0"/>
    <w:rsid w:val="00A5521E"/>
    <w:rsid w:val="00A62CE1"/>
    <w:rsid w:val="00A648D6"/>
    <w:rsid w:val="00A75E40"/>
    <w:rsid w:val="00A80689"/>
    <w:rsid w:val="00A857C0"/>
    <w:rsid w:val="00AA559A"/>
    <w:rsid w:val="00AA74B8"/>
    <w:rsid w:val="00AB2AF1"/>
    <w:rsid w:val="00AB52DA"/>
    <w:rsid w:val="00AB76F3"/>
    <w:rsid w:val="00AC2293"/>
    <w:rsid w:val="00AC77ED"/>
    <w:rsid w:val="00AD0ABD"/>
    <w:rsid w:val="00AD306C"/>
    <w:rsid w:val="00AF2A1B"/>
    <w:rsid w:val="00B07008"/>
    <w:rsid w:val="00B112AC"/>
    <w:rsid w:val="00B14740"/>
    <w:rsid w:val="00B17E71"/>
    <w:rsid w:val="00B17FDE"/>
    <w:rsid w:val="00B21D75"/>
    <w:rsid w:val="00B239BF"/>
    <w:rsid w:val="00B312BA"/>
    <w:rsid w:val="00B32DDB"/>
    <w:rsid w:val="00B34472"/>
    <w:rsid w:val="00B3564B"/>
    <w:rsid w:val="00B445A6"/>
    <w:rsid w:val="00B5042E"/>
    <w:rsid w:val="00B509FA"/>
    <w:rsid w:val="00B526E3"/>
    <w:rsid w:val="00B6608F"/>
    <w:rsid w:val="00B70B2B"/>
    <w:rsid w:val="00B76D1E"/>
    <w:rsid w:val="00B83ED0"/>
    <w:rsid w:val="00B85C6E"/>
    <w:rsid w:val="00B910B4"/>
    <w:rsid w:val="00B93AF0"/>
    <w:rsid w:val="00B95940"/>
    <w:rsid w:val="00BA2193"/>
    <w:rsid w:val="00BA77C1"/>
    <w:rsid w:val="00BB13B2"/>
    <w:rsid w:val="00BB53A0"/>
    <w:rsid w:val="00BC4B8F"/>
    <w:rsid w:val="00BC66BF"/>
    <w:rsid w:val="00BC7448"/>
    <w:rsid w:val="00BD258B"/>
    <w:rsid w:val="00BD366B"/>
    <w:rsid w:val="00BD38E9"/>
    <w:rsid w:val="00BD6D50"/>
    <w:rsid w:val="00BE0C8D"/>
    <w:rsid w:val="00BF204C"/>
    <w:rsid w:val="00BF6103"/>
    <w:rsid w:val="00C01488"/>
    <w:rsid w:val="00C02621"/>
    <w:rsid w:val="00C0475C"/>
    <w:rsid w:val="00C04FC7"/>
    <w:rsid w:val="00C11CFE"/>
    <w:rsid w:val="00C21F94"/>
    <w:rsid w:val="00C301D3"/>
    <w:rsid w:val="00C46A08"/>
    <w:rsid w:val="00C46CB7"/>
    <w:rsid w:val="00C53740"/>
    <w:rsid w:val="00C5411A"/>
    <w:rsid w:val="00C568E6"/>
    <w:rsid w:val="00C56B9B"/>
    <w:rsid w:val="00C60B0A"/>
    <w:rsid w:val="00C61221"/>
    <w:rsid w:val="00C649AF"/>
    <w:rsid w:val="00C64DCE"/>
    <w:rsid w:val="00C82DCA"/>
    <w:rsid w:val="00C847A8"/>
    <w:rsid w:val="00C84DBD"/>
    <w:rsid w:val="00C90201"/>
    <w:rsid w:val="00C90CF4"/>
    <w:rsid w:val="00C91EB8"/>
    <w:rsid w:val="00C923E0"/>
    <w:rsid w:val="00C93389"/>
    <w:rsid w:val="00CA0C7F"/>
    <w:rsid w:val="00CA717F"/>
    <w:rsid w:val="00CB35AC"/>
    <w:rsid w:val="00CB4690"/>
    <w:rsid w:val="00CC0868"/>
    <w:rsid w:val="00CC61F7"/>
    <w:rsid w:val="00CD57C7"/>
    <w:rsid w:val="00CD5C77"/>
    <w:rsid w:val="00CE1BF5"/>
    <w:rsid w:val="00CF11DF"/>
    <w:rsid w:val="00CF4543"/>
    <w:rsid w:val="00CF51EC"/>
    <w:rsid w:val="00CF6477"/>
    <w:rsid w:val="00D03154"/>
    <w:rsid w:val="00D040DD"/>
    <w:rsid w:val="00D1416F"/>
    <w:rsid w:val="00D16932"/>
    <w:rsid w:val="00D213F8"/>
    <w:rsid w:val="00D27797"/>
    <w:rsid w:val="00D27FB1"/>
    <w:rsid w:val="00D30BAE"/>
    <w:rsid w:val="00D44C89"/>
    <w:rsid w:val="00D517A7"/>
    <w:rsid w:val="00D52C92"/>
    <w:rsid w:val="00D53825"/>
    <w:rsid w:val="00D560E1"/>
    <w:rsid w:val="00D57B0B"/>
    <w:rsid w:val="00D72D54"/>
    <w:rsid w:val="00D77A65"/>
    <w:rsid w:val="00D81EF6"/>
    <w:rsid w:val="00D93CB7"/>
    <w:rsid w:val="00D94490"/>
    <w:rsid w:val="00D95FCA"/>
    <w:rsid w:val="00D96556"/>
    <w:rsid w:val="00DB2A78"/>
    <w:rsid w:val="00DB4B2D"/>
    <w:rsid w:val="00DB4D42"/>
    <w:rsid w:val="00DB6B38"/>
    <w:rsid w:val="00DC3549"/>
    <w:rsid w:val="00DC3717"/>
    <w:rsid w:val="00DC56C6"/>
    <w:rsid w:val="00DC5B3B"/>
    <w:rsid w:val="00DC7B31"/>
    <w:rsid w:val="00E01C0E"/>
    <w:rsid w:val="00E04694"/>
    <w:rsid w:val="00E0501F"/>
    <w:rsid w:val="00E20DCD"/>
    <w:rsid w:val="00E20E07"/>
    <w:rsid w:val="00E22AFF"/>
    <w:rsid w:val="00E24D35"/>
    <w:rsid w:val="00E35CEC"/>
    <w:rsid w:val="00E373C3"/>
    <w:rsid w:val="00E43BA4"/>
    <w:rsid w:val="00E50EAE"/>
    <w:rsid w:val="00E54E6E"/>
    <w:rsid w:val="00E577BC"/>
    <w:rsid w:val="00E602B5"/>
    <w:rsid w:val="00E71A58"/>
    <w:rsid w:val="00E8790B"/>
    <w:rsid w:val="00E979B8"/>
    <w:rsid w:val="00EA0C68"/>
    <w:rsid w:val="00EA1A0E"/>
    <w:rsid w:val="00EA1C49"/>
    <w:rsid w:val="00EA27C4"/>
    <w:rsid w:val="00EA7966"/>
    <w:rsid w:val="00EC0938"/>
    <w:rsid w:val="00EC0D02"/>
    <w:rsid w:val="00EC7132"/>
    <w:rsid w:val="00ED0817"/>
    <w:rsid w:val="00EE01F9"/>
    <w:rsid w:val="00EE3E78"/>
    <w:rsid w:val="00EF0CBB"/>
    <w:rsid w:val="00EF1F5A"/>
    <w:rsid w:val="00EF4D3B"/>
    <w:rsid w:val="00F01932"/>
    <w:rsid w:val="00F04811"/>
    <w:rsid w:val="00F0488C"/>
    <w:rsid w:val="00F05DC9"/>
    <w:rsid w:val="00F0701B"/>
    <w:rsid w:val="00F13988"/>
    <w:rsid w:val="00F15987"/>
    <w:rsid w:val="00F15BEF"/>
    <w:rsid w:val="00F22277"/>
    <w:rsid w:val="00F226D7"/>
    <w:rsid w:val="00F24FAA"/>
    <w:rsid w:val="00F272C2"/>
    <w:rsid w:val="00F3364D"/>
    <w:rsid w:val="00F4274E"/>
    <w:rsid w:val="00F42C99"/>
    <w:rsid w:val="00F52621"/>
    <w:rsid w:val="00F556E8"/>
    <w:rsid w:val="00F56850"/>
    <w:rsid w:val="00F63DDE"/>
    <w:rsid w:val="00F63FB7"/>
    <w:rsid w:val="00F66522"/>
    <w:rsid w:val="00F675A9"/>
    <w:rsid w:val="00F73064"/>
    <w:rsid w:val="00F73A0C"/>
    <w:rsid w:val="00F75A22"/>
    <w:rsid w:val="00F75B7B"/>
    <w:rsid w:val="00F9222D"/>
    <w:rsid w:val="00F9587D"/>
    <w:rsid w:val="00FA0BE7"/>
    <w:rsid w:val="00FA5079"/>
    <w:rsid w:val="00FA6B59"/>
    <w:rsid w:val="00FA7BAF"/>
    <w:rsid w:val="00FA7BB2"/>
    <w:rsid w:val="00FB09F7"/>
    <w:rsid w:val="00FB2FFE"/>
    <w:rsid w:val="00FC084D"/>
    <w:rsid w:val="00FC0E5F"/>
    <w:rsid w:val="00FC1AB6"/>
    <w:rsid w:val="00FC2525"/>
    <w:rsid w:val="00FC2D66"/>
    <w:rsid w:val="00FC56DE"/>
    <w:rsid w:val="00FD0C48"/>
    <w:rsid w:val="00FD6D63"/>
    <w:rsid w:val="00FE0CFE"/>
    <w:rsid w:val="00FE2F78"/>
    <w:rsid w:val="00FE6EEB"/>
    <w:rsid w:val="00FF2851"/>
    <w:rsid w:val="00FF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cf4dd,#eaecee,#fcec0a,#fcecdb,#f1daf5"/>
    </o:shapedefaults>
    <o:shapelayout v:ext="edit">
      <o:idmap v:ext="edit" data="2"/>
    </o:shapelayout>
  </w:shapeDefaults>
  <w:decimalSymbol w:val=","/>
  <w:listSeparator w:val=";"/>
  <w14:docId w14:val="72F4E690"/>
  <w15:docId w15:val="{D3BA77C7-60FB-4FDA-B03B-C6270C4F1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4274E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next w:val="Normln"/>
    <w:link w:val="Nadpis1Char"/>
    <w:uiPriority w:val="9"/>
    <w:qFormat/>
    <w:rsid w:val="007F0845"/>
    <w:pPr>
      <w:keepNext/>
      <w:keepLines/>
      <w:spacing w:after="200" w:line="288" w:lineRule="auto"/>
      <w:outlineLvl w:val="0"/>
    </w:pPr>
    <w:rPr>
      <w:rFonts w:ascii="Arial" w:eastAsia="MS Gothic" w:hAnsi="Arial"/>
      <w:b/>
      <w:bCs/>
      <w:color w:val="009BB4"/>
      <w:sz w:val="32"/>
      <w:szCs w:val="28"/>
    </w:rPr>
  </w:style>
  <w:style w:type="paragraph" w:styleId="Nadpis2">
    <w:name w:val="heading 2"/>
    <w:next w:val="Normln"/>
    <w:link w:val="Nadpis2Char"/>
    <w:uiPriority w:val="9"/>
    <w:qFormat/>
    <w:rsid w:val="007F0845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009BB4"/>
      <w:sz w:val="28"/>
      <w:szCs w:val="26"/>
    </w:rPr>
  </w:style>
  <w:style w:type="paragraph" w:styleId="Nadpis3">
    <w:name w:val="heading 3"/>
    <w:next w:val="Normln"/>
    <w:link w:val="Nadpis3Char"/>
    <w:uiPriority w:val="9"/>
    <w:qFormat/>
    <w:rsid w:val="007F0845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009BB4"/>
      <w:sz w:val="24"/>
      <w:szCs w:val="24"/>
    </w:rPr>
  </w:style>
  <w:style w:type="paragraph" w:styleId="Nadpis4">
    <w:name w:val="heading 4"/>
    <w:next w:val="Normln"/>
    <w:link w:val="Nadpis4Char"/>
    <w:uiPriority w:val="9"/>
    <w:qFormat/>
    <w:rsid w:val="005108C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E71A58"/>
    <w:rPr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hAnsi="Calibri"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E71A58"/>
  </w:style>
  <w:style w:type="paragraph" w:styleId="Zpat">
    <w:name w:val="footer"/>
    <w:basedOn w:val="Normln"/>
    <w:link w:val="Zpat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hAnsi="Calibri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E71A58"/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</w:rPr>
  </w:style>
  <w:style w:type="paragraph" w:styleId="Nzev">
    <w:name w:val="Title"/>
    <w:next w:val="Normln"/>
    <w:link w:val="NzevChar"/>
    <w:uiPriority w:val="10"/>
    <w:qFormat/>
    <w:rsid w:val="007C3F6A"/>
    <w:pPr>
      <w:spacing w:line="288" w:lineRule="auto"/>
      <w:contextualSpacing/>
      <w:outlineLvl w:val="0"/>
    </w:pPr>
    <w:rPr>
      <w:rFonts w:ascii="Arial" w:eastAsia="MS Gothic" w:hAnsi="Arial"/>
      <w:b/>
      <w:caps/>
      <w:color w:val="009BB4"/>
      <w:sz w:val="56"/>
      <w:szCs w:val="52"/>
    </w:rPr>
  </w:style>
  <w:style w:type="character" w:customStyle="1" w:styleId="NzevChar">
    <w:name w:val="Název Char"/>
    <w:link w:val="Nzev"/>
    <w:uiPriority w:val="10"/>
    <w:rsid w:val="007C3F6A"/>
    <w:rPr>
      <w:rFonts w:ascii="Arial" w:eastAsia="MS Gothic" w:hAnsi="Arial" w:cs="Times New Roman"/>
      <w:b/>
      <w:caps/>
      <w:color w:val="009BB4"/>
      <w:sz w:val="56"/>
      <w:szCs w:val="52"/>
    </w:rPr>
  </w:style>
  <w:style w:type="paragraph" w:styleId="Podnadpis">
    <w:name w:val="Subtitle"/>
    <w:next w:val="Normln"/>
    <w:link w:val="PodnadpisChar"/>
    <w:uiPriority w:val="11"/>
    <w:qFormat/>
    <w:rsid w:val="007F0845"/>
    <w:pPr>
      <w:numPr>
        <w:ilvl w:val="1"/>
      </w:numPr>
      <w:spacing w:line="288" w:lineRule="auto"/>
    </w:pPr>
    <w:rPr>
      <w:rFonts w:ascii="Arial" w:eastAsia="MS Gothic" w:hAnsi="Arial"/>
      <w:b/>
      <w:iCs/>
      <w:color w:val="009BB4"/>
      <w:sz w:val="28"/>
      <w:szCs w:val="24"/>
    </w:rPr>
  </w:style>
  <w:style w:type="character" w:customStyle="1" w:styleId="PodnadpisChar">
    <w:name w:val="Podnadpis Char"/>
    <w:link w:val="Podnadpis"/>
    <w:uiPriority w:val="11"/>
    <w:rsid w:val="007F0845"/>
    <w:rPr>
      <w:rFonts w:ascii="Arial" w:eastAsia="MS Gothic" w:hAnsi="Arial" w:cs="Times New Roman"/>
      <w:b/>
      <w:iCs/>
      <w:color w:val="009BB4"/>
      <w:sz w:val="28"/>
      <w:szCs w:val="24"/>
    </w:rPr>
  </w:style>
  <w:style w:type="character" w:customStyle="1" w:styleId="Nadpis1Char">
    <w:name w:val="Nadpis 1 Char"/>
    <w:link w:val="Nadpis1"/>
    <w:uiPriority w:val="9"/>
    <w:rsid w:val="007F0845"/>
    <w:rPr>
      <w:rFonts w:ascii="Arial" w:eastAsia="MS Gothic" w:hAnsi="Arial" w:cs="Times New Roman"/>
      <w:b/>
      <w:bCs/>
      <w:color w:val="009BB4"/>
      <w:sz w:val="32"/>
      <w:szCs w:val="28"/>
    </w:rPr>
  </w:style>
  <w:style w:type="character" w:customStyle="1" w:styleId="Nadpis2Char">
    <w:name w:val="Nadpis 2 Char"/>
    <w:link w:val="Nadpis2"/>
    <w:uiPriority w:val="9"/>
    <w:rsid w:val="007F0845"/>
    <w:rPr>
      <w:rFonts w:ascii="Arial" w:eastAsia="MS Gothic" w:hAnsi="Arial" w:cs="Times New Roman"/>
      <w:b/>
      <w:bCs/>
      <w:color w:val="009BB4"/>
      <w:sz w:val="28"/>
      <w:szCs w:val="26"/>
    </w:rPr>
  </w:style>
  <w:style w:type="character" w:customStyle="1" w:styleId="Nadpis3Char">
    <w:name w:val="Nadpis 3 Char"/>
    <w:link w:val="Nadpis3"/>
    <w:uiPriority w:val="9"/>
    <w:rsid w:val="007F0845"/>
    <w:rPr>
      <w:rFonts w:ascii="Arial" w:eastAsia="MS Gothic" w:hAnsi="Arial" w:cs="Times New Roman"/>
      <w:b/>
      <w:bCs/>
      <w:color w:val="009BB4"/>
      <w:sz w:val="24"/>
      <w:szCs w:val="24"/>
    </w:rPr>
  </w:style>
  <w:style w:type="character" w:customStyle="1" w:styleId="Nadpis4Char">
    <w:name w:val="Nadpis 4 Char"/>
    <w:link w:val="Nadpis4"/>
    <w:uiPriority w:val="9"/>
    <w:rsid w:val="005108C0"/>
    <w:rPr>
      <w:rFonts w:ascii="Arial" w:eastAsia="MS Gothic" w:hAnsi="Arial" w:cs="Times New Roman"/>
      <w:b/>
      <w:bCs/>
      <w:iCs/>
      <w:szCs w:val="24"/>
    </w:rPr>
  </w:style>
  <w:style w:type="paragraph" w:customStyle="1" w:styleId="Stednmka21">
    <w:name w:val="Střední mřížka 21"/>
    <w:aliases w:val="Bez zarážky"/>
    <w:link w:val="Stednmka2Char"/>
    <w:uiPriority w:val="1"/>
    <w:qFormat/>
    <w:rsid w:val="008D2A16"/>
    <w:pPr>
      <w:spacing w:line="288" w:lineRule="auto"/>
    </w:pPr>
    <w:rPr>
      <w:rFonts w:ascii="Arial" w:eastAsia="Times New Roman" w:hAnsi="Arial"/>
      <w:szCs w:val="24"/>
    </w:rPr>
  </w:style>
  <w:style w:type="paragraph" w:customStyle="1" w:styleId="Box1">
    <w:name w:val="Box 1"/>
    <w:basedOn w:val="Zkladnodstavec"/>
    <w:next w:val="Normln"/>
    <w:qFormat/>
    <w:rsid w:val="007F0845"/>
    <w:pPr>
      <w:ind w:left="1134"/>
    </w:pPr>
    <w:rPr>
      <w:rFonts w:ascii="Arial" w:hAnsi="Arial" w:cs="Arial"/>
      <w:color w:val="009BB4"/>
      <w:sz w:val="20"/>
      <w:szCs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 w:cs="Arial"/>
      <w:b/>
      <w:color w:val="auto"/>
      <w:sz w:val="20"/>
      <w:szCs w:val="20"/>
    </w:rPr>
  </w:style>
  <w:style w:type="paragraph" w:customStyle="1" w:styleId="Box">
    <w:name w:val="Box"/>
    <w:next w:val="Normln"/>
    <w:link w:val="BoxChar"/>
    <w:qFormat/>
    <w:rsid w:val="007C3F6A"/>
    <w:pPr>
      <w:shd w:val="clear" w:color="auto" w:fill="D9F0F4"/>
      <w:spacing w:line="288" w:lineRule="auto"/>
      <w:ind w:left="1134"/>
    </w:pPr>
    <w:rPr>
      <w:rFonts w:ascii="Arial" w:hAnsi="Arial" w:cs="Arial"/>
    </w:rPr>
  </w:style>
  <w:style w:type="paragraph" w:customStyle="1" w:styleId="TL-Kontakty">
    <w:name w:val="TL - Kontakty"/>
    <w:next w:val="Normln"/>
    <w:link w:val="TL-KontaktyChar"/>
    <w:qFormat/>
    <w:rsid w:val="004F06F5"/>
    <w:pPr>
      <w:spacing w:after="80"/>
    </w:pPr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ZkladnodstavecChar">
    <w:name w:val="[Základní odstavec] Char"/>
    <w:link w:val="Zkladnodstavec"/>
    <w:uiPriority w:val="99"/>
    <w:rsid w:val="006710C9"/>
    <w:rPr>
      <w:rFonts w:ascii="Minion Pro" w:hAnsi="Minion Pro" w:cs="Minion Pro"/>
      <w:color w:val="000000"/>
      <w:sz w:val="24"/>
      <w:szCs w:val="24"/>
    </w:rPr>
  </w:style>
  <w:style w:type="character" w:customStyle="1" w:styleId="Box2Char">
    <w:name w:val="Box 2 Char"/>
    <w:link w:val="Box2"/>
    <w:rsid w:val="006710C9"/>
    <w:rPr>
      <w:rFonts w:ascii="Arial" w:hAnsi="Arial" w:cs="Arial"/>
      <w:b/>
      <w:color w:val="000000"/>
      <w:sz w:val="24"/>
      <w:szCs w:val="24"/>
      <w:shd w:val="clear" w:color="auto" w:fill="CCC0D9"/>
    </w:rPr>
  </w:style>
  <w:style w:type="character" w:customStyle="1" w:styleId="BoxChar">
    <w:name w:val="Box Char"/>
    <w:link w:val="Box"/>
    <w:rsid w:val="007C3F6A"/>
    <w:rPr>
      <w:rFonts w:ascii="Arial" w:hAnsi="Arial" w:cs="Arial"/>
      <w:b w:val="0"/>
      <w:color w:val="000000"/>
      <w:sz w:val="24"/>
      <w:szCs w:val="24"/>
      <w:shd w:val="clear" w:color="auto" w:fill="D9F0F4"/>
    </w:rPr>
  </w:style>
  <w:style w:type="paragraph" w:customStyle="1" w:styleId="TL-Identifikace">
    <w:name w:val="TL - Identifikace"/>
    <w:next w:val="Normln"/>
    <w:link w:val="TL-IdentifikaceChar"/>
    <w:qFormat/>
    <w:rsid w:val="004F06F5"/>
    <w:pPr>
      <w:spacing w:after="200" w:line="288" w:lineRule="auto"/>
    </w:pPr>
    <w:rPr>
      <w:rFonts w:ascii="Arial" w:eastAsia="Times New Roman" w:hAnsi="Arial"/>
      <w:sz w:val="24"/>
      <w:szCs w:val="24"/>
    </w:rPr>
  </w:style>
  <w:style w:type="character" w:customStyle="1" w:styleId="TL-KontaktyChar">
    <w:name w:val="TL - Kontakty Char"/>
    <w:link w:val="TL-Kontakty"/>
    <w:rsid w:val="004F06F5"/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TL-IdentifikaceChar">
    <w:name w:val="TL - Identifikace Char"/>
    <w:link w:val="TL-Identifikace"/>
    <w:rsid w:val="004F06F5"/>
    <w:rPr>
      <w:rFonts w:ascii="Arial" w:eastAsia="Times New Roman" w:hAnsi="Arial"/>
      <w:sz w:val="24"/>
      <w:szCs w:val="24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Stednmka2Char">
    <w:name w:val="Střední mřížka 2 Char"/>
    <w:aliases w:val="Bez zarážky Char"/>
    <w:link w:val="Stednmka21"/>
    <w:uiPriority w:val="1"/>
    <w:rsid w:val="00EE3E78"/>
    <w:rPr>
      <w:rFonts w:ascii="Arial" w:eastAsia="Times New Roman" w:hAnsi="Arial"/>
      <w:szCs w:val="24"/>
    </w:rPr>
  </w:style>
  <w:style w:type="paragraph" w:customStyle="1" w:styleId="TL-identifikace-sted">
    <w:name w:val="TL - identifikace - střed"/>
    <w:basedOn w:val="Normln"/>
    <w:link w:val="TL-identifikace-stedChar"/>
    <w:qFormat/>
    <w:rsid w:val="006C113F"/>
  </w:style>
  <w:style w:type="paragraph" w:customStyle="1" w:styleId="TL-Identifikace-dole">
    <w:name w:val="TL - Identifikace - dole"/>
    <w:basedOn w:val="Normln"/>
    <w:link w:val="TL-Identifikace-doleChar"/>
    <w:qFormat/>
    <w:rsid w:val="006C113F"/>
    <w:rPr>
      <w:rFonts w:cs="Arial"/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rsid w:val="006C113F"/>
    <w:rPr>
      <w:rFonts w:ascii="Arial" w:eastAsia="Times New Roman" w:hAnsi="Arial"/>
      <w:sz w:val="24"/>
      <w:szCs w:val="24"/>
    </w:rPr>
  </w:style>
  <w:style w:type="character" w:customStyle="1" w:styleId="TL-Identifikace-doleChar">
    <w:name w:val="TL - Identifikace - dole Char"/>
    <w:link w:val="TL-Identifikace-dole"/>
    <w:rsid w:val="006C113F"/>
    <w:rPr>
      <w:rFonts w:ascii="Arial" w:eastAsia="Times New Roman" w:hAnsi="Arial" w:cs="Arial"/>
      <w:lang w:eastAsia="ar-SA"/>
    </w:rPr>
  </w:style>
  <w:style w:type="paragraph" w:customStyle="1" w:styleId="Obsah">
    <w:name w:val="Obsah"/>
    <w:next w:val="Normln"/>
    <w:link w:val="ObsahChar"/>
    <w:qFormat/>
    <w:rsid w:val="00CD57C7"/>
    <w:pPr>
      <w:spacing w:after="200"/>
    </w:pPr>
    <w:rPr>
      <w:rFonts w:ascii="Arial" w:eastAsia="MS Gothic" w:hAnsi="Arial"/>
      <w:b/>
      <w:bCs/>
      <w:color w:val="009BB4"/>
      <w:sz w:val="32"/>
      <w:szCs w:val="28"/>
    </w:rPr>
  </w:style>
  <w:style w:type="paragraph" w:styleId="Odstavecseseznamem">
    <w:name w:val="List Paragraph"/>
    <w:basedOn w:val="Normln"/>
    <w:uiPriority w:val="34"/>
    <w:qFormat/>
    <w:rsid w:val="00F4274E"/>
    <w:pPr>
      <w:ind w:left="720"/>
      <w:contextualSpacing/>
    </w:pPr>
  </w:style>
  <w:style w:type="character" w:customStyle="1" w:styleId="ObsahChar">
    <w:name w:val="Obsah Char"/>
    <w:link w:val="Obsah"/>
    <w:rsid w:val="00CD57C7"/>
    <w:rPr>
      <w:rFonts w:ascii="Arial" w:eastAsia="MS Gothic" w:hAnsi="Arial"/>
      <w:b/>
      <w:bCs/>
      <w:color w:val="009BB4"/>
      <w:sz w:val="32"/>
      <w:szCs w:val="28"/>
    </w:rPr>
  </w:style>
  <w:style w:type="paragraph" w:styleId="Zkladntext">
    <w:name w:val="Body Text"/>
    <w:basedOn w:val="Normln"/>
    <w:link w:val="ZkladntextChar"/>
    <w:semiHidden/>
    <w:rsid w:val="00194F66"/>
    <w:pPr>
      <w:spacing w:before="120" w:after="120" w:line="240" w:lineRule="auto"/>
      <w:ind w:right="-13"/>
      <w:jc w:val="both"/>
    </w:pPr>
    <w:rPr>
      <w:rFonts w:eastAsia="Times New Roman"/>
      <w:sz w:val="22"/>
      <w:szCs w:val="24"/>
      <w:lang w:eastAsia="cs-CZ"/>
    </w:rPr>
  </w:style>
  <w:style w:type="character" w:customStyle="1" w:styleId="ZkladntextChar">
    <w:name w:val="Základní text Char"/>
    <w:link w:val="Zkladntext"/>
    <w:semiHidden/>
    <w:rsid w:val="00194F66"/>
    <w:rPr>
      <w:rFonts w:ascii="Times New Roman" w:eastAsia="Times New Roman" w:hAnsi="Times New Roman"/>
      <w:sz w:val="22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3D7BE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D7BE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D7BEA"/>
    <w:rPr>
      <w:rFonts w:ascii="Times New Roman" w:hAnsi="Times New Roman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D7BE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D7BEA"/>
    <w:rPr>
      <w:rFonts w:ascii="Times New Roman" w:hAnsi="Times New Roman"/>
      <w:b/>
      <w:bCs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16ACA"/>
    <w:pPr>
      <w:spacing w:after="0" w:line="240" w:lineRule="auto"/>
    </w:pPr>
    <w:rPr>
      <w:rFonts w:eastAsia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16ACA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semiHidden/>
    <w:unhideWhenUsed/>
    <w:rsid w:val="00316A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y\publikace\062005-15\publikace%20bar_veda%20IT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https://czsocz-my.sharepoint.com/personal/kamila_buresova_czso_cz/Documents/Dokumenty/publikace/062005-25/pomocny_analyza_2025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https://czsocz-my.sharepoint.com/personal/kamila_buresova_czso_cz/Documents/Dokumenty/publikace/062005-25/pomocny_analyza_2025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416853558585842E-2"/>
          <c:y val="5.0925850763499925E-2"/>
          <c:w val="0.97761731748596925"/>
          <c:h val="0.609673945396000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'ICT odborníci'!$V$1</c:f>
              <c:strCache>
                <c:ptCount val="1"/>
                <c:pt idx="0">
                  <c:v> podniky zaměstnávající IT odborníky  - % z celkového počtu podniků s 10+ zaměstnanci</c:v>
                </c:pt>
              </c:strCache>
            </c:strRef>
          </c:tx>
          <c:spPr>
            <a:solidFill>
              <a:srgbClr val="009CB5"/>
            </a:solidFill>
          </c:spPr>
          <c:invertIfNegative val="0"/>
          <c:dLbls>
            <c:numFmt formatCode="0&quot; &quot;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'ICT odborníci'!$U$2:$U$5</c:f>
              <c:strCache>
                <c:ptCount val="4"/>
                <c:pt idx="0">
                  <c:v>Podniky celkem 
(10+ zaměstnanců)</c:v>
                </c:pt>
                <c:pt idx="1">
                  <c:v> malé 
(10–49 zaměstnanců)</c:v>
                </c:pt>
                <c:pt idx="2">
                  <c:v> středně velké 
(50–249 zaměstnanců)</c:v>
                </c:pt>
                <c:pt idx="3">
                  <c:v> velké 
(250+ zaměstnanců)</c:v>
                </c:pt>
              </c:strCache>
            </c:strRef>
          </c:cat>
          <c:val>
            <c:numRef>
              <c:f>'ICT odborníci'!$V$2:$V$5</c:f>
              <c:numCache>
                <c:formatCode>0%</c:formatCode>
                <c:ptCount val="4"/>
                <c:pt idx="0">
                  <c:v>0.17799999999999999</c:v>
                </c:pt>
                <c:pt idx="1">
                  <c:v>0.105</c:v>
                </c:pt>
                <c:pt idx="2">
                  <c:v>0.377</c:v>
                </c:pt>
                <c:pt idx="3">
                  <c:v>0.80100000000000005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7D-40D3-B95B-0A13747BE5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97604736"/>
        <c:axId val="97606272"/>
      </c:barChart>
      <c:barChart>
        <c:barDir val="col"/>
        <c:grouping val="clustered"/>
        <c:varyColors val="0"/>
        <c:ser>
          <c:idx val="1"/>
          <c:order val="1"/>
          <c:tx>
            <c:strRef>
              <c:f>'ICT odborníci'!$W$1</c:f>
              <c:strCache>
                <c:ptCount val="1"/>
                <c:pt idx="0">
                  <c:v> IT odborníci zaměstnaní v podnicích - % z celkového počtu zaměstnanců v podnicích s 10+ zaměstnanci</c:v>
                </c:pt>
              </c:strCache>
            </c:strRef>
          </c:tx>
          <c:spPr>
            <a:solidFill>
              <a:srgbClr val="9FC9D7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749140893470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7D-40D3-B95B-0A13747BE554}"/>
                </c:ext>
              </c:extLst>
            </c:dLbl>
            <c:dLbl>
              <c:idx val="1"/>
              <c:layout>
                <c:manualLayout>
                  <c:x val="0"/>
                  <c:y val="3.2073310423825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7D-40D3-B95B-0A13747BE554}"/>
                </c:ext>
              </c:extLst>
            </c:dLbl>
            <c:dLbl>
              <c:idx val="2"/>
              <c:layout>
                <c:manualLayout>
                  <c:x val="0"/>
                  <c:y val="1.3745704467353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97D-40D3-B95B-0A13747BE554}"/>
                </c:ext>
              </c:extLst>
            </c:dLbl>
            <c:numFmt formatCode="0&quot; &quot;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'ICT odborníci'!$U$2:$U$5</c:f>
              <c:strCache>
                <c:ptCount val="4"/>
                <c:pt idx="0">
                  <c:v>Podniky celkem 
(10+ zaměstnanců)</c:v>
                </c:pt>
                <c:pt idx="1">
                  <c:v> malé 
(10–49 zaměstnanců)</c:v>
                </c:pt>
                <c:pt idx="2">
                  <c:v> středně velké 
(50–249 zaměstnanců)</c:v>
                </c:pt>
                <c:pt idx="3">
                  <c:v> velké 
(250+ zaměstnanců)</c:v>
                </c:pt>
              </c:strCache>
            </c:strRef>
          </c:cat>
          <c:val>
            <c:numRef>
              <c:f>'ICT odborníci'!$W$2:$W$5</c:f>
              <c:numCache>
                <c:formatCode>0%</c:formatCode>
                <c:ptCount val="4"/>
                <c:pt idx="0">
                  <c:v>3.9E-2</c:v>
                </c:pt>
                <c:pt idx="1">
                  <c:v>3.2000000000000001E-2</c:v>
                </c:pt>
                <c:pt idx="2">
                  <c:v>3.5999999999999997E-2</c:v>
                </c:pt>
                <c:pt idx="3">
                  <c:v>4.4999999999999998E-2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97D-40D3-B95B-0A13747BE5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5"/>
        <c:overlap val="-100"/>
        <c:axId val="767092480"/>
        <c:axId val="767080960"/>
      </c:barChart>
      <c:catAx>
        <c:axId val="97604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rgbClr val="000000"/>
            </a:solidFill>
          </a:ln>
        </c:spPr>
        <c:crossAx val="97606272"/>
        <c:crosses val="autoZero"/>
        <c:auto val="1"/>
        <c:lblAlgn val="ctr"/>
        <c:lblOffset val="100"/>
        <c:noMultiLvlLbl val="0"/>
      </c:catAx>
      <c:valAx>
        <c:axId val="97606272"/>
        <c:scaling>
          <c:orientation val="minMax"/>
          <c:max val="1"/>
          <c:min val="0"/>
        </c:scaling>
        <c:delete val="1"/>
        <c:axPos val="l"/>
        <c:numFmt formatCode="0%" sourceLinked="0"/>
        <c:majorTickMark val="out"/>
        <c:minorTickMark val="none"/>
        <c:tickLblPos val="nextTo"/>
        <c:crossAx val="97604736"/>
        <c:crosses val="autoZero"/>
        <c:crossBetween val="between"/>
      </c:valAx>
      <c:valAx>
        <c:axId val="767080960"/>
        <c:scaling>
          <c:orientation val="minMax"/>
          <c:max val="1"/>
        </c:scaling>
        <c:delete val="1"/>
        <c:axPos val="r"/>
        <c:numFmt formatCode="0%" sourceLinked="1"/>
        <c:majorTickMark val="out"/>
        <c:minorTickMark val="none"/>
        <c:tickLblPos val="nextTo"/>
        <c:crossAx val="767092480"/>
        <c:crosses val="max"/>
        <c:crossBetween val="between"/>
      </c:valAx>
      <c:catAx>
        <c:axId val="7670924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67080960"/>
        <c:crosses val="autoZero"/>
        <c:auto val="1"/>
        <c:lblAlgn val="ctr"/>
        <c:lblOffset val="100"/>
        <c:noMultiLvlLbl val="0"/>
      </c:catAx>
      <c:spPr>
        <a:ln>
          <a:noFill/>
        </a:ln>
      </c:spPr>
    </c:plotArea>
    <c:legend>
      <c:legendPos val="b"/>
      <c:overlay val="0"/>
      <c:spPr>
        <a:solidFill>
          <a:sysClr val="window" lastClr="FFFFFF"/>
        </a:solidFill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cs-CZ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4162449033493456"/>
          <c:y val="1.6041091637738827E-2"/>
          <c:w val="0.55837550966506544"/>
          <c:h val="0.9606676262241413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'ICT odborníci'!$B$118</c:f>
              <c:strCache>
                <c:ptCount val="1"/>
                <c:pt idx="0">
                  <c:v>Podniky zaměstnávající IT odborníiky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4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228-4938-9C41-DB3B471A6136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228-4938-9C41-DB3B471A6136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228-4938-9C41-DB3B471A6136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228-4938-9C41-DB3B471A6136}"/>
              </c:ext>
            </c:extLst>
          </c:dPt>
          <c:dLbls>
            <c:numFmt formatCode="0&quot; &quot;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'ICT odborníci'!$A$119:$A$134</c:f>
              <c:strCache>
                <c:ptCount val="16"/>
                <c:pt idx="0">
                  <c:v>Doprava a skladování (NACE 49-53)</c:v>
                </c:pt>
                <c:pt idx="1">
                  <c:v>Činnosti v oblasti nemovitostí (NACE 68)</c:v>
                </c:pt>
                <c:pt idx="2">
                  <c:v>Činnosti cestovních agentur a kanceláří (NACE 79)</c:v>
                </c:pt>
                <c:pt idx="3">
                  <c:v>Profesní, vědecké a technické činnosti (NACE 69-75)</c:v>
                </c:pt>
                <c:pt idx="4">
                  <c:v>Elektrotechnický průmysl (NACE 27)</c:v>
                </c:pt>
                <c:pt idx="5">
                  <c:v>Automobilový průmysl (NACE 29)</c:v>
                </c:pt>
                <c:pt idx="6">
                  <c:v>Elektronický průmysl (NACE 26)</c:v>
                </c:pt>
                <c:pt idx="7">
                  <c:v>Opravy počítačů (NACE 95.1)</c:v>
                </c:pt>
                <c:pt idx="8">
                  <c:v>Vydavatelské činnosti (NACE 58)</c:v>
                </c:pt>
                <c:pt idx="9">
                  <c:v>Telekomunikační činnosti (NACE 61)</c:v>
                </c:pt>
                <c:pt idx="10">
                  <c:v>Činnosti v oblasti IT (NACE 62)</c:v>
                </c:pt>
                <c:pt idx="11">
                  <c:v>ve vybraných odvětvích:</c:v>
                </c:pt>
                <c:pt idx="12">
                  <c:v>malé</c:v>
                </c:pt>
                <c:pt idx="13">
                  <c:v>středně velké </c:v>
                </c:pt>
                <c:pt idx="14">
                  <c:v>velké </c:v>
                </c:pt>
                <c:pt idx="15">
                  <c:v>Podniky celkem (10+)</c:v>
                </c:pt>
              </c:strCache>
            </c:strRef>
          </c:cat>
          <c:val>
            <c:numRef>
              <c:f>'ICT odborníci'!$B$119:$B$134</c:f>
              <c:numCache>
                <c:formatCode>0%</c:formatCode>
                <c:ptCount val="16"/>
                <c:pt idx="0">
                  <c:v>9.9000000000000005E-2</c:v>
                </c:pt>
                <c:pt idx="1">
                  <c:v>0.17299999999999999</c:v>
                </c:pt>
                <c:pt idx="2">
                  <c:v>0.22800000000000001</c:v>
                </c:pt>
                <c:pt idx="3">
                  <c:v>0.27300000000000002</c:v>
                </c:pt>
                <c:pt idx="4">
                  <c:v>0.28499999999999998</c:v>
                </c:pt>
                <c:pt idx="5">
                  <c:v>0.436</c:v>
                </c:pt>
                <c:pt idx="6">
                  <c:v>0.54500000000000004</c:v>
                </c:pt>
                <c:pt idx="7">
                  <c:v>0.55900000000000005</c:v>
                </c:pt>
                <c:pt idx="8">
                  <c:v>0.61199999999999999</c:v>
                </c:pt>
                <c:pt idx="9">
                  <c:v>0.70399999999999996</c:v>
                </c:pt>
                <c:pt idx="10">
                  <c:v>0.874</c:v>
                </c:pt>
                <c:pt idx="12">
                  <c:v>0.105</c:v>
                </c:pt>
                <c:pt idx="13">
                  <c:v>0.377</c:v>
                </c:pt>
                <c:pt idx="14">
                  <c:v>0.80100000000000005</c:v>
                </c:pt>
                <c:pt idx="15">
                  <c:v>0.17799999999999999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228-4938-9C41-DB3B471A613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168344576"/>
        <c:axId val="168358656"/>
        <c:extLst/>
      </c:barChart>
      <c:catAx>
        <c:axId val="1683445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68358656"/>
        <c:crosses val="autoZero"/>
        <c:auto val="1"/>
        <c:lblAlgn val="ctr"/>
        <c:lblOffset val="100"/>
        <c:noMultiLvlLbl val="0"/>
      </c:catAx>
      <c:valAx>
        <c:axId val="168358656"/>
        <c:scaling>
          <c:orientation val="minMax"/>
          <c:max val="1"/>
          <c:min val="0"/>
        </c:scaling>
        <c:delete val="1"/>
        <c:axPos val="b"/>
        <c:numFmt formatCode="0%" sourceLinked="1"/>
        <c:majorTickMark val="out"/>
        <c:minorTickMark val="none"/>
        <c:tickLblPos val="nextTo"/>
        <c:crossAx val="168344576"/>
        <c:crosses val="autoZero"/>
        <c:crossBetween val="between"/>
        <c:majorUnit val="0.1"/>
        <c:minorUnit val="1.0000000000000002E-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1621013084087684E-2"/>
          <c:y val="5.0925925925925923E-2"/>
          <c:w val="0.91242117802606348"/>
          <c:h val="0.72241704137788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'ICT odborníci'!$B$151</c:f>
              <c:strCache>
                <c:ptCount val="1"/>
                <c:pt idx="0">
                  <c:v> Celkem v podnicích s více než 10 zaměstnanci</c:v>
                </c:pt>
              </c:strCache>
            </c:strRef>
          </c:tx>
          <c:spPr>
            <a:solidFill>
              <a:srgbClr val="9FC9D7"/>
            </a:solidFill>
          </c:spPr>
          <c:invertIfNegative val="0"/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65E6-48ED-A961-DD6654D37A66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65E6-48ED-A961-DD6654D37A66}"/>
              </c:ext>
            </c:extLst>
          </c:dPt>
          <c:dPt>
            <c:idx val="14"/>
            <c:invertIfNegative val="0"/>
            <c:bubble3D val="0"/>
            <c:spPr>
              <a:solidFill>
                <a:srgbClr val="009CB5"/>
              </a:solidFill>
            </c:spPr>
            <c:extLst>
              <c:ext xmlns:c16="http://schemas.microsoft.com/office/drawing/2014/chart" uri="{C3380CC4-5D6E-409C-BE32-E72D297353CC}">
                <c16:uniqueId val="{00000003-65E6-48ED-A961-DD6654D37A66}"/>
              </c:ext>
            </c:extLst>
          </c:dPt>
          <c:dPt>
            <c:idx val="15"/>
            <c:invertIfNegative val="0"/>
            <c:bubble3D val="0"/>
            <c:spPr>
              <a:solidFill>
                <a:srgbClr val="009CB5"/>
              </a:solidFill>
            </c:spPr>
            <c:extLst>
              <c:ext xmlns:c16="http://schemas.microsoft.com/office/drawing/2014/chart" uri="{C3380CC4-5D6E-409C-BE32-E72D297353CC}">
                <c16:uniqueId val="{00000005-65E6-48ED-A961-DD6654D37A66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65E6-48ED-A961-DD6654D37A66}"/>
              </c:ext>
            </c:extLst>
          </c:dPt>
          <c:dLbls>
            <c:dLbl>
              <c:idx val="14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E6-48ED-A961-DD6654D37A66}"/>
                </c:ext>
              </c:extLst>
            </c:dLbl>
            <c:dLbl>
              <c:idx val="15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E6-48ED-A961-DD6654D37A66}"/>
                </c:ext>
              </c:extLst>
            </c:dLbl>
            <c:numFmt formatCode="0&quot; &quot;%" sourceLinked="0"/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'ICT odborníci'!$A$152:$A$179</c:f>
              <c:strCache>
                <c:ptCount val="28"/>
                <c:pt idx="0">
                  <c:v>Malta</c:v>
                </c:pt>
                <c:pt idx="1">
                  <c:v>Dánsko</c:v>
                </c:pt>
                <c:pt idx="2">
                  <c:v>Finsko</c:v>
                </c:pt>
                <c:pt idx="3">
                  <c:v>Irsko</c:v>
                </c:pt>
                <c:pt idx="4">
                  <c:v>Nizozemsko</c:v>
                </c:pt>
                <c:pt idx="5">
                  <c:v>Maďarsko</c:v>
                </c:pt>
                <c:pt idx="6">
                  <c:v>Belgie</c:v>
                </c:pt>
                <c:pt idx="7">
                  <c:v>Kypr</c:v>
                </c:pt>
                <c:pt idx="8">
                  <c:v>Polsko</c:v>
                </c:pt>
                <c:pt idx="9">
                  <c:v>Lucembursko</c:v>
                </c:pt>
                <c:pt idx="10">
                  <c:v>Německo</c:v>
                </c:pt>
                <c:pt idx="11">
                  <c:v>Řecko</c:v>
                </c:pt>
                <c:pt idx="12">
                  <c:v>Švédsko</c:v>
                </c:pt>
                <c:pt idx="13">
                  <c:v>Portugalsko</c:v>
                </c:pt>
                <c:pt idx="14">
                  <c:v>Česko</c:v>
                </c:pt>
                <c:pt idx="15">
                  <c:v>EU27</c:v>
                </c:pt>
                <c:pt idx="16">
                  <c:v>Rakousko</c:v>
                </c:pt>
                <c:pt idx="17">
                  <c:v>Estonsko</c:v>
                </c:pt>
                <c:pt idx="18">
                  <c:v>Lotyšsko</c:v>
                </c:pt>
                <c:pt idx="19">
                  <c:v>Bulharsko</c:v>
                </c:pt>
                <c:pt idx="20">
                  <c:v>Slovinsko</c:v>
                </c:pt>
                <c:pt idx="21">
                  <c:v>Slovensko</c:v>
                </c:pt>
                <c:pt idx="22">
                  <c:v>Litva</c:v>
                </c:pt>
                <c:pt idx="23">
                  <c:v>Francie</c:v>
                </c:pt>
                <c:pt idx="24">
                  <c:v>Chorvatsko</c:v>
                </c:pt>
                <c:pt idx="25">
                  <c:v>Španělsko</c:v>
                </c:pt>
                <c:pt idx="26">
                  <c:v>Itálie</c:v>
                </c:pt>
                <c:pt idx="27">
                  <c:v>Rumunsko</c:v>
                </c:pt>
              </c:strCache>
            </c:strRef>
          </c:cat>
          <c:val>
            <c:numRef>
              <c:f>'ICT odborníci'!$B$152:$B$179</c:f>
              <c:numCache>
                <c:formatCode>0%</c:formatCode>
                <c:ptCount val="28"/>
                <c:pt idx="0">
                  <c:v>0.34112599999999998</c:v>
                </c:pt>
                <c:pt idx="1">
                  <c:v>0.30943199999999998</c:v>
                </c:pt>
                <c:pt idx="2">
                  <c:v>0.30514599999999997</c:v>
                </c:pt>
                <c:pt idx="3">
                  <c:v>0.30277700000000002</c:v>
                </c:pt>
                <c:pt idx="4">
                  <c:v>0.29731200000000002</c:v>
                </c:pt>
                <c:pt idx="5">
                  <c:v>0.29341899999999999</c:v>
                </c:pt>
                <c:pt idx="6">
                  <c:v>0.29106599999999999</c:v>
                </c:pt>
                <c:pt idx="7">
                  <c:v>0.27477600000000002</c:v>
                </c:pt>
                <c:pt idx="8">
                  <c:v>0.25987399999999999</c:v>
                </c:pt>
                <c:pt idx="9">
                  <c:v>0.23349800000000001</c:v>
                </c:pt>
                <c:pt idx="10">
                  <c:v>0.22859299999999999</c:v>
                </c:pt>
                <c:pt idx="11">
                  <c:v>0.22528500000000001</c:v>
                </c:pt>
                <c:pt idx="12">
                  <c:v>0.216033</c:v>
                </c:pt>
                <c:pt idx="13">
                  <c:v>0.20563600000000001</c:v>
                </c:pt>
                <c:pt idx="14">
                  <c:v>0.20200899999999999</c:v>
                </c:pt>
                <c:pt idx="15">
                  <c:v>0.199908</c:v>
                </c:pt>
                <c:pt idx="16">
                  <c:v>0.19911499999999999</c:v>
                </c:pt>
                <c:pt idx="17">
                  <c:v>0.192216</c:v>
                </c:pt>
                <c:pt idx="18">
                  <c:v>0.17988799999999999</c:v>
                </c:pt>
                <c:pt idx="19">
                  <c:v>0.17814199999999999</c:v>
                </c:pt>
                <c:pt idx="20">
                  <c:v>0.177091</c:v>
                </c:pt>
                <c:pt idx="21">
                  <c:v>0.17254700000000001</c:v>
                </c:pt>
                <c:pt idx="22">
                  <c:v>0.16121199999999999</c:v>
                </c:pt>
                <c:pt idx="23">
                  <c:v>0.15937100000000001</c:v>
                </c:pt>
                <c:pt idx="24">
                  <c:v>0.158858</c:v>
                </c:pt>
                <c:pt idx="25">
                  <c:v>0.145702</c:v>
                </c:pt>
                <c:pt idx="26">
                  <c:v>0.12436999999999999</c:v>
                </c:pt>
                <c:pt idx="27">
                  <c:v>0.11138000000000001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5E6-48ED-A961-DD6654D37A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97604736"/>
        <c:axId val="97606272"/>
      </c:barChart>
      <c:catAx>
        <c:axId val="97604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rgbClr val="000000"/>
            </a:solidFill>
          </a:ln>
        </c:spPr>
        <c:txPr>
          <a:bodyPr rot="-5400000" vert="horz"/>
          <a:lstStyle/>
          <a:p>
            <a:pPr>
              <a:defRPr/>
            </a:pPr>
            <a:endParaRPr lang="cs-CZ"/>
          </a:p>
        </c:txPr>
        <c:crossAx val="97606272"/>
        <c:crosses val="autoZero"/>
        <c:auto val="1"/>
        <c:lblAlgn val="ctr"/>
        <c:lblOffset val="100"/>
        <c:noMultiLvlLbl val="0"/>
      </c:catAx>
      <c:valAx>
        <c:axId val="97606272"/>
        <c:scaling>
          <c:orientation val="minMax"/>
          <c:max val="0.5"/>
        </c:scaling>
        <c:delete val="0"/>
        <c:axPos val="l"/>
        <c:majorGridlines>
          <c:spPr>
            <a:ln w="6350">
              <a:solidFill>
                <a:srgbClr val="BFBFBF"/>
              </a:solidFill>
              <a:prstDash val="solid"/>
            </a:ln>
          </c:spPr>
        </c:majorGridlines>
        <c:numFmt formatCode="0&quot; &quot;%" sourceLinked="0"/>
        <c:majorTickMark val="out"/>
        <c:minorTickMark val="none"/>
        <c:tickLblPos val="nextTo"/>
        <c:spPr>
          <a:ln w="9525">
            <a:solidFill>
              <a:srgbClr val="000000"/>
            </a:solidFill>
          </a:ln>
        </c:spPr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cs-CZ"/>
          </a:p>
        </c:txPr>
        <c:crossAx val="9760473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cs-CZ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0.04252</cdr:x>
      <cdr:y>0.92336</cdr:y>
    </cdr:from>
    <cdr:to>
      <cdr:x>0.19371</cdr:x>
      <cdr:y>0.9927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57161" y="2409831"/>
          <a:ext cx="914397" cy="1809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0.07293</cdr:x>
      <cdr:y>0.91524</cdr:y>
    </cdr:from>
    <cdr:to>
      <cdr:x>0.59192</cdr:x>
      <cdr:y>1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409575" y="3028950"/>
          <a:ext cx="291465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0.04252</cdr:x>
      <cdr:y>0.92336</cdr:y>
    </cdr:from>
    <cdr:to>
      <cdr:x>0.19371</cdr:x>
      <cdr:y>0.9927</cdr:y>
    </cdr:to>
    <cdr:sp macro="" textlink="">
      <cdr:nvSpPr>
        <cdr:cNvPr id="3" name="TextovéPole 1"/>
        <cdr:cNvSpPr txBox="1"/>
      </cdr:nvSpPr>
      <cdr:spPr>
        <a:xfrm xmlns:a="http://schemas.openxmlformats.org/drawingml/2006/main">
          <a:off x="257161" y="2409831"/>
          <a:ext cx="914397" cy="1809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0.07293</cdr:x>
      <cdr:y>0.91524</cdr:y>
    </cdr:from>
    <cdr:to>
      <cdr:x>0.59192</cdr:x>
      <cdr:y>1</cdr:y>
    </cdr:to>
    <cdr:sp macro="" textlink="">
      <cdr:nvSpPr>
        <cdr:cNvPr id="6" name="TextovéPole 3"/>
        <cdr:cNvSpPr txBox="1"/>
      </cdr:nvSpPr>
      <cdr:spPr>
        <a:xfrm xmlns:a="http://schemas.openxmlformats.org/drawingml/2006/main">
          <a:off x="409575" y="3028950"/>
          <a:ext cx="291465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0.04252</cdr:x>
      <cdr:y>0.92336</cdr:y>
    </cdr:from>
    <cdr:to>
      <cdr:x>0.19371</cdr:x>
      <cdr:y>0.9927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B0B1D9E9-2C44-971B-BF63-18FB2744192E}"/>
            </a:ext>
          </a:extLst>
        </cdr:cNvPr>
        <cdr:cNvSpPr txBox="1"/>
      </cdr:nvSpPr>
      <cdr:spPr>
        <a:xfrm xmlns:a="http://schemas.openxmlformats.org/drawingml/2006/main">
          <a:off x="257161" y="2409831"/>
          <a:ext cx="914397" cy="1809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0.07293</cdr:x>
      <cdr:y>0.91524</cdr:y>
    </cdr:from>
    <cdr:to>
      <cdr:x>0.59192</cdr:x>
      <cdr:y>1</cdr:y>
    </cdr:to>
    <cdr:sp macro="" textlink="">
      <cdr:nvSpPr>
        <cdr:cNvPr id="7" name="TextovéPole 3">
          <a:extLst xmlns:a="http://schemas.openxmlformats.org/drawingml/2006/main">
            <a:ext uri="{FF2B5EF4-FFF2-40B4-BE49-F238E27FC236}">
              <a16:creationId xmlns:a16="http://schemas.microsoft.com/office/drawing/2014/main" id="{2963ECAE-7D92-150B-06EC-346439B9D748}"/>
            </a:ext>
          </a:extLst>
        </cdr:cNvPr>
        <cdr:cNvSpPr txBox="1"/>
      </cdr:nvSpPr>
      <cdr:spPr>
        <a:xfrm xmlns:a="http://schemas.openxmlformats.org/drawingml/2006/main">
          <a:off x="409575" y="3028950"/>
          <a:ext cx="291465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0.04252</cdr:x>
      <cdr:y>0.92336</cdr:y>
    </cdr:from>
    <cdr:to>
      <cdr:x>0.19371</cdr:x>
      <cdr:y>0.9927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16A76235-E19A-2749-12C4-1C872F505FDF}"/>
            </a:ext>
          </a:extLst>
        </cdr:cNvPr>
        <cdr:cNvSpPr txBox="1"/>
      </cdr:nvSpPr>
      <cdr:spPr>
        <a:xfrm xmlns:a="http://schemas.openxmlformats.org/drawingml/2006/main">
          <a:off x="257161" y="2409831"/>
          <a:ext cx="914397" cy="1809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0.07293</cdr:x>
      <cdr:y>0.91524</cdr:y>
    </cdr:from>
    <cdr:to>
      <cdr:x>0.59192</cdr:x>
      <cdr:y>1</cdr:y>
    </cdr:to>
    <cdr:sp macro="" textlink="">
      <cdr:nvSpPr>
        <cdr:cNvPr id="9" name="TextovéPole 3">
          <a:extLst xmlns:a="http://schemas.openxmlformats.org/drawingml/2006/main">
            <a:ext uri="{FF2B5EF4-FFF2-40B4-BE49-F238E27FC236}">
              <a16:creationId xmlns:a16="http://schemas.microsoft.com/office/drawing/2014/main" id="{856C7A24-D0FC-C1EB-19F1-7E74ABD3333C}"/>
            </a:ext>
          </a:extLst>
        </cdr:cNvPr>
        <cdr:cNvSpPr txBox="1"/>
      </cdr:nvSpPr>
      <cdr:spPr>
        <a:xfrm xmlns:a="http://schemas.openxmlformats.org/drawingml/2006/main">
          <a:off x="409575" y="3028950"/>
          <a:ext cx="291465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0.04252</cdr:x>
      <cdr:y>0.92336</cdr:y>
    </cdr:from>
    <cdr:to>
      <cdr:x>0.19371</cdr:x>
      <cdr:y>0.9927</cdr:y>
    </cdr:to>
    <cdr:sp macro="" textlink="">
      <cdr:nvSpPr>
        <cdr:cNvPr id="10" name="TextovéPole 1">
          <a:extLst xmlns:a="http://schemas.openxmlformats.org/drawingml/2006/main">
            <a:ext uri="{FF2B5EF4-FFF2-40B4-BE49-F238E27FC236}">
              <a16:creationId xmlns:a16="http://schemas.microsoft.com/office/drawing/2014/main" id="{FAF53A92-DE55-0649-9AE0-89FDA47600A1}"/>
            </a:ext>
          </a:extLst>
        </cdr:cNvPr>
        <cdr:cNvSpPr txBox="1"/>
      </cdr:nvSpPr>
      <cdr:spPr>
        <a:xfrm xmlns:a="http://schemas.openxmlformats.org/drawingml/2006/main">
          <a:off x="257161" y="2409831"/>
          <a:ext cx="914397" cy="1809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0.07293</cdr:x>
      <cdr:y>0.91524</cdr:y>
    </cdr:from>
    <cdr:to>
      <cdr:x>0.59192</cdr:x>
      <cdr:y>1</cdr:y>
    </cdr:to>
    <cdr:sp macro="" textlink="">
      <cdr:nvSpPr>
        <cdr:cNvPr id="11" name="TextovéPole 3">
          <a:extLst xmlns:a="http://schemas.openxmlformats.org/drawingml/2006/main">
            <a:ext uri="{FF2B5EF4-FFF2-40B4-BE49-F238E27FC236}">
              <a16:creationId xmlns:a16="http://schemas.microsoft.com/office/drawing/2014/main" id="{2DFC649C-EEA7-8E0B-E79B-465057D4E536}"/>
            </a:ext>
          </a:extLst>
        </cdr:cNvPr>
        <cdr:cNvSpPr txBox="1"/>
      </cdr:nvSpPr>
      <cdr:spPr>
        <a:xfrm xmlns:a="http://schemas.openxmlformats.org/drawingml/2006/main">
          <a:off x="409575" y="3028950"/>
          <a:ext cx="291465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0.04252</cdr:x>
      <cdr:y>0.92336</cdr:y>
    </cdr:from>
    <cdr:to>
      <cdr:x>0.19371</cdr:x>
      <cdr:y>0.9927</cdr:y>
    </cdr:to>
    <cdr:sp macro="" textlink="">
      <cdr:nvSpPr>
        <cdr:cNvPr id="8" name="TextovéPole 1"/>
        <cdr:cNvSpPr txBox="1"/>
      </cdr:nvSpPr>
      <cdr:spPr>
        <a:xfrm xmlns:a="http://schemas.openxmlformats.org/drawingml/2006/main">
          <a:off x="257161" y="2409831"/>
          <a:ext cx="914397" cy="1809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0.07293</cdr:x>
      <cdr:y>0.91524</cdr:y>
    </cdr:from>
    <cdr:to>
      <cdr:x>0.59192</cdr:x>
      <cdr:y>1</cdr:y>
    </cdr:to>
    <cdr:sp macro="" textlink="">
      <cdr:nvSpPr>
        <cdr:cNvPr id="9" name="TextovéPole 3"/>
        <cdr:cNvSpPr txBox="1"/>
      </cdr:nvSpPr>
      <cdr:spPr>
        <a:xfrm xmlns:a="http://schemas.openxmlformats.org/drawingml/2006/main">
          <a:off x="409575" y="3028950"/>
          <a:ext cx="291465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0.04252</cdr:x>
      <cdr:y>0.92336</cdr:y>
    </cdr:from>
    <cdr:to>
      <cdr:x>0.19371</cdr:x>
      <cdr:y>0.9927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57161" y="2409831"/>
          <a:ext cx="914397" cy="1809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8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0.07293</cdr:x>
      <cdr:y>0.91524</cdr:y>
    </cdr:from>
    <cdr:to>
      <cdr:x>0.59192</cdr:x>
      <cdr:y>1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409575" y="3028950"/>
          <a:ext cx="291465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ublikace ICT">
    <a:dk1>
      <a:srgbClr val="FFFFFF"/>
    </a:dk1>
    <a:lt1>
      <a:srgbClr val="FFFFFF"/>
    </a:lt1>
    <a:dk2>
      <a:srgbClr val="FFFFFF"/>
    </a:dk2>
    <a:lt2>
      <a:srgbClr val="FFFFFF"/>
    </a:lt2>
    <a:accent1>
      <a:srgbClr val="009CB5"/>
    </a:accent1>
    <a:accent2>
      <a:srgbClr val="9FC9D7"/>
    </a:accent2>
    <a:accent3>
      <a:srgbClr val="174F70"/>
    </a:accent3>
    <a:accent4>
      <a:srgbClr val="8390A7"/>
    </a:accent4>
    <a:accent5>
      <a:srgbClr val="D8D9DB"/>
    </a:accent5>
    <a:accent6>
      <a:srgbClr val="CCE1EA"/>
    </a:accent6>
    <a:hlink>
      <a:srgbClr val="009CB5"/>
    </a:hlink>
    <a:folHlink>
      <a:srgbClr val="009CB5"/>
    </a:folHlink>
  </a:clrScheme>
  <a:fontScheme name="Kancelář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902D6-7D18-4940-8D48-4309AF593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bar_veda IT.dot</Template>
  <TotalTime>1984</TotalTime>
  <Pages>2</Pages>
  <Words>439</Words>
  <Characters>2592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CSU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Burešová</dc:creator>
  <cp:lastModifiedBy>Burešová Kamila</cp:lastModifiedBy>
  <cp:revision>180</cp:revision>
  <cp:lastPrinted>2019-12-18T09:24:00Z</cp:lastPrinted>
  <dcterms:created xsi:type="dcterms:W3CDTF">2017-11-14T10:47:00Z</dcterms:created>
  <dcterms:modified xsi:type="dcterms:W3CDTF">2026-01-05T09:27:00Z</dcterms:modified>
</cp:coreProperties>
</file>