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D71C" w14:textId="77777777" w:rsidR="00A75E40" w:rsidRPr="009110F7" w:rsidRDefault="00BF4329" w:rsidP="006C3495">
      <w:pPr>
        <w:jc w:val="center"/>
        <w:rPr>
          <w:lang w:eastAsia="ar-SA"/>
        </w:rPr>
        <w:sectPr w:rsidR="00A75E40" w:rsidRPr="009110F7" w:rsidSect="0085114D">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511DD5DE" wp14:editId="00A28F14">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42DE6"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">
                <o:lock v:ext="edit" aspectratio="t"/>
                <v:rect id="Rectangle 9"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fillcolor="#0071bc" stroked="f">
                  <o:lock v:ext="edit" aspectratio="t"/>
                </v:rect>
                <v:rect id="Rectangle 10"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fillcolor="#0071bc" stroked="f">
                  <o:lock v:ext="edit" aspectratio="t"/>
                </v:rect>
                <v:rect id="Rectangle 11"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7757952E" wp14:editId="7602F846">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8CD8" w14:textId="77777777" w:rsidR="00C872AA" w:rsidRDefault="00C872AA" w:rsidP="004924DC">
                            <w:r>
                              <w:t>Z</w:t>
                            </w:r>
                            <w:r w:rsidRPr="006C5577">
                              <w:t xml:space="preserve">pracoval: </w:t>
                            </w:r>
                            <w:r>
                              <w:t>o</w:t>
                            </w:r>
                            <w:r w:rsidRPr="006C5577">
                              <w:t>dbor</w:t>
                            </w:r>
                            <w:r>
                              <w:t xml:space="preserve"> Kancelář předsedy</w:t>
                            </w:r>
                          </w:p>
                          <w:p w14:paraId="6CC24131" w14:textId="77777777" w:rsidR="00C872AA" w:rsidRPr="006C5577" w:rsidRDefault="00C872AA" w:rsidP="004924DC">
                            <w:r w:rsidRPr="006C5577">
                              <w:t xml:space="preserve">Ředitel odboru: </w:t>
                            </w:r>
                            <w:proofErr w:type="spellStart"/>
                            <w:r>
                              <w:t>Egor</w:t>
                            </w:r>
                            <w:proofErr w:type="spellEnd"/>
                            <w:r>
                              <w:t xml:space="preserve"> </w:t>
                            </w:r>
                            <w:proofErr w:type="spellStart"/>
                            <w:r>
                              <w:t>Sidorov</w:t>
                            </w:r>
                            <w:proofErr w:type="spellEnd"/>
                            <w:r>
                              <w:t>, Ph.D.</w:t>
                            </w:r>
                          </w:p>
                          <w:p w14:paraId="734BD5FB" w14:textId="77777777" w:rsidR="00C872AA" w:rsidRPr="006C5577" w:rsidRDefault="00C872AA" w:rsidP="004924DC">
                            <w:r w:rsidRPr="006C5577">
                              <w:t xml:space="preserve">Kontaktní osoba: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7952E"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" filled="f" stroked="f">
                <v:textbox inset="0,0,0,0">
                  <w:txbxContent>
                    <w:p w14:paraId="71628CD8" w14:textId="77777777" w:rsidR="00C872AA" w:rsidRDefault="00C872AA" w:rsidP="004924DC">
                      <w:r>
                        <w:t>Z</w:t>
                      </w:r>
                      <w:r w:rsidRPr="006C5577">
                        <w:t xml:space="preserve">pracoval: </w:t>
                      </w:r>
                      <w:r>
                        <w:t>o</w:t>
                      </w:r>
                      <w:r w:rsidRPr="006C5577">
                        <w:t>dbor</w:t>
                      </w:r>
                      <w:r>
                        <w:t xml:space="preserve"> Kancelář předsedy</w:t>
                      </w:r>
                    </w:p>
                    <w:p w14:paraId="6CC24131" w14:textId="77777777" w:rsidR="00C872AA" w:rsidRPr="006C5577" w:rsidRDefault="00C872AA" w:rsidP="004924DC">
                      <w:r w:rsidRPr="006C5577">
                        <w:t xml:space="preserve">Ředitel odboru: </w:t>
                      </w:r>
                      <w:proofErr w:type="spellStart"/>
                      <w:r>
                        <w:t>Egor</w:t>
                      </w:r>
                      <w:proofErr w:type="spellEnd"/>
                      <w:r>
                        <w:t xml:space="preserve"> </w:t>
                      </w:r>
                      <w:proofErr w:type="spellStart"/>
                      <w:r>
                        <w:t>Sidorov</w:t>
                      </w:r>
                      <w:proofErr w:type="spellEnd"/>
                      <w:r>
                        <w:t>, Ph.D.</w:t>
                      </w:r>
                    </w:p>
                    <w:p w14:paraId="734BD5FB" w14:textId="77777777" w:rsidR="00C872AA" w:rsidRPr="006C5577" w:rsidRDefault="00C872AA"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AFB96D4" wp14:editId="50D63787">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48DE" w14:textId="77777777" w:rsidR="00C872AA" w:rsidRPr="004924DC" w:rsidRDefault="00C872AA" w:rsidP="004924DC">
                            <w:pPr>
                              <w:pStyle w:val="TLIdentifikace-sted"/>
                            </w:pPr>
                            <w:r>
                              <w:t>souhrnná data o České republice</w:t>
                            </w:r>
                          </w:p>
                          <w:p w14:paraId="02C46271" w14:textId="77777777" w:rsidR="00C872AA" w:rsidRPr="004924DC" w:rsidRDefault="00C872AA" w:rsidP="004924DC">
                            <w:pPr>
                              <w:pStyle w:val="TLIdentifikace-sted"/>
                            </w:pPr>
                            <w:r>
                              <w:t>Praha, 15. 9. 2021</w:t>
                            </w:r>
                          </w:p>
                          <w:p w14:paraId="43012AD8" w14:textId="77777777" w:rsidR="00C872AA" w:rsidRPr="00B23E6E" w:rsidRDefault="00C872AA" w:rsidP="004924DC">
                            <w:pPr>
                              <w:pStyle w:val="TLIdentifikace-sted"/>
                            </w:pPr>
                            <w:r w:rsidRPr="00B23E6E">
                              <w:t>Kód publikace: 320193-2</w:t>
                            </w:r>
                            <w:r>
                              <w:t>1</w:t>
                            </w:r>
                          </w:p>
                          <w:p w14:paraId="1ED5773E" w14:textId="09E0EBD9" w:rsidR="00C872AA" w:rsidRPr="00474646" w:rsidRDefault="00C872AA" w:rsidP="004924DC">
                            <w:pPr>
                              <w:pStyle w:val="TLIdentifikace-sted"/>
                              <w:rPr>
                                <w:rFonts w:cs="Arial"/>
                              </w:rPr>
                            </w:pPr>
                            <w:r w:rsidRPr="00474646">
                              <w:rPr>
                                <w:rFonts w:cs="Arial"/>
                              </w:rPr>
                              <w:t>Č</w:t>
                            </w:r>
                            <w:r w:rsidRPr="00730A8B">
                              <w:rPr>
                                <w:rFonts w:cs="Arial"/>
                              </w:rPr>
                              <w:t xml:space="preserve">. j.: </w:t>
                            </w:r>
                            <w:r w:rsidRPr="00730A8B">
                              <w:rPr>
                                <w:rFonts w:eastAsia="Calibri" w:cs="Arial"/>
                                <w:lang w:eastAsia="en-US"/>
                              </w:rPr>
                              <w:t>CSU: 00</w:t>
                            </w:r>
                            <w:r w:rsidR="00730A8B" w:rsidRPr="00730A8B">
                              <w:rPr>
                                <w:rFonts w:eastAsia="Calibri" w:cs="Arial"/>
                                <w:lang w:eastAsia="en-US"/>
                              </w:rPr>
                              <w:t>8469/</w:t>
                            </w:r>
                            <w:r w:rsidRPr="00730A8B">
                              <w:rPr>
                                <w:rFonts w:eastAsia="Calibri" w:cs="Arial"/>
                                <w:lang w:eastAsia="en-US"/>
                              </w:rPr>
                              <w:t>2021</w:t>
                            </w:r>
                            <w:r w:rsidR="00730A8B" w:rsidRPr="00730A8B">
                              <w:rPr>
                                <w:rFonts w:eastAsia="Calibri" w:cs="Arial"/>
                                <w:lang w:eastAsia="en-US"/>
                              </w:rPr>
                              <w:t>-01</w:t>
                            </w:r>
                          </w:p>
                          <w:p w14:paraId="7E4C36AC" w14:textId="77777777" w:rsidR="00C872AA" w:rsidRPr="004924DC" w:rsidRDefault="00C872AA" w:rsidP="004924DC">
                            <w:pPr>
                              <w:pStyle w:val="TLIdentifikace-sted"/>
                            </w:pPr>
                            <w:r w:rsidRPr="004924DC">
                              <w:t>Pořadové číslo v</w:t>
                            </w:r>
                            <w:r>
                              <w:t> </w:t>
                            </w:r>
                            <w:r w:rsidRPr="004924DC">
                              <w:t xml:space="preserve">roce: </w:t>
                            </w:r>
                            <w:r>
                              <w:t>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FB96D4"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14:paraId="6B3C48DE" w14:textId="77777777" w:rsidR="00C872AA" w:rsidRPr="004924DC" w:rsidRDefault="00C872AA" w:rsidP="004924DC">
                      <w:pPr>
                        <w:pStyle w:val="TLIdentifikace-sted"/>
                      </w:pPr>
                      <w:r>
                        <w:t>souhrnná data o České republice</w:t>
                      </w:r>
                    </w:p>
                    <w:p w14:paraId="02C46271" w14:textId="77777777" w:rsidR="00C872AA" w:rsidRPr="004924DC" w:rsidRDefault="00C872AA" w:rsidP="004924DC">
                      <w:pPr>
                        <w:pStyle w:val="TLIdentifikace-sted"/>
                      </w:pPr>
                      <w:r>
                        <w:t>Praha, 15. 9. 2021</w:t>
                      </w:r>
                    </w:p>
                    <w:p w14:paraId="43012AD8" w14:textId="77777777" w:rsidR="00C872AA" w:rsidRPr="00B23E6E" w:rsidRDefault="00C872AA" w:rsidP="004924DC">
                      <w:pPr>
                        <w:pStyle w:val="TLIdentifikace-sted"/>
                      </w:pPr>
                      <w:r w:rsidRPr="00B23E6E">
                        <w:t>Kód publikace: 320193-2</w:t>
                      </w:r>
                      <w:r>
                        <w:t>1</w:t>
                      </w:r>
                    </w:p>
                    <w:p w14:paraId="1ED5773E" w14:textId="09E0EBD9" w:rsidR="00C872AA" w:rsidRPr="00474646" w:rsidRDefault="00C872AA" w:rsidP="004924DC">
                      <w:pPr>
                        <w:pStyle w:val="TLIdentifikace-sted"/>
                        <w:rPr>
                          <w:rFonts w:cs="Arial"/>
                        </w:rPr>
                      </w:pPr>
                      <w:r w:rsidRPr="00474646">
                        <w:rPr>
                          <w:rFonts w:cs="Arial"/>
                        </w:rPr>
                        <w:t>Č</w:t>
                      </w:r>
                      <w:r w:rsidRPr="00730A8B">
                        <w:rPr>
                          <w:rFonts w:cs="Arial"/>
                        </w:rPr>
                        <w:t xml:space="preserve">. j.: </w:t>
                      </w:r>
                      <w:r w:rsidRPr="00730A8B">
                        <w:rPr>
                          <w:rFonts w:eastAsia="Calibri" w:cs="Arial"/>
                          <w:lang w:eastAsia="en-US"/>
                        </w:rPr>
                        <w:t>CSU: 00</w:t>
                      </w:r>
                      <w:r w:rsidR="00730A8B" w:rsidRPr="00730A8B">
                        <w:rPr>
                          <w:rFonts w:eastAsia="Calibri" w:cs="Arial"/>
                          <w:lang w:eastAsia="en-US"/>
                        </w:rPr>
                        <w:t>8469/</w:t>
                      </w:r>
                      <w:r w:rsidRPr="00730A8B">
                        <w:rPr>
                          <w:rFonts w:eastAsia="Calibri" w:cs="Arial"/>
                          <w:lang w:eastAsia="en-US"/>
                        </w:rPr>
                        <w:t>2021</w:t>
                      </w:r>
                      <w:r w:rsidR="00730A8B" w:rsidRPr="00730A8B">
                        <w:rPr>
                          <w:rFonts w:eastAsia="Calibri" w:cs="Arial"/>
                          <w:lang w:eastAsia="en-US"/>
                        </w:rPr>
                        <w:t>-01</w:t>
                      </w:r>
                    </w:p>
                    <w:p w14:paraId="7E4C36AC" w14:textId="77777777" w:rsidR="00C872AA" w:rsidRPr="004924DC" w:rsidRDefault="00C872AA" w:rsidP="004924DC">
                      <w:pPr>
                        <w:pStyle w:val="TLIdentifikace-sted"/>
                      </w:pPr>
                      <w:r w:rsidRPr="004924DC">
                        <w:t>Pořadové číslo v</w:t>
                      </w:r>
                      <w:r>
                        <w:t> </w:t>
                      </w:r>
                      <w:r w:rsidRPr="004924DC">
                        <w:t xml:space="preserve">roce: </w:t>
                      </w:r>
                      <w:r>
                        <w:t>2</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451D2144" wp14:editId="099204C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7B56" w14:textId="77777777" w:rsidR="00C872AA" w:rsidRPr="000E6FBD" w:rsidRDefault="00C872AA" w:rsidP="000E6FBD">
                            <w:pPr>
                              <w:pStyle w:val="Nzev"/>
                            </w:pPr>
                            <w:r>
                              <w:t>Vývoj ekonomiky české republiky</w:t>
                            </w:r>
                          </w:p>
                          <w:p w14:paraId="6EF7822F" w14:textId="77777777" w:rsidR="00C872AA" w:rsidRPr="0012192F" w:rsidRDefault="00C872AA" w:rsidP="0012192F">
                            <w:pPr>
                              <w:pStyle w:val="Podnadpis"/>
                            </w:pPr>
                          </w:p>
                          <w:p w14:paraId="284A2D4D" w14:textId="77777777" w:rsidR="00C872AA" w:rsidRPr="0012192F" w:rsidRDefault="00C872AA" w:rsidP="00720310">
                            <w:pPr>
                              <w:pStyle w:val="Podnadpis"/>
                            </w:pPr>
                            <w:r>
                              <w:t>1. pololetí 2021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1D2144"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" filled="f" stroked="f">
                <v:textbox style="mso-fit-shape-to-text:t" inset="0,0,0,0">
                  <w:txbxContent>
                    <w:p w14:paraId="723B7B56" w14:textId="77777777" w:rsidR="00C872AA" w:rsidRPr="000E6FBD" w:rsidRDefault="00C872AA" w:rsidP="000E6FBD">
                      <w:pPr>
                        <w:pStyle w:val="Nzev"/>
                      </w:pPr>
                      <w:r>
                        <w:t>Vývoj ekonomiky české republiky</w:t>
                      </w:r>
                    </w:p>
                    <w:p w14:paraId="6EF7822F" w14:textId="77777777" w:rsidR="00C872AA" w:rsidRPr="0012192F" w:rsidRDefault="00C872AA" w:rsidP="0012192F">
                      <w:pPr>
                        <w:pStyle w:val="Podnadpis"/>
                      </w:pPr>
                    </w:p>
                    <w:p w14:paraId="284A2D4D" w14:textId="77777777" w:rsidR="00C872AA" w:rsidRPr="0012192F" w:rsidRDefault="00C872AA" w:rsidP="00720310">
                      <w:pPr>
                        <w:pStyle w:val="Podnadpis"/>
                      </w:pPr>
                      <w:r>
                        <w:t>1. pololetí 2021</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41CDD5F4" wp14:editId="1095CA0F">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DF7B" w14:textId="77777777" w:rsidR="00C872AA" w:rsidRPr="004924DC" w:rsidRDefault="00C872AA" w:rsidP="004924DC">
                            <w:r w:rsidRPr="004924DC">
                              <w:t xml:space="preserve">© Český statistický úřad, </w:t>
                            </w:r>
                            <w:r>
                              <w:t>Praha</w:t>
                            </w:r>
                            <w:r w:rsidRPr="004924DC">
                              <w:t xml:space="preserve">, </w:t>
                            </w:r>
                            <w:r>
                              <w:t>2021</w:t>
                            </w:r>
                          </w:p>
                          <w:p w14:paraId="622736FE" w14:textId="77777777" w:rsidR="00C872AA" w:rsidRPr="005251DD" w:rsidRDefault="00C872AA" w:rsidP="00665BA4"/>
                          <w:p w14:paraId="157588CA" w14:textId="77777777" w:rsidR="00C872AA" w:rsidRPr="005251DD" w:rsidRDefault="00C872AA" w:rsidP="00FC684B"/>
                          <w:p w14:paraId="590D710B" w14:textId="77777777" w:rsidR="00C872AA" w:rsidRDefault="00C872AA"/>
                          <w:p w14:paraId="73B68DA8" w14:textId="77777777" w:rsidR="00C872AA" w:rsidRPr="00097407" w:rsidRDefault="00C872AA"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D655DFE" w14:textId="77777777" w:rsidR="00C872AA" w:rsidRPr="005251DD" w:rsidRDefault="00C872AA" w:rsidP="00665BA4"/>
                          <w:p w14:paraId="74D3ABC4" w14:textId="77777777" w:rsidR="00C872AA" w:rsidRPr="005251DD" w:rsidRDefault="00C872AA"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DD5F4"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MkugIAALY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" filled="f" stroked="f">
                <v:textbox inset="0,0,0,0">
                  <w:txbxContent>
                    <w:p w14:paraId="0841DF7B" w14:textId="77777777" w:rsidR="00C872AA" w:rsidRPr="004924DC" w:rsidRDefault="00C872AA" w:rsidP="004924DC">
                      <w:r w:rsidRPr="004924DC">
                        <w:t xml:space="preserve">© Český statistický úřad, </w:t>
                      </w:r>
                      <w:r>
                        <w:t>Praha</w:t>
                      </w:r>
                      <w:r w:rsidRPr="004924DC">
                        <w:t xml:space="preserve">, </w:t>
                      </w:r>
                      <w:r>
                        <w:t>2021</w:t>
                      </w:r>
                    </w:p>
                    <w:p w14:paraId="622736FE" w14:textId="77777777" w:rsidR="00C872AA" w:rsidRPr="005251DD" w:rsidRDefault="00C872AA" w:rsidP="00665BA4"/>
                    <w:p w14:paraId="157588CA" w14:textId="77777777" w:rsidR="00C872AA" w:rsidRPr="005251DD" w:rsidRDefault="00C872AA" w:rsidP="00FC684B"/>
                    <w:p w14:paraId="590D710B" w14:textId="77777777" w:rsidR="00C872AA" w:rsidRDefault="00C872AA"/>
                    <w:p w14:paraId="73B68DA8" w14:textId="77777777" w:rsidR="00C872AA" w:rsidRPr="00097407" w:rsidRDefault="00C872AA"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D655DFE" w14:textId="77777777" w:rsidR="00C872AA" w:rsidRPr="005251DD" w:rsidRDefault="00C872AA" w:rsidP="00665BA4"/>
                    <w:p w14:paraId="74D3ABC4" w14:textId="77777777" w:rsidR="00C872AA" w:rsidRPr="005251DD" w:rsidRDefault="00C872AA" w:rsidP="00FC684B"/>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3632" behindDoc="0" locked="1" layoutInCell="0" allowOverlap="1" wp14:anchorId="5D7561D0" wp14:editId="7B364386">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67B4E9" id="Přímá spojnice 33" o:spid="_x0000_s1026"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rsidRPr="009110F7">
        <w:br w:type="page"/>
      </w:r>
      <w:r w:rsidR="00D57677" w:rsidRPr="009110F7">
        <w:lastRenderedPageBreak/>
        <w:br w:type="page"/>
      </w:r>
      <w:r>
        <w:rPr>
          <w:noProof/>
        </w:rPr>
        <mc:AlternateContent>
          <mc:Choice Requires="wps">
            <w:drawing>
              <wp:anchor distT="0" distB="0" distL="114300" distR="114300" simplePos="0" relativeHeight="251659776" behindDoc="0" locked="1" layoutInCell="1" allowOverlap="1" wp14:anchorId="6BC95926" wp14:editId="266DEF2F">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70E5B" w14:textId="77777777" w:rsidR="00C872AA" w:rsidRPr="006F5416" w:rsidRDefault="00C872AA" w:rsidP="006F5416">
                            <w:pPr>
                              <w:pStyle w:val="TLKontaktyerven"/>
                            </w:pPr>
                            <w:r w:rsidRPr="006F5416">
                              <w:t>KONTAKTY V ÚSTŘEDÍ</w:t>
                            </w:r>
                          </w:p>
                          <w:p w14:paraId="3BEEAF5F" w14:textId="77777777" w:rsidR="00C872AA" w:rsidRPr="007D40DF" w:rsidRDefault="00C872AA"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C872AA" w:rsidRPr="00D235B7" w:rsidRDefault="00C872AA"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C872AA" w:rsidRPr="00D235B7" w:rsidRDefault="00C872AA"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C872AA" w:rsidRPr="00D235B7" w:rsidRDefault="00C872AA"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C872AA" w:rsidRPr="00D235B7" w:rsidRDefault="00C872AA"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C872AA" w:rsidRPr="004A61C5" w:rsidRDefault="00C872AA" w:rsidP="00825C4D">
                            <w:pPr>
                              <w:pStyle w:val="TLKontakty"/>
                              <w:spacing w:after="80" w:line="240" w:lineRule="auto"/>
                              <w:contextualSpacing w:val="0"/>
                              <w:rPr>
                                <w:color w:val="auto"/>
                              </w:rPr>
                            </w:pPr>
                          </w:p>
                          <w:p w14:paraId="29C57B67" w14:textId="77777777" w:rsidR="00C872AA" w:rsidRPr="00D66223" w:rsidRDefault="00C872AA" w:rsidP="00D66223">
                            <w:pPr>
                              <w:pStyle w:val="TLKontaktyerven"/>
                            </w:pPr>
                            <w:r w:rsidRPr="00D66223">
                              <w:t>INFORMAČNÍ SLUŽBY V REGIONECH</w:t>
                            </w:r>
                          </w:p>
                          <w:p w14:paraId="181BE30E" w14:textId="77777777" w:rsidR="00C872AA" w:rsidRPr="00992CF3" w:rsidRDefault="00C872AA"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C872AA" w:rsidRPr="00992CF3" w:rsidRDefault="00C872AA"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C872AA" w:rsidRPr="004A61C5" w:rsidRDefault="00C872AA" w:rsidP="00825C4D">
                            <w:pPr>
                              <w:pStyle w:val="TLKontakty"/>
                              <w:spacing w:after="80" w:line="240" w:lineRule="auto"/>
                              <w:rPr>
                                <w:color w:val="auto"/>
                              </w:rPr>
                            </w:pPr>
                          </w:p>
                          <w:p w14:paraId="39B5FB82" w14:textId="77777777" w:rsidR="00C872AA" w:rsidRPr="00992CF3" w:rsidRDefault="00C872AA"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C872AA" w:rsidRPr="00992CF3" w:rsidRDefault="00C872AA"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C872AA" w:rsidRPr="004A61C5" w:rsidRDefault="00C872AA" w:rsidP="00825C4D">
                            <w:pPr>
                              <w:pStyle w:val="TLKontakty"/>
                              <w:spacing w:after="80" w:line="240" w:lineRule="auto"/>
                              <w:rPr>
                                <w:color w:val="auto"/>
                              </w:rPr>
                            </w:pPr>
                          </w:p>
                          <w:p w14:paraId="5AF27889" w14:textId="77777777" w:rsidR="00C872AA" w:rsidRPr="00992CF3" w:rsidRDefault="00C872AA"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C872AA" w:rsidRPr="00992CF3" w:rsidRDefault="00C872AA"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C872AA" w:rsidRPr="004A61C5" w:rsidRDefault="00C872AA" w:rsidP="00825C4D">
                            <w:pPr>
                              <w:pStyle w:val="TLKontakty"/>
                              <w:spacing w:after="80" w:line="240" w:lineRule="auto"/>
                              <w:rPr>
                                <w:color w:val="auto"/>
                              </w:rPr>
                            </w:pPr>
                          </w:p>
                          <w:p w14:paraId="0065AFA0" w14:textId="77777777" w:rsidR="00C872AA" w:rsidRPr="00BC731E" w:rsidRDefault="00C872AA"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C872AA" w:rsidRPr="004A61C5" w:rsidRDefault="00C872AA" w:rsidP="00825C4D">
                            <w:pPr>
                              <w:pStyle w:val="TLKontakty"/>
                              <w:spacing w:after="80" w:line="240" w:lineRule="auto"/>
                              <w:rPr>
                                <w:color w:val="auto"/>
                              </w:rPr>
                            </w:pPr>
                          </w:p>
                          <w:p w14:paraId="345F7961" w14:textId="77777777" w:rsidR="00C872AA" w:rsidRPr="004A61C5" w:rsidRDefault="00C872AA"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C872AA" w:rsidRPr="004A61C5" w:rsidRDefault="00C872AA" w:rsidP="00825C4D">
                            <w:pPr>
                              <w:pStyle w:val="TLKontakty"/>
                              <w:spacing w:after="80" w:line="240" w:lineRule="auto"/>
                              <w:rPr>
                                <w:color w:val="auto"/>
                              </w:rPr>
                            </w:pPr>
                          </w:p>
                          <w:p w14:paraId="766F2288" w14:textId="77777777" w:rsidR="00C872AA" w:rsidRPr="004A61C5" w:rsidRDefault="00C872AA"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C872AA" w:rsidRPr="004A61C5" w:rsidRDefault="00C872AA" w:rsidP="00825C4D">
                            <w:pPr>
                              <w:pStyle w:val="TLKontakty"/>
                              <w:spacing w:after="80" w:line="240" w:lineRule="auto"/>
                              <w:rPr>
                                <w:color w:val="auto"/>
                              </w:rPr>
                            </w:pPr>
                          </w:p>
                          <w:p w14:paraId="0D4652E6" w14:textId="77777777" w:rsidR="00C872AA" w:rsidRPr="004A61C5" w:rsidRDefault="00C872AA"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C872AA" w:rsidRPr="004A61C5" w:rsidRDefault="00C872AA" w:rsidP="00825C4D">
                            <w:pPr>
                              <w:pStyle w:val="TLKontakty"/>
                              <w:spacing w:after="80" w:line="240" w:lineRule="auto"/>
                              <w:rPr>
                                <w:b w:val="0"/>
                                <w:color w:val="auto"/>
                              </w:rPr>
                            </w:pPr>
                          </w:p>
                          <w:p w14:paraId="231AC323" w14:textId="77777777" w:rsidR="00C872AA" w:rsidRPr="004A61C5" w:rsidRDefault="00C872AA"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C872AA" w:rsidRPr="004A61C5" w:rsidRDefault="00C872AA" w:rsidP="00825C4D">
                            <w:pPr>
                              <w:pStyle w:val="TLKontakty"/>
                              <w:spacing w:after="80" w:line="240" w:lineRule="auto"/>
                              <w:rPr>
                                <w:color w:val="auto"/>
                              </w:rPr>
                            </w:pPr>
                          </w:p>
                          <w:p w14:paraId="64319B27" w14:textId="77777777" w:rsidR="00C872AA" w:rsidRPr="004A61C5" w:rsidRDefault="00C872AA"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C872AA" w:rsidRPr="004A61C5" w:rsidRDefault="00C872AA" w:rsidP="00825C4D">
                            <w:pPr>
                              <w:pStyle w:val="TLKontakty"/>
                              <w:spacing w:after="80" w:line="240" w:lineRule="auto"/>
                              <w:rPr>
                                <w:b w:val="0"/>
                                <w:color w:val="auto"/>
                              </w:rPr>
                            </w:pPr>
                          </w:p>
                          <w:p w14:paraId="4068B566" w14:textId="77777777" w:rsidR="00C872AA" w:rsidRPr="004A61C5" w:rsidRDefault="00C872AA"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C872AA" w:rsidRDefault="00C872AA" w:rsidP="00825C4D">
                            <w:pPr>
                              <w:pStyle w:val="TLKontakty"/>
                              <w:spacing w:after="80" w:line="240" w:lineRule="auto"/>
                            </w:pPr>
                          </w:p>
                          <w:p w14:paraId="63ACC352" w14:textId="77777777" w:rsidR="00C872AA" w:rsidRPr="00BC731E" w:rsidRDefault="00C872AA"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C872AA" w:rsidRPr="004A61C5" w:rsidRDefault="00C872AA"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C872AA" w:rsidRPr="004A61C5" w:rsidRDefault="00C872AA" w:rsidP="00825C4D">
                            <w:pPr>
                              <w:pStyle w:val="TLKontakty"/>
                              <w:spacing w:after="80" w:line="240" w:lineRule="auto"/>
                              <w:rPr>
                                <w:b w:val="0"/>
                                <w:color w:val="auto"/>
                              </w:rPr>
                            </w:pPr>
                          </w:p>
                          <w:p w14:paraId="71AC5E72" w14:textId="77777777" w:rsidR="00C872AA" w:rsidRPr="005E7C78" w:rsidRDefault="00C872AA"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C872AA" w:rsidRPr="005E7C78" w:rsidRDefault="00C872AA"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C872AA" w:rsidRPr="005E7C78" w:rsidRDefault="00C872AA" w:rsidP="00825C4D">
                            <w:pPr>
                              <w:pStyle w:val="TLKontakty"/>
                              <w:spacing w:after="80" w:line="240" w:lineRule="auto"/>
                              <w:rPr>
                                <w:b w:val="0"/>
                                <w:color w:val="auto"/>
                              </w:rPr>
                            </w:pPr>
                          </w:p>
                          <w:p w14:paraId="00E77B80" w14:textId="77777777" w:rsidR="00C872AA" w:rsidRPr="005E7C78" w:rsidRDefault="00C872AA"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C872AA" w:rsidRDefault="00C872AA"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C872AA" w:rsidRPr="005E7C78" w:rsidRDefault="00C872AA" w:rsidP="00095135">
                            <w:pPr>
                              <w:pStyle w:val="TLKontakty"/>
                              <w:spacing w:after="80" w:line="240" w:lineRule="auto"/>
                              <w:rPr>
                                <w:b w:val="0"/>
                                <w:color w:val="auto"/>
                              </w:rPr>
                            </w:pPr>
                          </w:p>
                          <w:p w14:paraId="0275618D" w14:textId="77777777" w:rsidR="00C872AA" w:rsidRPr="005E7C78" w:rsidRDefault="00C872AA"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C872AA" w:rsidRPr="00095135" w:rsidRDefault="00C872AA"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C9592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0RmbGr0CAAC3BQAADgAAAAAAAAAAAAAAAAAuAgAAZHJzL2Uyb0RvYy54bWxQSwECLQAUAAYACAAA&#10;ACEArRpGXOAAAAANAQAADwAAAAAAAAAAAAAAAAAXBQAAZHJzL2Rvd25yZXYueG1sUEsFBgAAAAAE&#10;AAQA8wAAACQGAAAAAA==&#10;" filled="f" stroked="f">
                <v:textbox style="mso-fit-shape-to-text:t" inset="0,0,0,0">
                  <w:txbxContent>
                    <w:p w14:paraId="57F70E5B" w14:textId="77777777" w:rsidR="00C872AA" w:rsidRPr="006F5416" w:rsidRDefault="00C872AA" w:rsidP="006F5416">
                      <w:pPr>
                        <w:pStyle w:val="TLKontaktyerven"/>
                      </w:pPr>
                      <w:r w:rsidRPr="006F5416">
                        <w:t>KONTAKTY V ÚSTŘEDÍ</w:t>
                      </w:r>
                    </w:p>
                    <w:p w14:paraId="3BEEAF5F" w14:textId="77777777" w:rsidR="00C872AA" w:rsidRPr="007D40DF" w:rsidRDefault="00C872AA"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C872AA" w:rsidRPr="00D235B7" w:rsidRDefault="00C872AA"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C872AA" w:rsidRPr="00D235B7" w:rsidRDefault="00C872AA"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C872AA" w:rsidRPr="00D235B7" w:rsidRDefault="00C872AA"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C872AA" w:rsidRPr="00D235B7" w:rsidRDefault="00C872AA"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C872AA" w:rsidRPr="004A61C5" w:rsidRDefault="00C872AA" w:rsidP="00825C4D">
                      <w:pPr>
                        <w:pStyle w:val="TLKontakty"/>
                        <w:spacing w:after="80" w:line="240" w:lineRule="auto"/>
                        <w:contextualSpacing w:val="0"/>
                        <w:rPr>
                          <w:color w:val="auto"/>
                        </w:rPr>
                      </w:pPr>
                    </w:p>
                    <w:p w14:paraId="29C57B67" w14:textId="77777777" w:rsidR="00C872AA" w:rsidRPr="00D66223" w:rsidRDefault="00C872AA" w:rsidP="00D66223">
                      <w:pPr>
                        <w:pStyle w:val="TLKontaktyerven"/>
                      </w:pPr>
                      <w:r w:rsidRPr="00D66223">
                        <w:t>INFORMAČNÍ SLUŽBY V REGIONECH</w:t>
                      </w:r>
                    </w:p>
                    <w:p w14:paraId="181BE30E" w14:textId="77777777" w:rsidR="00C872AA" w:rsidRPr="00992CF3" w:rsidRDefault="00C872AA"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C872AA" w:rsidRPr="00992CF3" w:rsidRDefault="00C872AA"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C872AA" w:rsidRPr="004A61C5" w:rsidRDefault="00C872AA" w:rsidP="00825C4D">
                      <w:pPr>
                        <w:pStyle w:val="TLKontakty"/>
                        <w:spacing w:after="80" w:line="240" w:lineRule="auto"/>
                        <w:rPr>
                          <w:color w:val="auto"/>
                        </w:rPr>
                      </w:pPr>
                    </w:p>
                    <w:p w14:paraId="39B5FB82" w14:textId="77777777" w:rsidR="00C872AA" w:rsidRPr="00992CF3" w:rsidRDefault="00C872AA"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C872AA" w:rsidRPr="00992CF3" w:rsidRDefault="00C872AA"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C872AA" w:rsidRPr="004A61C5" w:rsidRDefault="00C872AA" w:rsidP="00825C4D">
                      <w:pPr>
                        <w:pStyle w:val="TLKontakty"/>
                        <w:spacing w:after="80" w:line="240" w:lineRule="auto"/>
                        <w:rPr>
                          <w:color w:val="auto"/>
                        </w:rPr>
                      </w:pPr>
                    </w:p>
                    <w:p w14:paraId="5AF27889" w14:textId="77777777" w:rsidR="00C872AA" w:rsidRPr="00992CF3" w:rsidRDefault="00C872AA"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C872AA" w:rsidRPr="00992CF3" w:rsidRDefault="00C872AA"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C872AA" w:rsidRPr="004A61C5" w:rsidRDefault="00C872AA" w:rsidP="00825C4D">
                      <w:pPr>
                        <w:pStyle w:val="TLKontakty"/>
                        <w:spacing w:after="80" w:line="240" w:lineRule="auto"/>
                        <w:rPr>
                          <w:color w:val="auto"/>
                        </w:rPr>
                      </w:pPr>
                    </w:p>
                    <w:p w14:paraId="0065AFA0" w14:textId="77777777" w:rsidR="00C872AA" w:rsidRPr="00BC731E" w:rsidRDefault="00C872AA"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C872AA" w:rsidRPr="004A61C5" w:rsidRDefault="00C872AA" w:rsidP="00825C4D">
                      <w:pPr>
                        <w:pStyle w:val="TLKontakty"/>
                        <w:spacing w:after="80" w:line="240" w:lineRule="auto"/>
                        <w:rPr>
                          <w:color w:val="auto"/>
                        </w:rPr>
                      </w:pPr>
                    </w:p>
                    <w:p w14:paraId="345F7961" w14:textId="77777777" w:rsidR="00C872AA" w:rsidRPr="004A61C5" w:rsidRDefault="00C872AA"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C872AA" w:rsidRPr="004A61C5" w:rsidRDefault="00C872AA" w:rsidP="00825C4D">
                      <w:pPr>
                        <w:pStyle w:val="TLKontakty"/>
                        <w:spacing w:after="80" w:line="240" w:lineRule="auto"/>
                        <w:rPr>
                          <w:color w:val="auto"/>
                        </w:rPr>
                      </w:pPr>
                    </w:p>
                    <w:p w14:paraId="766F2288" w14:textId="77777777" w:rsidR="00C872AA" w:rsidRPr="004A61C5" w:rsidRDefault="00C872AA"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C872AA" w:rsidRPr="004A61C5" w:rsidRDefault="00C872AA" w:rsidP="00825C4D">
                      <w:pPr>
                        <w:pStyle w:val="TLKontakty"/>
                        <w:spacing w:after="80" w:line="240" w:lineRule="auto"/>
                        <w:rPr>
                          <w:color w:val="auto"/>
                        </w:rPr>
                      </w:pPr>
                    </w:p>
                    <w:p w14:paraId="0D4652E6" w14:textId="77777777" w:rsidR="00C872AA" w:rsidRPr="004A61C5" w:rsidRDefault="00C872AA"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C872AA" w:rsidRPr="004A61C5" w:rsidRDefault="00C872AA" w:rsidP="00825C4D">
                      <w:pPr>
                        <w:pStyle w:val="TLKontakty"/>
                        <w:spacing w:after="80" w:line="240" w:lineRule="auto"/>
                        <w:rPr>
                          <w:b w:val="0"/>
                          <w:color w:val="auto"/>
                        </w:rPr>
                      </w:pPr>
                    </w:p>
                    <w:p w14:paraId="231AC323" w14:textId="77777777" w:rsidR="00C872AA" w:rsidRPr="004A61C5" w:rsidRDefault="00C872AA"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C872AA" w:rsidRPr="004A61C5" w:rsidRDefault="00C872AA" w:rsidP="00825C4D">
                      <w:pPr>
                        <w:pStyle w:val="TLKontakty"/>
                        <w:spacing w:after="80" w:line="240" w:lineRule="auto"/>
                        <w:rPr>
                          <w:color w:val="auto"/>
                        </w:rPr>
                      </w:pPr>
                    </w:p>
                    <w:p w14:paraId="64319B27" w14:textId="77777777" w:rsidR="00C872AA" w:rsidRPr="004A61C5" w:rsidRDefault="00C872AA"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C872AA" w:rsidRPr="004A61C5" w:rsidRDefault="00C872AA" w:rsidP="00825C4D">
                      <w:pPr>
                        <w:pStyle w:val="TLKontakty"/>
                        <w:spacing w:after="80" w:line="240" w:lineRule="auto"/>
                        <w:rPr>
                          <w:b w:val="0"/>
                          <w:color w:val="auto"/>
                        </w:rPr>
                      </w:pPr>
                    </w:p>
                    <w:p w14:paraId="4068B566" w14:textId="77777777" w:rsidR="00C872AA" w:rsidRPr="004A61C5" w:rsidRDefault="00C872AA"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C872AA" w:rsidRPr="004A61C5" w:rsidRDefault="00C872AA"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C872AA" w:rsidRDefault="00C872AA" w:rsidP="00825C4D">
                      <w:pPr>
                        <w:pStyle w:val="TLKontakty"/>
                        <w:spacing w:after="80" w:line="240" w:lineRule="auto"/>
                      </w:pPr>
                    </w:p>
                    <w:p w14:paraId="63ACC352" w14:textId="77777777" w:rsidR="00C872AA" w:rsidRPr="00BC731E" w:rsidRDefault="00C872AA"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C872AA" w:rsidRPr="004A61C5" w:rsidRDefault="00C872AA"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C872AA" w:rsidRPr="004A61C5" w:rsidRDefault="00C872AA" w:rsidP="00825C4D">
                      <w:pPr>
                        <w:pStyle w:val="TLKontakty"/>
                        <w:spacing w:after="80" w:line="240" w:lineRule="auto"/>
                        <w:rPr>
                          <w:b w:val="0"/>
                          <w:color w:val="auto"/>
                        </w:rPr>
                      </w:pPr>
                    </w:p>
                    <w:p w14:paraId="71AC5E72" w14:textId="77777777" w:rsidR="00C872AA" w:rsidRPr="005E7C78" w:rsidRDefault="00C872AA"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C872AA" w:rsidRPr="005E7C78" w:rsidRDefault="00C872AA"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C872AA" w:rsidRPr="005E7C78" w:rsidRDefault="00C872AA" w:rsidP="00825C4D">
                      <w:pPr>
                        <w:pStyle w:val="TLKontakty"/>
                        <w:spacing w:after="80" w:line="240" w:lineRule="auto"/>
                        <w:rPr>
                          <w:b w:val="0"/>
                          <w:color w:val="auto"/>
                        </w:rPr>
                      </w:pPr>
                    </w:p>
                    <w:p w14:paraId="00E77B80" w14:textId="77777777" w:rsidR="00C872AA" w:rsidRPr="005E7C78" w:rsidRDefault="00C872AA"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C872AA" w:rsidRDefault="00C872AA"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C872AA" w:rsidRPr="005E7C78" w:rsidRDefault="00C872AA" w:rsidP="00095135">
                      <w:pPr>
                        <w:pStyle w:val="TLKontakty"/>
                        <w:spacing w:after="80" w:line="240" w:lineRule="auto"/>
                        <w:rPr>
                          <w:b w:val="0"/>
                          <w:color w:val="auto"/>
                        </w:rPr>
                      </w:pPr>
                    </w:p>
                    <w:p w14:paraId="0275618D" w14:textId="77777777" w:rsidR="00C872AA" w:rsidRPr="005E7C78" w:rsidRDefault="00C872AA"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C872AA" w:rsidRPr="00095135" w:rsidRDefault="00C872AA"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627D9299" wp14:editId="066DDE16">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07B0" w14:textId="77777777" w:rsidR="00C872AA" w:rsidRPr="00321924" w:rsidRDefault="00C872AA" w:rsidP="00A16E1D">
                            <w:pPr>
                              <w:jc w:val="left"/>
                            </w:pPr>
                            <w:r w:rsidRPr="00321924">
                              <w:br/>
                              <w:t xml:space="preserve">© Český statistický úřad, </w:t>
                            </w:r>
                            <w:r>
                              <w:t>Praha, 2021</w:t>
                            </w:r>
                          </w:p>
                          <w:p w14:paraId="314CB98A" w14:textId="77777777" w:rsidR="00C872AA" w:rsidRDefault="00C872AA"/>
                          <w:p w14:paraId="6776AB5D" w14:textId="77777777" w:rsidR="00C872AA" w:rsidRPr="00841D9F" w:rsidRDefault="00C872AA"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C872AA" w:rsidRPr="00AF2852" w:rsidRDefault="00C872AA"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D9299"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NbuQ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" filled="f" stroked="f">
                <v:textbox inset="0,0,0,0">
                  <w:txbxContent>
                    <w:p w14:paraId="45ED07B0" w14:textId="77777777" w:rsidR="00C872AA" w:rsidRPr="00321924" w:rsidRDefault="00C872AA" w:rsidP="00A16E1D">
                      <w:pPr>
                        <w:jc w:val="left"/>
                      </w:pPr>
                      <w:r w:rsidRPr="00321924">
                        <w:br/>
                        <w:t xml:space="preserve">© Český statistický úřad, </w:t>
                      </w:r>
                      <w:r>
                        <w:t>Praha, 2021</w:t>
                      </w:r>
                    </w:p>
                    <w:p w14:paraId="314CB98A" w14:textId="77777777" w:rsidR="00C872AA" w:rsidRDefault="00C872AA"/>
                    <w:p w14:paraId="6776AB5D" w14:textId="77777777" w:rsidR="00C872AA" w:rsidRPr="00841D9F" w:rsidRDefault="00C872AA"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C872AA" w:rsidRPr="00AF2852" w:rsidRDefault="00C872AA"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3FEDB80D" wp14:editId="1DBA9E32">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D4D1" w14:textId="77777777" w:rsidR="00C872AA" w:rsidRPr="009A1902" w:rsidRDefault="00C872AA"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EDB80D"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" filled="f" stroked="f">
                <v:textbox style="mso-fit-shape-to-text:t" inset="0,0,0,0">
                  <w:txbxContent>
                    <w:p w14:paraId="054ED4D1" w14:textId="77777777" w:rsidR="00C872AA" w:rsidRPr="009A1902" w:rsidRDefault="00C872AA"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mc:Fallback>
        </mc:AlternateContent>
      </w:r>
    </w:p>
    <w:sdt>
      <w:sdtPr>
        <w:rPr>
          <w:b w:val="0"/>
          <w:color w:val="auto"/>
          <w:sz w:val="20"/>
        </w:rPr>
        <w:id w:val="5357999"/>
        <w:docPartObj>
          <w:docPartGallery w:val="Table of Contents"/>
          <w:docPartUnique/>
        </w:docPartObj>
      </w:sdtPr>
      <w:sdtEndPr/>
      <w:sdtContent>
        <w:p w14:paraId="597230E6" w14:textId="77777777" w:rsidR="00867DAB" w:rsidRPr="009110F7" w:rsidRDefault="00867DAB" w:rsidP="00867DAB">
          <w:pPr>
            <w:pStyle w:val="Obsah"/>
          </w:pPr>
          <w:r w:rsidRPr="009110F7">
            <w:t>Obsah</w:t>
          </w:r>
        </w:p>
        <w:p w14:paraId="57B55FCC" w14:textId="5830D896" w:rsidR="001D6175" w:rsidRDefault="007D42E5">
          <w:pPr>
            <w:pStyle w:val="Obsah1"/>
            <w:rPr>
              <w:rFonts w:asciiTheme="minorHAnsi" w:eastAsiaTheme="minorEastAsia" w:hAnsiTheme="minorHAnsi" w:cstheme="minorBidi"/>
              <w:noProof/>
              <w:sz w:val="22"/>
              <w:szCs w:val="22"/>
            </w:rPr>
          </w:pPr>
          <w:r w:rsidRPr="009110F7">
            <w:fldChar w:fldCharType="begin"/>
          </w:r>
          <w:r w:rsidR="00867DAB" w:rsidRPr="009110F7">
            <w:instrText xml:space="preserve"> TOC \o "1-3" \h \z \u </w:instrText>
          </w:r>
          <w:r w:rsidRPr="009110F7">
            <w:fldChar w:fldCharType="separate"/>
          </w:r>
          <w:hyperlink w:anchor="_Toc82508184" w:history="1">
            <w:r w:rsidR="001D6175" w:rsidRPr="0009187E">
              <w:rPr>
                <w:rStyle w:val="Hypertextovodkaz"/>
                <w:noProof/>
              </w:rPr>
              <w:t>1. Shrnutí</w:t>
            </w:r>
            <w:r w:rsidR="001D6175">
              <w:rPr>
                <w:noProof/>
                <w:webHidden/>
              </w:rPr>
              <w:tab/>
            </w:r>
            <w:r w:rsidR="001D6175">
              <w:rPr>
                <w:noProof/>
                <w:webHidden/>
              </w:rPr>
              <w:fldChar w:fldCharType="begin"/>
            </w:r>
            <w:r w:rsidR="001D6175">
              <w:rPr>
                <w:noProof/>
                <w:webHidden/>
              </w:rPr>
              <w:instrText xml:space="preserve"> PAGEREF _Toc82508184 \h </w:instrText>
            </w:r>
            <w:r w:rsidR="001D6175">
              <w:rPr>
                <w:noProof/>
                <w:webHidden/>
              </w:rPr>
            </w:r>
            <w:r w:rsidR="001D6175">
              <w:rPr>
                <w:noProof/>
                <w:webHidden/>
              </w:rPr>
              <w:fldChar w:fldCharType="separate"/>
            </w:r>
            <w:r w:rsidR="001D6175">
              <w:rPr>
                <w:noProof/>
                <w:webHidden/>
              </w:rPr>
              <w:t>4</w:t>
            </w:r>
            <w:r w:rsidR="001D6175">
              <w:rPr>
                <w:noProof/>
                <w:webHidden/>
              </w:rPr>
              <w:fldChar w:fldCharType="end"/>
            </w:r>
          </w:hyperlink>
        </w:p>
        <w:p w14:paraId="64290679" w14:textId="6B015FCC" w:rsidR="001D6175" w:rsidRDefault="001D6175">
          <w:pPr>
            <w:pStyle w:val="Obsah1"/>
            <w:rPr>
              <w:rFonts w:asciiTheme="minorHAnsi" w:eastAsiaTheme="minorEastAsia" w:hAnsiTheme="minorHAnsi" w:cstheme="minorBidi"/>
              <w:noProof/>
              <w:sz w:val="22"/>
              <w:szCs w:val="22"/>
            </w:rPr>
          </w:pPr>
          <w:hyperlink w:anchor="_Toc82508185" w:history="1">
            <w:r w:rsidRPr="0009187E">
              <w:rPr>
                <w:rStyle w:val="Hypertextovodkaz"/>
                <w:noProof/>
              </w:rPr>
              <w:t>2. Souhrnná výkonnost</w:t>
            </w:r>
            <w:r>
              <w:rPr>
                <w:noProof/>
                <w:webHidden/>
              </w:rPr>
              <w:tab/>
            </w:r>
            <w:r>
              <w:rPr>
                <w:noProof/>
                <w:webHidden/>
              </w:rPr>
              <w:fldChar w:fldCharType="begin"/>
            </w:r>
            <w:r>
              <w:rPr>
                <w:noProof/>
                <w:webHidden/>
              </w:rPr>
              <w:instrText xml:space="preserve"> PAGEREF _Toc82508185 \h </w:instrText>
            </w:r>
            <w:r>
              <w:rPr>
                <w:noProof/>
                <w:webHidden/>
              </w:rPr>
            </w:r>
            <w:r>
              <w:rPr>
                <w:noProof/>
                <w:webHidden/>
              </w:rPr>
              <w:fldChar w:fldCharType="separate"/>
            </w:r>
            <w:r>
              <w:rPr>
                <w:noProof/>
                <w:webHidden/>
              </w:rPr>
              <w:t>5</w:t>
            </w:r>
            <w:r>
              <w:rPr>
                <w:noProof/>
                <w:webHidden/>
              </w:rPr>
              <w:fldChar w:fldCharType="end"/>
            </w:r>
          </w:hyperlink>
        </w:p>
        <w:p w14:paraId="14EA4958" w14:textId="01D6A158" w:rsidR="001D6175" w:rsidRDefault="001D6175">
          <w:pPr>
            <w:pStyle w:val="Obsah1"/>
            <w:rPr>
              <w:rFonts w:asciiTheme="minorHAnsi" w:eastAsiaTheme="minorEastAsia" w:hAnsiTheme="minorHAnsi" w:cstheme="minorBidi"/>
              <w:noProof/>
              <w:sz w:val="22"/>
              <w:szCs w:val="22"/>
            </w:rPr>
          </w:pPr>
          <w:hyperlink w:anchor="_Toc82508186" w:history="1">
            <w:r w:rsidRPr="0009187E">
              <w:rPr>
                <w:rStyle w:val="Hypertextovodkaz"/>
                <w:noProof/>
              </w:rPr>
              <w:t>3. Výkonnost odvětví</w:t>
            </w:r>
            <w:r>
              <w:rPr>
                <w:noProof/>
                <w:webHidden/>
              </w:rPr>
              <w:tab/>
            </w:r>
            <w:r>
              <w:rPr>
                <w:noProof/>
                <w:webHidden/>
              </w:rPr>
              <w:fldChar w:fldCharType="begin"/>
            </w:r>
            <w:r>
              <w:rPr>
                <w:noProof/>
                <w:webHidden/>
              </w:rPr>
              <w:instrText xml:space="preserve"> PAGEREF _Toc82508186 \h </w:instrText>
            </w:r>
            <w:r>
              <w:rPr>
                <w:noProof/>
                <w:webHidden/>
              </w:rPr>
            </w:r>
            <w:r>
              <w:rPr>
                <w:noProof/>
                <w:webHidden/>
              </w:rPr>
              <w:fldChar w:fldCharType="separate"/>
            </w:r>
            <w:r>
              <w:rPr>
                <w:noProof/>
                <w:webHidden/>
              </w:rPr>
              <w:t>9</w:t>
            </w:r>
            <w:r>
              <w:rPr>
                <w:noProof/>
                <w:webHidden/>
              </w:rPr>
              <w:fldChar w:fldCharType="end"/>
            </w:r>
          </w:hyperlink>
        </w:p>
        <w:p w14:paraId="7B0C7255" w14:textId="0D6AC99E" w:rsidR="001D6175" w:rsidRDefault="001D6175">
          <w:pPr>
            <w:pStyle w:val="Obsah1"/>
            <w:rPr>
              <w:rFonts w:asciiTheme="minorHAnsi" w:eastAsiaTheme="minorEastAsia" w:hAnsiTheme="minorHAnsi" w:cstheme="minorBidi"/>
              <w:noProof/>
              <w:sz w:val="22"/>
              <w:szCs w:val="22"/>
            </w:rPr>
          </w:pPr>
          <w:hyperlink w:anchor="_Toc82508187" w:history="1">
            <w:r w:rsidRPr="0009187E">
              <w:rPr>
                <w:rStyle w:val="Hypertextovodkaz"/>
                <w:noProof/>
              </w:rPr>
              <w:t>4. Vnější vztahy</w:t>
            </w:r>
            <w:r>
              <w:rPr>
                <w:noProof/>
                <w:webHidden/>
              </w:rPr>
              <w:tab/>
            </w:r>
            <w:r>
              <w:rPr>
                <w:noProof/>
                <w:webHidden/>
              </w:rPr>
              <w:fldChar w:fldCharType="begin"/>
            </w:r>
            <w:r>
              <w:rPr>
                <w:noProof/>
                <w:webHidden/>
              </w:rPr>
              <w:instrText xml:space="preserve"> PAGEREF _Toc82508187 \h </w:instrText>
            </w:r>
            <w:r>
              <w:rPr>
                <w:noProof/>
                <w:webHidden/>
              </w:rPr>
            </w:r>
            <w:r>
              <w:rPr>
                <w:noProof/>
                <w:webHidden/>
              </w:rPr>
              <w:fldChar w:fldCharType="separate"/>
            </w:r>
            <w:r>
              <w:rPr>
                <w:noProof/>
                <w:webHidden/>
              </w:rPr>
              <w:t>17</w:t>
            </w:r>
            <w:r>
              <w:rPr>
                <w:noProof/>
                <w:webHidden/>
              </w:rPr>
              <w:fldChar w:fldCharType="end"/>
            </w:r>
          </w:hyperlink>
          <w:bookmarkStart w:id="0" w:name="_GoBack"/>
          <w:bookmarkEnd w:id="0"/>
        </w:p>
        <w:p w14:paraId="278B1E04" w14:textId="0E2D0405" w:rsidR="001D6175" w:rsidRDefault="001D6175">
          <w:pPr>
            <w:pStyle w:val="Obsah1"/>
            <w:rPr>
              <w:rFonts w:asciiTheme="minorHAnsi" w:eastAsiaTheme="minorEastAsia" w:hAnsiTheme="minorHAnsi" w:cstheme="minorBidi"/>
              <w:noProof/>
              <w:sz w:val="22"/>
              <w:szCs w:val="22"/>
            </w:rPr>
          </w:pPr>
          <w:hyperlink w:anchor="_Toc82508188" w:history="1">
            <w:r w:rsidRPr="0009187E">
              <w:rPr>
                <w:rStyle w:val="Hypertextovodkaz"/>
                <w:noProof/>
              </w:rPr>
              <w:t>5. Ceny</w:t>
            </w:r>
            <w:r>
              <w:rPr>
                <w:noProof/>
                <w:webHidden/>
              </w:rPr>
              <w:tab/>
            </w:r>
            <w:r>
              <w:rPr>
                <w:noProof/>
                <w:webHidden/>
              </w:rPr>
              <w:fldChar w:fldCharType="begin"/>
            </w:r>
            <w:r>
              <w:rPr>
                <w:noProof/>
                <w:webHidden/>
              </w:rPr>
              <w:instrText xml:space="preserve"> PAGEREF _Toc82508188 \h </w:instrText>
            </w:r>
            <w:r>
              <w:rPr>
                <w:noProof/>
                <w:webHidden/>
              </w:rPr>
            </w:r>
            <w:r>
              <w:rPr>
                <w:noProof/>
                <w:webHidden/>
              </w:rPr>
              <w:fldChar w:fldCharType="separate"/>
            </w:r>
            <w:r>
              <w:rPr>
                <w:noProof/>
                <w:webHidden/>
              </w:rPr>
              <w:t>19</w:t>
            </w:r>
            <w:r>
              <w:rPr>
                <w:noProof/>
                <w:webHidden/>
              </w:rPr>
              <w:fldChar w:fldCharType="end"/>
            </w:r>
          </w:hyperlink>
        </w:p>
        <w:p w14:paraId="1F0B521A" w14:textId="6CEB405F" w:rsidR="001D6175" w:rsidRDefault="001D6175">
          <w:pPr>
            <w:pStyle w:val="Obsah1"/>
            <w:rPr>
              <w:rFonts w:asciiTheme="minorHAnsi" w:eastAsiaTheme="minorEastAsia" w:hAnsiTheme="minorHAnsi" w:cstheme="minorBidi"/>
              <w:noProof/>
              <w:sz w:val="22"/>
              <w:szCs w:val="22"/>
            </w:rPr>
          </w:pPr>
          <w:hyperlink w:anchor="_Toc82508189" w:history="1">
            <w:r w:rsidRPr="0009187E">
              <w:rPr>
                <w:rStyle w:val="Hypertextovodkaz"/>
                <w:noProof/>
              </w:rPr>
              <w:t>6. Trh práce</w:t>
            </w:r>
            <w:r>
              <w:rPr>
                <w:noProof/>
                <w:webHidden/>
              </w:rPr>
              <w:tab/>
            </w:r>
            <w:r>
              <w:rPr>
                <w:noProof/>
                <w:webHidden/>
              </w:rPr>
              <w:fldChar w:fldCharType="begin"/>
            </w:r>
            <w:r>
              <w:rPr>
                <w:noProof/>
                <w:webHidden/>
              </w:rPr>
              <w:instrText xml:space="preserve"> PAGEREF _Toc82508189 \h </w:instrText>
            </w:r>
            <w:r>
              <w:rPr>
                <w:noProof/>
                <w:webHidden/>
              </w:rPr>
            </w:r>
            <w:r>
              <w:rPr>
                <w:noProof/>
                <w:webHidden/>
              </w:rPr>
              <w:fldChar w:fldCharType="separate"/>
            </w:r>
            <w:r>
              <w:rPr>
                <w:noProof/>
                <w:webHidden/>
              </w:rPr>
              <w:t>24</w:t>
            </w:r>
            <w:r>
              <w:rPr>
                <w:noProof/>
                <w:webHidden/>
              </w:rPr>
              <w:fldChar w:fldCharType="end"/>
            </w:r>
          </w:hyperlink>
        </w:p>
        <w:p w14:paraId="10597056" w14:textId="5919A082" w:rsidR="001D6175" w:rsidRDefault="001D6175">
          <w:pPr>
            <w:pStyle w:val="Obsah1"/>
            <w:rPr>
              <w:rFonts w:asciiTheme="minorHAnsi" w:eastAsiaTheme="minorEastAsia" w:hAnsiTheme="minorHAnsi" w:cstheme="minorBidi"/>
              <w:noProof/>
              <w:sz w:val="22"/>
              <w:szCs w:val="22"/>
            </w:rPr>
          </w:pPr>
          <w:hyperlink w:anchor="_Toc82508190" w:history="1">
            <w:r w:rsidRPr="0009187E">
              <w:rPr>
                <w:rStyle w:val="Hypertextovodkaz"/>
                <w:noProof/>
              </w:rPr>
              <w:t>7. Měnové podmínky</w:t>
            </w:r>
            <w:r>
              <w:rPr>
                <w:noProof/>
                <w:webHidden/>
              </w:rPr>
              <w:tab/>
            </w:r>
            <w:r>
              <w:rPr>
                <w:noProof/>
                <w:webHidden/>
              </w:rPr>
              <w:fldChar w:fldCharType="begin"/>
            </w:r>
            <w:r>
              <w:rPr>
                <w:noProof/>
                <w:webHidden/>
              </w:rPr>
              <w:instrText xml:space="preserve"> PAGEREF _Toc82508190 \h </w:instrText>
            </w:r>
            <w:r>
              <w:rPr>
                <w:noProof/>
                <w:webHidden/>
              </w:rPr>
            </w:r>
            <w:r>
              <w:rPr>
                <w:noProof/>
                <w:webHidden/>
              </w:rPr>
              <w:fldChar w:fldCharType="separate"/>
            </w:r>
            <w:r>
              <w:rPr>
                <w:noProof/>
                <w:webHidden/>
              </w:rPr>
              <w:t>30</w:t>
            </w:r>
            <w:r>
              <w:rPr>
                <w:noProof/>
                <w:webHidden/>
              </w:rPr>
              <w:fldChar w:fldCharType="end"/>
            </w:r>
          </w:hyperlink>
        </w:p>
        <w:p w14:paraId="52375242" w14:textId="4D62BF21" w:rsidR="001D6175" w:rsidRDefault="001D6175">
          <w:pPr>
            <w:pStyle w:val="Obsah1"/>
            <w:rPr>
              <w:rFonts w:asciiTheme="minorHAnsi" w:eastAsiaTheme="minorEastAsia" w:hAnsiTheme="minorHAnsi" w:cstheme="minorBidi"/>
              <w:noProof/>
              <w:sz w:val="22"/>
              <w:szCs w:val="22"/>
            </w:rPr>
          </w:pPr>
          <w:hyperlink w:anchor="_Toc82508191" w:history="1">
            <w:r w:rsidRPr="0009187E">
              <w:rPr>
                <w:rStyle w:val="Hypertextovodkaz"/>
                <w:noProof/>
              </w:rPr>
              <w:t>8. Státní rozpočet</w:t>
            </w:r>
            <w:r>
              <w:rPr>
                <w:noProof/>
                <w:webHidden/>
              </w:rPr>
              <w:tab/>
            </w:r>
            <w:r>
              <w:rPr>
                <w:noProof/>
                <w:webHidden/>
              </w:rPr>
              <w:fldChar w:fldCharType="begin"/>
            </w:r>
            <w:r>
              <w:rPr>
                <w:noProof/>
                <w:webHidden/>
              </w:rPr>
              <w:instrText xml:space="preserve"> PAGEREF _Toc82508191 \h </w:instrText>
            </w:r>
            <w:r>
              <w:rPr>
                <w:noProof/>
                <w:webHidden/>
              </w:rPr>
            </w:r>
            <w:r>
              <w:rPr>
                <w:noProof/>
                <w:webHidden/>
              </w:rPr>
              <w:fldChar w:fldCharType="separate"/>
            </w:r>
            <w:r>
              <w:rPr>
                <w:noProof/>
                <w:webHidden/>
              </w:rPr>
              <w:t>32</w:t>
            </w:r>
            <w:r>
              <w:rPr>
                <w:noProof/>
                <w:webHidden/>
              </w:rPr>
              <w:fldChar w:fldCharType="end"/>
            </w:r>
          </w:hyperlink>
        </w:p>
        <w:p w14:paraId="39BB97E5" w14:textId="4E8ECF59" w:rsidR="00867DAB" w:rsidRPr="009110F7" w:rsidRDefault="007D42E5">
          <w:r w:rsidRPr="009110F7">
            <w:fldChar w:fldCharType="end"/>
          </w:r>
        </w:p>
      </w:sdtContent>
    </w:sdt>
    <w:p w14:paraId="6CBF0906" w14:textId="77777777" w:rsidR="00003F5C" w:rsidRPr="009110F7" w:rsidRDefault="00003F5C" w:rsidP="00003F5C">
      <w:pPr>
        <w:pStyle w:val="Textpoznpodarou"/>
        <w:jc w:val="both"/>
        <w:rPr>
          <w:rFonts w:cs="Arial"/>
          <w:color w:val="000000"/>
        </w:rPr>
      </w:pPr>
    </w:p>
    <w:p w14:paraId="77CA2D67" w14:textId="77777777" w:rsidR="00003F5C" w:rsidRPr="009110F7" w:rsidRDefault="00003F5C" w:rsidP="00003F5C">
      <w:pPr>
        <w:pStyle w:val="Textpoznpodarou"/>
        <w:jc w:val="both"/>
        <w:rPr>
          <w:rFonts w:cs="Arial"/>
          <w:color w:val="000000"/>
        </w:rPr>
      </w:pPr>
    </w:p>
    <w:p w14:paraId="223CBCEF" w14:textId="77777777" w:rsidR="00003F5C" w:rsidRPr="009110F7" w:rsidRDefault="00003F5C" w:rsidP="00003F5C">
      <w:pPr>
        <w:pStyle w:val="Textpoznpodarou"/>
        <w:jc w:val="both"/>
        <w:rPr>
          <w:rFonts w:cs="Arial"/>
          <w:color w:val="000000"/>
        </w:rPr>
      </w:pPr>
    </w:p>
    <w:p w14:paraId="0F28E1B0" w14:textId="77777777" w:rsidR="00003F5C" w:rsidRPr="009110F7" w:rsidRDefault="00003F5C" w:rsidP="00003F5C">
      <w:pPr>
        <w:pStyle w:val="Textpoznpodarou"/>
        <w:jc w:val="both"/>
        <w:rPr>
          <w:rFonts w:cs="Arial"/>
          <w:color w:val="000000"/>
        </w:rPr>
      </w:pPr>
    </w:p>
    <w:p w14:paraId="2E66CDA4" w14:textId="77777777" w:rsidR="00003F5C" w:rsidRPr="009110F7" w:rsidRDefault="00003F5C" w:rsidP="00003F5C">
      <w:pPr>
        <w:pStyle w:val="Textpoznpodarou"/>
        <w:jc w:val="both"/>
        <w:rPr>
          <w:rFonts w:cs="Arial"/>
          <w:color w:val="000000"/>
        </w:rPr>
      </w:pPr>
    </w:p>
    <w:p w14:paraId="38EBE8F7" w14:textId="77777777" w:rsidR="00003F5C" w:rsidRPr="009110F7" w:rsidRDefault="00003F5C" w:rsidP="00003F5C">
      <w:pPr>
        <w:pStyle w:val="Textpoznpodarou"/>
        <w:jc w:val="both"/>
        <w:rPr>
          <w:rFonts w:cs="Arial"/>
          <w:color w:val="000000"/>
        </w:rPr>
      </w:pPr>
    </w:p>
    <w:p w14:paraId="4D552425" w14:textId="77777777" w:rsidR="00003F5C" w:rsidRPr="009110F7" w:rsidRDefault="00003F5C" w:rsidP="00003F5C">
      <w:pPr>
        <w:pStyle w:val="Textpoznpodarou"/>
        <w:jc w:val="both"/>
        <w:rPr>
          <w:rFonts w:cs="Arial"/>
          <w:color w:val="000000"/>
        </w:rPr>
      </w:pPr>
      <w:r w:rsidRPr="009110F7">
        <w:rPr>
          <w:rFonts w:cs="Arial"/>
          <w:color w:val="000000"/>
        </w:rPr>
        <w:t>Zdroje dat v celé analýze: ČSÚ, MF</w:t>
      </w:r>
      <w:r w:rsidR="00A45489" w:rsidRPr="009110F7">
        <w:rPr>
          <w:rFonts w:cs="Arial"/>
          <w:color w:val="000000"/>
        </w:rPr>
        <w:t> </w:t>
      </w:r>
      <w:r w:rsidRPr="009110F7">
        <w:rPr>
          <w:rFonts w:cs="Arial"/>
          <w:color w:val="000000"/>
        </w:rPr>
        <w:t xml:space="preserve">ČR, ČNB, MPSV, ČSSZ, </w:t>
      </w:r>
      <w:proofErr w:type="spellStart"/>
      <w:r w:rsidRPr="009110F7">
        <w:rPr>
          <w:rFonts w:cs="Arial"/>
          <w:color w:val="000000"/>
        </w:rPr>
        <w:t>Eurostat</w:t>
      </w:r>
      <w:proofErr w:type="spellEnd"/>
      <w:r w:rsidRPr="009110F7">
        <w:rPr>
          <w:rFonts w:cs="Arial"/>
          <w:color w:val="000000"/>
        </w:rPr>
        <w:t>, propočty ČSÚ.</w:t>
      </w:r>
    </w:p>
    <w:p w14:paraId="5658862B" w14:textId="77777777" w:rsidR="00003F5C" w:rsidRDefault="00003F5C" w:rsidP="00003F5C">
      <w:pPr>
        <w:pStyle w:val="Textpoznpodarou"/>
        <w:jc w:val="both"/>
        <w:rPr>
          <w:rFonts w:cs="Arial"/>
          <w:color w:val="000000"/>
        </w:rPr>
      </w:pPr>
      <w:r w:rsidRPr="009110F7">
        <w:rPr>
          <w:rFonts w:cs="Arial"/>
          <w:color w:val="000000"/>
        </w:rPr>
        <w:t xml:space="preserve">Poslední informace uváděné v této publikaci </w:t>
      </w:r>
      <w:r w:rsidR="00FA6CB6" w:rsidRPr="009110F7">
        <w:rPr>
          <w:rFonts w:cs="Arial"/>
          <w:color w:val="000000"/>
        </w:rPr>
        <w:t xml:space="preserve">pocházejí </w:t>
      </w:r>
      <w:r w:rsidR="00283F7B" w:rsidRPr="009110F7">
        <w:rPr>
          <w:rFonts w:cs="Arial"/>
          <w:color w:val="000000"/>
        </w:rPr>
        <w:t>z</w:t>
      </w:r>
      <w:r w:rsidR="00283F7B">
        <w:rPr>
          <w:rFonts w:cs="Arial"/>
          <w:color w:val="000000"/>
        </w:rPr>
        <w:t> </w:t>
      </w:r>
      <w:r w:rsidR="00EF3898">
        <w:rPr>
          <w:rFonts w:cs="Arial"/>
          <w:color w:val="000000"/>
        </w:rPr>
        <w:t>6</w:t>
      </w:r>
      <w:r w:rsidR="00971710">
        <w:rPr>
          <w:rFonts w:cs="Arial"/>
          <w:color w:val="000000"/>
        </w:rPr>
        <w:t>.</w:t>
      </w:r>
      <w:r w:rsidR="003A7373">
        <w:rPr>
          <w:rFonts w:cs="Arial"/>
          <w:color w:val="000000"/>
        </w:rPr>
        <w:t> </w:t>
      </w:r>
      <w:r w:rsidR="00EF3898">
        <w:rPr>
          <w:rFonts w:cs="Arial"/>
          <w:color w:val="000000"/>
        </w:rPr>
        <w:t>září</w:t>
      </w:r>
      <w:r w:rsidRPr="009110F7">
        <w:rPr>
          <w:rFonts w:cs="Arial"/>
          <w:color w:val="000000"/>
        </w:rPr>
        <w:t xml:space="preserve"> </w:t>
      </w:r>
      <w:r w:rsidR="00F37EDC">
        <w:rPr>
          <w:rFonts w:cs="Arial"/>
          <w:color w:val="000000"/>
        </w:rPr>
        <w:t>20</w:t>
      </w:r>
      <w:r w:rsidR="005C216C">
        <w:rPr>
          <w:rFonts w:cs="Arial"/>
          <w:color w:val="000000"/>
        </w:rPr>
        <w:t>2</w:t>
      </w:r>
      <w:r w:rsidR="00EA0E39">
        <w:rPr>
          <w:rFonts w:cs="Arial"/>
          <w:color w:val="000000"/>
        </w:rPr>
        <w:t>1</w:t>
      </w:r>
      <w:r w:rsidRPr="009110F7">
        <w:rPr>
          <w:rFonts w:cs="Arial"/>
          <w:color w:val="000000"/>
        </w:rPr>
        <w:t>.</w:t>
      </w:r>
    </w:p>
    <w:p w14:paraId="1D1FFA96" w14:textId="77777777" w:rsidR="002F1D56" w:rsidRDefault="002F1D56" w:rsidP="00003F5C">
      <w:pPr>
        <w:pStyle w:val="Textpoznpodarou"/>
        <w:jc w:val="both"/>
        <w:rPr>
          <w:rFonts w:cs="Arial"/>
          <w:color w:val="000000"/>
        </w:rPr>
      </w:pPr>
    </w:p>
    <w:p w14:paraId="6EDD1399" w14:textId="77777777" w:rsidR="002F1D56" w:rsidRPr="002F1D56" w:rsidRDefault="002F1D56" w:rsidP="00003F5C">
      <w:pPr>
        <w:pStyle w:val="Textpoznpodarou"/>
        <w:jc w:val="both"/>
        <w:rPr>
          <w:rFonts w:cs="Arial"/>
        </w:rPr>
      </w:pPr>
    </w:p>
    <w:p w14:paraId="3245BCE2" w14:textId="77777777" w:rsidR="00783576" w:rsidRPr="00AF7277" w:rsidRDefault="00087F2B" w:rsidP="00783576">
      <w:pPr>
        <w:pStyle w:val="Nadpis1"/>
      </w:pPr>
      <w:r w:rsidRPr="002F1D56">
        <w:rPr>
          <w:color w:val="auto"/>
        </w:rPr>
        <w:br w:type="page"/>
      </w:r>
      <w:bookmarkStart w:id="1" w:name="_Toc444112494"/>
      <w:bookmarkStart w:id="2" w:name="_Toc511215208"/>
      <w:bookmarkStart w:id="3" w:name="_Toc26865017"/>
      <w:bookmarkStart w:id="4" w:name="_Toc66719928"/>
      <w:bookmarkStart w:id="5" w:name="_Toc19090676"/>
      <w:bookmarkStart w:id="6" w:name="_Toc58605372"/>
      <w:bookmarkStart w:id="7" w:name="_Toc82508184"/>
      <w:r w:rsidR="00783576" w:rsidRPr="00AF7277">
        <w:lastRenderedPageBreak/>
        <w:t>1. Shrnutí</w:t>
      </w:r>
      <w:bookmarkEnd w:id="7"/>
    </w:p>
    <w:bookmarkEnd w:id="1"/>
    <w:bookmarkEnd w:id="2"/>
    <w:p w14:paraId="386BFDF2" w14:textId="77777777" w:rsidR="00783576" w:rsidRDefault="00783576" w:rsidP="00783576">
      <w:pPr>
        <w:pStyle w:val="Normalodrka"/>
        <w:spacing w:after="120"/>
        <w:rPr>
          <w:spacing w:val="-4"/>
        </w:rPr>
      </w:pPr>
      <w:r>
        <w:rPr>
          <w:spacing w:val="-4"/>
        </w:rPr>
        <w:t>Uvolnění epidemických opatření ve 2. čtvrtletí 2021 mělo příznivý vliv na vývoj ekonomiky. Hrubý domácí produkt (HDP) tak vzrostl mezičtvrtletně o 1,0 %</w:t>
      </w:r>
      <w:r w:rsidRPr="00AF7277">
        <w:rPr>
          <w:rStyle w:val="Znakapoznpodarou"/>
          <w:spacing w:val="-4"/>
          <w:szCs w:val="20"/>
        </w:rPr>
        <w:footnoteReference w:id="1"/>
      </w:r>
      <w:r>
        <w:rPr>
          <w:spacing w:val="-4"/>
        </w:rPr>
        <w:t xml:space="preserve"> a meziročně byl vyšší o 8,2 %. Příznivý posun vůči 1. čtvrtletí ovlivnil především silný nárůst domácí spotřeby a také investiční aktivity. Naopak zahraniční poptávka působila nepříznivě. Silný meziroční přírůstek HDP je z velké části ovlivněn nízkou srovnávací základnou loňského 2. kvartálu. Největší příspěvek k meziročnímu růstu měla zahraniční poptávka, rostla ale také domácí spotřeba a investice. V rámci evropského srovnání patřilo Česko k zemím s podprůměrným meziročním přírůstkem HDP. Celkově HDP v EU mezičtvrtletně vzrostl o 1,9 % a meziročně o 13,2 %. Navzdory aktuální silné dynamice ale úroveň HDP ve většině unijních zemí zatím reálně zaostávala za předkrizovým 2. čtvrtletím 2019.</w:t>
      </w:r>
    </w:p>
    <w:p w14:paraId="21FA1092" w14:textId="77777777" w:rsidR="00783576" w:rsidRDefault="00783576" w:rsidP="00783576">
      <w:pPr>
        <w:pStyle w:val="Normalodrka"/>
        <w:spacing w:after="120"/>
        <w:rPr>
          <w:spacing w:val="-4"/>
        </w:rPr>
      </w:pPr>
      <w:r w:rsidRPr="00241A9F">
        <w:rPr>
          <w:spacing w:val="-4"/>
        </w:rPr>
        <w:t>Hrubá přidaná hodnota (HPH) se ve 2.</w:t>
      </w:r>
      <w:r>
        <w:rPr>
          <w:spacing w:val="-4"/>
        </w:rPr>
        <w:t> čtvrtlet</w:t>
      </w:r>
      <w:r w:rsidRPr="00241A9F">
        <w:rPr>
          <w:spacing w:val="-4"/>
        </w:rPr>
        <w:t>í mezičtvrtletně zvýšila o</w:t>
      </w:r>
      <w:r>
        <w:rPr>
          <w:spacing w:val="-4"/>
        </w:rPr>
        <w:t> </w:t>
      </w:r>
      <w:r w:rsidRPr="00241A9F">
        <w:rPr>
          <w:spacing w:val="-4"/>
        </w:rPr>
        <w:t>0,7</w:t>
      </w:r>
      <w:r>
        <w:rPr>
          <w:spacing w:val="-4"/>
        </w:rPr>
        <w:t> %</w:t>
      </w:r>
      <w:r w:rsidRPr="00241A9F">
        <w:rPr>
          <w:spacing w:val="-4"/>
        </w:rPr>
        <w:t xml:space="preserve"> a</w:t>
      </w:r>
      <w:r>
        <w:rPr>
          <w:spacing w:val="-4"/>
        </w:rPr>
        <w:t> </w:t>
      </w:r>
      <w:r w:rsidRPr="00241A9F">
        <w:rPr>
          <w:spacing w:val="-4"/>
        </w:rPr>
        <w:t>meziročně o</w:t>
      </w:r>
      <w:r>
        <w:rPr>
          <w:spacing w:val="-4"/>
        </w:rPr>
        <w:t> </w:t>
      </w:r>
      <w:r w:rsidRPr="00241A9F">
        <w:rPr>
          <w:spacing w:val="-4"/>
        </w:rPr>
        <w:t>8,4</w:t>
      </w:r>
      <w:r>
        <w:rPr>
          <w:spacing w:val="-4"/>
        </w:rPr>
        <w:t> %</w:t>
      </w:r>
      <w:r w:rsidRPr="00241A9F">
        <w:rPr>
          <w:spacing w:val="-4"/>
        </w:rPr>
        <w:t>. Ve srovnání s</w:t>
      </w:r>
      <w:r>
        <w:rPr>
          <w:spacing w:val="-4"/>
        </w:rPr>
        <w:t> </w:t>
      </w:r>
      <w:r w:rsidRPr="00241A9F">
        <w:rPr>
          <w:spacing w:val="-4"/>
        </w:rPr>
        <w:t>1.</w:t>
      </w:r>
      <w:r>
        <w:rPr>
          <w:spacing w:val="-4"/>
        </w:rPr>
        <w:t> kvartál</w:t>
      </w:r>
      <w:r w:rsidRPr="00241A9F">
        <w:rPr>
          <w:spacing w:val="-4"/>
        </w:rPr>
        <w:t>em se zlepšil výkon většiny odvětví. Díky uvolnění protiepidemických restrikcí výrazné mezičtvrtletní oživení vykázalo uskupení obchod, doprava, ubytování a</w:t>
      </w:r>
      <w:r>
        <w:rPr>
          <w:spacing w:val="-4"/>
        </w:rPr>
        <w:t> </w:t>
      </w:r>
      <w:r w:rsidRPr="00241A9F">
        <w:rPr>
          <w:spacing w:val="-4"/>
        </w:rPr>
        <w:t>pohostinství (3,5</w:t>
      </w:r>
      <w:r>
        <w:rPr>
          <w:spacing w:val="-4"/>
        </w:rPr>
        <w:t> %</w:t>
      </w:r>
      <w:r w:rsidRPr="00241A9F">
        <w:rPr>
          <w:spacing w:val="-4"/>
        </w:rPr>
        <w:t>). U</w:t>
      </w:r>
      <w:r>
        <w:rPr>
          <w:spacing w:val="-4"/>
        </w:rPr>
        <w:t> </w:t>
      </w:r>
      <w:r w:rsidRPr="00241A9F">
        <w:rPr>
          <w:spacing w:val="-4"/>
        </w:rPr>
        <w:t>ostatních odvětví služeb byly přírůstky mírnější. Zpracovatelský průmysl, který aktuálně čelí problémům souvisejícím s</w:t>
      </w:r>
      <w:r>
        <w:rPr>
          <w:spacing w:val="-4"/>
        </w:rPr>
        <w:t> </w:t>
      </w:r>
      <w:r w:rsidRPr="00241A9F">
        <w:rPr>
          <w:spacing w:val="-4"/>
        </w:rPr>
        <w:t>narušením dodavatelských řetězců, nakonec mezičtvrtletně vzrostl o</w:t>
      </w:r>
      <w:r>
        <w:rPr>
          <w:spacing w:val="-4"/>
        </w:rPr>
        <w:t> </w:t>
      </w:r>
      <w:r w:rsidRPr="00241A9F">
        <w:rPr>
          <w:spacing w:val="-4"/>
        </w:rPr>
        <w:t>1,1</w:t>
      </w:r>
      <w:r>
        <w:rPr>
          <w:spacing w:val="-4"/>
        </w:rPr>
        <w:t> %</w:t>
      </w:r>
      <w:r w:rsidRPr="00241A9F">
        <w:rPr>
          <w:spacing w:val="-4"/>
        </w:rPr>
        <w:t>. Mírně rostla i</w:t>
      </w:r>
      <w:r>
        <w:rPr>
          <w:spacing w:val="-4"/>
        </w:rPr>
        <w:t> </w:t>
      </w:r>
      <w:r w:rsidRPr="00241A9F">
        <w:rPr>
          <w:spacing w:val="-4"/>
        </w:rPr>
        <w:t>HPH ve stavebnictví (0,5</w:t>
      </w:r>
      <w:r>
        <w:rPr>
          <w:spacing w:val="-4"/>
        </w:rPr>
        <w:t> %</w:t>
      </w:r>
      <w:r w:rsidRPr="00241A9F">
        <w:rPr>
          <w:spacing w:val="-4"/>
        </w:rPr>
        <w:t>). Silné</w:t>
      </w:r>
      <w:r>
        <w:rPr>
          <w:spacing w:val="-4"/>
        </w:rPr>
        <w:t xml:space="preserve"> meziroční</w:t>
      </w:r>
      <w:r w:rsidRPr="00241A9F">
        <w:rPr>
          <w:spacing w:val="-4"/>
        </w:rPr>
        <w:t xml:space="preserve"> navýšení</w:t>
      </w:r>
      <w:r>
        <w:rPr>
          <w:spacing w:val="-4"/>
        </w:rPr>
        <w:t xml:space="preserve"> HPH </w:t>
      </w:r>
      <w:r w:rsidRPr="00241A9F">
        <w:rPr>
          <w:spacing w:val="-4"/>
        </w:rPr>
        <w:t>ovlivn</w:t>
      </w:r>
      <w:r>
        <w:rPr>
          <w:spacing w:val="-4"/>
        </w:rPr>
        <w:t>ila</w:t>
      </w:r>
      <w:r w:rsidRPr="00241A9F">
        <w:rPr>
          <w:spacing w:val="-4"/>
        </w:rPr>
        <w:t xml:space="preserve"> nízk</w:t>
      </w:r>
      <w:r>
        <w:rPr>
          <w:spacing w:val="-4"/>
        </w:rPr>
        <w:t>á</w:t>
      </w:r>
      <w:r w:rsidRPr="00241A9F">
        <w:rPr>
          <w:spacing w:val="-4"/>
        </w:rPr>
        <w:t xml:space="preserve"> srovnávací základn</w:t>
      </w:r>
      <w:r>
        <w:rPr>
          <w:spacing w:val="-4"/>
        </w:rPr>
        <w:t xml:space="preserve">a, která byla i důvodem 23,2% navýšení HPH ve zpracovatelském průmyslu. Výrazně vyšší oproti loňsku byla i HPH </w:t>
      </w:r>
      <w:r w:rsidRPr="00241A9F">
        <w:rPr>
          <w:spacing w:val="-4"/>
        </w:rPr>
        <w:t>uskupení obchod, doprava, ubytování a</w:t>
      </w:r>
      <w:r>
        <w:rPr>
          <w:spacing w:val="-4"/>
        </w:rPr>
        <w:t> </w:t>
      </w:r>
      <w:r w:rsidRPr="00241A9F">
        <w:rPr>
          <w:spacing w:val="-4"/>
        </w:rPr>
        <w:t>pohostinství</w:t>
      </w:r>
      <w:r>
        <w:rPr>
          <w:spacing w:val="-4"/>
        </w:rPr>
        <w:t xml:space="preserve"> (</w:t>
      </w:r>
      <w:r w:rsidRPr="00241A9F">
        <w:rPr>
          <w:spacing w:val="-4"/>
        </w:rPr>
        <w:t>9,4</w:t>
      </w:r>
      <w:r>
        <w:rPr>
          <w:spacing w:val="-4"/>
        </w:rPr>
        <w:t> %).</w:t>
      </w:r>
    </w:p>
    <w:p w14:paraId="115A7AD9" w14:textId="77777777" w:rsidR="00783576" w:rsidRPr="00E32778" w:rsidRDefault="00783576" w:rsidP="00783576">
      <w:pPr>
        <w:pStyle w:val="Normalodrka"/>
        <w:spacing w:after="120"/>
        <w:rPr>
          <w:spacing w:val="-4"/>
        </w:rPr>
      </w:pPr>
      <w:r w:rsidRPr="00997D55">
        <w:t>Vývoz zboží a služeb v</w:t>
      </w:r>
      <w:r>
        <w:t>e 2</w:t>
      </w:r>
      <w:r w:rsidRPr="00997D55">
        <w:t xml:space="preserve">. čtvrtletí reálně </w:t>
      </w:r>
      <w:r>
        <w:t>mezičtvrtletně vzrostl o 0,6 % a </w:t>
      </w:r>
      <w:r w:rsidRPr="00997D55">
        <w:t xml:space="preserve">meziročně </w:t>
      </w:r>
      <w:r>
        <w:t xml:space="preserve">byl vyšší </w:t>
      </w:r>
      <w:r w:rsidRPr="00997D55">
        <w:t>o </w:t>
      </w:r>
      <w:r>
        <w:t>30,6 %</w:t>
      </w:r>
      <w:r w:rsidRPr="00997D55">
        <w:rPr>
          <w:rStyle w:val="Znakapoznpodarou"/>
        </w:rPr>
        <w:footnoteReference w:id="2"/>
      </w:r>
      <w:r>
        <w:t>. Dynamika dovozu ale byla silnější – mezičtvrtletně import rostl o 4,9 % a meziročně o 31,3 %. Výsledná b</w:t>
      </w:r>
      <w:r w:rsidRPr="00997D55">
        <w:t>ilance zahraničního obchodu dosáhla</w:t>
      </w:r>
      <w:r>
        <w:t xml:space="preserve"> přebytku</w:t>
      </w:r>
      <w:r w:rsidRPr="00997D55">
        <w:t xml:space="preserve"> </w:t>
      </w:r>
      <w:r>
        <w:t>56,3 mld.</w:t>
      </w:r>
      <w:r w:rsidRPr="00997D55">
        <w:t xml:space="preserve"> korun</w:t>
      </w:r>
      <w:r>
        <w:t xml:space="preserve">, což bylo meziročně více o 15,0 mld., ale s výjimkou loňského roku šlo o nejslabší výsledek za 2. čtvrtletí od roku 2015. K meziročnímu </w:t>
      </w:r>
      <w:r w:rsidRPr="00997D55">
        <w:t>zlepšení bilance přispíval</w:t>
      </w:r>
      <w:r>
        <w:t xml:space="preserve"> především </w:t>
      </w:r>
      <w:r w:rsidRPr="00997D55">
        <w:t>obchod s motorovými vozidly.</w:t>
      </w:r>
    </w:p>
    <w:p w14:paraId="57278716" w14:textId="77777777" w:rsidR="00783576" w:rsidRDefault="00783576" w:rsidP="00783576">
      <w:pPr>
        <w:pStyle w:val="Normalodrka"/>
        <w:spacing w:after="120"/>
        <w:rPr>
          <w:spacing w:val="-4"/>
        </w:rPr>
      </w:pPr>
      <w:r w:rsidRPr="00AE417E">
        <w:rPr>
          <w:spacing w:val="-4"/>
        </w:rPr>
        <w:t>Podle deflátoru HDP v</w:t>
      </w:r>
      <w:r>
        <w:rPr>
          <w:spacing w:val="-4"/>
        </w:rPr>
        <w:t>e 2</w:t>
      </w:r>
      <w:r w:rsidRPr="00AE417E">
        <w:rPr>
          <w:spacing w:val="-4"/>
        </w:rPr>
        <w:t xml:space="preserve">. čtvrtletí </w:t>
      </w:r>
      <w:r>
        <w:rPr>
          <w:spacing w:val="-4"/>
        </w:rPr>
        <w:t>meziroční přírůstek cenové</w:t>
      </w:r>
      <w:r w:rsidRPr="00AE417E">
        <w:rPr>
          <w:spacing w:val="-4"/>
        </w:rPr>
        <w:t xml:space="preserve"> hladin</w:t>
      </w:r>
      <w:r>
        <w:rPr>
          <w:spacing w:val="-4"/>
        </w:rPr>
        <w:t xml:space="preserve">y zrychlil na 4,3 %. Oproti 1. čtvrtletí se cenová hladina zvýšila o 1,5 %. Silný byl </w:t>
      </w:r>
      <w:r w:rsidRPr="00AE417E">
        <w:rPr>
          <w:spacing w:val="-4"/>
        </w:rPr>
        <w:t>růst cen spotřebních i kapitálových statků. Spotřebitelské ceny se meziročně zvýšily o 2,</w:t>
      </w:r>
      <w:r>
        <w:rPr>
          <w:spacing w:val="-4"/>
        </w:rPr>
        <w:t>9</w:t>
      </w:r>
      <w:r w:rsidRPr="00AE417E">
        <w:rPr>
          <w:spacing w:val="-4"/>
        </w:rPr>
        <w:t xml:space="preserve"> %. </w:t>
      </w:r>
      <w:r>
        <w:rPr>
          <w:spacing w:val="-4"/>
        </w:rPr>
        <w:t xml:space="preserve">Posílení jejich dynamiky ovlivnily především ceny dopravy. Do těch se promítlo prudké zdražení pohonných hmot i pokračující růst cen dopravních prostředků. Stále výrazný byl i růst cen </w:t>
      </w:r>
      <w:r w:rsidRPr="00AE417E">
        <w:rPr>
          <w:spacing w:val="-4"/>
        </w:rPr>
        <w:t>alkoholu a tabáku</w:t>
      </w:r>
      <w:r>
        <w:rPr>
          <w:spacing w:val="-4"/>
        </w:rPr>
        <w:t xml:space="preserve"> a sílila i dynamika cen bydlení a energií.</w:t>
      </w:r>
      <w:r w:rsidRPr="00AE417E">
        <w:rPr>
          <w:spacing w:val="-4"/>
        </w:rPr>
        <w:t xml:space="preserve"> </w:t>
      </w:r>
      <w:r>
        <w:rPr>
          <w:spacing w:val="-4"/>
        </w:rPr>
        <w:t>Silný meziroční nárůst cen ropy ovlivnil c</w:t>
      </w:r>
      <w:r w:rsidRPr="00AE417E">
        <w:rPr>
          <w:spacing w:val="-4"/>
        </w:rPr>
        <w:t xml:space="preserve">eny průmyslových výrobců </w:t>
      </w:r>
      <w:r>
        <w:rPr>
          <w:spacing w:val="-4"/>
        </w:rPr>
        <w:t>v Česku i zahraničí. Meziroční nárůst cen průmyslových výrobců v ČR tak zrychlil na 5,3 %.</w:t>
      </w:r>
    </w:p>
    <w:p w14:paraId="22762FEF" w14:textId="77777777" w:rsidR="00783576" w:rsidRPr="003B376A" w:rsidRDefault="00783576" w:rsidP="00783576">
      <w:pPr>
        <w:pStyle w:val="Normalodrka"/>
        <w:spacing w:after="100"/>
        <w:rPr>
          <w:spacing w:val="-4"/>
        </w:rPr>
      </w:pPr>
      <w:r>
        <w:rPr>
          <w:spacing w:val="-4"/>
        </w:rPr>
        <w:t>Ke konci 2</w:t>
      </w:r>
      <w:r w:rsidRPr="003B376A">
        <w:rPr>
          <w:spacing w:val="-4"/>
        </w:rPr>
        <w:t xml:space="preserve">. čtvrtletí </w:t>
      </w:r>
      <w:r>
        <w:rPr>
          <w:spacing w:val="-4"/>
        </w:rPr>
        <w:t xml:space="preserve">byly zvýšeny </w:t>
      </w:r>
      <w:proofErr w:type="spellStart"/>
      <w:r w:rsidRPr="003B376A">
        <w:rPr>
          <w:spacing w:val="-4"/>
        </w:rPr>
        <w:t>měnověpolitick</w:t>
      </w:r>
      <w:r>
        <w:rPr>
          <w:spacing w:val="-4"/>
        </w:rPr>
        <w:t>é</w:t>
      </w:r>
      <w:proofErr w:type="spellEnd"/>
      <w:r w:rsidRPr="003B376A">
        <w:rPr>
          <w:spacing w:val="-4"/>
        </w:rPr>
        <w:t xml:space="preserve"> sazb</w:t>
      </w:r>
      <w:r>
        <w:rPr>
          <w:spacing w:val="-4"/>
        </w:rPr>
        <w:t>y. Úrokové sazby na klientských vkladech se ale zatím neměnily a setrvaly na velmi nízké úrovni. Úrokové sazby úvěrů pro domácnosti se zvyšovaly, a to v případě úvěrů na spotřebu i bydlení. Objem poskytnutých úvěrů na bydlení dál prudce rostl.</w:t>
      </w:r>
    </w:p>
    <w:p w14:paraId="2B19AE9B" w14:textId="77777777" w:rsidR="00783576" w:rsidRDefault="00783576" w:rsidP="00783576">
      <w:pPr>
        <w:pStyle w:val="Normalodrka"/>
        <w:spacing w:after="100"/>
        <w:rPr>
          <w:spacing w:val="-4"/>
        </w:rPr>
      </w:pPr>
      <w:r w:rsidRPr="00480D7F">
        <w:rPr>
          <w:spacing w:val="-4"/>
        </w:rPr>
        <w:t>Celková zaměstnanost v</w:t>
      </w:r>
      <w:r>
        <w:rPr>
          <w:spacing w:val="-4"/>
        </w:rPr>
        <w:t>e 2</w:t>
      </w:r>
      <w:r w:rsidRPr="00480D7F">
        <w:rPr>
          <w:spacing w:val="-4"/>
        </w:rPr>
        <w:t xml:space="preserve">. čtvrtletí meziročně </w:t>
      </w:r>
      <w:r>
        <w:rPr>
          <w:spacing w:val="-4"/>
        </w:rPr>
        <w:t xml:space="preserve">vzrostla </w:t>
      </w:r>
      <w:r w:rsidRPr="00480D7F">
        <w:rPr>
          <w:spacing w:val="-4"/>
        </w:rPr>
        <w:t>o </w:t>
      </w:r>
      <w:r>
        <w:rPr>
          <w:spacing w:val="-4"/>
        </w:rPr>
        <w:t>0,3</w:t>
      </w:r>
      <w:r w:rsidRPr="00480D7F">
        <w:rPr>
          <w:spacing w:val="-4"/>
        </w:rPr>
        <w:t> %</w:t>
      </w:r>
      <w:r w:rsidRPr="00480D7F">
        <w:rPr>
          <w:rStyle w:val="Znakapoznpodarou"/>
          <w:spacing w:val="-4"/>
        </w:rPr>
        <w:footnoteReference w:id="3"/>
      </w:r>
      <w:r>
        <w:rPr>
          <w:spacing w:val="-4"/>
        </w:rPr>
        <w:t>.</w:t>
      </w:r>
      <w:r w:rsidRPr="00480D7F">
        <w:rPr>
          <w:spacing w:val="-4"/>
        </w:rPr>
        <w:t xml:space="preserve"> Oproti </w:t>
      </w:r>
      <w:r>
        <w:rPr>
          <w:spacing w:val="-4"/>
        </w:rPr>
        <w:t>1</w:t>
      </w:r>
      <w:r w:rsidRPr="00480D7F">
        <w:rPr>
          <w:spacing w:val="-4"/>
        </w:rPr>
        <w:t xml:space="preserve">. čtvrtletí zaměstnanost </w:t>
      </w:r>
      <w:r>
        <w:rPr>
          <w:spacing w:val="-4"/>
        </w:rPr>
        <w:t>narostla dokonce o 0,7 %</w:t>
      </w:r>
      <w:r w:rsidRPr="00480D7F">
        <w:rPr>
          <w:spacing w:val="-4"/>
        </w:rPr>
        <w:t xml:space="preserve">. </w:t>
      </w:r>
      <w:r>
        <w:rPr>
          <w:spacing w:val="-4"/>
        </w:rPr>
        <w:t xml:space="preserve">Na tomto pozitivním vývoji se </w:t>
      </w:r>
      <w:r w:rsidRPr="002272C7">
        <w:rPr>
          <w:spacing w:val="-4"/>
        </w:rPr>
        <w:t xml:space="preserve">podíleli </w:t>
      </w:r>
      <w:r>
        <w:rPr>
          <w:spacing w:val="-4"/>
        </w:rPr>
        <w:t>výhradně zaměstnanci, jejichž stav</w:t>
      </w:r>
      <w:r w:rsidRPr="002272C7">
        <w:rPr>
          <w:spacing w:val="-4"/>
        </w:rPr>
        <w:t xml:space="preserve">y </w:t>
      </w:r>
      <w:r>
        <w:rPr>
          <w:spacing w:val="-4"/>
        </w:rPr>
        <w:t xml:space="preserve">se meziročně rozšířily o 52 tis., nejvíce od konce roku 2018. Naopak počet </w:t>
      </w:r>
      <w:r w:rsidRPr="002272C7">
        <w:rPr>
          <w:spacing w:val="-4"/>
        </w:rPr>
        <w:t>podni</w:t>
      </w:r>
      <w:r>
        <w:rPr>
          <w:spacing w:val="-4"/>
        </w:rPr>
        <w:t xml:space="preserve">katelů klesl takřka o 36 tis. a ubylo jich i ve srovnání s 1. čtvrtletím 2021. </w:t>
      </w:r>
      <w:r>
        <w:rPr>
          <w:rFonts w:cs="Arial"/>
          <w:bCs/>
          <w:color w:val="0D0D0D" w:themeColor="text1" w:themeTint="F2"/>
          <w:spacing w:val="-4"/>
          <w:szCs w:val="20"/>
        </w:rPr>
        <w:t>Hospodářské oživení se ve 2. čtvrtletí pozitivně promítlo i v počtu pracovníků v drtivé většině hlavních odvětví.</w:t>
      </w:r>
      <w:r w:rsidRPr="00480D7F">
        <w:rPr>
          <w:spacing w:val="-4"/>
        </w:rPr>
        <w:t xml:space="preserve"> Obecná míra nezaměstnanosti </w:t>
      </w:r>
      <w:r>
        <w:rPr>
          <w:spacing w:val="-4"/>
        </w:rPr>
        <w:t xml:space="preserve">po březnovém čtyřletém maximu začala klesat a v červnu činila 2,9 %. Negativně se neprojevilo ani utlumení vládních stabilizačních programů. </w:t>
      </w:r>
      <w:r>
        <w:rPr>
          <w:color w:val="0D0D0D" w:themeColor="text1" w:themeTint="F2"/>
          <w:spacing w:val="-4"/>
        </w:rPr>
        <w:t>Ve srovnání s úrovní tě</w:t>
      </w:r>
      <w:r w:rsidR="00715F12">
        <w:rPr>
          <w:color w:val="0D0D0D" w:themeColor="text1" w:themeTint="F2"/>
          <w:spacing w:val="-4"/>
        </w:rPr>
        <w:t>sně před pandemií vzrostla více</w:t>
      </w:r>
      <w:r>
        <w:rPr>
          <w:color w:val="0D0D0D" w:themeColor="text1" w:themeTint="F2"/>
          <w:spacing w:val="-4"/>
        </w:rPr>
        <w:t xml:space="preserve"> nezaměstnanost žen</w:t>
      </w:r>
      <w:r w:rsidR="00715F12">
        <w:rPr>
          <w:color w:val="0D0D0D" w:themeColor="text1" w:themeTint="F2"/>
          <w:spacing w:val="-4"/>
        </w:rPr>
        <w:t>. Ta činila (3,5 %), u mužů jen</w:t>
      </w:r>
      <w:r>
        <w:rPr>
          <w:color w:val="0D0D0D" w:themeColor="text1" w:themeTint="F2"/>
          <w:spacing w:val="-4"/>
        </w:rPr>
        <w:t xml:space="preserve"> (2,4 %).</w:t>
      </w:r>
      <w:r>
        <w:rPr>
          <w:spacing w:val="-4"/>
        </w:rPr>
        <w:t xml:space="preserve"> </w:t>
      </w:r>
      <w:r w:rsidRPr="00480D7F">
        <w:rPr>
          <w:spacing w:val="-4"/>
        </w:rPr>
        <w:t>Průměrná mzda se mezičtvrtletně zvýšila o </w:t>
      </w:r>
      <w:r>
        <w:rPr>
          <w:spacing w:val="-4"/>
        </w:rPr>
        <w:t>1,2 %</w:t>
      </w:r>
      <w:r w:rsidRPr="00480D7F">
        <w:rPr>
          <w:spacing w:val="-4"/>
        </w:rPr>
        <w:t xml:space="preserve"> a dosáhla 3</w:t>
      </w:r>
      <w:r>
        <w:rPr>
          <w:spacing w:val="-4"/>
        </w:rPr>
        <w:t>8 275</w:t>
      </w:r>
      <w:r w:rsidRPr="00480D7F">
        <w:rPr>
          <w:spacing w:val="-4"/>
        </w:rPr>
        <w:t> korun.</w:t>
      </w:r>
    </w:p>
    <w:p w14:paraId="134C2E6D" w14:textId="77777777" w:rsidR="00783576" w:rsidRPr="00C83201" w:rsidRDefault="00783576" w:rsidP="00783576">
      <w:pPr>
        <w:pStyle w:val="Normalodrka"/>
        <w:spacing w:after="100"/>
        <w:rPr>
          <w:spacing w:val="-4"/>
        </w:rPr>
      </w:pPr>
      <w:r w:rsidRPr="00C83201">
        <w:rPr>
          <w:spacing w:val="-4"/>
        </w:rPr>
        <w:t xml:space="preserve">Hospodaření státního rozpočtu v 1. pololetí skončilo v deficitu 265,1 mld. korun, což je téměř o 70 mld. horší výsledek ve srovnání s loňským deficitem. Celkové příjmy se v 1. pololetí zvýšily o 1,9 %. Hospodaření SR bylo zásadně ovlivňováno nižší ekonomickou aktivitou, úlevami podnikatelským subjektům, snížením daňového zatížení práce i majetku a změnou rozpočtového určení daní ve prospěch územních rozpočtů. To vše tlumilo růst daňových příjmů. Výdaje posílily o 10,2 %. Posilovaly výdajové transfery na podporu zasažených odvětví a pracovníků, ale i na kompenzaci zvýšených nároků v oblasti zdravotní péče. </w:t>
      </w:r>
    </w:p>
    <w:p w14:paraId="6C9DD553" w14:textId="77777777" w:rsidR="0039398D" w:rsidRPr="009110F7" w:rsidRDefault="0039398D" w:rsidP="00783576">
      <w:pPr>
        <w:pStyle w:val="Nadpis1"/>
      </w:pPr>
      <w:bookmarkStart w:id="8" w:name="_Toc82508185"/>
      <w:bookmarkEnd w:id="3"/>
      <w:r w:rsidRPr="0077605B">
        <w:lastRenderedPageBreak/>
        <w:t>2</w:t>
      </w:r>
      <w:r>
        <w:t>.</w:t>
      </w:r>
      <w:r w:rsidR="00152C86">
        <w:t xml:space="preserve"> </w:t>
      </w:r>
      <w:r w:rsidRPr="0077605B">
        <w:t>Souhrnná výkonnost</w:t>
      </w:r>
      <w:bookmarkEnd w:id="8"/>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39398D" w:rsidRPr="009110F7" w14:paraId="17C118A4" w14:textId="77777777" w:rsidTr="00AF7277">
        <w:trPr>
          <w:trHeight w:val="145"/>
        </w:trPr>
        <w:tc>
          <w:tcPr>
            <w:tcW w:w="1806" w:type="dxa"/>
            <w:shd w:val="clear" w:color="auto" w:fill="auto"/>
            <w:tcMar>
              <w:left w:w="0" w:type="dxa"/>
            </w:tcMar>
          </w:tcPr>
          <w:p w14:paraId="7E0DC729" w14:textId="77777777" w:rsidR="0039398D" w:rsidRDefault="0039398D" w:rsidP="00AF7277">
            <w:pPr>
              <w:pStyle w:val="Marginlie"/>
            </w:pPr>
            <w:r>
              <w:t>Ve 2. čtvrtletí hrubý domácí produkt výrazně meziročně rostl.</w:t>
            </w:r>
          </w:p>
        </w:tc>
        <w:tc>
          <w:tcPr>
            <w:tcW w:w="223" w:type="dxa"/>
            <w:shd w:val="clear" w:color="auto" w:fill="auto"/>
            <w:tcMar>
              <w:left w:w="0" w:type="dxa"/>
            </w:tcMar>
          </w:tcPr>
          <w:p w14:paraId="719E7364" w14:textId="77777777" w:rsidR="0039398D" w:rsidRDefault="0039398D" w:rsidP="00AF7277">
            <w:pPr>
              <w:pStyle w:val="Textpoznpodarou"/>
              <w:jc w:val="both"/>
              <w:rPr>
                <w:spacing w:val="-4"/>
              </w:rPr>
            </w:pPr>
          </w:p>
        </w:tc>
        <w:tc>
          <w:tcPr>
            <w:tcW w:w="7610" w:type="dxa"/>
            <w:shd w:val="clear" w:color="auto" w:fill="auto"/>
            <w:tcMar>
              <w:left w:w="0" w:type="dxa"/>
            </w:tcMar>
          </w:tcPr>
          <w:p w14:paraId="66BDBB23" w14:textId="77777777" w:rsidR="0039398D" w:rsidRPr="00014ED0" w:rsidRDefault="0039398D" w:rsidP="00AF7277">
            <w:pPr>
              <w:rPr>
                <w:spacing w:val="-2"/>
              </w:rPr>
            </w:pPr>
            <w:r>
              <w:rPr>
                <w:spacing w:val="-2"/>
              </w:rPr>
              <w:t>V průběhu 2. čtvrtletí 2021 byla uvolněna protiepidemická opatření, která omezovala obchod a služby a byla důvodem útlumu domácí spotřeby v uplynulém roce. Hrubý domácí produkt tak vzrostl proti 1. čtvrtletí o 1,0 %</w:t>
            </w:r>
            <w:r w:rsidRPr="00014ED0">
              <w:rPr>
                <w:rStyle w:val="Znakapoznpodarou"/>
                <w:rFonts w:cs="Arial"/>
                <w:spacing w:val="-2"/>
              </w:rPr>
              <w:footnoteReference w:id="4"/>
            </w:r>
            <w:r>
              <w:rPr>
                <w:spacing w:val="-2"/>
              </w:rPr>
              <w:t>. K nárůstu přispěla zejména domácí spotřeba a také investiční aktivita. Naopak zahraniční poptávka působila negativně. Přírůstek tak zaostával za průměrem EU a také za tržním očekáváním, což bylo způsobeno zejména překážkami, které průmyslu kladl nedostatek některých komponent. Ve srovnání s loňským 2. kvartálem, který byl zasažen nejhlubším propadem HDP v historii samostatné ČR, byl HDP letos vyšší o 8,2 %. K tomu přispěly všechny výdajové složky v čele se zahraniční poptávkou, která právě v loňském 2. čtvrtletí utrpěla mimořádný šok. Rostla i domácí spotřeba (domácností i vládních institucí) a investice. Velkou část silného přírůstku lze přičíst slabé základně – srovnání s údaji v cenách roku 2015 ukazuje, že HDP v letošním 2. čtvrtletí ještě mírně zaostával za předkrizovým 2. čtvrtletím 2019, a dokonce za stejným obdobím roku 2018.</w:t>
            </w:r>
          </w:p>
        </w:tc>
      </w:tr>
      <w:tr w:rsidR="0039398D" w:rsidRPr="009110F7" w14:paraId="1EF56BC3" w14:textId="77777777" w:rsidTr="00AF7277">
        <w:trPr>
          <w:trHeight w:val="170"/>
        </w:trPr>
        <w:tc>
          <w:tcPr>
            <w:tcW w:w="1806" w:type="dxa"/>
            <w:vMerge w:val="restart"/>
            <w:shd w:val="clear" w:color="auto" w:fill="auto"/>
            <w:tcMar>
              <w:left w:w="0" w:type="dxa"/>
            </w:tcMar>
          </w:tcPr>
          <w:p w14:paraId="65DB06C5" w14:textId="77777777" w:rsidR="0039398D" w:rsidRDefault="0039398D" w:rsidP="00AF7277">
            <w:pPr>
              <w:pStyle w:val="Marginlie"/>
            </w:pPr>
          </w:p>
        </w:tc>
        <w:tc>
          <w:tcPr>
            <w:tcW w:w="223" w:type="dxa"/>
            <w:vMerge w:val="restart"/>
            <w:shd w:val="clear" w:color="auto" w:fill="auto"/>
            <w:tcMar>
              <w:left w:w="0" w:type="dxa"/>
            </w:tcMar>
          </w:tcPr>
          <w:p w14:paraId="1E9FA071" w14:textId="77777777" w:rsidR="0039398D" w:rsidRDefault="0039398D" w:rsidP="00AF7277">
            <w:pPr>
              <w:pStyle w:val="Textpoznpodarou"/>
              <w:jc w:val="both"/>
              <w:rPr>
                <w:spacing w:val="-4"/>
              </w:rPr>
            </w:pPr>
          </w:p>
        </w:tc>
        <w:tc>
          <w:tcPr>
            <w:tcW w:w="7610" w:type="dxa"/>
            <w:shd w:val="clear" w:color="auto" w:fill="auto"/>
            <w:tcMar>
              <w:left w:w="0" w:type="dxa"/>
            </w:tcMar>
          </w:tcPr>
          <w:p w14:paraId="6CDABF9A" w14:textId="77777777" w:rsidR="0039398D" w:rsidRPr="00D721B4" w:rsidRDefault="0039398D" w:rsidP="00AF7277">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39398D" w:rsidRPr="009110F7" w14:paraId="45374ED6" w14:textId="77777777" w:rsidTr="00AF7277">
        <w:tblPrEx>
          <w:tblCellMar>
            <w:left w:w="70" w:type="dxa"/>
            <w:right w:w="70" w:type="dxa"/>
          </w:tblCellMar>
        </w:tblPrEx>
        <w:trPr>
          <w:trHeight w:val="170"/>
        </w:trPr>
        <w:tc>
          <w:tcPr>
            <w:tcW w:w="1806" w:type="dxa"/>
            <w:vMerge/>
            <w:shd w:val="clear" w:color="auto" w:fill="auto"/>
          </w:tcPr>
          <w:p w14:paraId="4833D235" w14:textId="77777777" w:rsidR="0039398D" w:rsidRPr="009110F7" w:rsidRDefault="0039398D" w:rsidP="00AF7277">
            <w:pPr>
              <w:pStyle w:val="Marginlie"/>
            </w:pPr>
          </w:p>
        </w:tc>
        <w:tc>
          <w:tcPr>
            <w:tcW w:w="223" w:type="dxa"/>
            <w:vMerge/>
            <w:shd w:val="clear" w:color="auto" w:fill="auto"/>
          </w:tcPr>
          <w:p w14:paraId="07142834" w14:textId="77777777" w:rsidR="0039398D" w:rsidRPr="009110F7" w:rsidRDefault="0039398D" w:rsidP="00AF7277">
            <w:pPr>
              <w:pStyle w:val="Textpoznpodarou"/>
              <w:jc w:val="both"/>
              <w:rPr>
                <w:spacing w:val="-4"/>
              </w:rPr>
            </w:pPr>
          </w:p>
        </w:tc>
        <w:tc>
          <w:tcPr>
            <w:tcW w:w="7610" w:type="dxa"/>
            <w:shd w:val="clear" w:color="auto" w:fill="auto"/>
          </w:tcPr>
          <w:p w14:paraId="2B570A6A" w14:textId="77777777" w:rsidR="0039398D" w:rsidRPr="009110F7" w:rsidRDefault="0039398D" w:rsidP="00AF7277">
            <w:pPr>
              <w:spacing w:after="0"/>
            </w:pPr>
            <w:r>
              <w:rPr>
                <w:noProof/>
              </w:rPr>
              <w:drawing>
                <wp:inline distT="0" distB="0" distL="0" distR="0" wp14:anchorId="1B53A4FB" wp14:editId="72ECE93A">
                  <wp:extent cx="4737600" cy="3553200"/>
                  <wp:effectExtent l="0" t="0" r="6350" b="0"/>
                  <wp:docPr id="6" name="Graf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9398D" w:rsidRPr="009110F7" w14:paraId="5D15BEB7" w14:textId="77777777" w:rsidTr="00AF7277">
        <w:trPr>
          <w:trHeight w:val="170"/>
        </w:trPr>
        <w:tc>
          <w:tcPr>
            <w:tcW w:w="1806" w:type="dxa"/>
            <w:vMerge/>
            <w:shd w:val="clear" w:color="auto" w:fill="auto"/>
            <w:tcMar>
              <w:left w:w="0" w:type="dxa"/>
            </w:tcMar>
          </w:tcPr>
          <w:p w14:paraId="75D848C5" w14:textId="77777777" w:rsidR="0039398D" w:rsidRPr="009110F7" w:rsidRDefault="0039398D" w:rsidP="00AF7277">
            <w:pPr>
              <w:pStyle w:val="Marginlie"/>
            </w:pPr>
          </w:p>
        </w:tc>
        <w:tc>
          <w:tcPr>
            <w:tcW w:w="223" w:type="dxa"/>
            <w:vMerge/>
            <w:shd w:val="clear" w:color="auto" w:fill="auto"/>
            <w:tcMar>
              <w:left w:w="0" w:type="dxa"/>
            </w:tcMar>
          </w:tcPr>
          <w:p w14:paraId="056CB664" w14:textId="77777777" w:rsidR="0039398D" w:rsidRPr="009110F7" w:rsidRDefault="0039398D" w:rsidP="00AF7277">
            <w:pPr>
              <w:pStyle w:val="Textpoznpodarou"/>
              <w:jc w:val="both"/>
              <w:rPr>
                <w:spacing w:val="-4"/>
              </w:rPr>
            </w:pPr>
          </w:p>
        </w:tc>
        <w:tc>
          <w:tcPr>
            <w:tcW w:w="7610" w:type="dxa"/>
            <w:shd w:val="clear" w:color="auto" w:fill="auto"/>
            <w:tcMar>
              <w:left w:w="0" w:type="dxa"/>
            </w:tcMar>
          </w:tcPr>
          <w:p w14:paraId="369DC184" w14:textId="77777777" w:rsidR="0039398D" w:rsidRPr="009110F7" w:rsidRDefault="0039398D" w:rsidP="00AF7277">
            <w:pPr>
              <w:spacing w:after="220"/>
              <w:rPr>
                <w:sz w:val="14"/>
                <w:szCs w:val="14"/>
              </w:rPr>
            </w:pPr>
            <w:r>
              <w:rPr>
                <w:sz w:val="14"/>
                <w:szCs w:val="14"/>
              </w:rPr>
              <w:t xml:space="preserve">Zdroj: ČSÚ, </w:t>
            </w:r>
            <w:proofErr w:type="spellStart"/>
            <w:r>
              <w:rPr>
                <w:sz w:val="14"/>
                <w:szCs w:val="14"/>
              </w:rPr>
              <w:t>Eurostat</w:t>
            </w:r>
            <w:proofErr w:type="spellEnd"/>
          </w:p>
        </w:tc>
      </w:tr>
      <w:tr w:rsidR="0039398D" w:rsidRPr="009110F7" w14:paraId="1F17E810" w14:textId="77777777" w:rsidTr="00AF7277">
        <w:trPr>
          <w:trHeight w:val="145"/>
        </w:trPr>
        <w:tc>
          <w:tcPr>
            <w:tcW w:w="1806" w:type="dxa"/>
            <w:shd w:val="clear" w:color="auto" w:fill="auto"/>
            <w:tcMar>
              <w:left w:w="0" w:type="dxa"/>
            </w:tcMar>
          </w:tcPr>
          <w:p w14:paraId="2642638D" w14:textId="77777777" w:rsidR="0039398D" w:rsidRDefault="0039398D" w:rsidP="00AF7277">
            <w:pPr>
              <w:pStyle w:val="Marginlie"/>
            </w:pPr>
            <w:r>
              <w:t>Postupně se zotavují i evropské ekonomiky.</w:t>
            </w:r>
          </w:p>
        </w:tc>
        <w:tc>
          <w:tcPr>
            <w:tcW w:w="223" w:type="dxa"/>
            <w:shd w:val="clear" w:color="auto" w:fill="auto"/>
            <w:tcMar>
              <w:left w:w="0" w:type="dxa"/>
            </w:tcMar>
          </w:tcPr>
          <w:p w14:paraId="5BF1CF5E" w14:textId="77777777" w:rsidR="0039398D" w:rsidRDefault="0039398D" w:rsidP="00AF7277">
            <w:pPr>
              <w:pStyle w:val="Textpoznpodarou"/>
              <w:jc w:val="both"/>
              <w:rPr>
                <w:spacing w:val="-4"/>
              </w:rPr>
            </w:pPr>
          </w:p>
        </w:tc>
        <w:tc>
          <w:tcPr>
            <w:tcW w:w="7610" w:type="dxa"/>
            <w:shd w:val="clear" w:color="auto" w:fill="auto"/>
            <w:tcMar>
              <w:left w:w="0" w:type="dxa"/>
            </w:tcMar>
          </w:tcPr>
          <w:p w14:paraId="66AD3D5C" w14:textId="77777777" w:rsidR="0039398D" w:rsidRDefault="0039398D" w:rsidP="00F5615B">
            <w:r w:rsidRPr="00253A53">
              <w:t>Oproti 1.</w:t>
            </w:r>
            <w:r>
              <w:t> kvartál</w:t>
            </w:r>
            <w:r w:rsidRPr="00253A53">
              <w:t>u se HDP v</w:t>
            </w:r>
            <w:r>
              <w:t> </w:t>
            </w:r>
            <w:r w:rsidRPr="00253A53">
              <w:t>EU zvýšil o</w:t>
            </w:r>
            <w:r>
              <w:t> </w:t>
            </w:r>
            <w:r w:rsidRPr="00253A53">
              <w:t>1,9</w:t>
            </w:r>
            <w:r>
              <w:t> %</w:t>
            </w:r>
            <w:r>
              <w:rPr>
                <w:rStyle w:val="Znakapoznpodarou"/>
              </w:rPr>
              <w:footnoteReference w:id="5"/>
            </w:r>
            <w:r w:rsidRPr="00253A53">
              <w:t>. Mezičtvrtletní přírůstek následoval po dvou čtvrtletích poklesů a</w:t>
            </w:r>
            <w:r>
              <w:t> </w:t>
            </w:r>
            <w:r w:rsidRPr="00253A53">
              <w:t xml:space="preserve">ovlivnila jej zejména sílící domácí poptávka. </w:t>
            </w:r>
            <w:r>
              <w:t xml:space="preserve">S výjimkou Malty a Chorvatska mezičtvrtletně rostl HDP ve všech zemích EU. Nejsilněji </w:t>
            </w:r>
            <w:r w:rsidR="00F5615B">
              <w:t>rostly</w:t>
            </w:r>
            <w:r>
              <w:t xml:space="preserve"> ekonomiky Portugalska (4,9 %), Lotyšska (4,4 %) a Estonska (4,3 %). Příznivý byl ale také vývoj sousedního Rakouska, nadprůměrně se zlepšovala i polská a slovenská ekonomika. K zemím s nižším mezičtvrtletním přírůstkem patřilo Česko (1,0 %) i velké ekonomiky Francie (1,1 %) a Německa (1,6 %). </w:t>
            </w:r>
            <w:r w:rsidRPr="00253A53">
              <w:t>Celkově byl HDP v</w:t>
            </w:r>
            <w:r>
              <w:t> </w:t>
            </w:r>
            <w:r w:rsidRPr="00253A53">
              <w:t xml:space="preserve">Evropské </w:t>
            </w:r>
            <w:r>
              <w:t>u</w:t>
            </w:r>
            <w:r w:rsidRPr="00253A53">
              <w:t>nii ve 2.</w:t>
            </w:r>
            <w:r>
              <w:t> čtvrtlet</w:t>
            </w:r>
            <w:r w:rsidRPr="00253A53">
              <w:t>í meziročně vyšší o</w:t>
            </w:r>
            <w:r>
              <w:t> </w:t>
            </w:r>
            <w:r w:rsidRPr="00253A53">
              <w:t>13,2</w:t>
            </w:r>
            <w:r>
              <w:t> %</w:t>
            </w:r>
            <w:r w:rsidRPr="00253A53">
              <w:t>, na čemž se samozřejmě stejně jako v</w:t>
            </w:r>
            <w:r>
              <w:t> </w:t>
            </w:r>
            <w:r w:rsidRPr="00253A53">
              <w:t xml:space="preserve">samotném Česku </w:t>
            </w:r>
            <w:r>
              <w:t>z velké části</w:t>
            </w:r>
            <w:r w:rsidRPr="00253A53">
              <w:t xml:space="preserve"> podílela nízká základna loňského 2.</w:t>
            </w:r>
            <w:r>
              <w:t> kvartál</w:t>
            </w:r>
            <w:r w:rsidRPr="00253A53">
              <w:t>u.</w:t>
            </w:r>
            <w:r>
              <w:t xml:space="preserve"> </w:t>
            </w:r>
            <w:r w:rsidRPr="00253A53">
              <w:t>Všechny země EU tak meziročně ekonomicky rostly.</w:t>
            </w:r>
            <w:r>
              <w:t xml:space="preserve"> Pohled na předkrizové období ale ukazuje, že reálně </w:t>
            </w:r>
            <w:r>
              <w:lastRenderedPageBreak/>
              <w:t>HDP v EU zaostává za úrovní roku 2019 o 2,3 %</w:t>
            </w:r>
            <w:r>
              <w:rPr>
                <w:rStyle w:val="Znakapoznpodarou"/>
              </w:rPr>
              <w:footnoteReference w:id="6"/>
            </w:r>
            <w:r>
              <w:t>. Ve většině zemí byl HDP reálně nižší než ve 2. čtvrtletí 2019, přičemž nejvíce zaostáva</w:t>
            </w:r>
            <w:r w:rsidR="006D26CE">
              <w:t xml:space="preserve">ly </w:t>
            </w:r>
            <w:proofErr w:type="gramStart"/>
            <w:r w:rsidR="006D26CE">
              <w:t>Španělsko (–6,1</w:t>
            </w:r>
            <w:proofErr w:type="gramEnd"/>
            <w:r w:rsidR="006D26CE">
              <w:t xml:space="preserve"> %) a Itálie </w:t>
            </w:r>
            <w:r>
              <w:t xml:space="preserve">(–4,0 %). Na předních příčkách tohoto srovnání ale bylo </w:t>
            </w:r>
            <w:r w:rsidRPr="006D26CE">
              <w:rPr>
                <w:spacing w:val="-4"/>
              </w:rPr>
              <w:t>i </w:t>
            </w:r>
            <w:proofErr w:type="gramStart"/>
            <w:r w:rsidRPr="006D26CE">
              <w:rPr>
                <w:spacing w:val="-4"/>
              </w:rPr>
              <w:t>Česko (–3,7</w:t>
            </w:r>
            <w:proofErr w:type="gramEnd"/>
            <w:r w:rsidRPr="006D26CE">
              <w:rPr>
                <w:spacing w:val="-4"/>
              </w:rPr>
              <w:t> %) a nadprůměrně se oproti 2. kvartálu 2019 propadaly i Francie (</w:t>
            </w:r>
            <w:r w:rsidR="00C706D2" w:rsidRPr="006D26CE">
              <w:rPr>
                <w:spacing w:val="-4"/>
              </w:rPr>
              <w:t>–</w:t>
            </w:r>
            <w:r w:rsidR="006D26CE" w:rsidRPr="006D26CE">
              <w:rPr>
                <w:spacing w:val="-4"/>
              </w:rPr>
              <w:t>3,4 %),</w:t>
            </w:r>
            <w:r w:rsidR="006D26CE">
              <w:t xml:space="preserve"> Německo </w:t>
            </w:r>
            <w:r>
              <w:t>(–2,9 %) nebo Rakousko (</w:t>
            </w:r>
            <w:r w:rsidR="00C706D2">
              <w:t>–</w:t>
            </w:r>
            <w:r>
              <w:t>2,7 %), často země se silným automobilovým průmyslem. Mezi země, kterým se daří vracet k předkrizové úrovni, patřily státy Pobaltí, Irsko, Rumunsko, Slovinsko, Polsko, Maďarsko, Dánsko a Švédsko.</w:t>
            </w:r>
          </w:p>
        </w:tc>
      </w:tr>
      <w:tr w:rsidR="0039398D" w:rsidRPr="009110F7" w14:paraId="22E9244C" w14:textId="77777777" w:rsidTr="00AF7277">
        <w:trPr>
          <w:trHeight w:val="145"/>
        </w:trPr>
        <w:tc>
          <w:tcPr>
            <w:tcW w:w="1806" w:type="dxa"/>
            <w:shd w:val="clear" w:color="auto" w:fill="auto"/>
            <w:tcMar>
              <w:left w:w="0" w:type="dxa"/>
            </w:tcMar>
          </w:tcPr>
          <w:p w14:paraId="732E6807" w14:textId="77777777" w:rsidR="0039398D" w:rsidRDefault="0039398D" w:rsidP="00AF7277">
            <w:pPr>
              <w:pStyle w:val="Marginlie"/>
            </w:pPr>
            <w:r>
              <w:lastRenderedPageBreak/>
              <w:t>Objem vyplacených mezd a platů se ve 2. čtvrtletí prudce zvýšil.</w:t>
            </w:r>
          </w:p>
        </w:tc>
        <w:tc>
          <w:tcPr>
            <w:tcW w:w="223" w:type="dxa"/>
            <w:shd w:val="clear" w:color="auto" w:fill="auto"/>
            <w:tcMar>
              <w:left w:w="0" w:type="dxa"/>
            </w:tcMar>
          </w:tcPr>
          <w:p w14:paraId="5659D9EA" w14:textId="77777777" w:rsidR="0039398D" w:rsidRDefault="0039398D" w:rsidP="00AF7277">
            <w:pPr>
              <w:pStyle w:val="Textpoznpodarou"/>
              <w:jc w:val="both"/>
              <w:rPr>
                <w:spacing w:val="-4"/>
              </w:rPr>
            </w:pPr>
          </w:p>
        </w:tc>
        <w:tc>
          <w:tcPr>
            <w:tcW w:w="7610" w:type="dxa"/>
            <w:shd w:val="clear" w:color="auto" w:fill="auto"/>
            <w:tcMar>
              <w:left w:w="0" w:type="dxa"/>
            </w:tcMar>
          </w:tcPr>
          <w:p w14:paraId="5009CC22" w14:textId="77777777" w:rsidR="0039398D" w:rsidRPr="00014ED0" w:rsidRDefault="0039398D" w:rsidP="00AF7277">
            <w:pPr>
              <w:rPr>
                <w:spacing w:val="-2"/>
              </w:rPr>
            </w:pPr>
            <w:r>
              <w:rPr>
                <w:spacing w:val="-2"/>
              </w:rPr>
              <w:t>Objem vyplacených mezd a platů ve 2. čtvrtletí meziročně narostl o 17,7 %. Oproti 1. čtvrtletí objem vyplacených mezd a platů vzrostl o 7,4 %. Mimořádně vysoký meziroční přírůstek byl ovlivněn nízkou základnou loňského 2. kvartálu. Ta souvisela s výrazně nižším počtem odpracovaných hodin. V letošním 2. čtvrtletí bylo navíc oproti loňsku vypláceno více odměn. Reálně se mzdy a platy meziročně zvýšily o 15,3 %</w:t>
            </w:r>
            <w:r>
              <w:rPr>
                <w:rStyle w:val="Znakapoznpodarou"/>
                <w:spacing w:val="-2"/>
              </w:rPr>
              <w:footnoteReference w:id="7"/>
            </w:r>
            <w:r>
              <w:rPr>
                <w:spacing w:val="-2"/>
              </w:rPr>
              <w:t>. Nejvíce se objem mezd a platů zvyšoval v činnostech v oblasti nemovitostí (25,4 %), v odvětvích s převahou sektoru vládních institucí</w:t>
            </w:r>
            <w:r>
              <w:rPr>
                <w:rStyle w:val="Znakapoznpodarou"/>
                <w:spacing w:val="-2"/>
              </w:rPr>
              <w:footnoteReference w:id="8"/>
            </w:r>
            <w:r>
              <w:rPr>
                <w:spacing w:val="-2"/>
              </w:rPr>
              <w:t xml:space="preserve"> (23,1 %), ve zpracovatelském průmyslu (21,6 %), v ostatních činnostech a v uskupení obchod, doprava, ubytování a pohostinství (17,3 %). Silná tempa ale vykázalo i stavebnictví (11,3 %) a informační a komunikační činnosti (8,0 %), kde růst podpořilo z velké části navýšení zaměstnanosti, a rovněž zemědělství, lesnictví a rybářství (7,0 %). Jediným odvětvím, kde došlo k poklesu, bylo peněžnictví a </w:t>
            </w:r>
            <w:proofErr w:type="gramStart"/>
            <w:r>
              <w:rPr>
                <w:spacing w:val="-2"/>
              </w:rPr>
              <w:t>pojišťovnictví (–2,7</w:t>
            </w:r>
            <w:proofErr w:type="gramEnd"/>
            <w:r>
              <w:rPr>
                <w:spacing w:val="-2"/>
              </w:rPr>
              <w:t> %).</w:t>
            </w:r>
          </w:p>
        </w:tc>
      </w:tr>
      <w:tr w:rsidR="0039398D" w:rsidRPr="009110F7" w14:paraId="7F46C9A0" w14:textId="77777777" w:rsidTr="00AF7277">
        <w:trPr>
          <w:trHeight w:val="170"/>
        </w:trPr>
        <w:tc>
          <w:tcPr>
            <w:tcW w:w="1806" w:type="dxa"/>
            <w:vMerge w:val="restart"/>
            <w:shd w:val="clear" w:color="auto" w:fill="auto"/>
            <w:tcMar>
              <w:left w:w="0" w:type="dxa"/>
            </w:tcMar>
          </w:tcPr>
          <w:p w14:paraId="65223952" w14:textId="77777777" w:rsidR="0039398D" w:rsidRDefault="0039398D" w:rsidP="00AF7277">
            <w:pPr>
              <w:pStyle w:val="Marginlie"/>
            </w:pPr>
          </w:p>
        </w:tc>
        <w:tc>
          <w:tcPr>
            <w:tcW w:w="223" w:type="dxa"/>
            <w:vMerge w:val="restart"/>
            <w:shd w:val="clear" w:color="auto" w:fill="auto"/>
            <w:tcMar>
              <w:left w:w="0" w:type="dxa"/>
            </w:tcMar>
          </w:tcPr>
          <w:p w14:paraId="6CFDE417" w14:textId="77777777" w:rsidR="0039398D" w:rsidRDefault="0039398D" w:rsidP="00AF7277">
            <w:pPr>
              <w:pStyle w:val="Textpoznpodarou"/>
              <w:jc w:val="both"/>
              <w:rPr>
                <w:spacing w:val="-4"/>
              </w:rPr>
            </w:pPr>
          </w:p>
        </w:tc>
        <w:tc>
          <w:tcPr>
            <w:tcW w:w="7610" w:type="dxa"/>
            <w:shd w:val="clear" w:color="auto" w:fill="auto"/>
            <w:tcMar>
              <w:left w:w="0" w:type="dxa"/>
            </w:tcMar>
          </w:tcPr>
          <w:p w14:paraId="6324365F" w14:textId="77777777" w:rsidR="0039398D" w:rsidRPr="00D721B4" w:rsidRDefault="0039398D" w:rsidP="00AF7277">
            <w:pPr>
              <w:spacing w:after="0"/>
              <w:rPr>
                <w:szCs w:val="20"/>
              </w:rPr>
            </w:pPr>
            <w:r w:rsidRPr="00D721B4">
              <w:rPr>
                <w:b/>
                <w:szCs w:val="20"/>
              </w:rPr>
              <w:t>Graf č. 2</w:t>
            </w:r>
            <w:r>
              <w:rPr>
                <w:b/>
                <w:szCs w:val="20"/>
              </w:rPr>
              <w:t xml:space="preserve"> </w:t>
            </w:r>
            <w:r w:rsidRPr="00D721B4">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39398D" w:rsidRPr="009110F7" w14:paraId="5AD982C0" w14:textId="77777777" w:rsidTr="00AF7277">
        <w:tblPrEx>
          <w:tblCellMar>
            <w:left w:w="70" w:type="dxa"/>
            <w:right w:w="70" w:type="dxa"/>
          </w:tblCellMar>
        </w:tblPrEx>
        <w:trPr>
          <w:trHeight w:val="170"/>
        </w:trPr>
        <w:tc>
          <w:tcPr>
            <w:tcW w:w="1806" w:type="dxa"/>
            <w:vMerge/>
            <w:shd w:val="clear" w:color="auto" w:fill="auto"/>
          </w:tcPr>
          <w:p w14:paraId="59B20DA3" w14:textId="77777777" w:rsidR="0039398D" w:rsidRDefault="0039398D" w:rsidP="00AF7277">
            <w:pPr>
              <w:pStyle w:val="Marginlie"/>
            </w:pPr>
          </w:p>
        </w:tc>
        <w:tc>
          <w:tcPr>
            <w:tcW w:w="223" w:type="dxa"/>
            <w:vMerge/>
            <w:shd w:val="clear" w:color="auto" w:fill="auto"/>
          </w:tcPr>
          <w:p w14:paraId="1EC212A3" w14:textId="77777777" w:rsidR="0039398D" w:rsidRDefault="0039398D" w:rsidP="00AF7277">
            <w:pPr>
              <w:pStyle w:val="Textpoznpodarou"/>
              <w:jc w:val="both"/>
              <w:rPr>
                <w:spacing w:val="-4"/>
              </w:rPr>
            </w:pPr>
          </w:p>
        </w:tc>
        <w:tc>
          <w:tcPr>
            <w:tcW w:w="7610" w:type="dxa"/>
            <w:shd w:val="clear" w:color="auto" w:fill="auto"/>
          </w:tcPr>
          <w:p w14:paraId="1651CAB0" w14:textId="77777777" w:rsidR="0039398D" w:rsidRDefault="0039398D" w:rsidP="00AF7277">
            <w:pPr>
              <w:spacing w:after="0"/>
            </w:pPr>
            <w:r>
              <w:rPr>
                <w:noProof/>
              </w:rPr>
              <w:drawing>
                <wp:inline distT="0" distB="0" distL="0" distR="0" wp14:anchorId="05BC512E" wp14:editId="248315F9">
                  <wp:extent cx="4737600" cy="3553200"/>
                  <wp:effectExtent l="0" t="0" r="6350" b="0"/>
                  <wp:docPr id="7" name="Graf 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9398D" w:rsidRPr="009110F7" w14:paraId="3A0E057C" w14:textId="77777777" w:rsidTr="00AF7277">
        <w:trPr>
          <w:trHeight w:val="170"/>
        </w:trPr>
        <w:tc>
          <w:tcPr>
            <w:tcW w:w="1806" w:type="dxa"/>
            <w:vMerge/>
            <w:shd w:val="clear" w:color="auto" w:fill="auto"/>
            <w:tcMar>
              <w:left w:w="0" w:type="dxa"/>
            </w:tcMar>
          </w:tcPr>
          <w:p w14:paraId="6579DE28" w14:textId="77777777" w:rsidR="0039398D" w:rsidRDefault="0039398D" w:rsidP="00AF7277">
            <w:pPr>
              <w:pStyle w:val="Marginlie"/>
            </w:pPr>
          </w:p>
        </w:tc>
        <w:tc>
          <w:tcPr>
            <w:tcW w:w="223" w:type="dxa"/>
            <w:vMerge/>
            <w:shd w:val="clear" w:color="auto" w:fill="auto"/>
            <w:tcMar>
              <w:left w:w="0" w:type="dxa"/>
            </w:tcMar>
          </w:tcPr>
          <w:p w14:paraId="0F4C9FA4" w14:textId="77777777" w:rsidR="0039398D" w:rsidRDefault="0039398D" w:rsidP="00AF7277">
            <w:pPr>
              <w:pStyle w:val="Textpoznpodarou"/>
              <w:jc w:val="both"/>
              <w:rPr>
                <w:spacing w:val="-4"/>
              </w:rPr>
            </w:pPr>
          </w:p>
        </w:tc>
        <w:tc>
          <w:tcPr>
            <w:tcW w:w="7610" w:type="dxa"/>
            <w:shd w:val="clear" w:color="auto" w:fill="auto"/>
            <w:tcMar>
              <w:left w:w="0" w:type="dxa"/>
            </w:tcMar>
          </w:tcPr>
          <w:p w14:paraId="09951AC4" w14:textId="77777777" w:rsidR="0039398D" w:rsidRDefault="0039398D" w:rsidP="00AF7277">
            <w:pPr>
              <w:spacing w:after="0"/>
              <w:rPr>
                <w:sz w:val="14"/>
                <w:szCs w:val="14"/>
              </w:rPr>
            </w:pPr>
            <w:r>
              <w:rPr>
                <w:sz w:val="14"/>
                <w:szCs w:val="14"/>
              </w:rPr>
              <w:t>Zdroj: ČSÚ</w:t>
            </w:r>
          </w:p>
          <w:p w14:paraId="38308FEB" w14:textId="77777777" w:rsidR="0039398D" w:rsidRDefault="0039398D" w:rsidP="00AF7277">
            <w:r>
              <w:rPr>
                <w:sz w:val="14"/>
                <w:szCs w:val="14"/>
              </w:rPr>
              <w:t>* po vyloučení dovozu pro konečné užití</w:t>
            </w:r>
          </w:p>
        </w:tc>
      </w:tr>
      <w:tr w:rsidR="0039398D" w:rsidRPr="009110F7" w14:paraId="4BE5C60E" w14:textId="77777777" w:rsidTr="00AF7277">
        <w:trPr>
          <w:trHeight w:val="145"/>
        </w:trPr>
        <w:tc>
          <w:tcPr>
            <w:tcW w:w="1806" w:type="dxa"/>
            <w:shd w:val="clear" w:color="auto" w:fill="auto"/>
            <w:tcMar>
              <w:left w:w="0" w:type="dxa"/>
            </w:tcMar>
          </w:tcPr>
          <w:p w14:paraId="46F53B17" w14:textId="77777777" w:rsidR="0039398D" w:rsidRDefault="0039398D" w:rsidP="00AF7277">
            <w:pPr>
              <w:pStyle w:val="Marginlie"/>
            </w:pPr>
            <w:r>
              <w:t>Domácí spotřeba díky uvolnění restrikcí začala růst.</w:t>
            </w:r>
          </w:p>
        </w:tc>
        <w:tc>
          <w:tcPr>
            <w:tcW w:w="223" w:type="dxa"/>
            <w:shd w:val="clear" w:color="auto" w:fill="auto"/>
            <w:tcMar>
              <w:left w:w="0" w:type="dxa"/>
            </w:tcMar>
          </w:tcPr>
          <w:p w14:paraId="48E8C16A" w14:textId="77777777" w:rsidR="0039398D" w:rsidRDefault="0039398D" w:rsidP="00AF7277">
            <w:pPr>
              <w:pStyle w:val="Textpoznpodarou"/>
              <w:jc w:val="both"/>
              <w:rPr>
                <w:spacing w:val="-4"/>
              </w:rPr>
            </w:pPr>
          </w:p>
        </w:tc>
        <w:tc>
          <w:tcPr>
            <w:tcW w:w="7610" w:type="dxa"/>
            <w:shd w:val="clear" w:color="auto" w:fill="auto"/>
            <w:tcMar>
              <w:left w:w="0" w:type="dxa"/>
            </w:tcMar>
          </w:tcPr>
          <w:p w14:paraId="2450D41B" w14:textId="77777777" w:rsidR="0039398D" w:rsidRDefault="0039398D" w:rsidP="00F5615B">
            <w:r>
              <w:rPr>
                <w:spacing w:val="-2"/>
              </w:rPr>
              <w:t xml:space="preserve">Domácí spotřeba ve 2. čtvrtletí </w:t>
            </w:r>
            <w:proofErr w:type="spellStart"/>
            <w:r>
              <w:rPr>
                <w:spacing w:val="-2"/>
              </w:rPr>
              <w:t>mezi</w:t>
            </w:r>
            <w:r w:rsidR="00F5615B">
              <w:rPr>
                <w:spacing w:val="-2"/>
              </w:rPr>
              <w:t>kvartálně</w:t>
            </w:r>
            <w:proofErr w:type="spellEnd"/>
            <w:r>
              <w:rPr>
                <w:spacing w:val="-2"/>
              </w:rPr>
              <w:t xml:space="preserve"> vzrostla o 4,2 %. Narůstala především spotřeba domácností (6,5 %), kterým se ve srovnání s 1. čtvrtletím otevřelo více nákupních příležitostí. Přírůstek byl přitom silnější než ve 3. čtvrtletí minulého roku, během kterého byly také uvolněny restrikce. Aktuální vývoj ale ukazuje na realizaci </w:t>
            </w:r>
            <w:r>
              <w:rPr>
                <w:spacing w:val="-2"/>
              </w:rPr>
              <w:lastRenderedPageBreak/>
              <w:t xml:space="preserve">odložené spotřeby domácností. Naopak spotřeba vládních institucí </w:t>
            </w:r>
            <w:proofErr w:type="gramStart"/>
            <w:r>
              <w:rPr>
                <w:spacing w:val="-2"/>
              </w:rPr>
              <w:t>stagnovala (</w:t>
            </w:r>
            <w:r w:rsidR="00C706D2">
              <w:t>–</w:t>
            </w:r>
            <w:r>
              <w:rPr>
                <w:spacing w:val="-2"/>
              </w:rPr>
              <w:t>0,2</w:t>
            </w:r>
            <w:proofErr w:type="gramEnd"/>
            <w:r>
              <w:rPr>
                <w:spacing w:val="-2"/>
              </w:rPr>
              <w:t> %). Meziročně spotřeba vzrostla o 6,0 % a k nárůstu HDP přispěla 1,8 p. b.</w:t>
            </w:r>
            <w:r w:rsidRPr="00014ED0">
              <w:rPr>
                <w:rStyle w:val="Znakapoznpodarou"/>
                <w:spacing w:val="-2"/>
              </w:rPr>
              <w:footnoteReference w:id="9"/>
            </w:r>
            <w:r>
              <w:rPr>
                <w:spacing w:val="-2"/>
              </w:rPr>
              <w:t xml:space="preserve"> Výrazný byl opět přírůstek spotřeby domácností (7,4 %), v případě vládních institucí dosáhl 3,0 %. Výrazný růstový impulz samozřejmě získaly v předchozích kvartálech zaostávající segmenty trvanlivého zboží a služeb – spotřeba statků střednědobé trvanlivosti</w:t>
            </w:r>
            <w:r>
              <w:rPr>
                <w:rStyle w:val="Znakapoznpodarou"/>
                <w:spacing w:val="-2"/>
              </w:rPr>
              <w:footnoteReference w:id="10"/>
            </w:r>
            <w:r>
              <w:rPr>
                <w:spacing w:val="-2"/>
              </w:rPr>
              <w:t xml:space="preserve"> vzrostla mezičtvrtletně o 26,5 %</w:t>
            </w:r>
            <w:r>
              <w:rPr>
                <w:rStyle w:val="Znakapoznpodarou"/>
              </w:rPr>
              <w:footnoteReference w:id="11"/>
            </w:r>
            <w:r>
              <w:rPr>
                <w:spacing w:val="-2"/>
              </w:rPr>
              <w:t>, statků dlouhodobé trvanlivosti o 6,4 % a služeb o 7,6 %. Také spotřeba netrvanlivého zboží silně mezičtvrtletně rostla (4,3 %).</w:t>
            </w:r>
          </w:p>
        </w:tc>
      </w:tr>
      <w:tr w:rsidR="0039398D" w:rsidRPr="009110F7" w14:paraId="635A3CF2" w14:textId="77777777" w:rsidTr="00AF7277">
        <w:trPr>
          <w:trHeight w:val="145"/>
        </w:trPr>
        <w:tc>
          <w:tcPr>
            <w:tcW w:w="1806" w:type="dxa"/>
            <w:shd w:val="clear" w:color="auto" w:fill="auto"/>
            <w:tcMar>
              <w:left w:w="0" w:type="dxa"/>
            </w:tcMar>
          </w:tcPr>
          <w:p w14:paraId="48EBF468" w14:textId="77777777" w:rsidR="0039398D" w:rsidRDefault="0039398D" w:rsidP="00AF7277">
            <w:pPr>
              <w:pStyle w:val="Marginlie"/>
            </w:pPr>
            <w:r>
              <w:lastRenderedPageBreak/>
              <w:t>Investiční výdaje zaznamenaly výrazné oživení.</w:t>
            </w:r>
          </w:p>
        </w:tc>
        <w:tc>
          <w:tcPr>
            <w:tcW w:w="223" w:type="dxa"/>
            <w:shd w:val="clear" w:color="auto" w:fill="auto"/>
            <w:tcMar>
              <w:left w:w="0" w:type="dxa"/>
            </w:tcMar>
          </w:tcPr>
          <w:p w14:paraId="1F0C1426" w14:textId="77777777" w:rsidR="0039398D" w:rsidRDefault="0039398D" w:rsidP="00AF7277">
            <w:pPr>
              <w:pStyle w:val="Textpoznpodarou"/>
              <w:jc w:val="both"/>
              <w:rPr>
                <w:spacing w:val="-4"/>
              </w:rPr>
            </w:pPr>
          </w:p>
        </w:tc>
        <w:tc>
          <w:tcPr>
            <w:tcW w:w="7610" w:type="dxa"/>
            <w:shd w:val="clear" w:color="auto" w:fill="auto"/>
            <w:tcMar>
              <w:left w:w="0" w:type="dxa"/>
            </w:tcMar>
          </w:tcPr>
          <w:p w14:paraId="2D6DAB88" w14:textId="77777777" w:rsidR="0039398D" w:rsidRDefault="0039398D" w:rsidP="00F5615B">
            <w:r>
              <w:t xml:space="preserve">Výdaje na tvorbu hrubého kapitálu ve 2. čtvrtletí </w:t>
            </w:r>
            <w:proofErr w:type="spellStart"/>
            <w:r>
              <w:t>mezi</w:t>
            </w:r>
            <w:r w:rsidR="00F5615B">
              <w:t>kvartálně</w:t>
            </w:r>
            <w:proofErr w:type="spellEnd"/>
            <w:r>
              <w:t xml:space="preserve"> vzrostly o 4,3 % a meziročně o 13,0 %. Příspěvek tvorby hrubého kapitálu k meziročnímu růstu HDP dosáhl 1,6 p. b. Především v meziročním srovnání hrála velkou roli změna zásob. Nárůst zásob nedokončené produkce a hotových výrobků průmyslových podniků tak výrazně přispěl k meziročnímu navýšení tvorby hrubého kapitálu</w:t>
            </w:r>
            <w:r>
              <w:rPr>
                <w:rStyle w:val="Znakapoznpodarou"/>
              </w:rPr>
              <w:footnoteReference w:id="12"/>
            </w:r>
            <w:r>
              <w:t>. Výdaje na tvorbu hrubého fixního kapitálu mezičtvrtletně narostly o 4,2 % a meziroční navýšení dosáhlo 1,5 %. Investice přitom meziročně vzrostly poprvé od 4. čtvrtletí 2019. Srovnání údajů očištěných o cenové vlivy ukazuje, že investice v letošním 2. čtvrtletí zatím zaostávají za obdobím před příchodem pandemie. Věcné členění tvorby hrubého kapitálu nepřímo dokládá oživení investic nefinančních podniků – mezičtvrtletně se silně zvyšovaly výdaje na dopravní prostředky a zařízení (10,2 %) a zrychlil i přírůstek investic do ICT a ostatních strojů a zařízení (4,8 %). O 1,0 % se zvýšily investice do produktů duševního vlastnictví. Velmi silný byl i přírůstek investic do obydlí, kterým dominují domácnosti (9,9 %). Mírně se mezičtvrtletně navýšily také investice do ostatních budov a staveb (0,3 %). Ve srovnání s loňským 2. čtvrtletím ale nadále zaostávaly investice do ostatních budov a </w:t>
            </w:r>
            <w:proofErr w:type="gramStart"/>
            <w:r>
              <w:t>staveb (–4,2</w:t>
            </w:r>
            <w:proofErr w:type="gramEnd"/>
            <w:r>
              <w:t> %) i produktů duševního vlastnictví (–0,5 %). Naopak výdaje na obydlí byly vyšší o 9,7 %, na ICT a ostatní stroje a zařízení o 2,7 % a na dopravní prostředky a zařízení o 1,9 %.</w:t>
            </w:r>
          </w:p>
        </w:tc>
      </w:tr>
      <w:tr w:rsidR="0039398D" w:rsidRPr="009110F7" w14:paraId="471E63DB" w14:textId="77777777" w:rsidTr="00AF7277">
        <w:trPr>
          <w:trHeight w:val="145"/>
        </w:trPr>
        <w:tc>
          <w:tcPr>
            <w:tcW w:w="1806" w:type="dxa"/>
            <w:shd w:val="clear" w:color="auto" w:fill="auto"/>
            <w:tcMar>
              <w:left w:w="0" w:type="dxa"/>
            </w:tcMar>
          </w:tcPr>
          <w:p w14:paraId="17E10721" w14:textId="77777777" w:rsidR="0039398D" w:rsidRDefault="0039398D" w:rsidP="00AF7277">
            <w:pPr>
              <w:pStyle w:val="Marginlie"/>
            </w:pPr>
            <w:r>
              <w:t>Bilance zahraničního obchodu přispěla k meziročnímu růstu HDP, její přebytek ale patřil k nejnižším za poslední roky.</w:t>
            </w:r>
          </w:p>
        </w:tc>
        <w:tc>
          <w:tcPr>
            <w:tcW w:w="223" w:type="dxa"/>
            <w:shd w:val="clear" w:color="auto" w:fill="auto"/>
            <w:tcMar>
              <w:left w:w="0" w:type="dxa"/>
            </w:tcMar>
          </w:tcPr>
          <w:p w14:paraId="2EDB3017" w14:textId="77777777" w:rsidR="0039398D" w:rsidRDefault="0039398D" w:rsidP="00AF7277">
            <w:pPr>
              <w:pStyle w:val="Textpoznpodarou"/>
              <w:jc w:val="both"/>
              <w:rPr>
                <w:spacing w:val="-4"/>
              </w:rPr>
            </w:pPr>
          </w:p>
        </w:tc>
        <w:tc>
          <w:tcPr>
            <w:tcW w:w="7610" w:type="dxa"/>
            <w:shd w:val="clear" w:color="auto" w:fill="auto"/>
            <w:tcMar>
              <w:left w:w="0" w:type="dxa"/>
            </w:tcMar>
          </w:tcPr>
          <w:p w14:paraId="29D0B78D" w14:textId="77777777" w:rsidR="0039398D" w:rsidRDefault="0039398D" w:rsidP="00AF7277">
            <w:r>
              <w:t>V průběhu podzimní a zimní vlny epidemie už nedošlo k omezení průmyslu a potažmo zahraničního obchodu. Mezičtvrtletní reálný přírůstek vývozu zboží a služeb tak činil 0,6 %</w:t>
            </w:r>
            <w:r w:rsidRPr="009110F7">
              <w:rPr>
                <w:rStyle w:val="Znakapoznpodarou"/>
              </w:rPr>
              <w:footnoteReference w:id="13"/>
            </w:r>
            <w:r>
              <w:t xml:space="preserve">. Z toho export zboží klesl o 0,7 %, zatímco export služeb narostl o 8,7 %. Naopak dovoz se mezičtvrtletně zvedl o výrazná 4,9 % a lze předpokládat, že část z tohoto nárůstu souvisí i se zvýšenou investiční aktivitou podniků. Tento výrazný rozdíl mezi dynamikou vývozu a dovozu vyústil v mezičtvrtletní zhoršení bilance zahraničního obchodu, čímž se zahraniční poptávka stala jediným faktorem působícím ve směru mezičtvrtletního poklesu HDP. Meziročně se vývoz reálně zvýšil o 30,6 %, což je ale ovlivněno slabým srovnávacím obdobím, a dovoz obdobně narostl o 31,3 %. Bilance zahraničního obchodu ve 2. čtvrtletí dosáhla přebytku 56,3 mld. korun, což je meziročně o 15,0 mld. lepší výsledek, takže výsledný příspěvek zahraniční poptávky k meziročnímu růstu HDP dosáhl 4,8 p. b. S výjimkou loňského 2. kvartálu jde ale o nejslabší přebytek od 2. čtvrtletí 2015. Zlepšil se přebytek obchodu se zbožím (+10,8 mld. korun) i službami (+4,2 mld.), ale hodnota 30,2 mld. pro bilanci obchodu se zbožím byla </w:t>
            </w:r>
            <w:r w:rsidR="00C706D2">
              <w:t xml:space="preserve">s výjimkou loňského 2. kvartálu </w:t>
            </w:r>
            <w:r>
              <w:t>nejhorší od 4. čtvrtletí 2012.</w:t>
            </w:r>
          </w:p>
        </w:tc>
      </w:tr>
      <w:tr w:rsidR="0039398D" w:rsidRPr="009110F7" w14:paraId="710C72D5" w14:textId="77777777" w:rsidTr="00AF7277">
        <w:trPr>
          <w:trHeight w:val="145"/>
        </w:trPr>
        <w:tc>
          <w:tcPr>
            <w:tcW w:w="1806" w:type="dxa"/>
            <w:shd w:val="clear" w:color="auto" w:fill="auto"/>
            <w:tcMar>
              <w:left w:w="0" w:type="dxa"/>
            </w:tcMar>
          </w:tcPr>
          <w:p w14:paraId="73E994E8" w14:textId="77777777" w:rsidR="0039398D" w:rsidRDefault="0039398D" w:rsidP="00AF7277">
            <w:pPr>
              <w:pStyle w:val="Marginlie"/>
            </w:pPr>
            <w:r>
              <w:t>Mezičtvrtletní růst hrubé přidané hodnoty podpořilo uvolnění restrikcí v obchodě a službách.</w:t>
            </w:r>
          </w:p>
        </w:tc>
        <w:tc>
          <w:tcPr>
            <w:tcW w:w="223" w:type="dxa"/>
            <w:shd w:val="clear" w:color="auto" w:fill="auto"/>
            <w:tcMar>
              <w:left w:w="0" w:type="dxa"/>
            </w:tcMar>
          </w:tcPr>
          <w:p w14:paraId="63028C01" w14:textId="77777777" w:rsidR="0039398D" w:rsidRDefault="0039398D" w:rsidP="00AF7277">
            <w:pPr>
              <w:pStyle w:val="Textpoznpodarou"/>
              <w:jc w:val="both"/>
              <w:rPr>
                <w:spacing w:val="-4"/>
              </w:rPr>
            </w:pPr>
          </w:p>
        </w:tc>
        <w:tc>
          <w:tcPr>
            <w:tcW w:w="7610" w:type="dxa"/>
            <w:shd w:val="clear" w:color="auto" w:fill="auto"/>
            <w:tcMar>
              <w:left w:w="0" w:type="dxa"/>
            </w:tcMar>
          </w:tcPr>
          <w:p w14:paraId="73C1E8CA" w14:textId="77777777" w:rsidR="0039398D" w:rsidRPr="00F93F2C" w:rsidRDefault="0039398D" w:rsidP="00AF7277">
            <w:r>
              <w:t xml:space="preserve">Hrubá přidaná hodnota (HPH) se ve 2. čtvrtletí mezičtvrtletně zvýšila o 0,7 %. Ve srovnání s 1. kvartálem se zlepšil výkon většiny odvětví s výjimkou </w:t>
            </w:r>
            <w:proofErr w:type="gramStart"/>
            <w:r>
              <w:t xml:space="preserve">zemědělství </w:t>
            </w:r>
            <w:r>
              <w:br/>
              <w:t>(–3,1</w:t>
            </w:r>
            <w:proofErr w:type="gramEnd"/>
            <w:r>
              <w:t xml:space="preserve"> %), peněžnictví a pojišťovnictví (–2,2 %) a činností v oblasti nemovitostí </w:t>
            </w:r>
            <w:r>
              <w:br/>
              <w:t xml:space="preserve">(–1,2 %). Výrazné mezičtvrtletní oživení naopak vykázalo uskupení obchod, doprava, ubytování a pohostinství (3,5 %), které výrazně těžily z uvolnění protiepidemických restrikcí. U ostatních odvětví služeb byly přírůstky mírnější – shodně o 0,8 % vzrostly </w:t>
            </w:r>
            <w:r>
              <w:lastRenderedPageBreak/>
              <w:t>profesní, vědecké, technické a administrativní činnosti a odvětví s převahou vládního sektoru, mírně rostly informační a komunikační činnosti (0,3 %) a stagnovaly ostatní činnosti (0,1 %). Zpracovatelský průmysl, který čelil problémům souvisejícím s narušením dodavatelských řetězců, nakonec vzrostl o 1,1 %. Mírně rostla i HPH ve stavebnictví (0,5 %).</w:t>
            </w:r>
          </w:p>
        </w:tc>
      </w:tr>
      <w:tr w:rsidR="0039398D" w:rsidRPr="009110F7" w14:paraId="3CDDF3B9" w14:textId="77777777" w:rsidTr="00AF7277">
        <w:trPr>
          <w:trHeight w:val="145"/>
        </w:trPr>
        <w:tc>
          <w:tcPr>
            <w:tcW w:w="1806" w:type="dxa"/>
            <w:shd w:val="clear" w:color="auto" w:fill="auto"/>
            <w:tcMar>
              <w:left w:w="0" w:type="dxa"/>
            </w:tcMar>
          </w:tcPr>
          <w:p w14:paraId="059E537D" w14:textId="77777777" w:rsidR="0039398D" w:rsidRDefault="0039398D" w:rsidP="00AF7277">
            <w:pPr>
              <w:pStyle w:val="Marginlie"/>
            </w:pPr>
            <w:r>
              <w:lastRenderedPageBreak/>
              <w:t>Meziroční navýšení HPH ovlivnila hlavně nízká srovnávací základna loňského roku.</w:t>
            </w:r>
          </w:p>
        </w:tc>
        <w:tc>
          <w:tcPr>
            <w:tcW w:w="223" w:type="dxa"/>
            <w:shd w:val="clear" w:color="auto" w:fill="auto"/>
            <w:tcMar>
              <w:left w:w="0" w:type="dxa"/>
            </w:tcMar>
          </w:tcPr>
          <w:p w14:paraId="25F58A80" w14:textId="77777777" w:rsidR="0039398D" w:rsidRDefault="0039398D" w:rsidP="00AF7277">
            <w:pPr>
              <w:pStyle w:val="Textpoznpodarou"/>
              <w:jc w:val="both"/>
              <w:rPr>
                <w:spacing w:val="-4"/>
              </w:rPr>
            </w:pPr>
          </w:p>
        </w:tc>
        <w:tc>
          <w:tcPr>
            <w:tcW w:w="7610" w:type="dxa"/>
            <w:shd w:val="clear" w:color="auto" w:fill="auto"/>
            <w:tcMar>
              <w:left w:w="0" w:type="dxa"/>
            </w:tcMar>
          </w:tcPr>
          <w:p w14:paraId="57CF0ACB" w14:textId="77777777" w:rsidR="0039398D" w:rsidRDefault="0039398D" w:rsidP="00AF7277">
            <w:r>
              <w:t>Meziročně byla hrubá přidaná hodnota vyšší o 8,4 %. Silné navýšení bylo samozřejmě ovlivněno nízkou srovnávací základnou a platilo to také o jednotlivých odvětvích. Meziroční navýšení HPH ve zpracovatelském průmyslu o 23,2 % tak z velké části souvisí s loňským pozastavením provozu v části průmyslu, zatím ale odvětví zaostává například za úrovní 2. kvartálu 2019. Podobně je tomu u uskupení obchod, doprava, ubytování a pohostinství, jehož HPH byla meziročně o 9,4 % vyšší. Solidní meziroční přírůstky měla HPH také v peněžnictví a pojišťovnictví (6,6 %), ostatních činnostech (4,8 %), informačních a komunikačních činnostech (4,3 %), veřejné správě a obraně, vzdělávání, zdravotní a sociální péči (4,2 %) a zemědělství (4,1 %). Naopak jen mírně překonaly úroveň loňského roku činnosti v oblasti nemovitostí (0,7 %), stavebnictví (0,4 %) a profesní, vědecké, technické a administrativní činnosti (0,2 %).</w:t>
            </w:r>
          </w:p>
        </w:tc>
      </w:tr>
      <w:tr w:rsidR="0039398D" w:rsidRPr="009110F7" w14:paraId="19340417" w14:textId="77777777" w:rsidTr="00AF7277">
        <w:trPr>
          <w:trHeight w:val="170"/>
        </w:trPr>
        <w:tc>
          <w:tcPr>
            <w:tcW w:w="1806" w:type="dxa"/>
            <w:vMerge w:val="restart"/>
            <w:shd w:val="clear" w:color="auto" w:fill="auto"/>
            <w:tcMar>
              <w:left w:w="0" w:type="dxa"/>
            </w:tcMar>
          </w:tcPr>
          <w:p w14:paraId="29DBE237" w14:textId="77777777" w:rsidR="0039398D" w:rsidRDefault="0039398D" w:rsidP="00AF7277">
            <w:pPr>
              <w:pStyle w:val="Marginlie"/>
            </w:pPr>
          </w:p>
        </w:tc>
        <w:tc>
          <w:tcPr>
            <w:tcW w:w="223" w:type="dxa"/>
            <w:vMerge w:val="restart"/>
            <w:shd w:val="clear" w:color="auto" w:fill="auto"/>
            <w:tcMar>
              <w:left w:w="0" w:type="dxa"/>
            </w:tcMar>
          </w:tcPr>
          <w:p w14:paraId="738221EF" w14:textId="77777777" w:rsidR="0039398D" w:rsidRDefault="0039398D" w:rsidP="00AF7277">
            <w:pPr>
              <w:pStyle w:val="Textpoznpodarou"/>
              <w:jc w:val="both"/>
              <w:rPr>
                <w:spacing w:val="-4"/>
              </w:rPr>
            </w:pPr>
          </w:p>
        </w:tc>
        <w:tc>
          <w:tcPr>
            <w:tcW w:w="7610" w:type="dxa"/>
            <w:shd w:val="clear" w:color="auto" w:fill="auto"/>
            <w:tcMar>
              <w:left w:w="0" w:type="dxa"/>
            </w:tcMar>
          </w:tcPr>
          <w:p w14:paraId="625CB260" w14:textId="77777777" w:rsidR="0039398D" w:rsidRPr="00D721B4" w:rsidRDefault="0039398D" w:rsidP="00AF7277">
            <w:pPr>
              <w:spacing w:after="0"/>
              <w:rPr>
                <w:szCs w:val="20"/>
              </w:rPr>
            </w:pPr>
            <w:r w:rsidRPr="00D721B4">
              <w:rPr>
                <w:b/>
                <w:szCs w:val="20"/>
              </w:rPr>
              <w:t>Graf č. 3</w:t>
            </w:r>
            <w:r>
              <w:rPr>
                <w:b/>
                <w:szCs w:val="20"/>
              </w:rPr>
              <w:t xml:space="preserve"> </w:t>
            </w:r>
            <w:r w:rsidRPr="00D721B4">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39398D" w:rsidRPr="009110F7" w14:paraId="1633F39F" w14:textId="77777777" w:rsidTr="00AF7277">
        <w:tblPrEx>
          <w:tblCellMar>
            <w:left w:w="70" w:type="dxa"/>
            <w:right w:w="70" w:type="dxa"/>
          </w:tblCellMar>
        </w:tblPrEx>
        <w:trPr>
          <w:trHeight w:val="170"/>
        </w:trPr>
        <w:tc>
          <w:tcPr>
            <w:tcW w:w="1806" w:type="dxa"/>
            <w:vMerge/>
            <w:shd w:val="clear" w:color="auto" w:fill="auto"/>
          </w:tcPr>
          <w:p w14:paraId="7B8D9974" w14:textId="77777777" w:rsidR="0039398D" w:rsidRPr="009110F7" w:rsidRDefault="0039398D" w:rsidP="00AF7277">
            <w:pPr>
              <w:pStyle w:val="Marginlie"/>
            </w:pPr>
          </w:p>
        </w:tc>
        <w:tc>
          <w:tcPr>
            <w:tcW w:w="223" w:type="dxa"/>
            <w:vMerge/>
            <w:shd w:val="clear" w:color="auto" w:fill="auto"/>
          </w:tcPr>
          <w:p w14:paraId="0244F2B4" w14:textId="77777777" w:rsidR="0039398D" w:rsidRPr="009110F7" w:rsidRDefault="0039398D" w:rsidP="00AF7277">
            <w:pPr>
              <w:pStyle w:val="Textpoznpodarou"/>
              <w:jc w:val="both"/>
              <w:rPr>
                <w:spacing w:val="-4"/>
              </w:rPr>
            </w:pPr>
          </w:p>
        </w:tc>
        <w:tc>
          <w:tcPr>
            <w:tcW w:w="7610" w:type="dxa"/>
            <w:shd w:val="clear" w:color="auto" w:fill="auto"/>
          </w:tcPr>
          <w:p w14:paraId="2A1F84BC" w14:textId="77777777" w:rsidR="0039398D" w:rsidRPr="009110F7" w:rsidRDefault="0039398D" w:rsidP="00AF7277">
            <w:pPr>
              <w:spacing w:after="0"/>
            </w:pPr>
            <w:r>
              <w:rPr>
                <w:noProof/>
              </w:rPr>
              <w:drawing>
                <wp:inline distT="0" distB="0" distL="0" distR="0" wp14:anchorId="53EEB724" wp14:editId="07F4B713">
                  <wp:extent cx="4737600" cy="3486525"/>
                  <wp:effectExtent l="0" t="0" r="6350" b="0"/>
                  <wp:docPr id="8" name="Graf 8">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9398D" w:rsidRPr="009110F7" w14:paraId="7C22976A" w14:textId="77777777" w:rsidTr="00AF7277">
        <w:trPr>
          <w:trHeight w:val="170"/>
        </w:trPr>
        <w:tc>
          <w:tcPr>
            <w:tcW w:w="1806" w:type="dxa"/>
            <w:vMerge/>
            <w:shd w:val="clear" w:color="auto" w:fill="auto"/>
            <w:tcMar>
              <w:left w:w="0" w:type="dxa"/>
            </w:tcMar>
          </w:tcPr>
          <w:p w14:paraId="6215E4A4" w14:textId="77777777" w:rsidR="0039398D" w:rsidRPr="009110F7" w:rsidRDefault="0039398D" w:rsidP="00AF7277">
            <w:pPr>
              <w:pStyle w:val="Marginlie"/>
            </w:pPr>
          </w:p>
        </w:tc>
        <w:tc>
          <w:tcPr>
            <w:tcW w:w="223" w:type="dxa"/>
            <w:vMerge/>
            <w:shd w:val="clear" w:color="auto" w:fill="auto"/>
            <w:tcMar>
              <w:left w:w="0" w:type="dxa"/>
            </w:tcMar>
          </w:tcPr>
          <w:p w14:paraId="7CF14529" w14:textId="77777777" w:rsidR="0039398D" w:rsidRPr="009110F7" w:rsidRDefault="0039398D" w:rsidP="00AF7277">
            <w:pPr>
              <w:pStyle w:val="Textpoznpodarou"/>
              <w:jc w:val="both"/>
              <w:rPr>
                <w:spacing w:val="-4"/>
              </w:rPr>
            </w:pPr>
          </w:p>
        </w:tc>
        <w:tc>
          <w:tcPr>
            <w:tcW w:w="7610" w:type="dxa"/>
            <w:shd w:val="clear" w:color="auto" w:fill="auto"/>
            <w:tcMar>
              <w:left w:w="0" w:type="dxa"/>
            </w:tcMar>
          </w:tcPr>
          <w:p w14:paraId="4EF73113" w14:textId="77777777" w:rsidR="0039398D" w:rsidRPr="009110F7" w:rsidRDefault="0039398D" w:rsidP="00AF7277">
            <w:pPr>
              <w:rPr>
                <w:sz w:val="14"/>
                <w:szCs w:val="14"/>
              </w:rPr>
            </w:pPr>
            <w:r w:rsidRPr="00A85DE1">
              <w:rPr>
                <w:sz w:val="14"/>
                <w:szCs w:val="14"/>
              </w:rPr>
              <w:t>Zdroj: ČSÚ</w:t>
            </w:r>
          </w:p>
        </w:tc>
      </w:tr>
    </w:tbl>
    <w:p w14:paraId="5617C4D4" w14:textId="77777777" w:rsidR="0039398D" w:rsidRPr="00C41D54" w:rsidRDefault="0039398D" w:rsidP="0039398D">
      <w:pPr>
        <w:pStyle w:val="Nadpis11"/>
        <w:rPr>
          <w:b w:val="0"/>
          <w:sz w:val="2"/>
          <w:szCs w:val="2"/>
          <w:highlight w:val="yellow"/>
        </w:rPr>
      </w:pPr>
    </w:p>
    <w:p w14:paraId="68E6D4A7" w14:textId="77777777" w:rsidR="0039398D" w:rsidRPr="00DA3ADF" w:rsidRDefault="0039398D" w:rsidP="0039398D">
      <w:pPr>
        <w:spacing w:after="0" w:line="240" w:lineRule="auto"/>
        <w:jc w:val="left"/>
        <w:rPr>
          <w:rFonts w:eastAsia="MS Gothic"/>
          <w:bCs/>
          <w:color w:val="71818C"/>
          <w:sz w:val="2"/>
          <w:szCs w:val="2"/>
          <w:highlight w:val="yellow"/>
        </w:rPr>
      </w:pPr>
    </w:p>
    <w:p w14:paraId="7A78EA20" w14:textId="77777777" w:rsidR="0039398D" w:rsidRDefault="0039398D" w:rsidP="0039398D">
      <w:pPr>
        <w:spacing w:after="0" w:line="240" w:lineRule="auto"/>
        <w:jc w:val="left"/>
        <w:rPr>
          <w:b/>
          <w:sz w:val="2"/>
          <w:szCs w:val="2"/>
          <w:highlight w:val="yellow"/>
        </w:rPr>
      </w:pPr>
    </w:p>
    <w:p w14:paraId="0BBAB734" w14:textId="77777777" w:rsidR="0039398D" w:rsidRPr="00E42054" w:rsidRDefault="0039398D" w:rsidP="0039398D">
      <w:pPr>
        <w:pStyle w:val="Nadpis11"/>
        <w:spacing w:after="0"/>
        <w:rPr>
          <w:b w:val="0"/>
          <w:sz w:val="2"/>
          <w:szCs w:val="2"/>
        </w:rPr>
      </w:pPr>
    </w:p>
    <w:p w14:paraId="1512F6D2" w14:textId="77777777" w:rsidR="0039398D" w:rsidRDefault="0039398D" w:rsidP="0039398D">
      <w:pPr>
        <w:spacing w:after="0" w:line="240" w:lineRule="auto"/>
        <w:jc w:val="left"/>
        <w:rPr>
          <w:b/>
          <w:sz w:val="2"/>
          <w:szCs w:val="2"/>
          <w:highlight w:val="yellow"/>
        </w:rPr>
      </w:pPr>
    </w:p>
    <w:p w14:paraId="1393A138" w14:textId="77777777" w:rsidR="0039398D" w:rsidRPr="000F45E7" w:rsidRDefault="0039398D" w:rsidP="0039398D">
      <w:pPr>
        <w:pStyle w:val="Nadpis11"/>
        <w:spacing w:after="0"/>
        <w:rPr>
          <w:b w:val="0"/>
          <w:sz w:val="2"/>
          <w:szCs w:val="2"/>
        </w:rPr>
      </w:pPr>
    </w:p>
    <w:p w14:paraId="219CAD66" w14:textId="77777777" w:rsidR="0039398D" w:rsidRPr="00E42054" w:rsidRDefault="0039398D" w:rsidP="0039398D">
      <w:pPr>
        <w:pStyle w:val="Nadpis11"/>
        <w:rPr>
          <w:b w:val="0"/>
          <w:sz w:val="2"/>
          <w:szCs w:val="2"/>
        </w:rPr>
      </w:pPr>
    </w:p>
    <w:p w14:paraId="12B4E38C" w14:textId="77777777" w:rsidR="0039398D" w:rsidRDefault="0039398D">
      <w:pPr>
        <w:spacing w:after="0" w:line="240" w:lineRule="auto"/>
        <w:jc w:val="left"/>
        <w:rPr>
          <w:rFonts w:eastAsia="MS Gothic"/>
          <w:b/>
          <w:bCs/>
          <w:color w:val="71818C"/>
          <w:sz w:val="32"/>
          <w:szCs w:val="28"/>
        </w:rPr>
      </w:pPr>
      <w:bookmarkStart w:id="9" w:name="_Toc58605374"/>
      <w:bookmarkStart w:id="10" w:name="_Toc66719930"/>
      <w:bookmarkStart w:id="11" w:name="_Toc532558287"/>
      <w:bookmarkStart w:id="12" w:name="_Toc58605375"/>
      <w:bookmarkEnd w:id="4"/>
      <w:bookmarkEnd w:id="5"/>
      <w:bookmarkEnd w:id="6"/>
      <w:r>
        <w:br w:type="page"/>
      </w:r>
    </w:p>
    <w:p w14:paraId="408A1BE5" w14:textId="77777777" w:rsidR="00BB50C0" w:rsidRDefault="00BB50C0" w:rsidP="00BB50C0">
      <w:pPr>
        <w:spacing w:after="0" w:line="240" w:lineRule="auto"/>
        <w:jc w:val="left"/>
        <w:rPr>
          <w:b/>
          <w:sz w:val="2"/>
          <w:szCs w:val="2"/>
          <w:highlight w:val="yellow"/>
        </w:rPr>
      </w:pPr>
    </w:p>
    <w:p w14:paraId="0D5CF636" w14:textId="77777777" w:rsidR="00ED1959" w:rsidRDefault="00ED1959" w:rsidP="00ED1959">
      <w:pPr>
        <w:pStyle w:val="Nadpis11"/>
      </w:pPr>
      <w:bookmarkStart w:id="13" w:name="_Toc82508186"/>
      <w:r>
        <w:t>3</w:t>
      </w:r>
      <w:r w:rsidRPr="00B43216">
        <w:t>. </w:t>
      </w:r>
      <w:r>
        <w:t>Výkonnost odvětví</w:t>
      </w:r>
      <w:bookmarkEnd w:id="13"/>
    </w:p>
    <w:tbl>
      <w:tblPr>
        <w:tblW w:w="9664" w:type="dxa"/>
        <w:tblInd w:w="-30" w:type="dxa"/>
        <w:tblCellMar>
          <w:left w:w="0" w:type="dxa"/>
          <w:right w:w="0" w:type="dxa"/>
        </w:tblCellMar>
        <w:tblLook w:val="00A0" w:firstRow="1" w:lastRow="0" w:firstColumn="1" w:lastColumn="0" w:noHBand="0" w:noVBand="0"/>
      </w:tblPr>
      <w:tblGrid>
        <w:gridCol w:w="1728"/>
        <w:gridCol w:w="206"/>
        <w:gridCol w:w="7730"/>
      </w:tblGrid>
      <w:tr w:rsidR="00ED1959" w:rsidRPr="006237E6" w14:paraId="24CABF6A" w14:textId="77777777" w:rsidTr="000F7C73">
        <w:trPr>
          <w:trHeight w:val="155"/>
        </w:trPr>
        <w:tc>
          <w:tcPr>
            <w:tcW w:w="1728" w:type="dxa"/>
            <w:shd w:val="clear" w:color="auto" w:fill="auto"/>
            <w:tcMar>
              <w:left w:w="0" w:type="dxa"/>
            </w:tcMar>
          </w:tcPr>
          <w:p w14:paraId="425E3D2D" w14:textId="77777777" w:rsidR="00ED1959" w:rsidRDefault="00ED1959" w:rsidP="000F7C73">
            <w:pPr>
              <w:pStyle w:val="Marginlie"/>
            </w:pPr>
            <w:r>
              <w:t xml:space="preserve">Hrubá přidaná hodnota ve 2. čtvrtletí </w:t>
            </w:r>
            <w:proofErr w:type="spellStart"/>
            <w:r>
              <w:t>mezikvartálně</w:t>
            </w:r>
            <w:proofErr w:type="spellEnd"/>
            <w:r>
              <w:t xml:space="preserve"> mírně vzrostla, zejména zásluhou odvětví obchodu, dopravy, ubytování a pohostinství.</w:t>
            </w:r>
          </w:p>
        </w:tc>
        <w:tc>
          <w:tcPr>
            <w:tcW w:w="206" w:type="dxa"/>
            <w:shd w:val="clear" w:color="auto" w:fill="auto"/>
            <w:tcMar>
              <w:left w:w="0" w:type="dxa"/>
            </w:tcMar>
          </w:tcPr>
          <w:p w14:paraId="345DACBB"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08B8636B" w14:textId="77777777" w:rsidR="00ED1959" w:rsidRPr="001F719B" w:rsidRDefault="00ED1959" w:rsidP="000F7C73">
            <w:pPr>
              <w:spacing w:after="200"/>
              <w:rPr>
                <w:spacing w:val="-4"/>
              </w:rPr>
            </w:pPr>
            <w:r>
              <w:rPr>
                <w:spacing w:val="-4"/>
              </w:rPr>
              <w:t xml:space="preserve">Výrazné zlepšení pandemické situace ve druhém letošním čtvrtletí spojené s postupným uvolněním restrikcí svírajících část ekonomiky vedla k očekávanému oživení, a to zejména díky vyšší spotřebě domácností i celkové investiční aktivitě. Jestliže v 1. čtvrtletí 2021 klesla </w:t>
            </w:r>
            <w:r w:rsidRPr="001F719B">
              <w:rPr>
                <w:spacing w:val="-4"/>
              </w:rPr>
              <w:t>hrubá přidaná hodnota (HPH)</w:t>
            </w:r>
            <w:r w:rsidRPr="001F719B">
              <w:rPr>
                <w:rStyle w:val="Znakapoznpodarou"/>
                <w:spacing w:val="-4"/>
              </w:rPr>
              <w:footnoteReference w:id="14"/>
            </w:r>
            <w:r>
              <w:rPr>
                <w:spacing w:val="-4"/>
              </w:rPr>
              <w:t xml:space="preserve"> v tuzemské ekonomice </w:t>
            </w:r>
            <w:proofErr w:type="spellStart"/>
            <w:r>
              <w:rPr>
                <w:spacing w:val="-4"/>
              </w:rPr>
              <w:t>mezikvartálně</w:t>
            </w:r>
            <w:proofErr w:type="spellEnd"/>
            <w:r>
              <w:rPr>
                <w:spacing w:val="-4"/>
              </w:rPr>
              <w:t xml:space="preserve"> o</w:t>
            </w:r>
            <w:r w:rsidRPr="001F719B">
              <w:rPr>
                <w:spacing w:val="-4"/>
              </w:rPr>
              <w:t> </w:t>
            </w:r>
            <w:r>
              <w:rPr>
                <w:spacing w:val="-4"/>
              </w:rPr>
              <w:t>0,4 %, v navazujícím období již vykázala 0,7% růst. Podobně jako v celé EU, kde ovšem bylo oživení během 2. čtvrtletí razantnější (1,9 %), sehrálo v tomto obratu i v Česku klíčovou pozitivní roli širší odvětvové uskupení obchod, doprava, ubytování a pohostinství. Přestože alespoň mírný růst zaznamenala drtivá většina hlavních odvětví, celková HPH zatím za svým předkrizovým maximem (ze 4. čtvrtletí 2019) stále významně zaostávala (o</w:t>
            </w:r>
            <w:r w:rsidRPr="001F719B">
              <w:rPr>
                <w:spacing w:val="-4"/>
              </w:rPr>
              <w:t> </w:t>
            </w:r>
            <w:r>
              <w:rPr>
                <w:spacing w:val="-4"/>
              </w:rPr>
              <w:t>3,6 %)</w:t>
            </w:r>
            <w:r>
              <w:rPr>
                <w:rStyle w:val="Znakapoznpodarou"/>
                <w:spacing w:val="-4"/>
              </w:rPr>
              <w:footnoteReference w:id="15"/>
            </w:r>
            <w:r>
              <w:rPr>
                <w:spacing w:val="-4"/>
              </w:rPr>
              <w:t>.</w:t>
            </w:r>
          </w:p>
        </w:tc>
      </w:tr>
      <w:tr w:rsidR="00ED1959" w:rsidRPr="006237E6" w14:paraId="2E6CB038" w14:textId="77777777" w:rsidTr="000F7C73">
        <w:trPr>
          <w:trHeight w:val="155"/>
        </w:trPr>
        <w:tc>
          <w:tcPr>
            <w:tcW w:w="1728" w:type="dxa"/>
            <w:shd w:val="clear" w:color="auto" w:fill="auto"/>
            <w:tcMar>
              <w:left w:w="0" w:type="dxa"/>
            </w:tcMar>
          </w:tcPr>
          <w:p w14:paraId="111DFA30" w14:textId="77777777" w:rsidR="00ED1959" w:rsidRDefault="00ED1959" w:rsidP="000F7C73">
            <w:pPr>
              <w:pStyle w:val="Marginlie"/>
            </w:pPr>
            <w:r>
              <w:t>Oproti 1. pololetí 2019 se letos HPH nacházela skoro o 4 % níže.</w:t>
            </w:r>
          </w:p>
          <w:p w14:paraId="4613AB26" w14:textId="77777777" w:rsidR="00ED1959" w:rsidRDefault="00ED1959" w:rsidP="000F7C73">
            <w:pPr>
              <w:pStyle w:val="Marginlie"/>
            </w:pPr>
          </w:p>
          <w:p w14:paraId="7B99B4FB" w14:textId="77777777" w:rsidR="00ED1959" w:rsidRDefault="00ED1959" w:rsidP="000F7C73">
            <w:pPr>
              <w:pStyle w:val="Marginlie"/>
            </w:pPr>
          </w:p>
          <w:p w14:paraId="52C0FBC4" w14:textId="77777777" w:rsidR="00ED1959" w:rsidRDefault="00ED1959" w:rsidP="000F7C73">
            <w:pPr>
              <w:pStyle w:val="Marginlie"/>
            </w:pPr>
          </w:p>
          <w:p w14:paraId="50876E56" w14:textId="77777777" w:rsidR="00ED1959" w:rsidRDefault="00ED1959" w:rsidP="000F7C73">
            <w:pPr>
              <w:pStyle w:val="Marginlie"/>
              <w:rPr>
                <w:spacing w:val="-4"/>
              </w:rPr>
            </w:pPr>
            <w:r w:rsidRPr="00DF11EC">
              <w:rPr>
                <w:spacing w:val="-4"/>
              </w:rPr>
              <w:t xml:space="preserve">Odvětví, jež nebyla </w:t>
            </w:r>
            <w:r>
              <w:rPr>
                <w:spacing w:val="-4"/>
              </w:rPr>
              <w:t xml:space="preserve">v zásadě </w:t>
            </w:r>
            <w:r w:rsidRPr="00DF11EC">
              <w:rPr>
                <w:spacing w:val="-4"/>
              </w:rPr>
              <w:t>pandemickou situací negativně poznamenána, vytvářela skoro třetinu výkonu celé ekonomiky.</w:t>
            </w:r>
          </w:p>
          <w:p w14:paraId="76A0B4CD" w14:textId="77777777" w:rsidR="00ED1959" w:rsidRDefault="00ED1959" w:rsidP="000F7C73">
            <w:pPr>
              <w:pStyle w:val="Marginlie"/>
              <w:rPr>
                <w:spacing w:val="-4"/>
              </w:rPr>
            </w:pPr>
          </w:p>
          <w:p w14:paraId="0E451B54" w14:textId="77777777" w:rsidR="00ED1959" w:rsidRDefault="00ED1959" w:rsidP="000F7C73">
            <w:pPr>
              <w:pStyle w:val="Marginlie"/>
              <w:rPr>
                <w:spacing w:val="-4"/>
              </w:rPr>
            </w:pPr>
          </w:p>
          <w:p w14:paraId="0C362CED" w14:textId="77777777" w:rsidR="00ED1959" w:rsidRDefault="00ED1959" w:rsidP="000F7C73">
            <w:pPr>
              <w:pStyle w:val="Marginlie"/>
              <w:rPr>
                <w:spacing w:val="-4"/>
              </w:rPr>
            </w:pPr>
          </w:p>
          <w:p w14:paraId="1566378C" w14:textId="77777777" w:rsidR="00ED1959" w:rsidRPr="00DF11EC" w:rsidRDefault="00ED1959" w:rsidP="000F7C73">
            <w:pPr>
              <w:pStyle w:val="Marginlie"/>
              <w:rPr>
                <w:spacing w:val="-4"/>
              </w:rPr>
            </w:pPr>
            <w:r>
              <w:rPr>
                <w:spacing w:val="-4"/>
              </w:rPr>
              <w:t>Produkce v některých odvětvích propadla za dva roky více než přidaná hodnota.</w:t>
            </w:r>
          </w:p>
        </w:tc>
        <w:tc>
          <w:tcPr>
            <w:tcW w:w="206" w:type="dxa"/>
            <w:shd w:val="clear" w:color="auto" w:fill="auto"/>
            <w:tcMar>
              <w:left w:w="0" w:type="dxa"/>
            </w:tcMar>
          </w:tcPr>
          <w:p w14:paraId="0D6DB939"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45677E7F" w14:textId="77777777" w:rsidR="00ED1959" w:rsidRPr="001F719B" w:rsidRDefault="00ED1959" w:rsidP="000F7C73">
            <w:pPr>
              <w:spacing w:after="200"/>
              <w:rPr>
                <w:spacing w:val="-4"/>
              </w:rPr>
            </w:pPr>
            <w:r>
              <w:rPr>
                <w:spacing w:val="-4"/>
              </w:rPr>
              <w:t>HPH vzrostla za 1. pololetí 2021 meziročně o 2,7 %, z toho v samotném 2. kvartálu o 8,4 %. Z velké části jde však o efekt nízké loňské základny, primárně vlivem propadu výkonu v odvětví obchodu, oborech vázaných na cestovní ruch a také ve zpracovatelském průmyslu. Oproti 1. pololetí 2019 tak souhrnná HPH letos ztrácela takřka 4 %, skoro dvojnásobek toho pak v samotném odvětví p</w:t>
            </w:r>
            <w:r w:rsidRPr="001128F6">
              <w:rPr>
                <w:spacing w:val="-4"/>
              </w:rPr>
              <w:t>rofesní, vědecké, technické a</w:t>
            </w:r>
            <w:r>
              <w:rPr>
                <w:spacing w:val="-4"/>
              </w:rPr>
              <w:t> </w:t>
            </w:r>
            <w:r w:rsidRPr="001128F6">
              <w:rPr>
                <w:spacing w:val="-4"/>
              </w:rPr>
              <w:t>administrativní činnosti</w:t>
            </w:r>
            <w:r>
              <w:rPr>
                <w:spacing w:val="-4"/>
              </w:rPr>
              <w:t xml:space="preserve">. Ještě hlubší propad postihl </w:t>
            </w:r>
            <w:proofErr w:type="gramStart"/>
            <w:r w:rsidRPr="00A06D54">
              <w:t>stave</w:t>
            </w:r>
            <w:r>
              <w:t>bnictví (</w:t>
            </w:r>
            <w:r>
              <w:rPr>
                <w:spacing w:val="-5"/>
              </w:rPr>
              <w:t>–</w:t>
            </w:r>
            <w:r w:rsidRPr="00A06D54">
              <w:t>10,1</w:t>
            </w:r>
            <w:proofErr w:type="gramEnd"/>
            <w:r>
              <w:t> %</w:t>
            </w:r>
            <w:r w:rsidRPr="00A06D54">
              <w:t>) a</w:t>
            </w:r>
            <w:r>
              <w:t> </w:t>
            </w:r>
            <w:r w:rsidRPr="00A06D54">
              <w:t>především uskupení obchod, doprava, ubytování a</w:t>
            </w:r>
            <w:r>
              <w:t> </w:t>
            </w:r>
            <w:r w:rsidRPr="00A06D54">
              <w:t>pohostinství</w:t>
            </w:r>
            <w:r>
              <w:t xml:space="preserve"> (</w:t>
            </w:r>
            <w:r>
              <w:rPr>
                <w:spacing w:val="-5"/>
              </w:rPr>
              <w:t>–</w:t>
            </w:r>
            <w:r w:rsidRPr="00A06D54">
              <w:t>14,1</w:t>
            </w:r>
            <w:r>
              <w:t> %</w:t>
            </w:r>
            <w:r w:rsidRPr="00A06D54">
              <w:t>),</w:t>
            </w:r>
            <w:r>
              <w:rPr>
                <w:spacing w:val="-4"/>
              </w:rPr>
              <w:t xml:space="preserve"> jehož výkon se vrátil až na úroveň roku 2016. Některá odvětví ovšem nebyla během pandemie bezprostředně významně dotčena, popř. byla v tomto období jejich role </w:t>
            </w:r>
            <w:r w:rsidRPr="00EA5873">
              <w:rPr>
                <w:spacing w:val="-5"/>
              </w:rPr>
              <w:t>dokonce posílena</w:t>
            </w:r>
            <w:r w:rsidRPr="00EA5873">
              <w:rPr>
                <w:rStyle w:val="Znakapoznpodarou"/>
                <w:spacing w:val="-5"/>
              </w:rPr>
              <w:footnoteReference w:id="16"/>
            </w:r>
            <w:r w:rsidRPr="00EA5873">
              <w:rPr>
                <w:spacing w:val="-5"/>
              </w:rPr>
              <w:t>. V zemědělství, lesnictví</w:t>
            </w:r>
            <w:r>
              <w:rPr>
                <w:spacing w:val="-5"/>
              </w:rPr>
              <w:t xml:space="preserve"> a </w:t>
            </w:r>
            <w:r w:rsidRPr="00EA5873">
              <w:rPr>
                <w:spacing w:val="-5"/>
              </w:rPr>
              <w:t>rybářství tak za dva roky vzrostla HPH o osminu, v</w:t>
            </w:r>
            <w:r>
              <w:rPr>
                <w:spacing w:val="-5"/>
              </w:rPr>
              <w:t> </w:t>
            </w:r>
            <w:r w:rsidRPr="00EA5873">
              <w:rPr>
                <w:spacing w:val="-5"/>
              </w:rPr>
              <w:t>peněžnictví a pojišťovnictví skoro o</w:t>
            </w:r>
            <w:r>
              <w:rPr>
                <w:spacing w:val="-5"/>
              </w:rPr>
              <w:t> </w:t>
            </w:r>
            <w:r w:rsidRPr="00EA5873">
              <w:rPr>
                <w:spacing w:val="-5"/>
              </w:rPr>
              <w:t>desetinu. Významn</w:t>
            </w:r>
            <w:r>
              <w:rPr>
                <w:spacing w:val="-5"/>
              </w:rPr>
              <w:t xml:space="preserve">ý byl i nárůst </w:t>
            </w:r>
            <w:r w:rsidRPr="00EA5873">
              <w:rPr>
                <w:spacing w:val="-5"/>
              </w:rPr>
              <w:t>v odvětví</w:t>
            </w:r>
            <w:r>
              <w:rPr>
                <w:spacing w:val="-5"/>
              </w:rPr>
              <w:t>ch</w:t>
            </w:r>
            <w:r w:rsidRPr="00EA5873">
              <w:rPr>
                <w:spacing w:val="-5"/>
              </w:rPr>
              <w:t xml:space="preserve"> se silnou rolí veřejného sektoru</w:t>
            </w:r>
            <w:r w:rsidRPr="00EA5873">
              <w:rPr>
                <w:rStyle w:val="Znakapoznpodarou"/>
                <w:spacing w:val="-5"/>
              </w:rPr>
              <w:footnoteReference w:id="17"/>
            </w:r>
            <w:r>
              <w:rPr>
                <w:spacing w:val="-5"/>
              </w:rPr>
              <w:t xml:space="preserve"> (3,9 %) a také v informačních a</w:t>
            </w:r>
            <w:r w:rsidRPr="00EA5873">
              <w:rPr>
                <w:spacing w:val="-5"/>
              </w:rPr>
              <w:t> kom</w:t>
            </w:r>
            <w:r>
              <w:rPr>
                <w:spacing w:val="-5"/>
              </w:rPr>
              <w:t>unikačních činnostech (6,5 %) – ty patřily během pandemie vůbec k nejvytíženějším, což dokládá i počet odpracovaných hodin</w:t>
            </w:r>
            <w:r>
              <w:rPr>
                <w:rStyle w:val="Znakapoznpodarou"/>
                <w:spacing w:val="-5"/>
              </w:rPr>
              <w:footnoteReference w:id="18"/>
            </w:r>
            <w:r>
              <w:rPr>
                <w:spacing w:val="-5"/>
              </w:rPr>
              <w:t>, který se zde za dva roky navýšil o 12,1 %. V kontrastu s tím se vyvíjelo např. odvětví ostatních služeb</w:t>
            </w:r>
            <w:r>
              <w:rPr>
                <w:rStyle w:val="Znakapoznpodarou"/>
                <w:spacing w:val="-4"/>
              </w:rPr>
              <w:footnoteReference w:id="19"/>
            </w:r>
            <w:r>
              <w:rPr>
                <w:spacing w:val="-5"/>
              </w:rPr>
              <w:t xml:space="preserve">, kde odpracovaná doba propadla o 22,8 %. Citelný propad produkce, resp. tržeb zde byl patrně zčásti kompenzován i nižší </w:t>
            </w:r>
            <w:proofErr w:type="spellStart"/>
            <w:r>
              <w:rPr>
                <w:spacing w:val="-5"/>
              </w:rPr>
              <w:t>mezispotřebou</w:t>
            </w:r>
            <w:proofErr w:type="spellEnd"/>
            <w:r>
              <w:rPr>
                <w:spacing w:val="-5"/>
              </w:rPr>
              <w:t>. HPH se v tomto odvětví totiž za srovnatelné období snížila „jen“ o 4,5 %. Jinak tomu bylo v primárním sektoru ekonomiky či ve finančnictví, kde došlo za poslední dva roky k růstu přidané hodnoty i při poklesu odpracované doby (o 1,4 %, resp. 5,3 %).</w:t>
            </w:r>
          </w:p>
        </w:tc>
      </w:tr>
      <w:tr w:rsidR="00ED1959" w:rsidRPr="006237E6" w14:paraId="786C6874" w14:textId="77777777" w:rsidTr="000F7C73">
        <w:trPr>
          <w:trHeight w:val="155"/>
        </w:trPr>
        <w:tc>
          <w:tcPr>
            <w:tcW w:w="1728" w:type="dxa"/>
            <w:shd w:val="clear" w:color="auto" w:fill="auto"/>
            <w:tcMar>
              <w:left w:w="0" w:type="dxa"/>
            </w:tcMar>
          </w:tcPr>
          <w:p w14:paraId="1AB12545" w14:textId="77777777" w:rsidR="00ED1959" w:rsidRDefault="00ED1959" w:rsidP="000F7C73">
            <w:pPr>
              <w:pStyle w:val="Marginlie"/>
            </w:pPr>
            <w:r>
              <w:t>Průmyslová produkce za 2. čtvrtletí vzrostla o 0,9 %, když profitovala z rychlého oživení poptávky ve vyspělých ekonomikách.</w:t>
            </w:r>
          </w:p>
          <w:p w14:paraId="18EF8223" w14:textId="77777777" w:rsidR="00ED1959" w:rsidRDefault="00ED1959" w:rsidP="000F7C73">
            <w:pPr>
              <w:pStyle w:val="Marginlie"/>
            </w:pPr>
          </w:p>
          <w:p w14:paraId="376049CA" w14:textId="77777777" w:rsidR="00ED1959" w:rsidRDefault="00ED1959" w:rsidP="000F7C73">
            <w:pPr>
              <w:pStyle w:val="Marginlie"/>
            </w:pPr>
          </w:p>
          <w:p w14:paraId="03FB9265" w14:textId="77777777" w:rsidR="00ED1959" w:rsidRDefault="00ED1959" w:rsidP="000F7C73">
            <w:pPr>
              <w:pStyle w:val="Marginlie"/>
            </w:pPr>
            <w:r>
              <w:t>To však současně vedlo k přetížení výrobních a dodavatelských řetězců s negativním dopadem na plynulost výroby i vývoj cen produkce.</w:t>
            </w:r>
          </w:p>
        </w:tc>
        <w:tc>
          <w:tcPr>
            <w:tcW w:w="206" w:type="dxa"/>
            <w:shd w:val="clear" w:color="auto" w:fill="auto"/>
            <w:tcMar>
              <w:left w:w="0" w:type="dxa"/>
            </w:tcMar>
          </w:tcPr>
          <w:p w14:paraId="652BCF28"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5CB720A6" w14:textId="77777777" w:rsidR="00ED1959" w:rsidRPr="001F719B" w:rsidRDefault="00ED1959" w:rsidP="000F7C73">
            <w:pPr>
              <w:spacing w:after="0"/>
              <w:rPr>
                <w:spacing w:val="-4"/>
              </w:rPr>
            </w:pPr>
            <w:r>
              <w:rPr>
                <w:spacing w:val="-4"/>
              </w:rPr>
              <w:t>K celkovému hospodářskému oživení v ČR přispěl letos ve 2. čtvrtletí i průmysl, což stvrzují i podrobnější údaje z podnikových statistik</w:t>
            </w:r>
            <w:r w:rsidRPr="001C5EA5">
              <w:rPr>
                <w:color w:val="0D0D0D" w:themeColor="text1" w:themeTint="F2"/>
                <w:spacing w:val="-4"/>
              </w:rPr>
              <w:t xml:space="preserve">. </w:t>
            </w:r>
            <w:r w:rsidRPr="001C5EA5">
              <w:rPr>
                <w:color w:val="0D0D0D" w:themeColor="text1" w:themeTint="F2"/>
                <w:spacing w:val="-3"/>
              </w:rPr>
              <w:t>Průmyslová produkce</w:t>
            </w:r>
            <w:r w:rsidRPr="002034A0">
              <w:rPr>
                <w:color w:val="0D0D0D" w:themeColor="text1" w:themeTint="F2"/>
                <w:spacing w:val="-3"/>
                <w:vertAlign w:val="superscript"/>
              </w:rPr>
              <w:footnoteReference w:id="20"/>
            </w:r>
            <w:r>
              <w:rPr>
                <w:color w:val="0D0D0D" w:themeColor="text1" w:themeTint="F2"/>
                <w:spacing w:val="-3"/>
              </w:rPr>
              <w:t xml:space="preserve"> </w:t>
            </w:r>
            <w:proofErr w:type="spellStart"/>
            <w:r>
              <w:rPr>
                <w:color w:val="0D0D0D" w:themeColor="text1" w:themeTint="F2"/>
                <w:spacing w:val="-3"/>
              </w:rPr>
              <w:t>mezikvartálně</w:t>
            </w:r>
            <w:proofErr w:type="spellEnd"/>
            <w:r>
              <w:rPr>
                <w:color w:val="0D0D0D" w:themeColor="text1" w:themeTint="F2"/>
                <w:spacing w:val="-3"/>
              </w:rPr>
              <w:t xml:space="preserve"> vzrostla o 0,9 % a naznačila, že ochlazení během 1. čtvrtletí </w:t>
            </w:r>
            <w:proofErr w:type="gramStart"/>
            <w:r>
              <w:rPr>
                <w:color w:val="0D0D0D" w:themeColor="text1" w:themeTint="F2"/>
                <w:spacing w:val="-3"/>
              </w:rPr>
              <w:t>2021 (</w:t>
            </w:r>
            <w:r>
              <w:rPr>
                <w:spacing w:val="-5"/>
              </w:rPr>
              <w:t>–</w:t>
            </w:r>
            <w:r>
              <w:rPr>
                <w:color w:val="0D0D0D" w:themeColor="text1" w:themeTint="F2"/>
                <w:spacing w:val="-3"/>
              </w:rPr>
              <w:t>1,4</w:t>
            </w:r>
            <w:proofErr w:type="gramEnd"/>
            <w:r>
              <w:rPr>
                <w:color w:val="0D0D0D" w:themeColor="text1" w:themeTint="F2"/>
                <w:spacing w:val="-3"/>
              </w:rPr>
              <w:t> %) mělo pravděpodobně jen krátkodobý charakter. Výrazně exportně orientovaný tuzemský průmysl těžil na jaře z příznivého hospodářského vývoje klíčových exportních teritorií – Německa, resp. celé EU</w:t>
            </w:r>
            <w:r>
              <w:rPr>
                <w:rStyle w:val="Znakapoznpodarou"/>
                <w:color w:val="0D0D0D" w:themeColor="text1" w:themeTint="F2"/>
                <w:spacing w:val="-3"/>
              </w:rPr>
              <w:footnoteReference w:id="21"/>
            </w:r>
            <w:r>
              <w:rPr>
                <w:color w:val="0D0D0D" w:themeColor="text1" w:themeTint="F2"/>
                <w:spacing w:val="-3"/>
              </w:rPr>
              <w:t>. Na druhé straně, rychlé oživení světového hospodářství a zejména nejvyspělejších ekonomik vytvářelo patrně dočasné, zato silné napětí ve výrobních a dodavatelských řetězcích, jež se postupně přenášelo i do Česka. Zejména n</w:t>
            </w:r>
            <w:r w:rsidRPr="00ED3F7E">
              <w:rPr>
                <w:color w:val="0D0D0D" w:themeColor="text1" w:themeTint="F2"/>
                <w:spacing w:val="-3"/>
              </w:rPr>
              <w:t xml:space="preserve">edostatek některých </w:t>
            </w:r>
            <w:r>
              <w:rPr>
                <w:color w:val="0D0D0D" w:themeColor="text1" w:themeTint="F2"/>
                <w:spacing w:val="-3"/>
              </w:rPr>
              <w:t>dodávek a komponent</w:t>
            </w:r>
            <w:r w:rsidRPr="00ED3F7E">
              <w:rPr>
                <w:color w:val="0D0D0D" w:themeColor="text1" w:themeTint="F2"/>
                <w:spacing w:val="-3"/>
              </w:rPr>
              <w:t xml:space="preserve"> </w:t>
            </w:r>
            <w:r>
              <w:rPr>
                <w:color w:val="0D0D0D" w:themeColor="text1" w:themeTint="F2"/>
                <w:spacing w:val="-3"/>
              </w:rPr>
              <w:t>(mj. v automobilovém průmyslu a navazujících oborech</w:t>
            </w:r>
            <w:r w:rsidRPr="00ED3F7E">
              <w:rPr>
                <w:color w:val="0D0D0D" w:themeColor="text1" w:themeTint="F2"/>
                <w:spacing w:val="-3"/>
              </w:rPr>
              <w:t xml:space="preserve">) </w:t>
            </w:r>
            <w:r>
              <w:rPr>
                <w:color w:val="0D0D0D" w:themeColor="text1" w:themeTint="F2"/>
                <w:spacing w:val="-3"/>
              </w:rPr>
              <w:t xml:space="preserve">narušoval plynulost výrobního procesu, vedl k neplánované tvorbě zásob nedokončené produkce a vytvářel tlaky na cenový růst výrobců. Tuzemský průmysl vedle toho stále limitoval i nedostatek </w:t>
            </w:r>
            <w:r>
              <w:rPr>
                <w:color w:val="0D0D0D" w:themeColor="text1" w:themeTint="F2"/>
                <w:spacing w:val="-3"/>
              </w:rPr>
              <w:lastRenderedPageBreak/>
              <w:t>zejména kvalifikované pracovní síly, byť s ohledem na pokles zaměstnanosti v průmyslu během pandemie nebyl zatím letos tento problém tak palčivý jako v letech 2018 a 2019.</w:t>
            </w:r>
          </w:p>
        </w:tc>
      </w:tr>
      <w:tr w:rsidR="00ED1959" w:rsidRPr="006237E6" w14:paraId="3878C325" w14:textId="77777777" w:rsidTr="000F7C73">
        <w:trPr>
          <w:trHeight w:val="155"/>
        </w:trPr>
        <w:tc>
          <w:tcPr>
            <w:tcW w:w="1728" w:type="dxa"/>
            <w:shd w:val="clear" w:color="auto" w:fill="auto"/>
            <w:tcMar>
              <w:left w:w="0" w:type="dxa"/>
            </w:tcMar>
          </w:tcPr>
          <w:p w14:paraId="71F01669" w14:textId="77777777" w:rsidR="00ED1959" w:rsidRDefault="00ED1959" w:rsidP="000F7C73">
            <w:pPr>
              <w:pStyle w:val="Marginlie"/>
            </w:pPr>
          </w:p>
        </w:tc>
        <w:tc>
          <w:tcPr>
            <w:tcW w:w="206" w:type="dxa"/>
            <w:shd w:val="clear" w:color="auto" w:fill="auto"/>
            <w:tcMar>
              <w:left w:w="0" w:type="dxa"/>
            </w:tcMar>
          </w:tcPr>
          <w:p w14:paraId="2298A61E"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55299CFF" w14:textId="77777777" w:rsidR="00ED1959" w:rsidRPr="00B324AF" w:rsidRDefault="00ED1959" w:rsidP="000F7C73">
            <w:pPr>
              <w:spacing w:after="200"/>
              <w:rPr>
                <w:spacing w:val="-4"/>
              </w:rPr>
            </w:pPr>
            <w:r w:rsidRPr="00B324AF">
              <w:rPr>
                <w:spacing w:val="-4"/>
              </w:rPr>
              <w:t>Průmyslová produkce vzrostla v 1.</w:t>
            </w:r>
            <w:r>
              <w:rPr>
                <w:spacing w:val="-4"/>
              </w:rPr>
              <w:t> pololet</w:t>
            </w:r>
            <w:r w:rsidRPr="00B324AF">
              <w:rPr>
                <w:spacing w:val="-4"/>
              </w:rPr>
              <w:t>í meziročně o</w:t>
            </w:r>
            <w:r>
              <w:rPr>
                <w:spacing w:val="-4"/>
              </w:rPr>
              <w:t> </w:t>
            </w:r>
            <w:r w:rsidRPr="00B324AF">
              <w:rPr>
                <w:spacing w:val="-4"/>
              </w:rPr>
              <w:t>14,7</w:t>
            </w:r>
            <w:r>
              <w:rPr>
                <w:spacing w:val="-4"/>
              </w:rPr>
              <w:t> %</w:t>
            </w:r>
            <w:r w:rsidRPr="00B324AF">
              <w:rPr>
                <w:spacing w:val="-4"/>
              </w:rPr>
              <w:t>, na čemž mělo značný podíl srovnání s velmi nízkou základnou během loňského dubna a</w:t>
            </w:r>
            <w:r>
              <w:rPr>
                <w:spacing w:val="-4"/>
              </w:rPr>
              <w:t> </w:t>
            </w:r>
            <w:r w:rsidRPr="00B324AF">
              <w:rPr>
                <w:spacing w:val="-4"/>
              </w:rPr>
              <w:t>května (i</w:t>
            </w:r>
            <w:r>
              <w:rPr>
                <w:spacing w:val="-4"/>
              </w:rPr>
              <w:t> </w:t>
            </w:r>
            <w:r w:rsidRPr="00B324AF">
              <w:rPr>
                <w:spacing w:val="-4"/>
              </w:rPr>
              <w:t>vlivem faktického zastavení výroby ve významných provozovnách automobilového průmyslu</w:t>
            </w:r>
            <w:r w:rsidRPr="00B324AF">
              <w:rPr>
                <w:rStyle w:val="Znakapoznpodarou"/>
                <w:spacing w:val="-4"/>
              </w:rPr>
              <w:footnoteReference w:id="22"/>
            </w:r>
            <w:r w:rsidRPr="00B324AF">
              <w:rPr>
                <w:spacing w:val="-4"/>
              </w:rPr>
              <w:t xml:space="preserve">). </w:t>
            </w:r>
            <w:r w:rsidRPr="00B324AF">
              <w:rPr>
                <w:color w:val="000000" w:themeColor="text1"/>
                <w:spacing w:val="-4"/>
              </w:rPr>
              <w:t xml:space="preserve">Za svým absolutním </w:t>
            </w:r>
            <w:proofErr w:type="spellStart"/>
            <w:r w:rsidRPr="00B324AF">
              <w:rPr>
                <w:color w:val="000000" w:themeColor="text1"/>
                <w:spacing w:val="-4"/>
              </w:rPr>
              <w:t>předpandemickým</w:t>
            </w:r>
            <w:proofErr w:type="spellEnd"/>
            <w:r w:rsidRPr="00B324AF">
              <w:rPr>
                <w:color w:val="000000" w:themeColor="text1"/>
                <w:spacing w:val="-4"/>
              </w:rPr>
              <w:t xml:space="preserve"> maximem tak průmysl jako celek stále mírně zaostával</w:t>
            </w:r>
            <w:r w:rsidRPr="00B324AF">
              <w:rPr>
                <w:rStyle w:val="Znakapoznpodarou"/>
                <w:color w:val="000000" w:themeColor="text1"/>
                <w:spacing w:val="-4"/>
              </w:rPr>
              <w:footnoteReference w:id="23"/>
            </w:r>
            <w:r w:rsidRPr="00B324AF">
              <w:rPr>
                <w:color w:val="000000" w:themeColor="text1"/>
                <w:spacing w:val="-4"/>
              </w:rPr>
              <w:t>.</w:t>
            </w:r>
          </w:p>
        </w:tc>
      </w:tr>
      <w:tr w:rsidR="00ED1959" w:rsidRPr="006237E6" w14:paraId="58E62424" w14:textId="77777777" w:rsidTr="000F7C73">
        <w:trPr>
          <w:trHeight w:val="155"/>
        </w:trPr>
        <w:tc>
          <w:tcPr>
            <w:tcW w:w="1728" w:type="dxa"/>
            <w:shd w:val="clear" w:color="auto" w:fill="auto"/>
            <w:tcMar>
              <w:left w:w="0" w:type="dxa"/>
            </w:tcMar>
          </w:tcPr>
          <w:p w14:paraId="0BE33A7C" w14:textId="77777777" w:rsidR="00ED1959" w:rsidRDefault="00ED1959" w:rsidP="000F7C73">
            <w:pPr>
              <w:pStyle w:val="Marginlie"/>
            </w:pPr>
            <w:r>
              <w:t>Výroba motorových vozidel zajistila letos více než třetinu z</w:t>
            </w:r>
            <w:r>
              <w:rPr>
                <w:spacing w:val="-4"/>
              </w:rPr>
              <w:t> </w:t>
            </w:r>
            <w:r>
              <w:t>meziročního růstu průmyslové produkce. Postupně ale narážela na růstové bariéry.</w:t>
            </w:r>
          </w:p>
        </w:tc>
        <w:tc>
          <w:tcPr>
            <w:tcW w:w="206" w:type="dxa"/>
            <w:shd w:val="clear" w:color="auto" w:fill="auto"/>
            <w:tcMar>
              <w:left w:w="0" w:type="dxa"/>
            </w:tcMar>
          </w:tcPr>
          <w:p w14:paraId="27476AEF"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79DE1C07" w14:textId="025A2886" w:rsidR="00ED1959" w:rsidRPr="001F719B" w:rsidRDefault="00ED1959" w:rsidP="000F7C73">
            <w:pPr>
              <w:spacing w:after="200"/>
              <w:rPr>
                <w:spacing w:val="-4"/>
              </w:rPr>
            </w:pPr>
            <w:r w:rsidRPr="00B324AF">
              <w:rPr>
                <w:color w:val="000000" w:themeColor="text1"/>
                <w:spacing w:val="-4"/>
              </w:rPr>
              <w:t>K</w:t>
            </w:r>
            <w:r w:rsidRPr="00B324AF">
              <w:rPr>
                <w:spacing w:val="-4"/>
              </w:rPr>
              <w:t> </w:t>
            </w:r>
            <w:r w:rsidRPr="00B324AF">
              <w:rPr>
                <w:color w:val="000000" w:themeColor="text1"/>
                <w:spacing w:val="-4"/>
              </w:rPr>
              <w:t>meziročnímu růstu průmyslové produkce v letošním pololetí přispěla z více než třetiny výroba motorových vozid</w:t>
            </w:r>
            <w:r>
              <w:rPr>
                <w:color w:val="000000" w:themeColor="text1"/>
                <w:spacing w:val="-4"/>
              </w:rPr>
              <w:t xml:space="preserve">el, </w:t>
            </w:r>
            <w:r w:rsidRPr="00B324AF">
              <w:rPr>
                <w:color w:val="000000" w:themeColor="text1"/>
                <w:spacing w:val="-4"/>
              </w:rPr>
              <w:t xml:space="preserve">pětinu pak přidaly nejbližší subdodavatelské obory. </w:t>
            </w:r>
            <w:r w:rsidRPr="00B324AF">
              <w:rPr>
                <w:rFonts w:cs="Arial"/>
                <w:spacing w:val="-4"/>
                <w:szCs w:val="20"/>
              </w:rPr>
              <w:t>Výkon automobilového průmyslu ale v samotném 2.</w:t>
            </w:r>
            <w:r>
              <w:rPr>
                <w:rFonts w:cs="Arial"/>
                <w:spacing w:val="-4"/>
                <w:szCs w:val="20"/>
              </w:rPr>
              <w:t> čtvrtlet</w:t>
            </w:r>
            <w:r w:rsidRPr="00B324AF">
              <w:rPr>
                <w:rFonts w:cs="Arial"/>
                <w:spacing w:val="-4"/>
                <w:szCs w:val="20"/>
              </w:rPr>
              <w:t xml:space="preserve">í </w:t>
            </w:r>
            <w:proofErr w:type="spellStart"/>
            <w:r w:rsidRPr="00B324AF">
              <w:rPr>
                <w:rFonts w:cs="Arial"/>
                <w:spacing w:val="-4"/>
                <w:szCs w:val="20"/>
              </w:rPr>
              <w:t>mezikvartálně</w:t>
            </w:r>
            <w:proofErr w:type="spellEnd"/>
            <w:r w:rsidRPr="00B324AF">
              <w:rPr>
                <w:rFonts w:cs="Arial"/>
                <w:spacing w:val="-4"/>
                <w:szCs w:val="20"/>
              </w:rPr>
              <w:t xml:space="preserve"> klesl o</w:t>
            </w:r>
            <w:r w:rsidRPr="00B324AF">
              <w:rPr>
                <w:spacing w:val="-4"/>
              </w:rPr>
              <w:t> </w:t>
            </w:r>
            <w:r w:rsidRPr="00B324AF">
              <w:rPr>
                <w:rFonts w:cs="Arial"/>
                <w:spacing w:val="-4"/>
                <w:szCs w:val="20"/>
              </w:rPr>
              <w:t>1,9 %</w:t>
            </w:r>
            <w:r w:rsidRPr="00B324AF">
              <w:rPr>
                <w:rStyle w:val="Znakapoznpodarou"/>
                <w:spacing w:val="-4"/>
                <w:szCs w:val="20"/>
              </w:rPr>
              <w:footnoteReference w:id="24"/>
            </w:r>
            <w:r w:rsidRPr="00B324AF">
              <w:rPr>
                <w:rFonts w:cs="Arial"/>
                <w:spacing w:val="-4"/>
                <w:szCs w:val="20"/>
              </w:rPr>
              <w:t>. Naopak ve výrobě elektrických zařízení, stejně jako v</w:t>
            </w:r>
            <w:r>
              <w:rPr>
                <w:rFonts w:cs="Arial"/>
                <w:spacing w:val="-4"/>
                <w:szCs w:val="20"/>
              </w:rPr>
              <w:t> </w:t>
            </w:r>
            <w:proofErr w:type="spellStart"/>
            <w:r w:rsidRPr="00B324AF">
              <w:rPr>
                <w:rFonts w:cs="Arial"/>
                <w:spacing w:val="-4"/>
                <w:szCs w:val="20"/>
              </w:rPr>
              <w:t>plastikářství</w:t>
            </w:r>
            <w:proofErr w:type="spellEnd"/>
            <w:r w:rsidRPr="00B324AF">
              <w:rPr>
                <w:rFonts w:cs="Arial"/>
                <w:spacing w:val="-4"/>
                <w:szCs w:val="20"/>
              </w:rPr>
              <w:t xml:space="preserve"> i</w:t>
            </w:r>
            <w:r>
              <w:rPr>
                <w:rFonts w:cs="Arial"/>
                <w:spacing w:val="-4"/>
                <w:szCs w:val="20"/>
              </w:rPr>
              <w:t> </w:t>
            </w:r>
            <w:r w:rsidRPr="00B324AF">
              <w:rPr>
                <w:rFonts w:cs="Arial"/>
                <w:spacing w:val="-4"/>
                <w:szCs w:val="20"/>
              </w:rPr>
              <w:t xml:space="preserve">gumárenství nebyly náznaky zpomalení patrné, neboť problém s nedostatkem výrobních komponent se </w:t>
            </w:r>
            <w:r>
              <w:rPr>
                <w:rFonts w:cs="Arial"/>
                <w:spacing w:val="-4"/>
                <w:szCs w:val="20"/>
              </w:rPr>
              <w:t>jich přímo</w:t>
            </w:r>
            <w:r w:rsidRPr="00B324AF">
              <w:rPr>
                <w:rFonts w:cs="Arial"/>
                <w:spacing w:val="-4"/>
                <w:szCs w:val="20"/>
              </w:rPr>
              <w:t xml:space="preserve"> nedotýkal.</w:t>
            </w:r>
            <w:r>
              <w:rPr>
                <w:rFonts w:cs="Arial"/>
                <w:spacing w:val="-4"/>
                <w:szCs w:val="20"/>
              </w:rPr>
              <w:t xml:space="preserve"> K meziročnímu růstu průmyslu přispělo v 1. pololetí více než desetinou významné odvětví kovovýroby. Mírně nadprůměrným tempem rostla produ</w:t>
            </w:r>
            <w:r w:rsidR="00C12304">
              <w:rPr>
                <w:rFonts w:cs="Arial"/>
                <w:spacing w:val="-4"/>
                <w:szCs w:val="20"/>
              </w:rPr>
              <w:t>kce i v hutnictví (+16,7</w:t>
            </w:r>
            <w:r>
              <w:rPr>
                <w:rFonts w:cs="Arial"/>
                <w:spacing w:val="-4"/>
                <w:szCs w:val="20"/>
              </w:rPr>
              <w:t> %). Z menších průmyslových oborů se nejvíce dařilo výrobě ostatních (zejména kolejových) dopravních prostředků (+23,2 %), především díky velmi dobrým jarním výsledkům.</w:t>
            </w:r>
          </w:p>
        </w:tc>
      </w:tr>
      <w:tr w:rsidR="00ED1959" w:rsidRPr="006237E6" w14:paraId="15B62129" w14:textId="77777777" w:rsidTr="000F7C73">
        <w:trPr>
          <w:trHeight w:val="155"/>
        </w:trPr>
        <w:tc>
          <w:tcPr>
            <w:tcW w:w="1728" w:type="dxa"/>
            <w:shd w:val="clear" w:color="auto" w:fill="auto"/>
            <w:tcMar>
              <w:left w:w="0" w:type="dxa"/>
            </w:tcMar>
          </w:tcPr>
          <w:p w14:paraId="10054CA0" w14:textId="77777777" w:rsidR="00ED1959" w:rsidRDefault="00ED1959" w:rsidP="000F7C73">
            <w:pPr>
              <w:pStyle w:val="Marginlie"/>
              <w:rPr>
                <w:spacing w:val="-4"/>
              </w:rPr>
            </w:pPr>
            <w:r>
              <w:rPr>
                <w:spacing w:val="-4"/>
              </w:rPr>
              <w:t>Za výkony z 1. loňského pololetí zaostalo jen několik váhově spíše okrajových průmyslových oborů.</w:t>
            </w:r>
          </w:p>
        </w:tc>
        <w:tc>
          <w:tcPr>
            <w:tcW w:w="206" w:type="dxa"/>
            <w:shd w:val="clear" w:color="auto" w:fill="auto"/>
            <w:tcMar>
              <w:left w:w="0" w:type="dxa"/>
            </w:tcMar>
          </w:tcPr>
          <w:p w14:paraId="36595DE8"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1D746793" w14:textId="77777777" w:rsidR="00ED1959" w:rsidRPr="006B69D3" w:rsidRDefault="00ED1959" w:rsidP="000F7C73">
            <w:pPr>
              <w:spacing w:after="200"/>
              <w:rPr>
                <w:rFonts w:cs="Arial"/>
                <w:spacing w:val="-4"/>
                <w:szCs w:val="20"/>
              </w:rPr>
            </w:pPr>
            <w:r w:rsidRPr="006B69D3">
              <w:rPr>
                <w:rFonts w:cs="Arial"/>
                <w:spacing w:val="-4"/>
                <w:szCs w:val="20"/>
              </w:rPr>
              <w:t>Naopak jen v</w:t>
            </w:r>
            <w:r>
              <w:rPr>
                <w:rFonts w:cs="Arial"/>
                <w:spacing w:val="-4"/>
                <w:szCs w:val="20"/>
              </w:rPr>
              <w:t> </w:t>
            </w:r>
            <w:r w:rsidRPr="006B69D3">
              <w:rPr>
                <w:rFonts w:cs="Arial"/>
                <w:spacing w:val="-4"/>
                <w:szCs w:val="20"/>
              </w:rPr>
              <w:t>minimu oborů letos produkce za úrovní z 1</w:t>
            </w:r>
            <w:r>
              <w:rPr>
                <w:rFonts w:cs="Arial"/>
                <w:spacing w:val="-4"/>
                <w:szCs w:val="20"/>
              </w:rPr>
              <w:t>. </w:t>
            </w:r>
            <w:r w:rsidRPr="006B69D3">
              <w:rPr>
                <w:rFonts w:cs="Arial"/>
                <w:spacing w:val="-4"/>
                <w:szCs w:val="20"/>
              </w:rPr>
              <w:t xml:space="preserve">loňského pololetí zaostala. Mezi ně patřilo </w:t>
            </w:r>
            <w:proofErr w:type="gramStart"/>
            <w:r w:rsidRPr="006B69D3">
              <w:rPr>
                <w:rFonts w:cs="Arial"/>
                <w:spacing w:val="-4"/>
                <w:szCs w:val="20"/>
              </w:rPr>
              <w:t>oděvnictví (</w:t>
            </w:r>
            <w:r w:rsidRPr="006B69D3">
              <w:rPr>
                <w:spacing w:val="-4"/>
              </w:rPr>
              <w:t>–</w:t>
            </w:r>
            <w:r w:rsidRPr="006B69D3">
              <w:rPr>
                <w:rFonts w:cs="Arial"/>
                <w:spacing w:val="-4"/>
                <w:szCs w:val="20"/>
              </w:rPr>
              <w:t>7,0</w:t>
            </w:r>
            <w:proofErr w:type="gramEnd"/>
            <w:r>
              <w:rPr>
                <w:rFonts w:cs="Arial"/>
                <w:spacing w:val="-4"/>
                <w:szCs w:val="20"/>
              </w:rPr>
              <w:t> %</w:t>
            </w:r>
            <w:r w:rsidRPr="006B69D3">
              <w:rPr>
                <w:rFonts w:cs="Arial"/>
                <w:spacing w:val="-4"/>
                <w:szCs w:val="20"/>
              </w:rPr>
              <w:t>) a</w:t>
            </w:r>
            <w:r>
              <w:rPr>
                <w:rFonts w:cs="Arial"/>
                <w:spacing w:val="-4"/>
                <w:szCs w:val="20"/>
              </w:rPr>
              <w:t> </w:t>
            </w:r>
            <w:r w:rsidRPr="006B69D3">
              <w:rPr>
                <w:rFonts w:cs="Arial"/>
                <w:spacing w:val="-4"/>
                <w:szCs w:val="20"/>
              </w:rPr>
              <w:t>také výroba nápojů (</w:t>
            </w:r>
            <w:r w:rsidRPr="006B69D3">
              <w:rPr>
                <w:spacing w:val="-4"/>
              </w:rPr>
              <w:t>–</w:t>
            </w:r>
            <w:r w:rsidRPr="006B69D3">
              <w:rPr>
                <w:rFonts w:cs="Arial"/>
                <w:spacing w:val="-4"/>
                <w:szCs w:val="20"/>
              </w:rPr>
              <w:t>1,3</w:t>
            </w:r>
            <w:r>
              <w:rPr>
                <w:rFonts w:cs="Arial"/>
                <w:spacing w:val="-4"/>
                <w:szCs w:val="20"/>
              </w:rPr>
              <w:t> %</w:t>
            </w:r>
            <w:r w:rsidRPr="006B69D3">
              <w:rPr>
                <w:rFonts w:cs="Arial"/>
                <w:spacing w:val="-4"/>
                <w:szCs w:val="20"/>
              </w:rPr>
              <w:t>). Tyto obory jsou bytostně závislé na spotřebě domácností a</w:t>
            </w:r>
            <w:r>
              <w:rPr>
                <w:rFonts w:cs="Arial"/>
                <w:spacing w:val="-4"/>
                <w:szCs w:val="20"/>
              </w:rPr>
              <w:t> </w:t>
            </w:r>
            <w:r w:rsidRPr="006B69D3">
              <w:rPr>
                <w:color w:val="000000" w:themeColor="text1"/>
                <w:spacing w:val="-4"/>
              </w:rPr>
              <w:t>strádaly tak v důsledku opakovaných nucených uzávěr svých tradičních tuzemských odbytišť i</w:t>
            </w:r>
            <w:r>
              <w:rPr>
                <w:color w:val="000000" w:themeColor="text1"/>
                <w:spacing w:val="-4"/>
              </w:rPr>
              <w:t xml:space="preserve"> kvůli </w:t>
            </w:r>
            <w:r w:rsidRPr="006B69D3">
              <w:rPr>
                <w:spacing w:val="-4"/>
              </w:rPr>
              <w:t>propadu příjezdového cestovního ruchu</w:t>
            </w:r>
            <w:r w:rsidRPr="006B69D3">
              <w:rPr>
                <w:rFonts w:cs="Arial"/>
                <w:spacing w:val="-4"/>
                <w:szCs w:val="20"/>
              </w:rPr>
              <w:t>. Útlum investiční aktivity podniků za pandemické recese se podepsal na nižší produkci v odvětví opravy a</w:t>
            </w:r>
            <w:r>
              <w:rPr>
                <w:rFonts w:cs="Arial"/>
                <w:spacing w:val="-4"/>
                <w:szCs w:val="20"/>
              </w:rPr>
              <w:t> </w:t>
            </w:r>
            <w:r w:rsidRPr="006B69D3">
              <w:rPr>
                <w:rFonts w:cs="Arial"/>
                <w:spacing w:val="-4"/>
                <w:szCs w:val="20"/>
              </w:rPr>
              <w:t>instalace strojů a</w:t>
            </w:r>
            <w:r>
              <w:rPr>
                <w:rFonts w:cs="Arial"/>
                <w:spacing w:val="-4"/>
                <w:szCs w:val="20"/>
              </w:rPr>
              <w:t> </w:t>
            </w:r>
            <w:proofErr w:type="gramStart"/>
            <w:r w:rsidRPr="006B69D3">
              <w:rPr>
                <w:rFonts w:cs="Arial"/>
                <w:spacing w:val="-4"/>
                <w:szCs w:val="20"/>
              </w:rPr>
              <w:t>zařízení (</w:t>
            </w:r>
            <w:r w:rsidRPr="006B69D3">
              <w:rPr>
                <w:spacing w:val="-4"/>
              </w:rPr>
              <w:t>–</w:t>
            </w:r>
            <w:r w:rsidRPr="006B69D3">
              <w:rPr>
                <w:rFonts w:cs="Arial"/>
                <w:spacing w:val="-4"/>
                <w:szCs w:val="20"/>
              </w:rPr>
              <w:t>1,8</w:t>
            </w:r>
            <w:proofErr w:type="gramEnd"/>
            <w:r>
              <w:rPr>
                <w:rFonts w:cs="Arial"/>
                <w:spacing w:val="-4"/>
                <w:szCs w:val="20"/>
              </w:rPr>
              <w:t> %</w:t>
            </w:r>
            <w:r w:rsidRPr="006B69D3">
              <w:rPr>
                <w:rFonts w:cs="Arial"/>
                <w:spacing w:val="-4"/>
                <w:szCs w:val="20"/>
              </w:rPr>
              <w:t>). To v těžbě a</w:t>
            </w:r>
            <w:r>
              <w:rPr>
                <w:rFonts w:cs="Arial"/>
                <w:spacing w:val="-4"/>
                <w:szCs w:val="20"/>
              </w:rPr>
              <w:t> </w:t>
            </w:r>
            <w:r w:rsidRPr="006B69D3">
              <w:rPr>
                <w:rFonts w:cs="Arial"/>
                <w:spacing w:val="-4"/>
                <w:szCs w:val="20"/>
              </w:rPr>
              <w:t xml:space="preserve">dobývání souvisely nižší výkony s dlouhodobou proměnou energetického mixu ekonomiky urychlenou v posledních </w:t>
            </w:r>
            <w:r>
              <w:rPr>
                <w:rFonts w:cs="Arial"/>
                <w:spacing w:val="-4"/>
                <w:szCs w:val="20"/>
              </w:rPr>
              <w:t>čtvrtletích i svižným</w:t>
            </w:r>
            <w:r w:rsidRPr="006B69D3">
              <w:rPr>
                <w:rFonts w:cs="Arial"/>
                <w:spacing w:val="-4"/>
                <w:szCs w:val="20"/>
              </w:rPr>
              <w:t xml:space="preserve"> růstem cen emisních povolenek. Produkce zde po loňském hlubokém propadu</w:t>
            </w:r>
            <w:r w:rsidRPr="006B69D3">
              <w:rPr>
                <w:rStyle w:val="Znakapoznpodarou"/>
                <w:spacing w:val="-4"/>
                <w:szCs w:val="20"/>
              </w:rPr>
              <w:footnoteReference w:id="25"/>
            </w:r>
            <w:r w:rsidRPr="006B69D3">
              <w:rPr>
                <w:rFonts w:cs="Arial"/>
                <w:spacing w:val="-4"/>
                <w:szCs w:val="20"/>
              </w:rPr>
              <w:t xml:space="preserve"> klesla o</w:t>
            </w:r>
            <w:r>
              <w:rPr>
                <w:rFonts w:cs="Arial"/>
                <w:spacing w:val="-4"/>
                <w:szCs w:val="20"/>
              </w:rPr>
              <w:t> </w:t>
            </w:r>
            <w:r w:rsidRPr="006B69D3">
              <w:rPr>
                <w:rFonts w:cs="Arial"/>
                <w:spacing w:val="-4"/>
                <w:szCs w:val="20"/>
              </w:rPr>
              <w:t>0,9</w:t>
            </w:r>
            <w:r>
              <w:rPr>
                <w:rFonts w:cs="Arial"/>
                <w:spacing w:val="-4"/>
                <w:szCs w:val="20"/>
              </w:rPr>
              <w:t> %</w:t>
            </w:r>
            <w:r w:rsidRPr="006B69D3">
              <w:rPr>
                <w:rFonts w:cs="Arial"/>
                <w:spacing w:val="-4"/>
                <w:szCs w:val="20"/>
              </w:rPr>
              <w:t xml:space="preserve">. </w:t>
            </w:r>
            <w:r>
              <w:rPr>
                <w:rFonts w:cs="Arial"/>
                <w:spacing w:val="-4"/>
                <w:szCs w:val="20"/>
              </w:rPr>
              <w:t>T</w:t>
            </w:r>
            <w:r w:rsidRPr="006B69D3">
              <w:rPr>
                <w:rFonts w:cs="Arial"/>
                <w:spacing w:val="-4"/>
                <w:szCs w:val="20"/>
              </w:rPr>
              <w:t>y</w:t>
            </w:r>
            <w:r>
              <w:rPr>
                <w:rFonts w:cs="Arial"/>
                <w:spacing w:val="-4"/>
                <w:szCs w:val="20"/>
              </w:rPr>
              <w:t>to</w:t>
            </w:r>
            <w:r w:rsidRPr="006B69D3">
              <w:rPr>
                <w:rFonts w:cs="Arial"/>
                <w:spacing w:val="-4"/>
                <w:szCs w:val="20"/>
              </w:rPr>
              <w:t xml:space="preserve"> čtyři výše uvedené obory </w:t>
            </w:r>
            <w:r>
              <w:rPr>
                <w:rFonts w:cs="Arial"/>
                <w:spacing w:val="-4"/>
                <w:szCs w:val="20"/>
              </w:rPr>
              <w:t xml:space="preserve">ale </w:t>
            </w:r>
            <w:r w:rsidRPr="006B69D3">
              <w:rPr>
                <w:rFonts w:cs="Arial"/>
                <w:spacing w:val="-4"/>
                <w:szCs w:val="20"/>
              </w:rPr>
              <w:t>měly letos vlivem své nízké váhy i</w:t>
            </w:r>
            <w:r>
              <w:rPr>
                <w:rFonts w:cs="Arial"/>
                <w:spacing w:val="-4"/>
                <w:szCs w:val="20"/>
              </w:rPr>
              <w:t> </w:t>
            </w:r>
            <w:r w:rsidRPr="006B69D3">
              <w:rPr>
                <w:rFonts w:cs="Arial"/>
                <w:spacing w:val="-6"/>
                <w:szCs w:val="20"/>
              </w:rPr>
              <w:t xml:space="preserve">mírnějších temp na meziroční vývoj produkce v celém průmyslu jen minimální </w:t>
            </w:r>
            <w:proofErr w:type="gramStart"/>
            <w:r w:rsidRPr="006B69D3">
              <w:rPr>
                <w:rFonts w:cs="Arial"/>
                <w:spacing w:val="-6"/>
                <w:szCs w:val="20"/>
              </w:rPr>
              <w:t>vliv (</w:t>
            </w:r>
            <w:r w:rsidRPr="006B69D3">
              <w:rPr>
                <w:spacing w:val="-6"/>
              </w:rPr>
              <w:t>–</w:t>
            </w:r>
            <w:r w:rsidRPr="006B69D3">
              <w:rPr>
                <w:rFonts w:cs="Arial"/>
                <w:spacing w:val="-6"/>
                <w:szCs w:val="20"/>
              </w:rPr>
              <w:t>0,1</w:t>
            </w:r>
            <w:proofErr w:type="gramEnd"/>
            <w:r>
              <w:rPr>
                <w:rFonts w:cs="Arial"/>
                <w:spacing w:val="-6"/>
                <w:szCs w:val="20"/>
              </w:rPr>
              <w:t> p. b.</w:t>
            </w:r>
            <w:r w:rsidRPr="006B69D3">
              <w:rPr>
                <w:rFonts w:cs="Arial"/>
                <w:spacing w:val="-6"/>
                <w:szCs w:val="20"/>
              </w:rPr>
              <w:t>).</w:t>
            </w:r>
          </w:p>
        </w:tc>
      </w:tr>
      <w:tr w:rsidR="00ED1959" w:rsidRPr="006237E6" w14:paraId="4651C224" w14:textId="77777777" w:rsidTr="000F7C73">
        <w:trPr>
          <w:trHeight w:val="155"/>
        </w:trPr>
        <w:tc>
          <w:tcPr>
            <w:tcW w:w="1728" w:type="dxa"/>
            <w:shd w:val="clear" w:color="auto" w:fill="auto"/>
            <w:tcMar>
              <w:left w:w="0" w:type="dxa"/>
            </w:tcMar>
          </w:tcPr>
          <w:p w14:paraId="0722E290" w14:textId="77777777" w:rsidR="00ED1959" w:rsidRDefault="00ED1959" w:rsidP="000F7C73">
            <w:pPr>
              <w:pStyle w:val="Marginlie"/>
              <w:rPr>
                <w:spacing w:val="-4"/>
              </w:rPr>
            </w:pPr>
            <w:r>
              <w:rPr>
                <w:spacing w:val="-4"/>
              </w:rPr>
              <w:t xml:space="preserve">Průmyslová produkce se již téměř vyrovnala úrovni </w:t>
            </w:r>
            <w:proofErr w:type="gramStart"/>
            <w:r>
              <w:rPr>
                <w:spacing w:val="-4"/>
              </w:rPr>
              <w:t>ze</w:t>
            </w:r>
            <w:proofErr w:type="gramEnd"/>
            <w:r>
              <w:rPr>
                <w:spacing w:val="-4"/>
              </w:rPr>
              <w:t xml:space="preserve"> 2. čtvrtletí 2019. Některé váhově i strategicky významné obory ale této mety dosud nedosáhly.</w:t>
            </w:r>
          </w:p>
        </w:tc>
        <w:tc>
          <w:tcPr>
            <w:tcW w:w="206" w:type="dxa"/>
            <w:shd w:val="clear" w:color="auto" w:fill="auto"/>
            <w:tcMar>
              <w:left w:w="0" w:type="dxa"/>
            </w:tcMar>
          </w:tcPr>
          <w:p w14:paraId="605A586C"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04FF0439" w14:textId="77777777" w:rsidR="00ED1959" w:rsidRPr="002034A0" w:rsidRDefault="00ED1959" w:rsidP="000F7C73">
            <w:pPr>
              <w:spacing w:after="200"/>
              <w:rPr>
                <w:color w:val="0D0D0D" w:themeColor="text1" w:themeTint="F2"/>
                <w:spacing w:val="-3"/>
              </w:rPr>
            </w:pPr>
            <w:r>
              <w:rPr>
                <w:color w:val="0D0D0D" w:themeColor="text1" w:themeTint="F2"/>
                <w:spacing w:val="-3"/>
              </w:rPr>
              <w:t xml:space="preserve">Ve druhém letošním čtvrtletí produkce v celém průmyslu za stejným obdobím roku 2019 již jen lehce zaostávala (o 1,6 %). Projevuje se zde nejen vliv celého pandemického období, ale také dopad krátkého cyklického útlumu průmyslu, který mu předcházel. Polovina zpracovatelských oborů vykázala za toto dvouleté období růst. Vedle výroby kolejových dopravních prostředků (kde má produkce částečně </w:t>
            </w:r>
            <w:proofErr w:type="spellStart"/>
            <w:r>
              <w:rPr>
                <w:color w:val="0D0D0D" w:themeColor="text1" w:themeTint="F2"/>
                <w:spacing w:val="-3"/>
              </w:rPr>
              <w:t>volatilní</w:t>
            </w:r>
            <w:proofErr w:type="spellEnd"/>
            <w:r>
              <w:rPr>
                <w:color w:val="0D0D0D" w:themeColor="text1" w:themeTint="F2"/>
                <w:spacing w:val="-3"/>
              </w:rPr>
              <w:t xml:space="preserve"> charakter) se jednalo hlavně</w:t>
            </w:r>
            <w:r>
              <w:rPr>
                <w:rFonts w:cs="Arial"/>
                <w:spacing w:val="-4"/>
                <w:szCs w:val="20"/>
              </w:rPr>
              <w:t xml:space="preserve"> o </w:t>
            </w:r>
            <w:r>
              <w:rPr>
                <w:color w:val="0D0D0D" w:themeColor="text1" w:themeTint="F2"/>
                <w:spacing w:val="-3"/>
              </w:rPr>
              <w:t>dřevozpracující (+12,6 %), papírenský (+10,9 %) a ostatní průmysl</w:t>
            </w:r>
            <w:r>
              <w:rPr>
                <w:rStyle w:val="Znakapoznpodarou"/>
                <w:color w:val="0D0D0D" w:themeColor="text1" w:themeTint="F2"/>
                <w:spacing w:val="-3"/>
              </w:rPr>
              <w:footnoteReference w:id="26"/>
            </w:r>
            <w:r>
              <w:rPr>
                <w:color w:val="0D0D0D" w:themeColor="text1" w:themeTint="F2"/>
                <w:spacing w:val="-3"/>
              </w:rPr>
              <w:t xml:space="preserve"> (+10,6 %), dále o</w:t>
            </w:r>
            <w:r w:rsidRPr="006B69D3">
              <w:rPr>
                <w:rFonts w:cs="Arial"/>
                <w:spacing w:val="-4"/>
                <w:szCs w:val="20"/>
              </w:rPr>
              <w:t> </w:t>
            </w:r>
            <w:r>
              <w:rPr>
                <w:color w:val="0D0D0D" w:themeColor="text1" w:themeTint="F2"/>
                <w:spacing w:val="-3"/>
              </w:rPr>
              <w:t xml:space="preserve">farmaceutický průmysl (+4,9 %) a z větších oborů o elektrotechniku (+2,8 %), kovovýrobu, (+2,5 %) a potravinářství (+1,7 %). Naproti tomu ztrácely i některé klíčové obory – výroba motorových </w:t>
            </w:r>
            <w:proofErr w:type="gramStart"/>
            <w:r>
              <w:rPr>
                <w:color w:val="0D0D0D" w:themeColor="text1" w:themeTint="F2"/>
                <w:spacing w:val="-3"/>
              </w:rPr>
              <w:t>vozidel (</w:t>
            </w:r>
            <w:r w:rsidRPr="006B69D3">
              <w:rPr>
                <w:spacing w:val="-4"/>
              </w:rPr>
              <w:t>–</w:t>
            </w:r>
            <w:r>
              <w:rPr>
                <w:color w:val="0D0D0D" w:themeColor="text1" w:themeTint="F2"/>
                <w:spacing w:val="-3"/>
              </w:rPr>
              <w:t>5,5</w:t>
            </w:r>
            <w:proofErr w:type="gramEnd"/>
            <w:r>
              <w:rPr>
                <w:color w:val="0D0D0D" w:themeColor="text1" w:themeTint="F2"/>
                <w:spacing w:val="-3"/>
              </w:rPr>
              <w:t> %) a strojírenství (</w:t>
            </w:r>
            <w:r w:rsidRPr="006B69D3">
              <w:rPr>
                <w:spacing w:val="-4"/>
              </w:rPr>
              <w:t>–</w:t>
            </w:r>
            <w:r>
              <w:rPr>
                <w:color w:val="0D0D0D" w:themeColor="text1" w:themeTint="F2"/>
                <w:spacing w:val="-3"/>
              </w:rPr>
              <w:t xml:space="preserve">6,0 %) a také energetika </w:t>
            </w:r>
            <w:r>
              <w:rPr>
                <w:color w:val="0D0D0D" w:themeColor="text1" w:themeTint="F2"/>
                <w:spacing w:val="-3"/>
              </w:rPr>
              <w:br/>
              <w:t>(</w:t>
            </w:r>
            <w:r w:rsidRPr="006B69D3">
              <w:rPr>
                <w:spacing w:val="-4"/>
              </w:rPr>
              <w:t>–</w:t>
            </w:r>
            <w:r>
              <w:rPr>
                <w:color w:val="0D0D0D" w:themeColor="text1" w:themeTint="F2"/>
                <w:spacing w:val="-3"/>
              </w:rPr>
              <w:t>9,6 %).</w:t>
            </w:r>
          </w:p>
        </w:tc>
      </w:tr>
      <w:tr w:rsidR="00ED1959" w:rsidRPr="006237E6" w14:paraId="0506864B" w14:textId="77777777" w:rsidTr="000F7C73">
        <w:trPr>
          <w:trHeight w:val="155"/>
        </w:trPr>
        <w:tc>
          <w:tcPr>
            <w:tcW w:w="1728" w:type="dxa"/>
            <w:shd w:val="clear" w:color="auto" w:fill="auto"/>
            <w:tcMar>
              <w:left w:w="0" w:type="dxa"/>
            </w:tcMar>
          </w:tcPr>
          <w:p w14:paraId="4991CB33" w14:textId="77777777" w:rsidR="00ED1959" w:rsidRDefault="00ED1959" w:rsidP="000F7C73">
            <w:pPr>
              <w:pStyle w:val="Marginlie"/>
              <w:rPr>
                <w:spacing w:val="-4"/>
              </w:rPr>
            </w:pPr>
            <w:r>
              <w:rPr>
                <w:spacing w:val="-4"/>
              </w:rPr>
              <w:t>Tržby z přímého vývozu rostly nadále svižněji než tržby z tuzemska.</w:t>
            </w:r>
          </w:p>
          <w:p w14:paraId="792D417C" w14:textId="77777777" w:rsidR="00ED1959" w:rsidRDefault="00ED1959" w:rsidP="000F7C73">
            <w:pPr>
              <w:pStyle w:val="Marginlie"/>
              <w:rPr>
                <w:spacing w:val="-4"/>
              </w:rPr>
            </w:pPr>
          </w:p>
          <w:p w14:paraId="583629B5" w14:textId="77777777" w:rsidR="00ED1959" w:rsidRDefault="00ED1959" w:rsidP="000F7C73">
            <w:pPr>
              <w:pStyle w:val="Marginlie"/>
              <w:rPr>
                <w:spacing w:val="-4"/>
              </w:rPr>
            </w:pPr>
          </w:p>
          <w:p w14:paraId="30EAE1BE" w14:textId="77777777" w:rsidR="00ED1959" w:rsidRDefault="00ED1959" w:rsidP="000F7C73">
            <w:pPr>
              <w:pStyle w:val="Marginlie"/>
              <w:rPr>
                <w:spacing w:val="-4"/>
              </w:rPr>
            </w:pPr>
          </w:p>
          <w:p w14:paraId="3DE2F976" w14:textId="77777777" w:rsidR="00ED1959" w:rsidRDefault="00ED1959" w:rsidP="000F7C73">
            <w:pPr>
              <w:pStyle w:val="Marginlie"/>
              <w:rPr>
                <w:spacing w:val="-4"/>
              </w:rPr>
            </w:pPr>
            <w:r>
              <w:rPr>
                <w:spacing w:val="-4"/>
              </w:rPr>
              <w:t xml:space="preserve">V chemickém, hutnickém a dřevozpracujícím průmyslu byl růst tržeb </w:t>
            </w:r>
            <w:r>
              <w:rPr>
                <w:spacing w:val="-4"/>
              </w:rPr>
              <w:lastRenderedPageBreak/>
              <w:t>významně tažen i vyššími cenami.</w:t>
            </w:r>
          </w:p>
        </w:tc>
        <w:tc>
          <w:tcPr>
            <w:tcW w:w="206" w:type="dxa"/>
            <w:shd w:val="clear" w:color="auto" w:fill="auto"/>
            <w:tcMar>
              <w:left w:w="0" w:type="dxa"/>
            </w:tcMar>
          </w:tcPr>
          <w:p w14:paraId="4788E9A0"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6A777D15" w14:textId="77777777" w:rsidR="00ED1959" w:rsidRPr="001872A3" w:rsidRDefault="00ED1959" w:rsidP="00ED1959">
            <w:pPr>
              <w:rPr>
                <w:rFonts w:cs="Arial"/>
                <w:bCs/>
                <w:color w:val="0D0D0D" w:themeColor="text1" w:themeTint="F2"/>
                <w:spacing w:val="-4"/>
                <w:szCs w:val="20"/>
              </w:rPr>
            </w:pPr>
            <w:r w:rsidRPr="00A40DF2">
              <w:rPr>
                <w:rFonts w:cs="Arial"/>
                <w:bCs/>
                <w:color w:val="0D0D0D" w:themeColor="text1" w:themeTint="F2"/>
                <w:spacing w:val="-4"/>
                <w:szCs w:val="20"/>
              </w:rPr>
              <w:t>Nominální tržby průmyslových podniků</w:t>
            </w:r>
            <w:r w:rsidRPr="003B6DBE">
              <w:rPr>
                <w:rStyle w:val="Znakapoznpodarou"/>
                <w:bCs/>
                <w:color w:val="0D0D0D" w:themeColor="text1" w:themeTint="F2"/>
                <w:spacing w:val="-4"/>
                <w:szCs w:val="20"/>
              </w:rPr>
              <w:footnoteReference w:id="27"/>
            </w:r>
            <w:r>
              <w:rPr>
                <w:rFonts w:cs="Arial"/>
                <w:bCs/>
                <w:color w:val="0D0D0D" w:themeColor="text1" w:themeTint="F2"/>
                <w:spacing w:val="-4"/>
                <w:szCs w:val="20"/>
              </w:rPr>
              <w:t xml:space="preserve"> se ve 2</w:t>
            </w:r>
            <w:r w:rsidRPr="003B6DBE">
              <w:rPr>
                <w:rFonts w:cs="Arial"/>
                <w:bCs/>
                <w:color w:val="0D0D0D" w:themeColor="text1" w:themeTint="F2"/>
                <w:spacing w:val="-4"/>
                <w:szCs w:val="20"/>
              </w:rPr>
              <w:t>.</w:t>
            </w:r>
            <w:r>
              <w:rPr>
                <w:rFonts w:cs="Arial"/>
                <w:bCs/>
                <w:color w:val="0D0D0D" w:themeColor="text1" w:themeTint="F2"/>
                <w:spacing w:val="-4"/>
                <w:szCs w:val="20"/>
              </w:rPr>
              <w:t xml:space="preserve"> čtvrtletí 2021 </w:t>
            </w:r>
            <w:proofErr w:type="spellStart"/>
            <w:r>
              <w:rPr>
                <w:rFonts w:cs="Arial"/>
                <w:bCs/>
                <w:color w:val="0D0D0D" w:themeColor="text1" w:themeTint="F2"/>
                <w:spacing w:val="-4"/>
                <w:szCs w:val="20"/>
              </w:rPr>
              <w:t>mezikvartálně</w:t>
            </w:r>
            <w:proofErr w:type="spellEnd"/>
            <w:r>
              <w:rPr>
                <w:rFonts w:cs="Arial"/>
                <w:bCs/>
                <w:color w:val="0D0D0D" w:themeColor="text1" w:themeTint="F2"/>
                <w:spacing w:val="-4"/>
                <w:szCs w:val="20"/>
              </w:rPr>
              <w:t xml:space="preserve"> zvýšily o 4,1</w:t>
            </w:r>
            <w:r w:rsidRPr="006B69D3">
              <w:rPr>
                <w:rFonts w:cs="Arial"/>
                <w:spacing w:val="-4"/>
                <w:szCs w:val="20"/>
              </w:rPr>
              <w:t> </w:t>
            </w:r>
            <w:r>
              <w:rPr>
                <w:rFonts w:cs="Arial"/>
                <w:bCs/>
                <w:color w:val="0D0D0D" w:themeColor="text1" w:themeTint="F2"/>
                <w:spacing w:val="-4"/>
                <w:szCs w:val="20"/>
              </w:rPr>
              <w:t>% a kompenzovaly mírný pokles z počátku roku. Meziročně byly tržby z přímého vývozu vyšší o 38,1 %, tržby z tuzemska o 26,9 %. Zahraniční poptávka tak rostla svižněji než domácí již čtvrtý kvartál v řadě</w:t>
            </w:r>
            <w:r>
              <w:rPr>
                <w:rStyle w:val="Znakapoznpodarou"/>
                <w:bCs/>
                <w:color w:val="0D0D0D" w:themeColor="text1" w:themeTint="F2"/>
                <w:spacing w:val="-4"/>
                <w:szCs w:val="20"/>
              </w:rPr>
              <w:footnoteReference w:id="28"/>
            </w:r>
            <w:r>
              <w:rPr>
                <w:rFonts w:cs="Arial"/>
                <w:bCs/>
                <w:color w:val="0D0D0D" w:themeColor="text1" w:themeTint="F2"/>
                <w:spacing w:val="-4"/>
                <w:szCs w:val="20"/>
              </w:rPr>
              <w:t xml:space="preserve">. Celkové tržby narostly nejvíce ve výrobě motorových vozidel (73,3 %), avšak ani to nestačilo plně pokrýt hluboký propad </w:t>
            </w:r>
            <w:proofErr w:type="gramStart"/>
            <w:r>
              <w:rPr>
                <w:rFonts w:cs="Arial"/>
                <w:bCs/>
                <w:color w:val="0D0D0D" w:themeColor="text1" w:themeTint="F2"/>
                <w:spacing w:val="-4"/>
                <w:szCs w:val="20"/>
              </w:rPr>
              <w:t>ze</w:t>
            </w:r>
            <w:proofErr w:type="gramEnd"/>
            <w:r>
              <w:rPr>
                <w:rFonts w:cs="Arial"/>
                <w:bCs/>
                <w:color w:val="0D0D0D" w:themeColor="text1" w:themeTint="F2"/>
                <w:spacing w:val="-4"/>
                <w:szCs w:val="20"/>
              </w:rPr>
              <w:t xml:space="preserve"> 2. čtvrtletí 2020. Více než 50% zvýšení tržeb hlásilo gumárenství a </w:t>
            </w:r>
            <w:proofErr w:type="spellStart"/>
            <w:r>
              <w:rPr>
                <w:rFonts w:cs="Arial"/>
                <w:bCs/>
                <w:color w:val="0D0D0D" w:themeColor="text1" w:themeTint="F2"/>
                <w:spacing w:val="-4"/>
                <w:szCs w:val="20"/>
              </w:rPr>
              <w:t>plastikářství</w:t>
            </w:r>
            <w:proofErr w:type="spellEnd"/>
            <w:r>
              <w:rPr>
                <w:rFonts w:cs="Arial"/>
                <w:bCs/>
                <w:color w:val="0D0D0D" w:themeColor="text1" w:themeTint="F2"/>
                <w:spacing w:val="-4"/>
                <w:szCs w:val="20"/>
              </w:rPr>
              <w:t xml:space="preserve">, ale také chemický průmysl a hutnictví, u nichž ale sehrál významnou roli cenový růst. Ten pomohl i tržbám ve dřevozpracujícím průmyslu </w:t>
            </w:r>
            <w:r>
              <w:rPr>
                <w:rFonts w:cs="Arial"/>
                <w:bCs/>
                <w:color w:val="0D0D0D" w:themeColor="text1" w:themeTint="F2"/>
                <w:spacing w:val="-4"/>
                <w:szCs w:val="20"/>
              </w:rPr>
              <w:lastRenderedPageBreak/>
              <w:t>(43,2 %, u přímého vývozu dokonce 50,3 %). Mírné snížení tržeb (do 5 %) registrovali jen výrobci oděvů, farmaceutický průmysl a výrobci počítačů, elektronických a optických přístrojů – ve všech případech výhradně vlivem negativního cenového vlivu.</w:t>
            </w:r>
          </w:p>
        </w:tc>
      </w:tr>
      <w:tr w:rsidR="00ED1959" w:rsidRPr="006237E6" w14:paraId="27A6B587" w14:textId="77777777" w:rsidTr="000F7C73">
        <w:trPr>
          <w:trHeight w:val="155"/>
        </w:trPr>
        <w:tc>
          <w:tcPr>
            <w:tcW w:w="1728" w:type="dxa"/>
            <w:shd w:val="clear" w:color="auto" w:fill="auto"/>
            <w:tcMar>
              <w:left w:w="0" w:type="dxa"/>
            </w:tcMar>
          </w:tcPr>
          <w:p w14:paraId="665AA1CB" w14:textId="77777777" w:rsidR="00ED1959" w:rsidRPr="00BE54BF" w:rsidRDefault="00ED1959" w:rsidP="000F7C73">
            <w:pPr>
              <w:pStyle w:val="Marginlie"/>
            </w:pPr>
          </w:p>
        </w:tc>
        <w:tc>
          <w:tcPr>
            <w:tcW w:w="206" w:type="dxa"/>
            <w:shd w:val="clear" w:color="auto" w:fill="auto"/>
            <w:tcMar>
              <w:left w:w="0" w:type="dxa"/>
            </w:tcMar>
          </w:tcPr>
          <w:p w14:paraId="3DFDCB94"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4C77B6A5" w14:textId="77777777" w:rsidR="00ED1959" w:rsidRPr="00965AD0" w:rsidRDefault="00ED1959" w:rsidP="000F7C73">
            <w:pPr>
              <w:spacing w:after="0"/>
              <w:rPr>
                <w:spacing w:val="-4"/>
              </w:rPr>
            </w:pPr>
            <w:r w:rsidRPr="00883202">
              <w:rPr>
                <w:rFonts w:cs="Arial"/>
                <w:b/>
                <w:bCs/>
                <w:color w:val="000000"/>
                <w:szCs w:val="20"/>
              </w:rPr>
              <w:t>Graf č. 4</w:t>
            </w:r>
            <w:r>
              <w:rPr>
                <w:rFonts w:cs="Arial"/>
                <w:b/>
                <w:bCs/>
                <w:color w:val="000000"/>
                <w:szCs w:val="20"/>
              </w:rPr>
              <w:t xml:space="preserve"> </w:t>
            </w:r>
            <w:r w:rsidRPr="00883202">
              <w:rPr>
                <w:rFonts w:cs="Arial"/>
                <w:b/>
                <w:bCs/>
                <w:color w:val="000000"/>
                <w:szCs w:val="20"/>
              </w:rPr>
              <w:t xml:space="preserve"> </w:t>
            </w:r>
            <w:r w:rsidRPr="00883202">
              <w:rPr>
                <w:b/>
              </w:rPr>
              <w:t>Příspěvky dílčích odvětví k meziroční změně průmyslové produkce</w:t>
            </w:r>
            <w:r w:rsidRPr="00883202">
              <w:rPr>
                <w:b/>
              </w:rPr>
              <w:br/>
            </w:r>
            <w:r>
              <w:t>(v p. b., očištěno o kalendářní</w:t>
            </w:r>
            <w:r w:rsidRPr="00883202">
              <w:t xml:space="preserve"> vlivy)</w:t>
            </w:r>
            <w:r w:rsidRPr="00883202">
              <w:rPr>
                <w:b/>
                <w:bCs/>
              </w:rPr>
              <w:t xml:space="preserve">, </w:t>
            </w:r>
            <w:r w:rsidRPr="00883202">
              <w:rPr>
                <w:b/>
              </w:rPr>
              <w:t xml:space="preserve">saldo důvěry v průmyslu* </w:t>
            </w:r>
            <w:r>
              <w:t xml:space="preserve">(v p. b., pravá </w:t>
            </w:r>
            <w:r w:rsidRPr="00883202">
              <w:t>osa)</w:t>
            </w:r>
          </w:p>
        </w:tc>
      </w:tr>
      <w:tr w:rsidR="00ED1959" w:rsidRPr="00B43216" w14:paraId="395CFB6E" w14:textId="77777777" w:rsidTr="000F7C73">
        <w:tblPrEx>
          <w:tblCellMar>
            <w:left w:w="70" w:type="dxa"/>
            <w:right w:w="70" w:type="dxa"/>
          </w:tblCellMar>
        </w:tblPrEx>
        <w:trPr>
          <w:trHeight w:val="145"/>
        </w:trPr>
        <w:tc>
          <w:tcPr>
            <w:tcW w:w="1728" w:type="dxa"/>
            <w:shd w:val="clear" w:color="auto" w:fill="auto"/>
          </w:tcPr>
          <w:p w14:paraId="418ED0DD" w14:textId="77777777" w:rsidR="00ED1959" w:rsidRDefault="00ED1959" w:rsidP="000F7C73">
            <w:pPr>
              <w:pStyle w:val="Marginlie"/>
              <w:rPr>
                <w:spacing w:val="-4"/>
              </w:rPr>
            </w:pPr>
          </w:p>
        </w:tc>
        <w:tc>
          <w:tcPr>
            <w:tcW w:w="206" w:type="dxa"/>
            <w:shd w:val="clear" w:color="auto" w:fill="auto"/>
          </w:tcPr>
          <w:p w14:paraId="1EEF7971" w14:textId="77777777" w:rsidR="00ED1959" w:rsidRPr="00B43216" w:rsidRDefault="00ED1959" w:rsidP="000F7C73">
            <w:pPr>
              <w:pStyle w:val="Textpoznpodarou"/>
              <w:jc w:val="both"/>
              <w:rPr>
                <w:spacing w:val="-4"/>
              </w:rPr>
            </w:pPr>
          </w:p>
        </w:tc>
        <w:tc>
          <w:tcPr>
            <w:tcW w:w="7730" w:type="dxa"/>
            <w:shd w:val="clear" w:color="auto" w:fill="auto"/>
          </w:tcPr>
          <w:p w14:paraId="64129EA5" w14:textId="77777777" w:rsidR="00ED1959" w:rsidRPr="00241E62" w:rsidRDefault="00ED1959" w:rsidP="000F7C73">
            <w:pPr>
              <w:spacing w:after="40"/>
              <w:rPr>
                <w:rFonts w:cs="Arial"/>
                <w:bCs/>
                <w:color w:val="000000"/>
                <w:szCs w:val="20"/>
              </w:rPr>
            </w:pPr>
            <w:r>
              <w:rPr>
                <w:noProof/>
              </w:rPr>
              <w:drawing>
                <wp:inline distT="0" distB="0" distL="0" distR="0" wp14:anchorId="34756FD1" wp14:editId="184F6E82">
                  <wp:extent cx="4817745" cy="3645725"/>
                  <wp:effectExtent l="0" t="0" r="1905"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D1959" w:rsidRPr="00B43216" w14:paraId="4C8E3519" w14:textId="77777777" w:rsidTr="000F7C73">
        <w:trPr>
          <w:trHeight w:val="145"/>
        </w:trPr>
        <w:tc>
          <w:tcPr>
            <w:tcW w:w="1728" w:type="dxa"/>
            <w:shd w:val="clear" w:color="auto" w:fill="auto"/>
            <w:tcMar>
              <w:left w:w="0" w:type="dxa"/>
            </w:tcMar>
          </w:tcPr>
          <w:p w14:paraId="3F267C7C" w14:textId="77777777" w:rsidR="00ED1959" w:rsidRDefault="00ED1959" w:rsidP="000F7C73">
            <w:pPr>
              <w:pStyle w:val="Marginlie"/>
              <w:rPr>
                <w:spacing w:val="-4"/>
              </w:rPr>
            </w:pPr>
          </w:p>
        </w:tc>
        <w:tc>
          <w:tcPr>
            <w:tcW w:w="206" w:type="dxa"/>
            <w:shd w:val="clear" w:color="auto" w:fill="auto"/>
            <w:tcMar>
              <w:left w:w="0" w:type="dxa"/>
            </w:tcMar>
          </w:tcPr>
          <w:p w14:paraId="42826C80"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208940F8" w14:textId="77777777" w:rsidR="00ED1959" w:rsidRPr="007A0D91" w:rsidRDefault="00ED1959" w:rsidP="000F7C73">
            <w:pPr>
              <w:tabs>
                <w:tab w:val="right" w:pos="7711"/>
              </w:tabs>
              <w:spacing w:after="200"/>
              <w:rPr>
                <w:rFonts w:cs="Arial"/>
                <w:sz w:val="14"/>
                <w:szCs w:val="14"/>
              </w:rPr>
            </w:pPr>
            <w:r w:rsidRPr="00883202">
              <w:rPr>
                <w:rFonts w:cs="Arial"/>
                <w:sz w:val="14"/>
                <w:szCs w:val="14"/>
              </w:rPr>
              <w:t xml:space="preserve">*Saldo důvěry je sezónně očištěno a vyjadřuje stav ve </w:t>
            </w:r>
            <w:r>
              <w:rPr>
                <w:rFonts w:cs="Arial"/>
                <w:sz w:val="14"/>
                <w:szCs w:val="14"/>
              </w:rPr>
              <w:t>druhém měsíci daného čtvrtletí.</w:t>
            </w:r>
            <w:r>
              <w:rPr>
                <w:rFonts w:cs="Arial"/>
                <w:sz w:val="14"/>
                <w:szCs w:val="14"/>
              </w:rPr>
              <w:tab/>
            </w:r>
            <w:r w:rsidRPr="00883202">
              <w:rPr>
                <w:rFonts w:cs="Arial"/>
                <w:sz w:val="14"/>
                <w:szCs w:val="14"/>
              </w:rPr>
              <w:t>Zdroj: ČSÚ</w:t>
            </w:r>
          </w:p>
        </w:tc>
      </w:tr>
      <w:tr w:rsidR="00ED1959" w:rsidRPr="00B43216" w14:paraId="1AC85AC3" w14:textId="77777777" w:rsidTr="000F7C73">
        <w:trPr>
          <w:trHeight w:val="145"/>
        </w:trPr>
        <w:tc>
          <w:tcPr>
            <w:tcW w:w="1728" w:type="dxa"/>
            <w:shd w:val="clear" w:color="auto" w:fill="auto"/>
            <w:tcMar>
              <w:left w:w="0" w:type="dxa"/>
            </w:tcMar>
          </w:tcPr>
          <w:p w14:paraId="0697D31B" w14:textId="77777777" w:rsidR="00ED1959" w:rsidRDefault="00ED1959" w:rsidP="000F7C73">
            <w:pPr>
              <w:pStyle w:val="Marginlie"/>
              <w:rPr>
                <w:spacing w:val="0"/>
              </w:rPr>
            </w:pPr>
            <w:r>
              <w:rPr>
                <w:spacing w:val="0"/>
              </w:rPr>
              <w:t>Růst domácí i zahraniční poptávky během 1. pololetí i v samotném červenci pokračoval. Týkal se výrazné většiny sledovaných oborů.</w:t>
            </w:r>
          </w:p>
        </w:tc>
        <w:tc>
          <w:tcPr>
            <w:tcW w:w="206" w:type="dxa"/>
            <w:shd w:val="clear" w:color="auto" w:fill="auto"/>
            <w:tcMar>
              <w:left w:w="0" w:type="dxa"/>
            </w:tcMar>
          </w:tcPr>
          <w:p w14:paraId="098A702E"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1EFE3F1F" w14:textId="77777777" w:rsidR="00ED1959" w:rsidRPr="00C8413E" w:rsidRDefault="00ED1959" w:rsidP="000F7C73">
            <w:pPr>
              <w:spacing w:after="200"/>
              <w:rPr>
                <w:color w:val="0D0D0D" w:themeColor="text1" w:themeTint="F2"/>
                <w:spacing w:val="-4"/>
              </w:rPr>
            </w:pPr>
            <w:r w:rsidRPr="00C8413E">
              <w:rPr>
                <w:color w:val="0D0D0D" w:themeColor="text1" w:themeTint="F2"/>
                <w:spacing w:val="-4"/>
              </w:rPr>
              <w:t>Krátkodobé vyhlídky průmyslu se během 1.</w:t>
            </w:r>
            <w:r>
              <w:rPr>
                <w:color w:val="0D0D0D" w:themeColor="text1" w:themeTint="F2"/>
                <w:spacing w:val="-4"/>
              </w:rPr>
              <w:t> pololet</w:t>
            </w:r>
            <w:r w:rsidRPr="00C8413E">
              <w:rPr>
                <w:color w:val="0D0D0D" w:themeColor="text1" w:themeTint="F2"/>
                <w:spacing w:val="-4"/>
              </w:rPr>
              <w:t>í zlepšovaly</w:t>
            </w:r>
            <w:r w:rsidRPr="00C8413E">
              <w:rPr>
                <w:color w:val="000000" w:themeColor="text1"/>
                <w:spacing w:val="-4"/>
              </w:rPr>
              <w:t>. Po silném oživení během druhé poloviny loňského roku letos celková poptávka dále rostla. V 1.</w:t>
            </w:r>
            <w:r>
              <w:rPr>
                <w:color w:val="000000" w:themeColor="text1"/>
                <w:spacing w:val="-4"/>
              </w:rPr>
              <w:t> čtvrtlet</w:t>
            </w:r>
            <w:r w:rsidRPr="00C8413E">
              <w:rPr>
                <w:color w:val="000000" w:themeColor="text1"/>
                <w:spacing w:val="-4"/>
              </w:rPr>
              <w:t xml:space="preserve">í 2021 </w:t>
            </w:r>
            <w:r w:rsidRPr="00C8413E">
              <w:rPr>
                <w:color w:val="0D0D0D" w:themeColor="text1" w:themeTint="F2"/>
                <w:spacing w:val="-4"/>
              </w:rPr>
              <w:t>se hodnota průmyslových zakázek</w:t>
            </w:r>
            <w:r w:rsidRPr="00C8413E">
              <w:rPr>
                <w:rStyle w:val="Znakapoznpodarou"/>
                <w:spacing w:val="-4"/>
              </w:rPr>
              <w:footnoteReference w:id="29"/>
            </w:r>
            <w:r w:rsidRPr="00C8413E">
              <w:rPr>
                <w:color w:val="0D0D0D" w:themeColor="text1" w:themeTint="F2"/>
                <w:spacing w:val="-4"/>
              </w:rPr>
              <w:t xml:space="preserve"> </w:t>
            </w:r>
            <w:proofErr w:type="spellStart"/>
            <w:r w:rsidRPr="00C8413E">
              <w:rPr>
                <w:color w:val="0D0D0D" w:themeColor="text1" w:themeTint="F2"/>
                <w:spacing w:val="-4"/>
              </w:rPr>
              <w:t>mezikvartálně</w:t>
            </w:r>
            <w:proofErr w:type="spellEnd"/>
            <w:r w:rsidRPr="00C8413E">
              <w:rPr>
                <w:color w:val="0D0D0D" w:themeColor="text1" w:themeTint="F2"/>
                <w:spacing w:val="-4"/>
              </w:rPr>
              <w:t xml:space="preserve"> zvýšila o</w:t>
            </w:r>
            <w:r>
              <w:rPr>
                <w:color w:val="0D0D0D" w:themeColor="text1" w:themeTint="F2"/>
                <w:spacing w:val="-4"/>
              </w:rPr>
              <w:t> </w:t>
            </w:r>
            <w:r w:rsidRPr="00C8413E">
              <w:rPr>
                <w:color w:val="0D0D0D" w:themeColor="text1" w:themeTint="F2"/>
                <w:spacing w:val="-4"/>
              </w:rPr>
              <w:t>1,8</w:t>
            </w:r>
            <w:r>
              <w:rPr>
                <w:color w:val="0D0D0D" w:themeColor="text1" w:themeTint="F2"/>
                <w:spacing w:val="-4"/>
              </w:rPr>
              <w:t> %</w:t>
            </w:r>
            <w:r w:rsidRPr="00C8413E">
              <w:rPr>
                <w:color w:val="0D0D0D" w:themeColor="text1" w:themeTint="F2"/>
                <w:spacing w:val="-4"/>
              </w:rPr>
              <w:t>, v následujícím období o </w:t>
            </w:r>
            <w:r>
              <w:rPr>
                <w:color w:val="0D0D0D" w:themeColor="text1" w:themeTint="F2"/>
                <w:spacing w:val="-4"/>
              </w:rPr>
              <w:t>3,2</w:t>
            </w:r>
            <w:r w:rsidRPr="00C8413E">
              <w:rPr>
                <w:color w:val="0D0D0D" w:themeColor="text1" w:themeTint="F2"/>
                <w:spacing w:val="-4"/>
              </w:rPr>
              <w:t> %. Příznivý trend se přenesl i</w:t>
            </w:r>
            <w:r>
              <w:rPr>
                <w:color w:val="0D0D0D" w:themeColor="text1" w:themeTint="F2"/>
                <w:spacing w:val="-4"/>
              </w:rPr>
              <w:t> </w:t>
            </w:r>
            <w:r w:rsidRPr="00C8413E">
              <w:rPr>
                <w:color w:val="0D0D0D" w:themeColor="text1" w:themeTint="F2"/>
                <w:spacing w:val="-4"/>
              </w:rPr>
              <w:t xml:space="preserve">do počátku prázdnin, neboť zakázky byly </w:t>
            </w:r>
            <w:r>
              <w:rPr>
                <w:color w:val="0D0D0D" w:themeColor="text1" w:themeTint="F2"/>
                <w:spacing w:val="-4"/>
              </w:rPr>
              <w:t>v </w:t>
            </w:r>
            <w:r w:rsidRPr="00C8413E">
              <w:rPr>
                <w:color w:val="0D0D0D" w:themeColor="text1" w:themeTint="F2"/>
                <w:spacing w:val="-4"/>
              </w:rPr>
              <w:t>červenci proti předchozímu měsíci vyšší o</w:t>
            </w:r>
            <w:r>
              <w:rPr>
                <w:color w:val="0D0D0D" w:themeColor="text1" w:themeTint="F2"/>
                <w:spacing w:val="-4"/>
              </w:rPr>
              <w:t> </w:t>
            </w:r>
            <w:r w:rsidRPr="00C8413E">
              <w:rPr>
                <w:color w:val="0D0D0D" w:themeColor="text1" w:themeTint="F2"/>
                <w:spacing w:val="-4"/>
              </w:rPr>
              <w:t>3,1</w:t>
            </w:r>
            <w:r>
              <w:rPr>
                <w:color w:val="0D0D0D" w:themeColor="text1" w:themeTint="F2"/>
                <w:spacing w:val="-4"/>
              </w:rPr>
              <w:t> %</w:t>
            </w:r>
            <w:r w:rsidRPr="00C8413E">
              <w:rPr>
                <w:color w:val="0D0D0D" w:themeColor="text1" w:themeTint="F2"/>
                <w:spacing w:val="-4"/>
              </w:rPr>
              <w:t xml:space="preserve"> a</w:t>
            </w:r>
            <w:r>
              <w:rPr>
                <w:color w:val="0D0D0D" w:themeColor="text1" w:themeTint="F2"/>
                <w:spacing w:val="-4"/>
              </w:rPr>
              <w:t> </w:t>
            </w:r>
            <w:r w:rsidRPr="00C8413E">
              <w:rPr>
                <w:color w:val="0D0D0D" w:themeColor="text1" w:themeTint="F2"/>
                <w:spacing w:val="-4"/>
              </w:rPr>
              <w:t>meziročně o</w:t>
            </w:r>
            <w:r>
              <w:rPr>
                <w:color w:val="0D0D0D" w:themeColor="text1" w:themeTint="F2"/>
                <w:spacing w:val="-4"/>
              </w:rPr>
              <w:t> </w:t>
            </w:r>
            <w:r w:rsidRPr="00C8413E">
              <w:rPr>
                <w:color w:val="0D0D0D" w:themeColor="text1" w:themeTint="F2"/>
                <w:spacing w:val="-4"/>
              </w:rPr>
              <w:t>18,9</w:t>
            </w:r>
            <w:r>
              <w:rPr>
                <w:color w:val="0D0D0D" w:themeColor="text1" w:themeTint="F2"/>
                <w:spacing w:val="-4"/>
              </w:rPr>
              <w:t> %</w:t>
            </w:r>
            <w:r w:rsidRPr="00C8413E">
              <w:rPr>
                <w:rStyle w:val="Znakapoznpodarou"/>
                <w:color w:val="0D0D0D" w:themeColor="text1" w:themeTint="F2"/>
                <w:spacing w:val="-4"/>
              </w:rPr>
              <w:footnoteReference w:id="30"/>
            </w:r>
            <w:r w:rsidRPr="00C8413E">
              <w:rPr>
                <w:color w:val="0D0D0D" w:themeColor="text1" w:themeTint="F2"/>
                <w:spacing w:val="-4"/>
              </w:rPr>
              <w:t xml:space="preserve"> (bez významnějších rozdílů mezi domácí a</w:t>
            </w:r>
            <w:r>
              <w:rPr>
                <w:color w:val="0D0D0D" w:themeColor="text1" w:themeTint="F2"/>
                <w:spacing w:val="-4"/>
              </w:rPr>
              <w:t> </w:t>
            </w:r>
            <w:r w:rsidRPr="00C8413E">
              <w:rPr>
                <w:color w:val="0D0D0D" w:themeColor="text1" w:themeTint="F2"/>
                <w:spacing w:val="-4"/>
              </w:rPr>
              <w:t>zahraniční poptávkou). Silný růst hlásily chemický průmysl i</w:t>
            </w:r>
            <w:r>
              <w:rPr>
                <w:color w:val="0D0D0D" w:themeColor="text1" w:themeTint="F2"/>
                <w:spacing w:val="-4"/>
              </w:rPr>
              <w:t> </w:t>
            </w:r>
            <w:r w:rsidRPr="00C8413E">
              <w:rPr>
                <w:color w:val="0D0D0D" w:themeColor="text1" w:themeTint="F2"/>
                <w:spacing w:val="-4"/>
              </w:rPr>
              <w:t>hutnictví, vyšší poptávku ale signalizovala drtivá většina sledovaných oborů. Využití výrobních kapacit v průmyslu vystoupalo na 88</w:t>
            </w:r>
            <w:r>
              <w:rPr>
                <w:color w:val="0D0D0D" w:themeColor="text1" w:themeTint="F2"/>
                <w:spacing w:val="-4"/>
              </w:rPr>
              <w:t> %</w:t>
            </w:r>
            <w:r w:rsidRPr="00C8413E">
              <w:rPr>
                <w:color w:val="0D0D0D" w:themeColor="text1" w:themeTint="F2"/>
                <w:spacing w:val="-4"/>
              </w:rPr>
              <w:t>, tedy mírně nad úroveň konjunkturního období minulé dekády. Mezi státy EU bylo vyšší jen v Rakousku.</w:t>
            </w:r>
          </w:p>
        </w:tc>
      </w:tr>
      <w:tr w:rsidR="00ED1959" w:rsidRPr="00B43216" w14:paraId="541269C3" w14:textId="77777777" w:rsidTr="000F7C73">
        <w:trPr>
          <w:trHeight w:val="145"/>
        </w:trPr>
        <w:tc>
          <w:tcPr>
            <w:tcW w:w="1728" w:type="dxa"/>
            <w:shd w:val="clear" w:color="auto" w:fill="auto"/>
            <w:tcMar>
              <w:left w:w="0" w:type="dxa"/>
            </w:tcMar>
          </w:tcPr>
          <w:p w14:paraId="134E9DCB" w14:textId="77777777" w:rsidR="00ED1959" w:rsidRDefault="00ED1959" w:rsidP="000F7C73">
            <w:pPr>
              <w:pStyle w:val="Marginlie"/>
              <w:rPr>
                <w:spacing w:val="0"/>
              </w:rPr>
            </w:pPr>
            <w:r>
              <w:rPr>
                <w:spacing w:val="0"/>
              </w:rPr>
              <w:t>Důvěra podnikatelů v průmyslu rostla a kulminovala v červnu. Poté se mírně snížila, hlavně vlivem nedostatku výrobních komponent.</w:t>
            </w:r>
          </w:p>
        </w:tc>
        <w:tc>
          <w:tcPr>
            <w:tcW w:w="206" w:type="dxa"/>
            <w:shd w:val="clear" w:color="auto" w:fill="auto"/>
            <w:tcMar>
              <w:left w:w="0" w:type="dxa"/>
            </w:tcMar>
          </w:tcPr>
          <w:p w14:paraId="4A083C01"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38F2C23D" w14:textId="77777777" w:rsidR="00ED1959" w:rsidRPr="00C8413E" w:rsidRDefault="00ED1959" w:rsidP="00ED1959">
            <w:pPr>
              <w:rPr>
                <w:rFonts w:cs="Arial"/>
                <w:bCs/>
                <w:color w:val="0D0D0D" w:themeColor="text1" w:themeTint="F2"/>
                <w:spacing w:val="-4"/>
                <w:szCs w:val="20"/>
              </w:rPr>
            </w:pPr>
            <w:r w:rsidRPr="00C8413E">
              <w:rPr>
                <w:color w:val="0D0D0D" w:themeColor="text1" w:themeTint="F2"/>
                <w:spacing w:val="-4"/>
              </w:rPr>
              <w:t>Důvěra podnikatelů v průmyslu vyšplhala v červnu na desetileté maximum. Během prázdnin vlivem částe</w:t>
            </w:r>
            <w:r>
              <w:rPr>
                <w:color w:val="0D0D0D" w:themeColor="text1" w:themeTint="F2"/>
                <w:spacing w:val="-4"/>
              </w:rPr>
              <w:t>čné korekce vysokých krátkodobých očekávání</w:t>
            </w:r>
            <w:r w:rsidRPr="00C8413E">
              <w:rPr>
                <w:color w:val="0D0D0D" w:themeColor="text1" w:themeTint="F2"/>
                <w:spacing w:val="-4"/>
              </w:rPr>
              <w:t xml:space="preserve"> růstu výroby sice oslabila, stále však převyšovala úroveň z období těsně před započetím pand</w:t>
            </w:r>
            <w:r>
              <w:rPr>
                <w:color w:val="0D0D0D" w:themeColor="text1" w:themeTint="F2"/>
                <w:spacing w:val="-4"/>
              </w:rPr>
              <w:t>emie. Mírně pozitivní zůstaly i</w:t>
            </w:r>
            <w:r w:rsidRPr="00C8413E">
              <w:rPr>
                <w:color w:val="0D0D0D" w:themeColor="text1" w:themeTint="F2"/>
                <w:spacing w:val="-4"/>
              </w:rPr>
              <w:t> krátkodobé výhledy</w:t>
            </w:r>
            <w:r w:rsidRPr="00C8413E">
              <w:rPr>
                <w:rFonts w:cstheme="minorHAnsi"/>
                <w:spacing w:val="-4"/>
              </w:rPr>
              <w:t xml:space="preserve"> v oblasti zaměstnanosti. Čtvrtina podniků považovala svou současnou ekonomickou situaci</w:t>
            </w:r>
            <w:r>
              <w:rPr>
                <w:rFonts w:cstheme="minorHAnsi"/>
                <w:spacing w:val="-4"/>
              </w:rPr>
              <w:t xml:space="preserve"> za dobrou, více než dvě třetiny</w:t>
            </w:r>
            <w:r w:rsidRPr="00C8413E">
              <w:rPr>
                <w:rFonts w:cstheme="minorHAnsi"/>
                <w:spacing w:val="-4"/>
              </w:rPr>
              <w:t xml:space="preserve"> za uspokojivou.</w:t>
            </w:r>
            <w:r w:rsidRPr="00B12B9E">
              <w:rPr>
                <w:color w:val="0D0D0D" w:themeColor="text1" w:themeTint="F2"/>
                <w:spacing w:val="-4"/>
              </w:rPr>
              <w:t xml:space="preserve"> Hlavní růstovou bariérou</w:t>
            </w:r>
            <w:r w:rsidRPr="00B12B9E">
              <w:rPr>
                <w:rStyle w:val="Znakapoznpodarou"/>
                <w:color w:val="0D0D0D" w:themeColor="text1" w:themeTint="F2"/>
                <w:spacing w:val="-4"/>
              </w:rPr>
              <w:footnoteReference w:id="31"/>
            </w:r>
            <w:r>
              <w:rPr>
                <w:color w:val="0D0D0D" w:themeColor="text1" w:themeTint="F2"/>
                <w:spacing w:val="-4"/>
              </w:rPr>
              <w:t xml:space="preserve"> se na počátku 3. čtvrtletí stal v Česku (ale i v EU) nedostatek materiálu a zařízení, který trápil rekordních 46 % tuzemských průmyslových podniků</w:t>
            </w:r>
            <w:r>
              <w:rPr>
                <w:rStyle w:val="Znakapoznpodarou"/>
                <w:color w:val="0D0D0D" w:themeColor="text1" w:themeTint="F2"/>
                <w:spacing w:val="-4"/>
              </w:rPr>
              <w:footnoteReference w:id="32"/>
            </w:r>
            <w:r>
              <w:rPr>
                <w:color w:val="0D0D0D" w:themeColor="text1" w:themeTint="F2"/>
                <w:spacing w:val="-4"/>
              </w:rPr>
              <w:t xml:space="preserve">. Role nedostatečné </w:t>
            </w:r>
            <w:r>
              <w:rPr>
                <w:color w:val="0D0D0D" w:themeColor="text1" w:themeTint="F2"/>
                <w:spacing w:val="-4"/>
              </w:rPr>
              <w:lastRenderedPageBreak/>
              <w:t>poptávky během letošního pololetí výrazně ustoupila do pozadí</w:t>
            </w:r>
            <w:r>
              <w:rPr>
                <w:rStyle w:val="Znakapoznpodarou"/>
                <w:color w:val="0D0D0D" w:themeColor="text1" w:themeTint="F2"/>
                <w:spacing w:val="-4"/>
              </w:rPr>
              <w:footnoteReference w:id="33"/>
            </w:r>
            <w:r>
              <w:rPr>
                <w:color w:val="0D0D0D" w:themeColor="text1" w:themeTint="F2"/>
                <w:spacing w:val="-4"/>
              </w:rPr>
              <w:t xml:space="preserve"> (ze 49 % na 25 %), naopak problém s náborem pracovní síly mírně posílil (na 26 %) a představoval nejvýznamnější bariéru ve více než třetině zpracovatelských oborů</w:t>
            </w:r>
            <w:r>
              <w:rPr>
                <w:rStyle w:val="Znakapoznpodarou"/>
                <w:color w:val="0D0D0D" w:themeColor="text1" w:themeTint="F2"/>
                <w:spacing w:val="-4"/>
              </w:rPr>
              <w:footnoteReference w:id="34"/>
            </w:r>
            <w:r>
              <w:rPr>
                <w:color w:val="0D0D0D" w:themeColor="text1" w:themeTint="F2"/>
                <w:spacing w:val="-4"/>
              </w:rPr>
              <w:t>.</w:t>
            </w:r>
          </w:p>
        </w:tc>
      </w:tr>
      <w:tr w:rsidR="00ED1959" w:rsidRPr="00B43216" w14:paraId="46506E97" w14:textId="77777777" w:rsidTr="000F7C73">
        <w:trPr>
          <w:trHeight w:val="155"/>
        </w:trPr>
        <w:tc>
          <w:tcPr>
            <w:tcW w:w="1728" w:type="dxa"/>
            <w:vMerge w:val="restart"/>
            <w:shd w:val="clear" w:color="auto" w:fill="auto"/>
            <w:tcMar>
              <w:left w:w="0" w:type="dxa"/>
            </w:tcMar>
          </w:tcPr>
          <w:p w14:paraId="6170423E" w14:textId="77777777" w:rsidR="00ED1959" w:rsidRPr="00B43216" w:rsidRDefault="00ED1959" w:rsidP="000F7C73">
            <w:pPr>
              <w:pStyle w:val="Marginlie"/>
              <w:rPr>
                <w:spacing w:val="-4"/>
              </w:rPr>
            </w:pPr>
          </w:p>
        </w:tc>
        <w:tc>
          <w:tcPr>
            <w:tcW w:w="206" w:type="dxa"/>
            <w:vMerge w:val="restart"/>
            <w:shd w:val="clear" w:color="auto" w:fill="auto"/>
            <w:tcMar>
              <w:left w:w="0" w:type="dxa"/>
            </w:tcMar>
          </w:tcPr>
          <w:p w14:paraId="2AAA2DA6"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5DA60D13" w14:textId="77777777" w:rsidR="00ED1959" w:rsidRPr="00760356" w:rsidRDefault="00ED1959" w:rsidP="000F7C73">
            <w:pPr>
              <w:pStyle w:val="Textpoznpodarou"/>
              <w:spacing w:line="276" w:lineRule="auto"/>
              <w:jc w:val="both"/>
              <w:rPr>
                <w:b/>
                <w:spacing w:val="-2"/>
              </w:rPr>
            </w:pPr>
            <w:r w:rsidRPr="00760356">
              <w:rPr>
                <w:b/>
                <w:spacing w:val="-2"/>
              </w:rPr>
              <w:t>Graf č. 5</w:t>
            </w:r>
            <w:r>
              <w:rPr>
                <w:b/>
                <w:spacing w:val="-2"/>
              </w:rPr>
              <w:t xml:space="preserve"> </w:t>
            </w:r>
            <w:r w:rsidRPr="00760356">
              <w:rPr>
                <w:b/>
                <w:spacing w:val="-2"/>
              </w:rPr>
              <w:t xml:space="preserve"> Nové zakázky v automobilovém průmyslu a</w:t>
            </w:r>
            <w:r>
              <w:rPr>
                <w:b/>
                <w:spacing w:val="-2"/>
              </w:rPr>
              <w:t> </w:t>
            </w:r>
            <w:r w:rsidRPr="00760356">
              <w:rPr>
                <w:b/>
                <w:spacing w:val="-2"/>
              </w:rPr>
              <w:t xml:space="preserve">v průmyslu celkem </w:t>
            </w:r>
            <w:r w:rsidRPr="00760356">
              <w:rPr>
                <w:bCs/>
                <w:spacing w:val="-2"/>
              </w:rPr>
              <w:t xml:space="preserve">(v běžných cenách, </w:t>
            </w:r>
            <w:r w:rsidRPr="00760356">
              <w:rPr>
                <w:spacing w:val="-2"/>
              </w:rPr>
              <w:t>meziročně</w:t>
            </w:r>
            <w:r w:rsidRPr="00760356">
              <w:rPr>
                <w:bCs/>
                <w:spacing w:val="-2"/>
              </w:rPr>
              <w:t xml:space="preserve"> v %)</w:t>
            </w:r>
            <w:r w:rsidRPr="00760356">
              <w:rPr>
                <w:b/>
                <w:spacing w:val="-2"/>
              </w:rPr>
              <w:t xml:space="preserve"> a využití výrobních kapacit v průmyslu*</w:t>
            </w:r>
            <w:r w:rsidRPr="00760356">
              <w:rPr>
                <w:spacing w:val="-2"/>
              </w:rPr>
              <w:t xml:space="preserve"> </w:t>
            </w:r>
            <w:r w:rsidRPr="00760356">
              <w:rPr>
                <w:b/>
                <w:spacing w:val="-2"/>
              </w:rPr>
              <w:t>a vybrané bariéry růstu</w:t>
            </w:r>
            <w:r w:rsidRPr="00760356">
              <w:rPr>
                <w:spacing w:val="-2"/>
              </w:rPr>
              <w:t>* (v %, pravá osa)</w:t>
            </w:r>
          </w:p>
        </w:tc>
      </w:tr>
      <w:tr w:rsidR="00ED1959" w:rsidRPr="00B43216" w14:paraId="05F5AED7" w14:textId="77777777" w:rsidTr="004769BF">
        <w:tblPrEx>
          <w:tblCellMar>
            <w:left w:w="70" w:type="dxa"/>
            <w:right w:w="70" w:type="dxa"/>
          </w:tblCellMar>
        </w:tblPrEx>
        <w:trPr>
          <w:trHeight w:val="155"/>
        </w:trPr>
        <w:tc>
          <w:tcPr>
            <w:tcW w:w="1728" w:type="dxa"/>
            <w:vMerge/>
            <w:shd w:val="clear" w:color="auto" w:fill="auto"/>
          </w:tcPr>
          <w:p w14:paraId="16AF64C9" w14:textId="77777777" w:rsidR="00ED1959" w:rsidRPr="00B43216" w:rsidRDefault="00ED1959" w:rsidP="000F7C73">
            <w:pPr>
              <w:pStyle w:val="Marginlie"/>
              <w:rPr>
                <w:spacing w:val="-4"/>
              </w:rPr>
            </w:pPr>
          </w:p>
        </w:tc>
        <w:tc>
          <w:tcPr>
            <w:tcW w:w="206" w:type="dxa"/>
            <w:vMerge/>
            <w:shd w:val="clear" w:color="auto" w:fill="auto"/>
          </w:tcPr>
          <w:p w14:paraId="61BA22E6" w14:textId="77777777" w:rsidR="00ED1959" w:rsidRPr="00B43216" w:rsidRDefault="00ED1959" w:rsidP="000F7C73">
            <w:pPr>
              <w:pStyle w:val="Textpoznpodarou"/>
              <w:jc w:val="both"/>
              <w:rPr>
                <w:spacing w:val="-4"/>
              </w:rPr>
            </w:pPr>
          </w:p>
        </w:tc>
        <w:tc>
          <w:tcPr>
            <w:tcW w:w="7730" w:type="dxa"/>
            <w:shd w:val="clear" w:color="auto" w:fill="auto"/>
          </w:tcPr>
          <w:p w14:paraId="3CD9AE04" w14:textId="4E53AF3B" w:rsidR="00ED1959" w:rsidRPr="00B43216" w:rsidRDefault="004769BF" w:rsidP="000F7C73">
            <w:pPr>
              <w:spacing w:after="0"/>
              <w:rPr>
                <w:spacing w:val="-4"/>
              </w:rPr>
            </w:pPr>
            <w:r>
              <w:rPr>
                <w:noProof/>
              </w:rPr>
              <w:drawing>
                <wp:inline distT="0" distB="0" distL="0" distR="0" wp14:anchorId="7B763D60" wp14:editId="1D9DCD25">
                  <wp:extent cx="4772801" cy="3553200"/>
                  <wp:effectExtent l="0" t="0" r="889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D1959" w:rsidRPr="00B43216" w14:paraId="53A61A84" w14:textId="77777777" w:rsidTr="000F7C73">
        <w:trPr>
          <w:trHeight w:val="152"/>
        </w:trPr>
        <w:tc>
          <w:tcPr>
            <w:tcW w:w="1728" w:type="dxa"/>
            <w:vMerge/>
            <w:shd w:val="clear" w:color="auto" w:fill="auto"/>
            <w:tcMar>
              <w:left w:w="0" w:type="dxa"/>
            </w:tcMar>
          </w:tcPr>
          <w:p w14:paraId="3D412A59" w14:textId="77777777" w:rsidR="00ED1959" w:rsidRPr="00B43216" w:rsidRDefault="00ED1959" w:rsidP="000F7C73">
            <w:pPr>
              <w:pStyle w:val="Marginlie"/>
              <w:rPr>
                <w:spacing w:val="-4"/>
              </w:rPr>
            </w:pPr>
          </w:p>
        </w:tc>
        <w:tc>
          <w:tcPr>
            <w:tcW w:w="206" w:type="dxa"/>
            <w:vMerge/>
            <w:shd w:val="clear" w:color="auto" w:fill="auto"/>
            <w:tcMar>
              <w:left w:w="0" w:type="dxa"/>
            </w:tcMar>
          </w:tcPr>
          <w:p w14:paraId="080273AC"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611C5111" w14:textId="77777777" w:rsidR="00ED1959" w:rsidRDefault="00ED1959" w:rsidP="000F7C73">
            <w:pPr>
              <w:tabs>
                <w:tab w:val="right" w:pos="7711"/>
              </w:tabs>
              <w:spacing w:after="0"/>
              <w:rPr>
                <w:rFonts w:cs="Arial"/>
                <w:sz w:val="14"/>
                <w:szCs w:val="14"/>
              </w:rPr>
            </w:pPr>
            <w:r w:rsidRPr="00883202">
              <w:rPr>
                <w:rFonts w:cs="Arial"/>
                <w:sz w:val="14"/>
                <w:szCs w:val="14"/>
              </w:rPr>
              <w:t>*Využití průmys</w:t>
            </w:r>
            <w:r>
              <w:rPr>
                <w:rFonts w:cs="Arial"/>
                <w:sz w:val="14"/>
                <w:szCs w:val="14"/>
              </w:rPr>
              <w:t xml:space="preserve">lových kapacit i bariéry růstu </w:t>
            </w:r>
            <w:r w:rsidRPr="00883202">
              <w:rPr>
                <w:rFonts w:cs="Arial"/>
                <w:spacing w:val="-2"/>
                <w:sz w:val="14"/>
                <w:szCs w:val="14"/>
              </w:rPr>
              <w:t xml:space="preserve">jsou sezónně očištěny </w:t>
            </w:r>
            <w:r>
              <w:rPr>
                <w:rFonts w:cs="Arial"/>
                <w:spacing w:val="-2"/>
                <w:sz w:val="14"/>
                <w:szCs w:val="14"/>
              </w:rPr>
              <w:t>a </w:t>
            </w:r>
            <w:r>
              <w:rPr>
                <w:rFonts w:cs="Arial"/>
                <w:sz w:val="14"/>
                <w:szCs w:val="14"/>
              </w:rPr>
              <w:t xml:space="preserve">vyjadřují stav v prvním </w:t>
            </w:r>
            <w:r w:rsidRPr="00883202">
              <w:rPr>
                <w:rFonts w:cs="Arial"/>
                <w:sz w:val="14"/>
                <w:szCs w:val="14"/>
              </w:rPr>
              <w:t>měsíci daného čtvrtletí.</w:t>
            </w:r>
            <w:r>
              <w:rPr>
                <w:rFonts w:cs="Arial"/>
                <w:sz w:val="14"/>
                <w:szCs w:val="14"/>
              </w:rPr>
              <w:t xml:space="preserve"> Podniky mohly uvést více hlavních bariér současně.</w:t>
            </w:r>
            <w:r>
              <w:rPr>
                <w:rFonts w:cs="Arial"/>
                <w:sz w:val="14"/>
                <w:szCs w:val="14"/>
              </w:rPr>
              <w:tab/>
            </w:r>
            <w:r w:rsidRPr="00883202">
              <w:rPr>
                <w:rFonts w:cs="Arial"/>
                <w:sz w:val="14"/>
                <w:szCs w:val="14"/>
              </w:rPr>
              <w:t>Zdroj: ČSÚ</w:t>
            </w:r>
            <w:r>
              <w:rPr>
                <w:rFonts w:cs="Arial"/>
                <w:sz w:val="14"/>
                <w:szCs w:val="14"/>
              </w:rPr>
              <w:t xml:space="preserve">, </w:t>
            </w:r>
            <w:proofErr w:type="spellStart"/>
            <w:r>
              <w:rPr>
                <w:rFonts w:cs="Arial"/>
                <w:sz w:val="14"/>
                <w:szCs w:val="14"/>
              </w:rPr>
              <w:t>Eurostat</w:t>
            </w:r>
            <w:proofErr w:type="spellEnd"/>
          </w:p>
          <w:p w14:paraId="165EF33D" w14:textId="77777777" w:rsidR="00ED1959" w:rsidRPr="008C5037" w:rsidRDefault="00ED1959" w:rsidP="000F7C73">
            <w:pPr>
              <w:spacing w:after="0"/>
              <w:rPr>
                <w:rFonts w:cs="Arial"/>
                <w:sz w:val="14"/>
                <w:szCs w:val="14"/>
              </w:rPr>
            </w:pPr>
          </w:p>
        </w:tc>
      </w:tr>
      <w:tr w:rsidR="00ED1959" w:rsidRPr="00191C35" w14:paraId="56FB7148" w14:textId="77777777" w:rsidTr="000F7C73">
        <w:trPr>
          <w:trHeight w:val="145"/>
        </w:trPr>
        <w:tc>
          <w:tcPr>
            <w:tcW w:w="1728" w:type="dxa"/>
            <w:shd w:val="clear" w:color="auto" w:fill="auto"/>
            <w:tcMar>
              <w:left w:w="0" w:type="dxa"/>
            </w:tcMar>
          </w:tcPr>
          <w:p w14:paraId="26540C00" w14:textId="77777777" w:rsidR="00ED1959" w:rsidRDefault="00ED1959" w:rsidP="000F7C73">
            <w:pPr>
              <w:pStyle w:val="Marginlie"/>
            </w:pPr>
            <w:r>
              <w:t>Dynamika růstu stavební produkce byla dosud letos dosti utlumená.</w:t>
            </w:r>
          </w:p>
          <w:p w14:paraId="015D31DF" w14:textId="77777777" w:rsidR="00ED1959" w:rsidRDefault="00ED1959" w:rsidP="000F7C73">
            <w:pPr>
              <w:pStyle w:val="Marginlie"/>
            </w:pPr>
          </w:p>
          <w:p w14:paraId="6F4EF1A1" w14:textId="77777777" w:rsidR="00ED1959" w:rsidRDefault="00ED1959" w:rsidP="000F7C73">
            <w:pPr>
              <w:pStyle w:val="Marginlie"/>
            </w:pPr>
          </w:p>
          <w:p w14:paraId="4298A17B" w14:textId="77777777" w:rsidR="00ED1959" w:rsidRDefault="00ED1959" w:rsidP="000F7C73">
            <w:pPr>
              <w:pStyle w:val="Marginlie"/>
            </w:pPr>
          </w:p>
          <w:p w14:paraId="7477B197" w14:textId="77777777" w:rsidR="00ED1959" w:rsidRDefault="00ED1959" w:rsidP="000F7C73">
            <w:pPr>
              <w:pStyle w:val="Marginlie"/>
            </w:pPr>
            <w:r>
              <w:t>To souviselo s administrativními vlivy i rozdílným vývojem v obou hlavních segmentech stavebnictví.</w:t>
            </w:r>
          </w:p>
        </w:tc>
        <w:tc>
          <w:tcPr>
            <w:tcW w:w="206" w:type="dxa"/>
            <w:shd w:val="clear" w:color="auto" w:fill="auto"/>
            <w:tcMar>
              <w:left w:w="0" w:type="dxa"/>
            </w:tcMar>
          </w:tcPr>
          <w:p w14:paraId="2EE4D9C1"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1C828A2C" w14:textId="77777777" w:rsidR="00ED1959" w:rsidRPr="000D55BA" w:rsidRDefault="00ED1959" w:rsidP="000F7C73">
            <w:pPr>
              <w:spacing w:after="160"/>
              <w:rPr>
                <w:rFonts w:cs="Arial"/>
                <w:color w:val="0D0D0D"/>
                <w:spacing w:val="-4"/>
              </w:rPr>
            </w:pPr>
            <w:r>
              <w:rPr>
                <w:spacing w:val="-4"/>
              </w:rPr>
              <w:t xml:space="preserve">Stavebnictví patří (spolu s průmyslem) k odvětvím, </w:t>
            </w:r>
            <w:r>
              <w:rPr>
                <w:rFonts w:cs="Arial"/>
                <w:color w:val="0D0D0D"/>
                <w:spacing w:val="-4"/>
              </w:rPr>
              <w:t>která letos již nebyla výrazněji omezena</w:t>
            </w:r>
            <w:r w:rsidRPr="00F822B0">
              <w:rPr>
                <w:rFonts w:cs="Arial"/>
                <w:color w:val="0D0D0D"/>
                <w:spacing w:val="-4"/>
              </w:rPr>
              <w:t xml:space="preserve"> opatření</w:t>
            </w:r>
            <w:r>
              <w:rPr>
                <w:rFonts w:cs="Arial"/>
                <w:color w:val="0D0D0D"/>
                <w:spacing w:val="-4"/>
              </w:rPr>
              <w:t xml:space="preserve">mi proti šíření </w:t>
            </w:r>
            <w:proofErr w:type="spellStart"/>
            <w:r>
              <w:rPr>
                <w:rFonts w:cs="Arial"/>
                <w:color w:val="0D0D0D"/>
                <w:spacing w:val="-4"/>
              </w:rPr>
              <w:t>koronaviru</w:t>
            </w:r>
            <w:proofErr w:type="spellEnd"/>
            <w:r>
              <w:rPr>
                <w:rFonts w:cs="Arial"/>
                <w:color w:val="0D0D0D"/>
                <w:spacing w:val="-4"/>
              </w:rPr>
              <w:t>. P</w:t>
            </w:r>
            <w:r w:rsidRPr="00F822B0">
              <w:rPr>
                <w:rFonts w:cs="Arial"/>
                <w:color w:val="0D0D0D"/>
                <w:spacing w:val="-4"/>
              </w:rPr>
              <w:t xml:space="preserve">řesto </w:t>
            </w:r>
            <w:r>
              <w:rPr>
                <w:rFonts w:cs="Arial"/>
                <w:color w:val="0D0D0D"/>
                <w:spacing w:val="-4"/>
              </w:rPr>
              <w:t xml:space="preserve">zde bylo </w:t>
            </w:r>
            <w:r w:rsidRPr="00F822B0">
              <w:rPr>
                <w:rFonts w:cs="Arial"/>
                <w:color w:val="0D0D0D"/>
                <w:spacing w:val="-4"/>
              </w:rPr>
              <w:t>oživení</w:t>
            </w:r>
            <w:r>
              <w:rPr>
                <w:rFonts w:cs="Arial"/>
                <w:color w:val="0D0D0D"/>
                <w:spacing w:val="-4"/>
              </w:rPr>
              <w:t xml:space="preserve"> dosud poměrně pomalé a růstový trend není letos zřetelně patrný, zejména v segmentu pozemního stavitelství. Celková s</w:t>
            </w:r>
            <w:r w:rsidRPr="00F822B0">
              <w:rPr>
                <w:rFonts w:cs="Arial"/>
                <w:color w:val="0D0D0D"/>
                <w:spacing w:val="-4"/>
              </w:rPr>
              <w:t>tavební produkce</w:t>
            </w:r>
            <w:r w:rsidRPr="00982C9E">
              <w:rPr>
                <w:rStyle w:val="Znakapoznpodarou"/>
                <w:spacing w:val="-2"/>
              </w:rPr>
              <w:footnoteReference w:id="35"/>
            </w:r>
            <w:r w:rsidRPr="00F822B0">
              <w:rPr>
                <w:rFonts w:cs="Arial"/>
                <w:color w:val="0D0D0D"/>
                <w:spacing w:val="-4"/>
              </w:rPr>
              <w:t xml:space="preserve"> v</w:t>
            </w:r>
            <w:r>
              <w:rPr>
                <w:rFonts w:cs="Arial"/>
                <w:color w:val="0D0D0D"/>
                <w:spacing w:val="-4"/>
              </w:rPr>
              <w:t> </w:t>
            </w:r>
            <w:r w:rsidRPr="00F822B0">
              <w:rPr>
                <w:rFonts w:cs="Arial"/>
                <w:color w:val="0D0D0D"/>
                <w:spacing w:val="-4"/>
              </w:rPr>
              <w:t>1.</w:t>
            </w:r>
            <w:r>
              <w:rPr>
                <w:rFonts w:cs="Arial"/>
                <w:color w:val="0D0D0D"/>
                <w:spacing w:val="-4"/>
              </w:rPr>
              <w:t> čtvrtlet</w:t>
            </w:r>
            <w:r w:rsidRPr="00F822B0">
              <w:rPr>
                <w:rFonts w:cs="Arial"/>
                <w:color w:val="0D0D0D"/>
                <w:spacing w:val="-4"/>
              </w:rPr>
              <w:t>í reálně meziročně zaostávala o</w:t>
            </w:r>
            <w:r>
              <w:rPr>
                <w:rFonts w:cs="Arial"/>
                <w:color w:val="0D0D0D"/>
                <w:spacing w:val="-4"/>
              </w:rPr>
              <w:t> </w:t>
            </w:r>
            <w:r w:rsidRPr="00F822B0">
              <w:rPr>
                <w:rFonts w:cs="Arial"/>
                <w:color w:val="0D0D0D"/>
                <w:spacing w:val="-4"/>
              </w:rPr>
              <w:t>5,</w:t>
            </w:r>
            <w:r>
              <w:rPr>
                <w:rFonts w:cs="Arial"/>
                <w:color w:val="0D0D0D"/>
                <w:spacing w:val="-4"/>
              </w:rPr>
              <w:t>5 %</w:t>
            </w:r>
            <w:r w:rsidRPr="00F822B0">
              <w:rPr>
                <w:rFonts w:cs="Arial"/>
                <w:color w:val="0D0D0D"/>
                <w:spacing w:val="-4"/>
              </w:rPr>
              <w:t>, oproti 4.</w:t>
            </w:r>
            <w:r>
              <w:rPr>
                <w:rFonts w:cs="Arial"/>
                <w:color w:val="0D0D0D"/>
                <w:spacing w:val="-4"/>
              </w:rPr>
              <w:t> čtvrtletí 2020 se zvýšila o 2,4 %</w:t>
            </w:r>
            <w:r w:rsidRPr="000D55BA">
              <w:rPr>
                <w:rFonts w:cs="Arial"/>
                <w:color w:val="0D0D0D"/>
                <w:spacing w:val="-4"/>
              </w:rPr>
              <w:t xml:space="preserve">. </w:t>
            </w:r>
            <w:r w:rsidRPr="000D55BA">
              <w:rPr>
                <w:rFonts w:cs="Arial"/>
                <w:bCs/>
                <w:color w:val="0D0D0D"/>
                <w:spacing w:val="-4"/>
              </w:rPr>
              <w:t>Ve 2.</w:t>
            </w:r>
            <w:r>
              <w:rPr>
                <w:rFonts w:cs="Arial"/>
                <w:bCs/>
                <w:color w:val="0D0D0D"/>
                <w:spacing w:val="-4"/>
              </w:rPr>
              <w:t> čtvrtlet</w:t>
            </w:r>
            <w:r w:rsidRPr="000D55BA">
              <w:rPr>
                <w:rFonts w:cs="Arial"/>
                <w:bCs/>
                <w:color w:val="0D0D0D"/>
                <w:spacing w:val="-4"/>
              </w:rPr>
              <w:t xml:space="preserve">í již </w:t>
            </w:r>
            <w:r>
              <w:rPr>
                <w:rFonts w:cs="Arial"/>
                <w:bCs/>
                <w:color w:val="0D0D0D"/>
                <w:spacing w:val="-4"/>
              </w:rPr>
              <w:t>sice výkon tohoto odvětví překročil</w:t>
            </w:r>
            <w:r w:rsidRPr="000D55BA">
              <w:rPr>
                <w:rFonts w:cs="Arial"/>
                <w:bCs/>
                <w:color w:val="0D0D0D"/>
                <w:spacing w:val="-4"/>
              </w:rPr>
              <w:t xml:space="preserve"> úroveň stejnéh</w:t>
            </w:r>
            <w:r>
              <w:rPr>
                <w:rFonts w:cs="Arial"/>
                <w:bCs/>
                <w:color w:val="0D0D0D"/>
                <w:spacing w:val="-4"/>
              </w:rPr>
              <w:t xml:space="preserve">o období loňského roku o 2,4 %, </w:t>
            </w:r>
            <w:r w:rsidRPr="000D55BA">
              <w:rPr>
                <w:rFonts w:cs="Arial"/>
                <w:bCs/>
                <w:color w:val="0D0D0D"/>
                <w:spacing w:val="-4"/>
              </w:rPr>
              <w:t xml:space="preserve">mezičtvrtletně </w:t>
            </w:r>
            <w:r>
              <w:rPr>
                <w:rFonts w:cs="Arial"/>
                <w:bCs/>
                <w:color w:val="0D0D0D"/>
                <w:spacing w:val="-4"/>
              </w:rPr>
              <w:t xml:space="preserve">ale posílil jen o nevýrazných </w:t>
            </w:r>
            <w:r w:rsidRPr="000D55BA">
              <w:rPr>
                <w:rFonts w:cs="Arial"/>
                <w:bCs/>
                <w:color w:val="0D0D0D"/>
                <w:spacing w:val="-4"/>
              </w:rPr>
              <w:t>0,9</w:t>
            </w:r>
            <w:r>
              <w:rPr>
                <w:rFonts w:cs="Arial"/>
                <w:bCs/>
                <w:color w:val="0D0D0D"/>
                <w:spacing w:val="-4"/>
              </w:rPr>
              <w:t> %</w:t>
            </w:r>
            <w:r>
              <w:rPr>
                <w:rStyle w:val="Znakapoznpodarou"/>
                <w:bCs/>
                <w:color w:val="0D0D0D"/>
                <w:spacing w:val="-4"/>
              </w:rPr>
              <w:footnoteReference w:id="36"/>
            </w:r>
            <w:r w:rsidRPr="000D55BA">
              <w:rPr>
                <w:rFonts w:cs="Arial"/>
                <w:bCs/>
                <w:color w:val="0D0D0D"/>
                <w:spacing w:val="-4"/>
              </w:rPr>
              <w:t>.</w:t>
            </w:r>
            <w:r>
              <w:rPr>
                <w:rFonts w:cs="Arial"/>
                <w:bCs/>
                <w:color w:val="0D0D0D"/>
                <w:spacing w:val="-4"/>
              </w:rPr>
              <w:t xml:space="preserve"> </w:t>
            </w:r>
            <w:r w:rsidRPr="00C12316">
              <w:rPr>
                <w:spacing w:val="-4"/>
              </w:rPr>
              <w:t>Pomalé oživení stavebnictví lze z velké části spojit i</w:t>
            </w:r>
            <w:r>
              <w:rPr>
                <w:spacing w:val="-4"/>
              </w:rPr>
              <w:t> </w:t>
            </w:r>
            <w:r w:rsidRPr="00C12316">
              <w:rPr>
                <w:spacing w:val="-4"/>
              </w:rPr>
              <w:t xml:space="preserve">s administrativními vlivy. </w:t>
            </w:r>
            <w:r>
              <w:rPr>
                <w:spacing w:val="-4"/>
              </w:rPr>
              <w:t>Loňská r</w:t>
            </w:r>
            <w:r w:rsidRPr="00C12316">
              <w:rPr>
                <w:spacing w:val="-4"/>
              </w:rPr>
              <w:t>estriktivní opatření</w:t>
            </w:r>
            <w:r>
              <w:rPr>
                <w:spacing w:val="-4"/>
              </w:rPr>
              <w:t xml:space="preserve"> totiž</w:t>
            </w:r>
            <w:r w:rsidRPr="00C12316">
              <w:rPr>
                <w:spacing w:val="-4"/>
              </w:rPr>
              <w:t xml:space="preserve"> limitovala potřebnou součinnost v</w:t>
            </w:r>
            <w:r>
              <w:rPr>
                <w:spacing w:val="-4"/>
              </w:rPr>
              <w:t>šech aktérů stavebního řízení a dále komplikovala již tak</w:t>
            </w:r>
            <w:r w:rsidRPr="00C12316">
              <w:rPr>
                <w:spacing w:val="-4"/>
              </w:rPr>
              <w:t xml:space="preserve"> náročný administrativní proces přípravy staveb. Některá výběrová řízení byla pozastavena, což narušilo plynulost výstavby.</w:t>
            </w:r>
            <w:r>
              <w:rPr>
                <w:spacing w:val="-4"/>
              </w:rPr>
              <w:t xml:space="preserve"> I přes zlepšení epidemické situace během letošního jara zůstává mobilita zahraničních pracovníků stále ztížená, což patrně více dopadá na střední a menší stavební firmy, působící častěji v segmentu pozemního stavitelství.</w:t>
            </w:r>
          </w:p>
        </w:tc>
      </w:tr>
      <w:tr w:rsidR="00ED1959" w:rsidRPr="00191C35" w14:paraId="186E0DDB" w14:textId="77777777" w:rsidTr="000F7C73">
        <w:trPr>
          <w:trHeight w:val="145"/>
        </w:trPr>
        <w:tc>
          <w:tcPr>
            <w:tcW w:w="1728" w:type="dxa"/>
            <w:shd w:val="clear" w:color="auto" w:fill="auto"/>
            <w:tcMar>
              <w:left w:w="0" w:type="dxa"/>
            </w:tcMar>
          </w:tcPr>
          <w:p w14:paraId="0735B2F2" w14:textId="77777777" w:rsidR="00ED1959" w:rsidRDefault="00ED1959" w:rsidP="000F7C73">
            <w:pPr>
              <w:pStyle w:val="Marginlie"/>
            </w:pPr>
            <w:r>
              <w:t>Inženýrské stavitelství těžilo z veřejných strukturálních investic.</w:t>
            </w:r>
          </w:p>
        </w:tc>
        <w:tc>
          <w:tcPr>
            <w:tcW w:w="206" w:type="dxa"/>
            <w:shd w:val="clear" w:color="auto" w:fill="auto"/>
            <w:tcMar>
              <w:left w:w="0" w:type="dxa"/>
            </w:tcMar>
          </w:tcPr>
          <w:p w14:paraId="321EB4F2"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5F10893F" w14:textId="77777777" w:rsidR="00ED1959" w:rsidRDefault="00ED1959" w:rsidP="000F7C73">
            <w:pPr>
              <w:spacing w:after="160"/>
              <w:rPr>
                <w:spacing w:val="-4"/>
              </w:rPr>
            </w:pPr>
            <w:r>
              <w:rPr>
                <w:spacing w:val="-4"/>
              </w:rPr>
              <w:t xml:space="preserve">Výrazně lépe na tom bylo inženýrské stavitelství, jehož produkce se za 1. pololetí 2021 meziročně zvýšila o 3,4 % (za dva roky dokonce o 12,1 %). </w:t>
            </w:r>
            <w:r>
              <w:rPr>
                <w:spacing w:val="-3"/>
              </w:rPr>
              <w:t xml:space="preserve">Dlouhodobě mu </w:t>
            </w:r>
            <w:r w:rsidRPr="00AB1DEA">
              <w:rPr>
                <w:spacing w:val="-3"/>
              </w:rPr>
              <w:t xml:space="preserve">pomáhá </w:t>
            </w:r>
            <w:r w:rsidRPr="00F57D57">
              <w:rPr>
                <w:spacing w:val="-3"/>
              </w:rPr>
              <w:lastRenderedPageBreak/>
              <w:t>pokračující výstavba i</w:t>
            </w:r>
            <w:r>
              <w:rPr>
                <w:spacing w:val="-3"/>
              </w:rPr>
              <w:t> </w:t>
            </w:r>
            <w:r w:rsidRPr="00F57D57">
              <w:rPr>
                <w:spacing w:val="-3"/>
              </w:rPr>
              <w:t>modernizace dopravní sítě podpořená</w:t>
            </w:r>
            <w:r>
              <w:rPr>
                <w:spacing w:val="-3"/>
              </w:rPr>
              <w:t xml:space="preserve"> zejména prostředky z rozpočtu EU. Přestože celkové kapitálové výdaje státního rozpočtu, jakož i investiční transfery </w:t>
            </w:r>
            <w:r w:rsidRPr="00AB1DEA">
              <w:rPr>
                <w:spacing w:val="-3"/>
              </w:rPr>
              <w:t>Státnímu fondu dopravní infrastruktury</w:t>
            </w:r>
            <w:r>
              <w:rPr>
                <w:spacing w:val="-3"/>
              </w:rPr>
              <w:t xml:space="preserve"> byly letos za prvních osm měsíců meziročně o více než desetinu </w:t>
            </w:r>
            <w:r w:rsidRPr="00AB1DEA">
              <w:rPr>
                <w:spacing w:val="-3"/>
              </w:rPr>
              <w:t>nižší</w:t>
            </w:r>
            <w:r>
              <w:rPr>
                <w:spacing w:val="-3"/>
              </w:rPr>
              <w:t>, celková zásoba práce v oblasti inženýrských staveb zůstává vysoká.</w:t>
            </w:r>
          </w:p>
        </w:tc>
      </w:tr>
      <w:tr w:rsidR="00ED1959" w:rsidRPr="00191C35" w14:paraId="790DF352" w14:textId="77777777" w:rsidTr="000F7C73">
        <w:trPr>
          <w:trHeight w:val="145"/>
        </w:trPr>
        <w:tc>
          <w:tcPr>
            <w:tcW w:w="1728" w:type="dxa"/>
            <w:shd w:val="clear" w:color="auto" w:fill="auto"/>
            <w:tcMar>
              <w:left w:w="0" w:type="dxa"/>
            </w:tcMar>
          </w:tcPr>
          <w:p w14:paraId="51164779" w14:textId="77777777" w:rsidR="00ED1959" w:rsidRDefault="00ED1959" w:rsidP="000F7C73">
            <w:pPr>
              <w:pStyle w:val="Marginlie"/>
            </w:pPr>
            <w:r>
              <w:lastRenderedPageBreak/>
              <w:t>Slabší výkony pozemního stavitelství pomáhala tlumit bytová výstavba.</w:t>
            </w:r>
          </w:p>
        </w:tc>
        <w:tc>
          <w:tcPr>
            <w:tcW w:w="206" w:type="dxa"/>
            <w:shd w:val="clear" w:color="auto" w:fill="auto"/>
            <w:tcMar>
              <w:left w:w="0" w:type="dxa"/>
            </w:tcMar>
          </w:tcPr>
          <w:p w14:paraId="5EC0E0A5"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2877052A" w14:textId="77777777" w:rsidR="00ED1959" w:rsidRDefault="00ED1959" w:rsidP="000F7C73">
            <w:pPr>
              <w:spacing w:after="160"/>
              <w:rPr>
                <w:spacing w:val="-4"/>
              </w:rPr>
            </w:pPr>
            <w:r>
              <w:rPr>
                <w:spacing w:val="-4"/>
              </w:rPr>
              <w:t xml:space="preserve">Pololetní výkon ve váhově dominantním segmentu pozemního stavitelství byl letos meziročně o 2,3 % nižší (za dva roky dokonce o 8,2 %). Problémy zde zčásti pomáhá tlumit bytová výstavba. </w:t>
            </w:r>
            <w:r>
              <w:rPr>
                <w:spacing w:val="-2"/>
              </w:rPr>
              <w:t>Od ledna do července bylo letos dokončeno takřka 20 tis. bytů, tedy nepatrně více než ve stejném období donedávna rekordního roku 2009. Přispěla k tomu především výstavba rodinných domů, která v posledních letech plynule sílí. Počet zahájených bytů dosáhl analogicky 23,9 tis. a loňskou úroveň převýšil zhruba o osminu. Oproti shodnému období konjunkturního roku 2008 ale skoro o desetinu zaostal. K </w:t>
            </w:r>
            <w:r>
              <w:rPr>
                <w:spacing w:val="-4"/>
              </w:rPr>
              <w:t>meziročnímu růstu počtu zahájených (12 %) i dokončených bytů (11 %) letos přispěla nejvíce vyšší výstavba v Praze.</w:t>
            </w:r>
          </w:p>
        </w:tc>
      </w:tr>
      <w:tr w:rsidR="00ED1959" w:rsidRPr="00191C35" w14:paraId="33659159" w14:textId="77777777" w:rsidTr="000F7C73">
        <w:trPr>
          <w:trHeight w:val="145"/>
        </w:trPr>
        <w:tc>
          <w:tcPr>
            <w:tcW w:w="1728" w:type="dxa"/>
            <w:shd w:val="clear" w:color="auto" w:fill="auto"/>
            <w:tcMar>
              <w:left w:w="0" w:type="dxa"/>
            </w:tcMar>
          </w:tcPr>
          <w:p w14:paraId="273C938A" w14:textId="77777777" w:rsidR="00ED1959" w:rsidRDefault="00ED1959" w:rsidP="000F7C73">
            <w:pPr>
              <w:pStyle w:val="Marginlie"/>
            </w:pPr>
          </w:p>
        </w:tc>
        <w:tc>
          <w:tcPr>
            <w:tcW w:w="206" w:type="dxa"/>
            <w:shd w:val="clear" w:color="auto" w:fill="auto"/>
            <w:tcMar>
              <w:left w:w="0" w:type="dxa"/>
            </w:tcMar>
          </w:tcPr>
          <w:p w14:paraId="59F4ED9F"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244CDA75" w14:textId="77777777" w:rsidR="00ED1959" w:rsidRPr="00FE5237" w:rsidRDefault="00ED1959" w:rsidP="000F7C73">
            <w:pPr>
              <w:spacing w:after="0"/>
              <w:rPr>
                <w:spacing w:val="-4"/>
              </w:rPr>
            </w:pPr>
            <w:r w:rsidRPr="00883202">
              <w:rPr>
                <w:b/>
              </w:rPr>
              <w:t>Graf č. 6</w:t>
            </w:r>
            <w:r>
              <w:rPr>
                <w:b/>
              </w:rPr>
              <w:t xml:space="preserve"> </w:t>
            </w:r>
            <w:r w:rsidRPr="00883202">
              <w:rPr>
                <w:b/>
              </w:rPr>
              <w:t xml:space="preserve"> Příspěvky odvětví k meziroční změně stavební produkce </w:t>
            </w:r>
            <w:r w:rsidRPr="00883202">
              <w:t>(v p. b.)</w:t>
            </w:r>
            <w:r w:rsidRPr="00883202">
              <w:rPr>
                <w:b/>
                <w:bCs/>
              </w:rPr>
              <w:t>,</w:t>
            </w:r>
            <w:r w:rsidRPr="00883202">
              <w:rPr>
                <w:b/>
                <w:bCs/>
              </w:rPr>
              <w:br/>
            </w:r>
            <w:r w:rsidRPr="00883202">
              <w:rPr>
                <w:b/>
              </w:rPr>
              <w:t xml:space="preserve">nové stavební zakázky </w:t>
            </w:r>
            <w:r w:rsidRPr="00883202">
              <w:rPr>
                <w:bCs/>
              </w:rPr>
              <w:t>(</w:t>
            </w:r>
            <w:r w:rsidRPr="00883202">
              <w:t>meziročně</w:t>
            </w:r>
            <w:r w:rsidRPr="00883202">
              <w:rPr>
                <w:bCs/>
              </w:rPr>
              <w:t xml:space="preserve"> v %</w:t>
            </w:r>
            <w:r w:rsidRPr="00883202">
              <w:t>, pravá osa</w:t>
            </w:r>
            <w:r w:rsidRPr="00883202">
              <w:rPr>
                <w:bCs/>
              </w:rPr>
              <w:t>)</w:t>
            </w:r>
            <w:r w:rsidRPr="00883202">
              <w:rPr>
                <w:b/>
              </w:rPr>
              <w:t>, saldo indikátoru důvěry ve stavebnictví*</w:t>
            </w:r>
            <w:r w:rsidRPr="00883202">
              <w:t xml:space="preserve"> (v p. b., pravá osa) </w:t>
            </w:r>
            <w:r w:rsidRPr="00883202">
              <w:rPr>
                <w:b/>
              </w:rPr>
              <w:t>a vybrané bariéry růstu</w:t>
            </w:r>
            <w:r w:rsidRPr="00883202">
              <w:t>* (v %, pravá osa)</w:t>
            </w:r>
          </w:p>
        </w:tc>
      </w:tr>
      <w:tr w:rsidR="00ED1959" w:rsidRPr="00191C35" w14:paraId="62D02BC8" w14:textId="77777777" w:rsidTr="004769BF">
        <w:tblPrEx>
          <w:tblCellMar>
            <w:left w:w="70" w:type="dxa"/>
            <w:right w:w="70" w:type="dxa"/>
          </w:tblCellMar>
        </w:tblPrEx>
        <w:trPr>
          <w:trHeight w:val="145"/>
        </w:trPr>
        <w:tc>
          <w:tcPr>
            <w:tcW w:w="1728" w:type="dxa"/>
            <w:shd w:val="clear" w:color="auto" w:fill="auto"/>
          </w:tcPr>
          <w:p w14:paraId="5A85CAD0" w14:textId="77777777" w:rsidR="00ED1959" w:rsidRDefault="00ED1959" w:rsidP="000F7C73">
            <w:pPr>
              <w:pStyle w:val="Marginlie"/>
            </w:pPr>
          </w:p>
        </w:tc>
        <w:tc>
          <w:tcPr>
            <w:tcW w:w="206" w:type="dxa"/>
            <w:shd w:val="clear" w:color="auto" w:fill="auto"/>
          </w:tcPr>
          <w:p w14:paraId="59C27257" w14:textId="77777777" w:rsidR="00ED1959" w:rsidRPr="00B43216" w:rsidRDefault="00ED1959" w:rsidP="000F7C73">
            <w:pPr>
              <w:pStyle w:val="Textpoznpodarou"/>
              <w:jc w:val="both"/>
              <w:rPr>
                <w:spacing w:val="-4"/>
              </w:rPr>
            </w:pPr>
          </w:p>
        </w:tc>
        <w:tc>
          <w:tcPr>
            <w:tcW w:w="7730" w:type="dxa"/>
            <w:shd w:val="clear" w:color="auto" w:fill="auto"/>
          </w:tcPr>
          <w:p w14:paraId="13A95936" w14:textId="001E73FE" w:rsidR="00ED1959" w:rsidRPr="003E01D3" w:rsidRDefault="004769BF" w:rsidP="000F7C73">
            <w:pPr>
              <w:spacing w:after="0"/>
              <w:rPr>
                <w:b/>
                <w:spacing w:val="-4"/>
              </w:rPr>
            </w:pPr>
            <w:r>
              <w:rPr>
                <w:noProof/>
              </w:rPr>
              <w:drawing>
                <wp:inline distT="0" distB="0" distL="0" distR="0" wp14:anchorId="2B547F36" wp14:editId="10A3FB4E">
                  <wp:extent cx="4749121" cy="3623323"/>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ED1959" w:rsidRPr="00191C35" w14:paraId="363C10B4" w14:textId="77777777" w:rsidTr="000F7C73">
        <w:trPr>
          <w:trHeight w:val="145"/>
        </w:trPr>
        <w:tc>
          <w:tcPr>
            <w:tcW w:w="1728" w:type="dxa"/>
            <w:shd w:val="clear" w:color="auto" w:fill="auto"/>
            <w:tcMar>
              <w:left w:w="0" w:type="dxa"/>
            </w:tcMar>
          </w:tcPr>
          <w:p w14:paraId="672C7637" w14:textId="77777777" w:rsidR="00ED1959" w:rsidRDefault="00ED1959" w:rsidP="000F7C73">
            <w:pPr>
              <w:pStyle w:val="Marginlie"/>
            </w:pPr>
          </w:p>
        </w:tc>
        <w:tc>
          <w:tcPr>
            <w:tcW w:w="206" w:type="dxa"/>
            <w:shd w:val="clear" w:color="auto" w:fill="auto"/>
            <w:tcMar>
              <w:left w:w="0" w:type="dxa"/>
            </w:tcMar>
          </w:tcPr>
          <w:p w14:paraId="2FBFFEAA"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73997BB3" w14:textId="77777777" w:rsidR="00ED1959" w:rsidRPr="00883202" w:rsidRDefault="00ED1959" w:rsidP="000F7C73">
            <w:pPr>
              <w:spacing w:after="0"/>
              <w:rPr>
                <w:rFonts w:cs="Arial"/>
                <w:sz w:val="14"/>
                <w:szCs w:val="14"/>
              </w:rPr>
            </w:pPr>
            <w:r w:rsidRPr="00883202">
              <w:rPr>
                <w:rFonts w:cs="Arial"/>
                <w:sz w:val="14"/>
                <w:szCs w:val="14"/>
              </w:rPr>
              <w:t>Údaje o stavební produkci jsou očištěny o kalendářní vlivy.</w:t>
            </w:r>
          </w:p>
          <w:p w14:paraId="622B67DA" w14:textId="77777777" w:rsidR="00ED1959" w:rsidRPr="00FC6785" w:rsidRDefault="00ED1959" w:rsidP="00ED1959">
            <w:pPr>
              <w:tabs>
                <w:tab w:val="right" w:pos="7711"/>
              </w:tabs>
              <w:rPr>
                <w:rFonts w:cs="Arial"/>
                <w:sz w:val="14"/>
                <w:szCs w:val="14"/>
              </w:rPr>
            </w:pPr>
            <w:r w:rsidRPr="00883202">
              <w:rPr>
                <w:rFonts w:cs="Arial"/>
                <w:sz w:val="14"/>
                <w:szCs w:val="14"/>
              </w:rPr>
              <w:t>*</w:t>
            </w:r>
            <w:r w:rsidRPr="00883202">
              <w:rPr>
                <w:rFonts w:cs="Arial"/>
                <w:spacing w:val="-2"/>
                <w:sz w:val="14"/>
                <w:szCs w:val="14"/>
              </w:rPr>
              <w:t>Saldo důvěry i bariéry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w:t>
            </w:r>
            <w:r>
              <w:rPr>
                <w:rFonts w:cs="Arial"/>
                <w:sz w:val="14"/>
                <w:szCs w:val="14"/>
              </w:rPr>
              <w:tab/>
            </w:r>
            <w:r w:rsidRPr="00883202">
              <w:rPr>
                <w:rFonts w:cs="Arial"/>
                <w:sz w:val="14"/>
                <w:szCs w:val="14"/>
              </w:rPr>
              <w:t>Zdroj: ČSÚ</w:t>
            </w:r>
            <w:r>
              <w:rPr>
                <w:rFonts w:cs="Arial"/>
                <w:sz w:val="14"/>
                <w:szCs w:val="14"/>
              </w:rPr>
              <w:t xml:space="preserve">, </w:t>
            </w:r>
            <w:proofErr w:type="spellStart"/>
            <w:r>
              <w:rPr>
                <w:rFonts w:cs="Arial"/>
                <w:sz w:val="14"/>
                <w:szCs w:val="14"/>
              </w:rPr>
              <w:t>Eurostat</w:t>
            </w:r>
            <w:proofErr w:type="spellEnd"/>
          </w:p>
        </w:tc>
      </w:tr>
      <w:tr w:rsidR="00ED1959" w:rsidRPr="00191C35" w14:paraId="249CB1F1" w14:textId="77777777" w:rsidTr="000F7C73">
        <w:trPr>
          <w:trHeight w:val="145"/>
        </w:trPr>
        <w:tc>
          <w:tcPr>
            <w:tcW w:w="1728" w:type="dxa"/>
            <w:shd w:val="clear" w:color="auto" w:fill="auto"/>
            <w:tcMar>
              <w:left w:w="0" w:type="dxa"/>
            </w:tcMar>
          </w:tcPr>
          <w:p w14:paraId="3959A28E" w14:textId="77777777" w:rsidR="00ED1959" w:rsidRDefault="00ED1959" w:rsidP="00ED1959">
            <w:pPr>
              <w:pStyle w:val="Marginlie"/>
            </w:pPr>
            <w:r>
              <w:t>Orientační hodnota stavebních povolení svižně rostla i bez vlivu velkých staveb.</w:t>
            </w:r>
          </w:p>
          <w:p w14:paraId="3EBE0145" w14:textId="77777777" w:rsidR="00ED1959" w:rsidRDefault="00ED1959" w:rsidP="00ED1959">
            <w:pPr>
              <w:pStyle w:val="Marginlie"/>
            </w:pPr>
          </w:p>
          <w:p w14:paraId="1A438C2F" w14:textId="77777777" w:rsidR="00ED1959" w:rsidRDefault="00ED1959" w:rsidP="00ED1959">
            <w:pPr>
              <w:pStyle w:val="Marginlie"/>
            </w:pPr>
          </w:p>
          <w:p w14:paraId="2C65B1EE" w14:textId="77777777" w:rsidR="00ED1959" w:rsidRDefault="00ED1959" w:rsidP="00ED1959">
            <w:pPr>
              <w:pStyle w:val="Marginlie"/>
            </w:pPr>
          </w:p>
          <w:p w14:paraId="5467BC8B" w14:textId="77777777" w:rsidR="00ED1959" w:rsidRDefault="00ED1959" w:rsidP="00ED1959">
            <w:pPr>
              <w:pStyle w:val="Marginlie"/>
            </w:pPr>
            <w:r>
              <w:t>Celková zásoba práce se letos zvýšila zejména díky soukromým zakázkám z tuzemska.</w:t>
            </w:r>
          </w:p>
        </w:tc>
        <w:tc>
          <w:tcPr>
            <w:tcW w:w="206" w:type="dxa"/>
            <w:shd w:val="clear" w:color="auto" w:fill="auto"/>
            <w:tcMar>
              <w:left w:w="0" w:type="dxa"/>
            </w:tcMar>
          </w:tcPr>
          <w:p w14:paraId="2AB90C78"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1820279F" w14:textId="77777777" w:rsidR="00ED1959" w:rsidRPr="00DC1E5D" w:rsidRDefault="00ED1959" w:rsidP="00ED1959">
            <w:pPr>
              <w:spacing w:after="160"/>
              <w:rPr>
                <w:spacing w:val="-2"/>
              </w:rPr>
            </w:pPr>
            <w:r w:rsidRPr="00EC6E8C">
              <w:rPr>
                <w:spacing w:val="-2"/>
              </w:rPr>
              <w:t>Krátk</w:t>
            </w:r>
            <w:r>
              <w:rPr>
                <w:spacing w:val="-2"/>
              </w:rPr>
              <w:t>odobé vyhlídky stavebnictví zůstávají</w:t>
            </w:r>
            <w:r w:rsidRPr="00EC6E8C">
              <w:rPr>
                <w:spacing w:val="-2"/>
              </w:rPr>
              <w:t xml:space="preserve"> převážně pozitivní. Orientační hodnota vydaných stavebních povolení byla v úhrnu za sedm letošních měsíců zhruba o</w:t>
            </w:r>
            <w:r>
              <w:rPr>
                <w:spacing w:val="-2"/>
              </w:rPr>
              <w:t> </w:t>
            </w:r>
            <w:r w:rsidRPr="00EC6E8C">
              <w:rPr>
                <w:spacing w:val="-2"/>
              </w:rPr>
              <w:t>třetinu vyšší – jak v meziročním, tak v</w:t>
            </w:r>
            <w:r>
              <w:rPr>
                <w:spacing w:val="-2"/>
              </w:rPr>
              <w:t xml:space="preserve">e </w:t>
            </w:r>
            <w:r w:rsidRPr="00EC6E8C">
              <w:rPr>
                <w:spacing w:val="-2"/>
              </w:rPr>
              <w:t>dvouletém srovnání.</w:t>
            </w:r>
            <w:r>
              <w:rPr>
                <w:spacing w:val="-2"/>
              </w:rPr>
              <w:t xml:space="preserve"> Hodnota svižně rostla i po odečtení velkých staveb (nad 1. mld. korun), což může být dobrým signálem i pro menší stavební firmy. </w:t>
            </w:r>
            <w:r w:rsidRPr="007170FB">
              <w:t xml:space="preserve">Objem nově uzavřených stavebních zakázek </w:t>
            </w:r>
            <w:r>
              <w:t xml:space="preserve">(v podnicích s více než 50 zaměstnanci) </w:t>
            </w:r>
            <w:r w:rsidRPr="007170FB">
              <w:t>roste již pátým rokem v</w:t>
            </w:r>
            <w:r>
              <w:t> </w:t>
            </w:r>
            <w:r w:rsidRPr="007170FB">
              <w:t>řadě a</w:t>
            </w:r>
            <w:r>
              <w:t> </w:t>
            </w:r>
            <w:r w:rsidRPr="007170FB">
              <w:t>za první letošní pololetí byl</w:t>
            </w:r>
            <w:r>
              <w:t xml:space="preserve"> meziročně o necelou</w:t>
            </w:r>
            <w:r w:rsidRPr="007170FB">
              <w:t xml:space="preserve"> </w:t>
            </w:r>
            <w:r>
              <w:t xml:space="preserve">pětinu </w:t>
            </w:r>
            <w:r w:rsidRPr="007170FB">
              <w:t xml:space="preserve">vyšší </w:t>
            </w:r>
            <w:r>
              <w:t xml:space="preserve">(z toho v inženýrském stavitelství </w:t>
            </w:r>
            <w:r w:rsidRPr="00ED3F9B">
              <w:rPr>
                <w:color w:val="0D0D0D" w:themeColor="text1" w:themeTint="F2"/>
              </w:rPr>
              <w:t>bezmála o</w:t>
            </w:r>
            <w:r>
              <w:rPr>
                <w:color w:val="0D0D0D" w:themeColor="text1" w:themeTint="F2"/>
              </w:rPr>
              <w:t> </w:t>
            </w:r>
            <w:r w:rsidRPr="00ED3F9B">
              <w:rPr>
                <w:color w:val="0D0D0D" w:themeColor="text1" w:themeTint="F2"/>
              </w:rPr>
              <w:t xml:space="preserve">třetinu). </w:t>
            </w:r>
            <w:r w:rsidRPr="00ED3F9B">
              <w:rPr>
                <w:color w:val="0D0D0D" w:themeColor="text1" w:themeTint="F2"/>
                <w:spacing w:val="-4"/>
                <w:szCs w:val="20"/>
              </w:rPr>
              <w:t>Všechny dosud nerealizované zakázky poskytovaly na počátku 3.</w:t>
            </w:r>
            <w:r>
              <w:rPr>
                <w:color w:val="0D0D0D" w:themeColor="text1" w:themeTint="F2"/>
                <w:spacing w:val="-4"/>
                <w:szCs w:val="20"/>
              </w:rPr>
              <w:t> čtvrtlet</w:t>
            </w:r>
            <w:r w:rsidRPr="00ED3F9B">
              <w:rPr>
                <w:color w:val="0D0D0D" w:themeColor="text1" w:themeTint="F2"/>
                <w:spacing w:val="-4"/>
                <w:szCs w:val="20"/>
              </w:rPr>
              <w:t>í stavebním podnikům práci v průměru na dalších devět měsíců. Celková zásoba zakázek byla na</w:t>
            </w:r>
            <w:r>
              <w:rPr>
                <w:color w:val="0D0D0D" w:themeColor="text1" w:themeTint="F2"/>
                <w:spacing w:val="-4"/>
                <w:szCs w:val="20"/>
              </w:rPr>
              <w:t xml:space="preserve"> sklonku</w:t>
            </w:r>
            <w:r w:rsidRPr="00ED3F9B">
              <w:rPr>
                <w:color w:val="0D0D0D" w:themeColor="text1" w:themeTint="F2"/>
                <w:spacing w:val="-4"/>
                <w:szCs w:val="20"/>
              </w:rPr>
              <w:t xml:space="preserve"> letošního </w:t>
            </w:r>
            <w:r w:rsidRPr="00ED3F9B">
              <w:rPr>
                <w:color w:val="0D0D0D" w:themeColor="text1" w:themeTint="F2"/>
                <w:spacing w:val="-4"/>
                <w:szCs w:val="20"/>
              </w:rPr>
              <w:lastRenderedPageBreak/>
              <w:t>pololetí meziročně o</w:t>
            </w:r>
            <w:r>
              <w:rPr>
                <w:color w:val="0D0D0D" w:themeColor="text1" w:themeTint="F2"/>
                <w:spacing w:val="-4"/>
                <w:szCs w:val="20"/>
              </w:rPr>
              <w:t> </w:t>
            </w:r>
            <w:r w:rsidRPr="00ED3F9B">
              <w:rPr>
                <w:color w:val="0D0D0D" w:themeColor="text1" w:themeTint="F2"/>
                <w:spacing w:val="-4"/>
                <w:szCs w:val="20"/>
              </w:rPr>
              <w:t>pětinu vyšší. Jestliže v letech 2018 až 2020 byl růst zásoby práce tažen primárně veře</w:t>
            </w:r>
            <w:r>
              <w:rPr>
                <w:color w:val="0D0D0D" w:themeColor="text1" w:themeTint="F2"/>
                <w:spacing w:val="-4"/>
                <w:szCs w:val="20"/>
              </w:rPr>
              <w:t xml:space="preserve">jnými zakázkami, letos </w:t>
            </w:r>
            <w:r w:rsidRPr="00ED3F9B">
              <w:rPr>
                <w:color w:val="0D0D0D" w:themeColor="text1" w:themeTint="F2"/>
                <w:spacing w:val="-4"/>
                <w:szCs w:val="20"/>
              </w:rPr>
              <w:t xml:space="preserve">tuto roli </w:t>
            </w:r>
            <w:r>
              <w:rPr>
                <w:color w:val="0D0D0D" w:themeColor="text1" w:themeTint="F2"/>
                <w:spacing w:val="-4"/>
                <w:szCs w:val="20"/>
              </w:rPr>
              <w:t xml:space="preserve">převzaly </w:t>
            </w:r>
            <w:r w:rsidRPr="00ED3F9B">
              <w:rPr>
                <w:color w:val="0D0D0D" w:themeColor="text1" w:themeTint="F2"/>
                <w:spacing w:val="-4"/>
                <w:szCs w:val="20"/>
              </w:rPr>
              <w:t>soukromé tuzemské zakázky.</w:t>
            </w:r>
          </w:p>
        </w:tc>
      </w:tr>
      <w:tr w:rsidR="00ED1959" w:rsidRPr="00191C35" w14:paraId="13950007" w14:textId="77777777" w:rsidTr="000F7C73">
        <w:trPr>
          <w:trHeight w:val="145"/>
        </w:trPr>
        <w:tc>
          <w:tcPr>
            <w:tcW w:w="1728" w:type="dxa"/>
            <w:shd w:val="clear" w:color="auto" w:fill="auto"/>
            <w:tcMar>
              <w:left w:w="0" w:type="dxa"/>
            </w:tcMar>
          </w:tcPr>
          <w:p w14:paraId="2A63205A" w14:textId="77777777" w:rsidR="00ED1959" w:rsidRDefault="00ED1959" w:rsidP="00ED1959">
            <w:pPr>
              <w:pStyle w:val="Marginlie"/>
            </w:pPr>
            <w:r>
              <w:lastRenderedPageBreak/>
              <w:t>Důvěra podnikatelů ve stavebnictví zůstávala v mírně negativním pásmu. Odvětví se potýkalo s řadou růstových bariér.</w:t>
            </w:r>
          </w:p>
        </w:tc>
        <w:tc>
          <w:tcPr>
            <w:tcW w:w="206" w:type="dxa"/>
            <w:shd w:val="clear" w:color="auto" w:fill="auto"/>
            <w:tcMar>
              <w:left w:w="0" w:type="dxa"/>
            </w:tcMar>
          </w:tcPr>
          <w:p w14:paraId="37DCE035"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2F921DFB" w14:textId="77777777" w:rsidR="00ED1959" w:rsidRPr="0036624C" w:rsidRDefault="00ED1959" w:rsidP="00ED1959">
            <w:pPr>
              <w:spacing w:after="200"/>
              <w:rPr>
                <w:spacing w:val="-4"/>
              </w:rPr>
            </w:pPr>
            <w:r>
              <w:rPr>
                <w:spacing w:val="-4"/>
                <w:szCs w:val="20"/>
              </w:rPr>
              <w:t>Saldo důvěry</w:t>
            </w:r>
            <w:r w:rsidRPr="00994976">
              <w:rPr>
                <w:spacing w:val="-4"/>
                <w:szCs w:val="20"/>
              </w:rPr>
              <w:t xml:space="preserve"> podnikatelů </w:t>
            </w:r>
            <w:r>
              <w:rPr>
                <w:spacing w:val="-4"/>
                <w:szCs w:val="20"/>
              </w:rPr>
              <w:t xml:space="preserve">ve stavebnictví letos mírně kolísalo a stále setrvávalo v negativním pásmu lehce pod úrovní z období těsně před počátkem pandemie. </w:t>
            </w:r>
            <w:r>
              <w:rPr>
                <w:spacing w:val="-4"/>
              </w:rPr>
              <w:t>Krátkodobá očekávání výrobní činnosti i zaměstnanosti zůstala v srpnu mírně pozitivní. Slabou poptávku pociťovalo jako růstovou bariéru nejméně podniků za poslední dva roky. Naopak nedostatek zaměstnanců sužoval od půle loňského roku stabilně zhruba 40 % podniků. Od konce letošního jara byly firmy stále více limitovány nedostatkem materiálu, což posilovalo cenové tlaky v celém odvětví. Růst stavebních prací očekávalo v nejbližších třech měsících více než 40 % podniků, obdobně jako za konjunktury v roce 2008.</w:t>
            </w:r>
          </w:p>
        </w:tc>
      </w:tr>
      <w:tr w:rsidR="00ED1959" w:rsidRPr="00191C35" w14:paraId="362CE838" w14:textId="77777777" w:rsidTr="000F7C73">
        <w:trPr>
          <w:trHeight w:val="145"/>
        </w:trPr>
        <w:tc>
          <w:tcPr>
            <w:tcW w:w="1728" w:type="dxa"/>
            <w:shd w:val="clear" w:color="auto" w:fill="auto"/>
            <w:tcMar>
              <w:left w:w="0" w:type="dxa"/>
            </w:tcMar>
          </w:tcPr>
          <w:p w14:paraId="562EB7DA" w14:textId="77777777" w:rsidR="00ED1959" w:rsidRDefault="00ED1959" w:rsidP="00ED1959">
            <w:pPr>
              <w:pStyle w:val="Marginlie"/>
            </w:pPr>
            <w:r>
              <w:t xml:space="preserve">Postupné uvolnění </w:t>
            </w:r>
            <w:proofErr w:type="spellStart"/>
            <w:r>
              <w:t>protipandemických</w:t>
            </w:r>
            <w:proofErr w:type="spellEnd"/>
            <w:r>
              <w:t xml:space="preserve"> restrikcí se odrazilo ve zrychlení mezičtvrtletního růstu tržeb ve službách.</w:t>
            </w:r>
          </w:p>
          <w:p w14:paraId="594FFF95" w14:textId="77777777" w:rsidR="00ED1959" w:rsidRDefault="00ED1959" w:rsidP="00ED1959">
            <w:pPr>
              <w:pStyle w:val="Marginlie"/>
            </w:pPr>
          </w:p>
          <w:p w14:paraId="6D0CEBB7" w14:textId="77777777" w:rsidR="00ED1959" w:rsidRDefault="00ED1959" w:rsidP="00ED1959">
            <w:pPr>
              <w:pStyle w:val="Marginlie"/>
            </w:pPr>
          </w:p>
          <w:p w14:paraId="23BBBD99" w14:textId="77777777" w:rsidR="00ED1959" w:rsidRDefault="00ED1959" w:rsidP="00ED1959">
            <w:pPr>
              <w:pStyle w:val="Marginlie"/>
            </w:pPr>
          </w:p>
          <w:p w14:paraId="746562A2" w14:textId="77777777" w:rsidR="00ED1959" w:rsidRDefault="00ED1959" w:rsidP="00ED1959">
            <w:pPr>
              <w:pStyle w:val="Marginlie"/>
            </w:pPr>
            <w:r>
              <w:t>Meziroční srovnání bylo ve 2. čtvrtletí zásadně ovlivněno loňským propadem tržeb.</w:t>
            </w:r>
          </w:p>
        </w:tc>
        <w:tc>
          <w:tcPr>
            <w:tcW w:w="206" w:type="dxa"/>
            <w:shd w:val="clear" w:color="auto" w:fill="auto"/>
            <w:tcMar>
              <w:left w:w="0" w:type="dxa"/>
            </w:tcMar>
          </w:tcPr>
          <w:p w14:paraId="7085C8B3"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577171F0" w14:textId="32DCC04A" w:rsidR="00ED1959" w:rsidRPr="005E3113" w:rsidRDefault="00ED1959" w:rsidP="00ED1959">
            <w:pPr>
              <w:spacing w:after="200"/>
              <w:rPr>
                <w:spacing w:val="-4"/>
                <w:szCs w:val="20"/>
              </w:rPr>
            </w:pPr>
            <w:r w:rsidRPr="005E3113">
              <w:rPr>
                <w:color w:val="0D0D0D" w:themeColor="text1" w:themeTint="F2"/>
                <w:spacing w:val="-4"/>
                <w:szCs w:val="20"/>
              </w:rPr>
              <w:t xml:space="preserve">Ačkoli citelný zásah </w:t>
            </w:r>
            <w:proofErr w:type="spellStart"/>
            <w:r w:rsidRPr="005E3113">
              <w:rPr>
                <w:color w:val="0D0D0D" w:themeColor="text1" w:themeTint="F2"/>
                <w:spacing w:val="-4"/>
                <w:szCs w:val="20"/>
              </w:rPr>
              <w:t>protipandemických</w:t>
            </w:r>
            <w:proofErr w:type="spellEnd"/>
            <w:r w:rsidRPr="005E3113">
              <w:rPr>
                <w:color w:val="0D0D0D" w:themeColor="text1" w:themeTint="F2"/>
                <w:spacing w:val="-4"/>
                <w:szCs w:val="20"/>
              </w:rPr>
              <w:t xml:space="preserve"> opatření do části služeb přetrvával po celé 1.</w:t>
            </w:r>
            <w:r w:rsidRPr="005E3113">
              <w:rPr>
                <w:spacing w:val="-4"/>
              </w:rPr>
              <w:t> </w:t>
            </w:r>
            <w:r>
              <w:rPr>
                <w:color w:val="0D0D0D" w:themeColor="text1" w:themeTint="F2"/>
                <w:spacing w:val="-4"/>
                <w:szCs w:val="20"/>
              </w:rPr>
              <w:t>čtvrtletí 2021</w:t>
            </w:r>
            <w:r w:rsidRPr="005E3113">
              <w:rPr>
                <w:color w:val="0D0D0D" w:themeColor="text1" w:themeTint="F2"/>
                <w:spacing w:val="-4"/>
                <w:szCs w:val="20"/>
              </w:rPr>
              <w:t xml:space="preserve">, </w:t>
            </w:r>
            <w:r w:rsidRPr="005E3113">
              <w:rPr>
                <w:color w:val="0D0D0D" w:themeColor="text1" w:themeTint="F2"/>
                <w:spacing w:val="-4"/>
              </w:rPr>
              <w:t>tržby ve vybraných službách</w:t>
            </w:r>
            <w:r w:rsidRPr="005E3113">
              <w:rPr>
                <w:color w:val="0D0D0D" w:themeColor="text1" w:themeTint="F2"/>
                <w:spacing w:val="-4"/>
                <w:vertAlign w:val="superscript"/>
              </w:rPr>
              <w:footnoteReference w:id="37"/>
            </w:r>
            <w:r w:rsidRPr="005E3113">
              <w:rPr>
                <w:color w:val="0D0D0D" w:themeColor="text1" w:themeTint="F2"/>
                <w:spacing w:val="-4"/>
              </w:rPr>
              <w:t xml:space="preserve"> ve srovnání s úrovní 4.</w:t>
            </w:r>
            <w:r>
              <w:rPr>
                <w:color w:val="0D0D0D" w:themeColor="text1" w:themeTint="F2"/>
                <w:spacing w:val="-4"/>
              </w:rPr>
              <w:t> čtvrtlet</w:t>
            </w:r>
            <w:r w:rsidRPr="005E3113">
              <w:rPr>
                <w:color w:val="0D0D0D" w:themeColor="text1" w:themeTint="F2"/>
                <w:spacing w:val="-4"/>
              </w:rPr>
              <w:t>í 2020 mírně vzrostly (+1,9</w:t>
            </w:r>
            <w:r>
              <w:rPr>
                <w:color w:val="0D0D0D" w:themeColor="text1" w:themeTint="F2"/>
                <w:spacing w:val="-4"/>
              </w:rPr>
              <w:t> %</w:t>
            </w:r>
            <w:r w:rsidRPr="005E3113">
              <w:rPr>
                <w:color w:val="0D0D0D" w:themeColor="text1" w:themeTint="F2"/>
                <w:spacing w:val="-4"/>
              </w:rPr>
              <w:t>). Postupné uvolnění restrikcí ve 2.</w:t>
            </w:r>
            <w:r>
              <w:rPr>
                <w:color w:val="0D0D0D" w:themeColor="text1" w:themeTint="F2"/>
                <w:spacing w:val="-4"/>
              </w:rPr>
              <w:t> čtvrtlet</w:t>
            </w:r>
            <w:r w:rsidRPr="005E3113">
              <w:rPr>
                <w:color w:val="0D0D0D" w:themeColor="text1" w:themeTint="F2"/>
                <w:spacing w:val="-4"/>
              </w:rPr>
              <w:t>í bylo dle očekávání spojeno s výrazným oživením</w:t>
            </w:r>
            <w:r w:rsidRPr="005E3113">
              <w:rPr>
                <w:color w:val="0D0D0D" w:themeColor="text1" w:themeTint="F2"/>
                <w:spacing w:val="-4"/>
                <w:szCs w:val="20"/>
              </w:rPr>
              <w:t xml:space="preserve"> širokého spektra</w:t>
            </w:r>
            <w:r w:rsidRPr="005E3113">
              <w:rPr>
                <w:color w:val="0D0D0D" w:themeColor="text1" w:themeTint="F2"/>
                <w:spacing w:val="-4"/>
              </w:rPr>
              <w:t xml:space="preserve"> služeb. Tržby ve službách </w:t>
            </w:r>
            <w:proofErr w:type="spellStart"/>
            <w:r w:rsidRPr="005E3113">
              <w:rPr>
                <w:color w:val="0D0D0D" w:themeColor="text1" w:themeTint="F2"/>
                <w:spacing w:val="-4"/>
              </w:rPr>
              <w:t>mezikvartálně</w:t>
            </w:r>
            <w:proofErr w:type="spellEnd"/>
            <w:r w:rsidRPr="005E3113">
              <w:rPr>
                <w:color w:val="0D0D0D" w:themeColor="text1" w:themeTint="F2"/>
                <w:spacing w:val="-4"/>
              </w:rPr>
              <w:t xml:space="preserve"> posílily o</w:t>
            </w:r>
            <w:r>
              <w:rPr>
                <w:color w:val="0D0D0D" w:themeColor="text1" w:themeTint="F2"/>
                <w:spacing w:val="-4"/>
              </w:rPr>
              <w:t> </w:t>
            </w:r>
            <w:r w:rsidRPr="005E3113">
              <w:rPr>
                <w:color w:val="0D0D0D" w:themeColor="text1" w:themeTint="F2"/>
                <w:spacing w:val="-4"/>
              </w:rPr>
              <w:t>rovná 4</w:t>
            </w:r>
            <w:r>
              <w:rPr>
                <w:color w:val="0D0D0D" w:themeColor="text1" w:themeTint="F2"/>
                <w:spacing w:val="-4"/>
              </w:rPr>
              <w:t> %</w:t>
            </w:r>
            <w:r w:rsidR="00BF35C9">
              <w:rPr>
                <w:color w:val="0D0D0D" w:themeColor="text1" w:themeTint="F2"/>
                <w:spacing w:val="-4"/>
              </w:rPr>
              <w:t>, více než ze třetiny</w:t>
            </w:r>
            <w:r w:rsidRPr="005E3113">
              <w:rPr>
                <w:color w:val="0D0D0D" w:themeColor="text1" w:themeTint="F2"/>
                <w:spacing w:val="-4"/>
              </w:rPr>
              <w:t xml:space="preserve"> díky „probuzení“ odvětví ubytování, stravování a</w:t>
            </w:r>
            <w:r>
              <w:rPr>
                <w:color w:val="0D0D0D" w:themeColor="text1" w:themeTint="F2"/>
                <w:spacing w:val="-4"/>
              </w:rPr>
              <w:t> </w:t>
            </w:r>
            <w:r w:rsidRPr="005E3113">
              <w:rPr>
                <w:color w:val="0D0D0D" w:themeColor="text1" w:themeTint="F2"/>
                <w:spacing w:val="-4"/>
              </w:rPr>
              <w:t>pohostinství. Nárůst tržeb byl ale patrný ve všech hlavních odvětvích. Za 1. pololetí 2021 se tržby ve službách zvýšily meziročně o</w:t>
            </w:r>
            <w:r>
              <w:rPr>
                <w:color w:val="0D0D0D" w:themeColor="text1" w:themeTint="F2"/>
                <w:spacing w:val="-4"/>
              </w:rPr>
              <w:t> </w:t>
            </w:r>
            <w:r w:rsidRPr="005E3113">
              <w:rPr>
                <w:color w:val="0D0D0D" w:themeColor="text1" w:themeTint="F2"/>
                <w:spacing w:val="-4"/>
              </w:rPr>
              <w:t>3</w:t>
            </w:r>
            <w:r w:rsidR="00BF35C9">
              <w:rPr>
                <w:color w:val="0D0D0D" w:themeColor="text1" w:themeTint="F2"/>
                <w:spacing w:val="-4"/>
              </w:rPr>
              <w:t>,0</w:t>
            </w:r>
            <w:r>
              <w:rPr>
                <w:color w:val="0D0D0D" w:themeColor="text1" w:themeTint="F2"/>
                <w:spacing w:val="-4"/>
              </w:rPr>
              <w:t> %</w:t>
            </w:r>
            <w:r w:rsidRPr="005E3113">
              <w:rPr>
                <w:color w:val="0D0D0D" w:themeColor="text1" w:themeTint="F2"/>
                <w:spacing w:val="-4"/>
              </w:rPr>
              <w:t>, v samotném 2.</w:t>
            </w:r>
            <w:r>
              <w:rPr>
                <w:color w:val="0D0D0D" w:themeColor="text1" w:themeTint="F2"/>
                <w:spacing w:val="-4"/>
              </w:rPr>
              <w:t> čtvrtlet</w:t>
            </w:r>
            <w:r w:rsidRPr="005E3113">
              <w:rPr>
                <w:color w:val="0D0D0D" w:themeColor="text1" w:themeTint="F2"/>
                <w:spacing w:val="-4"/>
              </w:rPr>
              <w:t>í pak zejména vlivem velmi nízké srovnávací základny o</w:t>
            </w:r>
            <w:r>
              <w:rPr>
                <w:color w:val="0D0D0D" w:themeColor="text1" w:themeTint="F2"/>
                <w:spacing w:val="-4"/>
              </w:rPr>
              <w:t> </w:t>
            </w:r>
            <w:r w:rsidRPr="005E3113">
              <w:rPr>
                <w:color w:val="0D0D0D" w:themeColor="text1" w:themeTint="F2"/>
                <w:spacing w:val="-4"/>
              </w:rPr>
              <w:t>14,2</w:t>
            </w:r>
            <w:r>
              <w:rPr>
                <w:color w:val="0D0D0D" w:themeColor="text1" w:themeTint="F2"/>
                <w:spacing w:val="-4"/>
              </w:rPr>
              <w:t> %</w:t>
            </w:r>
            <w:r w:rsidRPr="005E3113">
              <w:rPr>
                <w:color w:val="0D0D0D" w:themeColor="text1" w:themeTint="F2"/>
                <w:spacing w:val="-4"/>
              </w:rPr>
              <w:t>. T</w:t>
            </w:r>
            <w:r w:rsidRPr="005E3113">
              <w:rPr>
                <w:rFonts w:cs="Arial"/>
                <w:bCs/>
                <w:spacing w:val="-4"/>
                <w:szCs w:val="20"/>
              </w:rPr>
              <w:t>ržby se letos nacház</w:t>
            </w:r>
            <w:r w:rsidR="00BF35C9">
              <w:rPr>
                <w:rFonts w:cs="Arial"/>
                <w:bCs/>
                <w:spacing w:val="-4"/>
                <w:szCs w:val="20"/>
              </w:rPr>
              <w:t>ely</w:t>
            </w:r>
            <w:r w:rsidRPr="005E3113">
              <w:rPr>
                <w:rFonts w:cs="Arial"/>
                <w:bCs/>
                <w:spacing w:val="-4"/>
                <w:szCs w:val="20"/>
              </w:rPr>
              <w:t xml:space="preserve"> přibližně na úrovni roku 2016 </w:t>
            </w:r>
            <w:r>
              <w:rPr>
                <w:rFonts w:cs="Arial"/>
                <w:bCs/>
                <w:spacing w:val="-4"/>
                <w:szCs w:val="20"/>
              </w:rPr>
              <w:t>a za předkrizovým vrcholem stále</w:t>
            </w:r>
            <w:r w:rsidR="00BF35C9">
              <w:rPr>
                <w:rFonts w:cs="Arial"/>
                <w:bCs/>
                <w:spacing w:val="-4"/>
                <w:szCs w:val="20"/>
              </w:rPr>
              <w:t xml:space="preserve"> výrazně zaostávaly</w:t>
            </w:r>
            <w:r w:rsidRPr="005E3113">
              <w:rPr>
                <w:rFonts w:cs="Arial"/>
                <w:bCs/>
                <w:spacing w:val="-4"/>
                <w:szCs w:val="20"/>
              </w:rPr>
              <w:t xml:space="preserve">. </w:t>
            </w:r>
            <w:r w:rsidRPr="005E3113">
              <w:rPr>
                <w:spacing w:val="-5"/>
              </w:rPr>
              <w:t>Meziročně vzrostly tržby ve 2.</w:t>
            </w:r>
            <w:r>
              <w:rPr>
                <w:spacing w:val="-5"/>
              </w:rPr>
              <w:t> čtvrtlet</w:t>
            </w:r>
            <w:r w:rsidRPr="005E3113">
              <w:rPr>
                <w:spacing w:val="-5"/>
              </w:rPr>
              <w:t>í ve všech hlavních odvět</w:t>
            </w:r>
            <w:r>
              <w:rPr>
                <w:spacing w:val="-5"/>
              </w:rPr>
              <w:t>vích, nejvíce v těch, která byla vloni za</w:t>
            </w:r>
            <w:r w:rsidRPr="005E3113">
              <w:rPr>
                <w:spacing w:val="-5"/>
              </w:rPr>
              <w:t xml:space="preserve"> první pandemické vlny fakticky paralyzován</w:t>
            </w:r>
            <w:r>
              <w:rPr>
                <w:spacing w:val="-5"/>
              </w:rPr>
              <w:t>a</w:t>
            </w:r>
            <w:r w:rsidRPr="005E3113">
              <w:rPr>
                <w:spacing w:val="-5"/>
              </w:rPr>
              <w:t xml:space="preserve"> – v</w:t>
            </w:r>
            <w:r w:rsidRPr="005E3113">
              <w:rPr>
                <w:color w:val="0D0D0D" w:themeColor="text1" w:themeTint="F2"/>
                <w:spacing w:val="-5"/>
              </w:rPr>
              <w:t> u</w:t>
            </w:r>
            <w:r>
              <w:rPr>
                <w:color w:val="0D0D0D" w:themeColor="text1" w:themeTint="F2"/>
                <w:spacing w:val="-5"/>
              </w:rPr>
              <w:t>bytování, stravování a</w:t>
            </w:r>
            <w:r w:rsidRPr="005E3113">
              <w:rPr>
                <w:color w:val="0D0D0D" w:themeColor="text1" w:themeTint="F2"/>
                <w:spacing w:val="-5"/>
              </w:rPr>
              <w:t> pohostinství se zvýšily skoro o</w:t>
            </w:r>
            <w:r>
              <w:rPr>
                <w:color w:val="0D0D0D" w:themeColor="text1" w:themeTint="F2"/>
                <w:spacing w:val="-5"/>
              </w:rPr>
              <w:t> </w:t>
            </w:r>
            <w:r w:rsidRPr="005E3113">
              <w:rPr>
                <w:color w:val="0D0D0D" w:themeColor="text1" w:themeTint="F2"/>
                <w:spacing w:val="-5"/>
              </w:rPr>
              <w:t xml:space="preserve">třetinu, v dopravě </w:t>
            </w:r>
            <w:r>
              <w:rPr>
                <w:color w:val="0D0D0D" w:themeColor="text1" w:themeTint="F2"/>
                <w:spacing w:val="-5"/>
              </w:rPr>
              <w:t>a skladování téměř</w:t>
            </w:r>
            <w:r w:rsidRPr="005E3113">
              <w:rPr>
                <w:color w:val="0D0D0D" w:themeColor="text1" w:themeTint="F2"/>
                <w:spacing w:val="-5"/>
              </w:rPr>
              <w:t xml:space="preserve"> o</w:t>
            </w:r>
            <w:r>
              <w:rPr>
                <w:color w:val="0D0D0D" w:themeColor="text1" w:themeTint="F2"/>
                <w:spacing w:val="-5"/>
              </w:rPr>
              <w:t> </w:t>
            </w:r>
            <w:r w:rsidRPr="005E3113">
              <w:rPr>
                <w:color w:val="0D0D0D" w:themeColor="text1" w:themeTint="F2"/>
                <w:spacing w:val="-5"/>
              </w:rPr>
              <w:t>čtvrtinu</w:t>
            </w:r>
            <w:r>
              <w:rPr>
                <w:color w:val="0D0D0D" w:themeColor="text1" w:themeTint="F2"/>
                <w:spacing w:val="-5"/>
              </w:rPr>
              <w:t xml:space="preserve"> a</w:t>
            </w:r>
            <w:r w:rsidRPr="005E3113">
              <w:rPr>
                <w:color w:val="0D0D0D" w:themeColor="text1" w:themeTint="F2"/>
                <w:spacing w:val="-5"/>
              </w:rPr>
              <w:t xml:space="preserve"> v administrativních </w:t>
            </w:r>
            <w:r>
              <w:rPr>
                <w:color w:val="0D0D0D" w:themeColor="text1" w:themeTint="F2"/>
                <w:spacing w:val="-5"/>
              </w:rPr>
              <w:t>a</w:t>
            </w:r>
            <w:r w:rsidRPr="005E3113">
              <w:rPr>
                <w:color w:val="0D0D0D" w:themeColor="text1" w:themeTint="F2"/>
                <w:spacing w:val="-4"/>
              </w:rPr>
              <w:t> </w:t>
            </w:r>
            <w:r w:rsidRPr="005E3113">
              <w:rPr>
                <w:color w:val="0D0D0D" w:themeColor="text1" w:themeTint="F2"/>
                <w:spacing w:val="-5"/>
              </w:rPr>
              <w:t>podpůrných činnostech bezmála o</w:t>
            </w:r>
            <w:r>
              <w:rPr>
                <w:color w:val="0D0D0D" w:themeColor="text1" w:themeTint="F2"/>
                <w:spacing w:val="-5"/>
              </w:rPr>
              <w:t> </w:t>
            </w:r>
            <w:r w:rsidRPr="005E3113">
              <w:rPr>
                <w:color w:val="0D0D0D" w:themeColor="text1" w:themeTint="F2"/>
                <w:spacing w:val="-5"/>
              </w:rPr>
              <w:t>pětinu.</w:t>
            </w:r>
          </w:p>
        </w:tc>
      </w:tr>
      <w:tr w:rsidR="00ED1959" w:rsidRPr="00191C35" w14:paraId="2D9741E4" w14:textId="77777777" w:rsidTr="000F7C73">
        <w:trPr>
          <w:trHeight w:val="145"/>
        </w:trPr>
        <w:tc>
          <w:tcPr>
            <w:tcW w:w="1728" w:type="dxa"/>
            <w:shd w:val="clear" w:color="auto" w:fill="auto"/>
            <w:tcMar>
              <w:left w:w="0" w:type="dxa"/>
            </w:tcMar>
          </w:tcPr>
          <w:p w14:paraId="73D572A0" w14:textId="77777777" w:rsidR="00ED1959" w:rsidRDefault="00ED1959" w:rsidP="00ED1959">
            <w:pPr>
              <w:pStyle w:val="Marginlie"/>
            </w:pPr>
            <w:r>
              <w:t>Ve srovnání s 2. čtvrtletím 2019 klesly tržby ve službách o 8,3 %.</w:t>
            </w:r>
          </w:p>
          <w:p w14:paraId="5E9B4C80" w14:textId="77777777" w:rsidR="00ED1959" w:rsidRDefault="00ED1959" w:rsidP="00ED1959">
            <w:pPr>
              <w:pStyle w:val="Marginlie"/>
            </w:pPr>
          </w:p>
          <w:p w14:paraId="06D2A564" w14:textId="77777777" w:rsidR="00ED1959" w:rsidRDefault="00ED1959" w:rsidP="00ED1959">
            <w:pPr>
              <w:pStyle w:val="Marginlie"/>
            </w:pPr>
          </w:p>
          <w:p w14:paraId="5A1FAD77" w14:textId="77777777" w:rsidR="00ED1959" w:rsidRDefault="00ED1959" w:rsidP="00ED1959">
            <w:pPr>
              <w:pStyle w:val="Marginlie"/>
            </w:pPr>
            <w:r>
              <w:t>Pandemické období posílilo roli informačních a komunikačních činností. Z rozvoje internetového obchodu těžily poštovní a kurýrní činnosti.</w:t>
            </w:r>
          </w:p>
        </w:tc>
        <w:tc>
          <w:tcPr>
            <w:tcW w:w="206" w:type="dxa"/>
            <w:shd w:val="clear" w:color="auto" w:fill="auto"/>
            <w:tcMar>
              <w:left w:w="0" w:type="dxa"/>
            </w:tcMar>
          </w:tcPr>
          <w:p w14:paraId="0C4E9AA8"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3E8FCC23" w14:textId="77777777" w:rsidR="00ED1959" w:rsidRPr="00EB7CC9" w:rsidRDefault="00ED1959" w:rsidP="00ED1959">
            <w:pPr>
              <w:spacing w:after="200"/>
              <w:rPr>
                <w:color w:val="0D0D0D" w:themeColor="text1" w:themeTint="F2"/>
                <w:spacing w:val="-4"/>
              </w:rPr>
            </w:pPr>
            <w:r w:rsidRPr="00EE0E7E">
              <w:rPr>
                <w:color w:val="0D0D0D" w:themeColor="text1" w:themeTint="F2"/>
                <w:spacing w:val="-4"/>
              </w:rPr>
              <w:t xml:space="preserve">Větší vypovídací schopnost má dvouleté srovnání, </w:t>
            </w:r>
            <w:r>
              <w:rPr>
                <w:color w:val="0D0D0D" w:themeColor="text1" w:themeTint="F2"/>
                <w:spacing w:val="-4"/>
              </w:rPr>
              <w:t>mimo jiné</w:t>
            </w:r>
            <w:r w:rsidRPr="00EE0E7E">
              <w:rPr>
                <w:color w:val="0D0D0D" w:themeColor="text1" w:themeTint="F2"/>
                <w:spacing w:val="-4"/>
              </w:rPr>
              <w:t xml:space="preserve"> i</w:t>
            </w:r>
            <w:r>
              <w:rPr>
                <w:color w:val="0D0D0D" w:themeColor="text1" w:themeTint="F2"/>
                <w:spacing w:val="-4"/>
              </w:rPr>
              <w:t> </w:t>
            </w:r>
            <w:r w:rsidRPr="00EE0E7E">
              <w:rPr>
                <w:color w:val="0D0D0D" w:themeColor="text1" w:themeTint="F2"/>
                <w:spacing w:val="-4"/>
              </w:rPr>
              <w:t>proto, že ve 2.</w:t>
            </w:r>
            <w:r>
              <w:rPr>
                <w:color w:val="0D0D0D" w:themeColor="text1" w:themeTint="F2"/>
                <w:spacing w:val="-4"/>
              </w:rPr>
              <w:t> čtvrtlet</w:t>
            </w:r>
            <w:r w:rsidRPr="00EE0E7E">
              <w:rPr>
                <w:color w:val="0D0D0D" w:themeColor="text1" w:themeTint="F2"/>
                <w:spacing w:val="-4"/>
              </w:rPr>
              <w:t>í 2019 se souhrnný výkon služeb nacházel na svém konjunkturním maximu. Z</w:t>
            </w:r>
            <w:r>
              <w:rPr>
                <w:color w:val="0D0D0D" w:themeColor="text1" w:themeTint="F2"/>
                <w:spacing w:val="-4"/>
              </w:rPr>
              <w:t xml:space="preserve">a toto </w:t>
            </w:r>
            <w:r w:rsidRPr="00EE0E7E">
              <w:rPr>
                <w:color w:val="0D0D0D" w:themeColor="text1" w:themeTint="F2"/>
                <w:spacing w:val="-4"/>
              </w:rPr>
              <w:t>období tržby ve službách poklesly o</w:t>
            </w:r>
            <w:r>
              <w:rPr>
                <w:color w:val="0D0D0D" w:themeColor="text1" w:themeTint="F2"/>
                <w:spacing w:val="-4"/>
              </w:rPr>
              <w:t> </w:t>
            </w:r>
            <w:r w:rsidRPr="00EE0E7E">
              <w:rPr>
                <w:color w:val="0D0D0D" w:themeColor="text1" w:themeTint="F2"/>
                <w:spacing w:val="-4"/>
              </w:rPr>
              <w:t>8,3</w:t>
            </w:r>
            <w:r>
              <w:rPr>
                <w:color w:val="0D0D0D" w:themeColor="text1" w:themeTint="F2"/>
                <w:spacing w:val="-4"/>
              </w:rPr>
              <w:t> %</w:t>
            </w:r>
            <w:r w:rsidRPr="00EE0E7E">
              <w:rPr>
                <w:color w:val="0D0D0D" w:themeColor="text1" w:themeTint="F2"/>
                <w:spacing w:val="-4"/>
              </w:rPr>
              <w:t xml:space="preserve">. </w:t>
            </w:r>
            <w:r>
              <w:rPr>
                <w:color w:val="0D0D0D" w:themeColor="text1" w:themeTint="F2"/>
                <w:spacing w:val="-4"/>
              </w:rPr>
              <w:t>Jediným hlavním odvětvím, jež v tomto období rostlo, byly informační a</w:t>
            </w:r>
            <w:r w:rsidRPr="005E3113">
              <w:rPr>
                <w:color w:val="0D0D0D" w:themeColor="text1" w:themeTint="F2"/>
                <w:spacing w:val="-5"/>
              </w:rPr>
              <w:t> </w:t>
            </w:r>
            <w:r>
              <w:rPr>
                <w:color w:val="0D0D0D" w:themeColor="text1" w:themeTint="F2"/>
                <w:spacing w:val="-4"/>
              </w:rPr>
              <w:t>komunikační činnosti (+6,1 %). Těm nejvíce pomohl svižný růst ve váhově významném segmentu telekomunikací (9,1 %),</w:t>
            </w:r>
            <w:r>
              <w:rPr>
                <w:rFonts w:cs="Arial"/>
                <w:bCs/>
                <w:color w:val="0D0D0D"/>
                <w:spacing w:val="-4"/>
              </w:rPr>
              <w:t xml:space="preserve"> sílila ale i poptávka po zpracování dat, webových portálech a </w:t>
            </w:r>
            <w:proofErr w:type="spellStart"/>
            <w:r>
              <w:rPr>
                <w:rFonts w:cs="Arial"/>
                <w:bCs/>
                <w:color w:val="0D0D0D"/>
                <w:spacing w:val="-4"/>
              </w:rPr>
              <w:t>hostingu</w:t>
            </w:r>
            <w:proofErr w:type="spellEnd"/>
            <w:r>
              <w:rPr>
                <w:rFonts w:cs="Arial"/>
                <w:bCs/>
                <w:color w:val="0D0D0D"/>
                <w:spacing w:val="-4"/>
              </w:rPr>
              <w:t>, stejně jako v oblasti IT (zpracování dat, poradenství, správa počítačového vybavení). S oblastí IT souvisí i růst ve vydavatelských činnostech (3,4 %), k němuž významně přispělo vydávání softwaru. Z omezení nákupních možností obyvatel během jednotlivých pandemických vln profitovaly poštovní a kurýrní činnosti, v nichž za dva roky vzrostly tržby nejvíce ze všech dílčích odvětví služeb (30,9 %). Dařilo se také skladování (+4,4 %), jemuž pomohlo i rychlé oživení průmyslu ve druhé polovině loňského roku. V rámci služeb pro podniky rostla poptávka po právních a účetnických činnostech.</w:t>
            </w:r>
          </w:p>
        </w:tc>
      </w:tr>
      <w:tr w:rsidR="00ED1959" w:rsidRPr="00191C35" w14:paraId="003EEC44" w14:textId="77777777" w:rsidTr="000F7C73">
        <w:trPr>
          <w:trHeight w:val="145"/>
        </w:trPr>
        <w:tc>
          <w:tcPr>
            <w:tcW w:w="1728" w:type="dxa"/>
            <w:shd w:val="clear" w:color="auto" w:fill="auto"/>
            <w:tcMar>
              <w:left w:w="0" w:type="dxa"/>
            </w:tcMar>
          </w:tcPr>
          <w:p w14:paraId="1EC7A63D" w14:textId="77777777" w:rsidR="00ED1959" w:rsidRDefault="00ED1959" w:rsidP="00ED1959">
            <w:pPr>
              <w:pStyle w:val="Marginlie"/>
            </w:pPr>
            <w:r>
              <w:t>Za dva roky propadly nejvíce tržby v dílčích odvětvích vázaných na cestovní ruch.</w:t>
            </w:r>
          </w:p>
          <w:p w14:paraId="6C4146E7" w14:textId="77777777" w:rsidR="00ED1959" w:rsidRDefault="00ED1959" w:rsidP="00ED1959">
            <w:pPr>
              <w:pStyle w:val="Marginlie"/>
            </w:pPr>
          </w:p>
          <w:p w14:paraId="1F49F678" w14:textId="77777777" w:rsidR="00ED1959" w:rsidRDefault="00ED1959" w:rsidP="00ED1959">
            <w:pPr>
              <w:pStyle w:val="Marginlie"/>
            </w:pPr>
          </w:p>
          <w:p w14:paraId="73811875" w14:textId="77777777" w:rsidR="00ED1959" w:rsidRDefault="00ED1959" w:rsidP="00ED1959">
            <w:pPr>
              <w:pStyle w:val="Marginlie"/>
            </w:pPr>
          </w:p>
          <w:p w14:paraId="3A94298E" w14:textId="77777777" w:rsidR="00ED1959" w:rsidRDefault="00ED1959" w:rsidP="00ED1959">
            <w:pPr>
              <w:pStyle w:val="Marginlie"/>
            </w:pPr>
            <w:r>
              <w:t>Projevil se i dopad restrikcí u některých volnočasových aktivit či cyklický pokles poptávky u specializovaných služeb pro podniky.</w:t>
            </w:r>
          </w:p>
        </w:tc>
        <w:tc>
          <w:tcPr>
            <w:tcW w:w="206" w:type="dxa"/>
            <w:shd w:val="clear" w:color="auto" w:fill="auto"/>
            <w:tcMar>
              <w:left w:w="0" w:type="dxa"/>
            </w:tcMar>
          </w:tcPr>
          <w:p w14:paraId="610AF989"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7D13EB83" w14:textId="07774D0A" w:rsidR="00ED1959" w:rsidRPr="001A0A37" w:rsidRDefault="00ED1959" w:rsidP="00ED1959">
            <w:pPr>
              <w:spacing w:after="200"/>
              <w:rPr>
                <w:spacing w:val="-4"/>
                <w:szCs w:val="20"/>
              </w:rPr>
            </w:pPr>
            <w:r w:rsidRPr="00EE0E7E">
              <w:rPr>
                <w:color w:val="0D0D0D" w:themeColor="text1" w:themeTint="F2"/>
                <w:spacing w:val="-4"/>
              </w:rPr>
              <w:t xml:space="preserve">Je zřejmé, že situace v dílčích odvětvích </w:t>
            </w:r>
            <w:r>
              <w:rPr>
                <w:color w:val="0D0D0D" w:themeColor="text1" w:themeTint="F2"/>
                <w:spacing w:val="-4"/>
              </w:rPr>
              <w:t>služeb se silnou vazbou na cestovní</w:t>
            </w:r>
            <w:r w:rsidR="00BF35C9">
              <w:rPr>
                <w:color w:val="0D0D0D" w:themeColor="text1" w:themeTint="F2"/>
                <w:spacing w:val="-4"/>
              </w:rPr>
              <w:t xml:space="preserve"> ruch zůstávala</w:t>
            </w:r>
            <w:r w:rsidRPr="00EE0E7E">
              <w:rPr>
                <w:color w:val="0D0D0D" w:themeColor="text1" w:themeTint="F2"/>
                <w:spacing w:val="-4"/>
              </w:rPr>
              <w:t xml:space="preserve"> i</w:t>
            </w:r>
            <w:r>
              <w:rPr>
                <w:color w:val="0D0D0D" w:themeColor="text1" w:themeTint="F2"/>
                <w:spacing w:val="-4"/>
              </w:rPr>
              <w:t> </w:t>
            </w:r>
            <w:r w:rsidRPr="00EE0E7E">
              <w:rPr>
                <w:color w:val="0D0D0D" w:themeColor="text1" w:themeTint="F2"/>
                <w:spacing w:val="-4"/>
              </w:rPr>
              <w:t xml:space="preserve">přes současné oživení nadále velmi vážná. V cestovních </w:t>
            </w:r>
            <w:r>
              <w:rPr>
                <w:color w:val="0D0D0D" w:themeColor="text1" w:themeTint="F2"/>
                <w:spacing w:val="-4"/>
              </w:rPr>
              <w:t>agenturách, letecké dopravě i</w:t>
            </w:r>
            <w:r w:rsidRPr="00EE0E7E">
              <w:rPr>
                <w:color w:val="0D0D0D" w:themeColor="text1" w:themeTint="F2"/>
                <w:spacing w:val="-4"/>
              </w:rPr>
              <w:t> v ubytování</w:t>
            </w:r>
            <w:r w:rsidRPr="00EE0E7E">
              <w:rPr>
                <w:rStyle w:val="Znakapoznpodarou"/>
                <w:color w:val="0D0D0D" w:themeColor="text1" w:themeTint="F2"/>
                <w:spacing w:val="-4"/>
              </w:rPr>
              <w:footnoteReference w:id="38"/>
            </w:r>
            <w:r w:rsidRPr="00EE0E7E">
              <w:rPr>
                <w:color w:val="0D0D0D" w:themeColor="text1" w:themeTint="F2"/>
                <w:spacing w:val="-4"/>
              </w:rPr>
              <w:t xml:space="preserve"> tržby propadly shodně </w:t>
            </w:r>
            <w:r>
              <w:rPr>
                <w:color w:val="0D0D0D" w:themeColor="text1" w:themeTint="F2"/>
                <w:spacing w:val="-4"/>
              </w:rPr>
              <w:t>zhruba o </w:t>
            </w:r>
            <w:r w:rsidRPr="00EE0E7E">
              <w:rPr>
                <w:color w:val="0D0D0D" w:themeColor="text1" w:themeTint="F2"/>
                <w:spacing w:val="-4"/>
              </w:rPr>
              <w:t>70</w:t>
            </w:r>
            <w:r>
              <w:rPr>
                <w:color w:val="0D0D0D" w:themeColor="text1" w:themeTint="F2"/>
                <w:spacing w:val="-4"/>
              </w:rPr>
              <w:t> %</w:t>
            </w:r>
            <w:r w:rsidRPr="00EE0E7E">
              <w:rPr>
                <w:color w:val="0D0D0D" w:themeColor="text1" w:themeTint="F2"/>
                <w:spacing w:val="-4"/>
              </w:rPr>
              <w:t>, ve stravování a</w:t>
            </w:r>
            <w:r>
              <w:rPr>
                <w:color w:val="0D0D0D" w:themeColor="text1" w:themeTint="F2"/>
                <w:spacing w:val="-4"/>
              </w:rPr>
              <w:t> </w:t>
            </w:r>
            <w:r w:rsidRPr="00EE0E7E">
              <w:rPr>
                <w:color w:val="0D0D0D" w:themeColor="text1" w:themeTint="F2"/>
                <w:spacing w:val="-4"/>
              </w:rPr>
              <w:t>pohostinství o</w:t>
            </w:r>
            <w:r>
              <w:rPr>
                <w:color w:val="0D0D0D" w:themeColor="text1" w:themeTint="F2"/>
                <w:spacing w:val="-4"/>
              </w:rPr>
              <w:t> </w:t>
            </w:r>
            <w:r w:rsidRPr="00EE0E7E">
              <w:rPr>
                <w:color w:val="0D0D0D" w:themeColor="text1" w:themeTint="F2"/>
                <w:spacing w:val="-4"/>
              </w:rPr>
              <w:t>34,3</w:t>
            </w:r>
            <w:r>
              <w:rPr>
                <w:color w:val="0D0D0D" w:themeColor="text1" w:themeTint="F2"/>
                <w:spacing w:val="-4"/>
              </w:rPr>
              <w:t> %</w:t>
            </w:r>
            <w:r w:rsidRPr="00EE0E7E">
              <w:rPr>
                <w:color w:val="0D0D0D" w:themeColor="text1" w:themeTint="F2"/>
                <w:spacing w:val="-4"/>
              </w:rPr>
              <w:t>. O polovinu méně stržily za dva roky ostatní osobní služby</w:t>
            </w:r>
            <w:r w:rsidR="00BF35C9">
              <w:rPr>
                <w:rStyle w:val="Znakapoznpodarou"/>
                <w:color w:val="0D0D0D" w:themeColor="text1" w:themeTint="F2"/>
                <w:spacing w:val="-4"/>
              </w:rPr>
              <w:footnoteReference w:id="39"/>
            </w:r>
            <w:r w:rsidRPr="00EE0E7E">
              <w:rPr>
                <w:color w:val="0D0D0D" w:themeColor="text1" w:themeTint="F2"/>
                <w:spacing w:val="-4"/>
              </w:rPr>
              <w:t xml:space="preserve"> (např. kadeřnické a</w:t>
            </w:r>
            <w:r>
              <w:rPr>
                <w:color w:val="0D0D0D" w:themeColor="text1" w:themeTint="F2"/>
                <w:spacing w:val="-4"/>
              </w:rPr>
              <w:t> </w:t>
            </w:r>
            <w:r w:rsidRPr="00EE0E7E">
              <w:rPr>
                <w:color w:val="0D0D0D" w:themeColor="text1" w:themeTint="F2"/>
                <w:spacing w:val="-4"/>
              </w:rPr>
              <w:t>kosmetické). V</w:t>
            </w:r>
            <w:r>
              <w:rPr>
                <w:color w:val="0D0D0D" w:themeColor="text1" w:themeTint="F2"/>
                <w:spacing w:val="-4"/>
              </w:rPr>
              <w:t> </w:t>
            </w:r>
            <w:r w:rsidRPr="00EE0E7E">
              <w:rPr>
                <w:color w:val="0D0D0D" w:themeColor="text1" w:themeTint="F2"/>
                <w:spacing w:val="-4"/>
              </w:rPr>
              <w:t>této oblasti převažují mezi pracovníky osoby samostatně výdělečně</w:t>
            </w:r>
            <w:r w:rsidRPr="00EE0E7E">
              <w:rPr>
                <w:rFonts w:cs="Arial"/>
                <w:bCs/>
                <w:color w:val="0D0D0D"/>
                <w:spacing w:val="-4"/>
              </w:rPr>
              <w:t xml:space="preserve"> činné. Ty mají silné zastoupení také v</w:t>
            </w:r>
            <w:r>
              <w:rPr>
                <w:rFonts w:cs="Arial"/>
                <w:bCs/>
                <w:color w:val="0D0D0D"/>
                <w:spacing w:val="-4"/>
              </w:rPr>
              <w:t> </w:t>
            </w:r>
            <w:r w:rsidRPr="00EE0E7E">
              <w:rPr>
                <w:color w:val="0D0D0D" w:themeColor="text1" w:themeTint="F2"/>
                <w:spacing w:val="-4"/>
              </w:rPr>
              <w:t>ostatních profesních, vědeckých a technických činnostech (</w:t>
            </w:r>
            <w:r>
              <w:rPr>
                <w:color w:val="0D0D0D" w:themeColor="text1" w:themeTint="F2"/>
                <w:spacing w:val="-4"/>
              </w:rPr>
              <w:t xml:space="preserve">zahrnujících </w:t>
            </w:r>
            <w:r w:rsidRPr="00EE0E7E">
              <w:rPr>
                <w:color w:val="0D0D0D" w:themeColor="text1" w:themeTint="F2"/>
                <w:spacing w:val="-4"/>
              </w:rPr>
              <w:t>např. fotografické, návrhářské</w:t>
            </w:r>
            <w:r>
              <w:rPr>
                <w:color w:val="0D0D0D" w:themeColor="text1" w:themeTint="F2"/>
                <w:spacing w:val="-4"/>
              </w:rPr>
              <w:t xml:space="preserve"> či </w:t>
            </w:r>
            <w:r w:rsidRPr="00EE0E7E">
              <w:rPr>
                <w:color w:val="0D0D0D" w:themeColor="text1" w:themeTint="F2"/>
                <w:spacing w:val="-4"/>
              </w:rPr>
              <w:t xml:space="preserve">překladatelské činnosti), kde tržby klesly téměř o čtvrtinu. Hospodářská recese spolu </w:t>
            </w:r>
            <w:r>
              <w:rPr>
                <w:color w:val="0D0D0D" w:themeColor="text1" w:themeTint="F2"/>
                <w:spacing w:val="-4"/>
              </w:rPr>
              <w:t>s </w:t>
            </w:r>
            <w:r w:rsidRPr="00EE0E7E">
              <w:rPr>
                <w:color w:val="0D0D0D" w:themeColor="text1" w:themeTint="F2"/>
                <w:spacing w:val="-4"/>
              </w:rPr>
              <w:t xml:space="preserve">odlivem části zahraničních pracovníků se podepsaly na tržbách pracovních </w:t>
            </w:r>
            <w:proofErr w:type="gramStart"/>
            <w:r w:rsidRPr="00EE0E7E">
              <w:rPr>
                <w:color w:val="0D0D0D" w:themeColor="text1" w:themeTint="F2"/>
                <w:spacing w:val="-4"/>
              </w:rPr>
              <w:t>agentur (</w:t>
            </w:r>
            <w:r w:rsidRPr="00EE0E7E">
              <w:rPr>
                <w:spacing w:val="-4"/>
              </w:rPr>
              <w:t>–</w:t>
            </w:r>
            <w:r>
              <w:rPr>
                <w:color w:val="0D0D0D" w:themeColor="text1" w:themeTint="F2"/>
                <w:spacing w:val="-4"/>
              </w:rPr>
              <w:t>18,3</w:t>
            </w:r>
            <w:proofErr w:type="gramEnd"/>
            <w:r>
              <w:rPr>
                <w:color w:val="0D0D0D" w:themeColor="text1" w:themeTint="F2"/>
                <w:spacing w:val="-4"/>
              </w:rPr>
              <w:t> %) a ovlivnily rovněž</w:t>
            </w:r>
            <w:r w:rsidRPr="00EE0E7E">
              <w:rPr>
                <w:color w:val="0D0D0D" w:themeColor="text1" w:themeTint="F2"/>
                <w:spacing w:val="-4"/>
              </w:rPr>
              <w:t xml:space="preserve"> váhově významné odvětví pozemní dopravy (</w:t>
            </w:r>
            <w:r w:rsidRPr="00EE0E7E">
              <w:rPr>
                <w:spacing w:val="-4"/>
              </w:rPr>
              <w:t>–</w:t>
            </w:r>
            <w:r w:rsidRPr="00EE0E7E">
              <w:rPr>
                <w:color w:val="0D0D0D" w:themeColor="text1" w:themeTint="F2"/>
                <w:spacing w:val="-4"/>
              </w:rPr>
              <w:t>9,0</w:t>
            </w:r>
            <w:r>
              <w:rPr>
                <w:color w:val="0D0D0D" w:themeColor="text1" w:themeTint="F2"/>
                <w:spacing w:val="-4"/>
              </w:rPr>
              <w:t> %</w:t>
            </w:r>
            <w:r w:rsidRPr="00EE0E7E">
              <w:rPr>
                <w:color w:val="0D0D0D" w:themeColor="text1" w:themeTint="F2"/>
                <w:spacing w:val="-4"/>
              </w:rPr>
              <w:t>). Na výkyvy hospodá</w:t>
            </w:r>
            <w:r>
              <w:rPr>
                <w:color w:val="0D0D0D" w:themeColor="text1" w:themeTint="F2"/>
                <w:spacing w:val="-4"/>
              </w:rPr>
              <w:t>řského cyklu reagovala i většina</w:t>
            </w:r>
            <w:r w:rsidRPr="00EE0E7E">
              <w:rPr>
                <w:color w:val="0D0D0D" w:themeColor="text1" w:themeTint="F2"/>
                <w:spacing w:val="-4"/>
              </w:rPr>
              <w:t xml:space="preserve"> </w:t>
            </w:r>
            <w:r>
              <w:rPr>
                <w:color w:val="0D0D0D" w:themeColor="text1" w:themeTint="F2"/>
                <w:spacing w:val="-4"/>
                <w:szCs w:val="20"/>
              </w:rPr>
              <w:t>specializovaných služeb</w:t>
            </w:r>
            <w:r w:rsidRPr="00EE0E7E">
              <w:rPr>
                <w:color w:val="0D0D0D" w:themeColor="text1" w:themeTint="F2"/>
                <w:spacing w:val="-4"/>
                <w:szCs w:val="20"/>
              </w:rPr>
              <w:t xml:space="preserve"> pro podniky, např. činnosti vedení podniků</w:t>
            </w:r>
            <w:r>
              <w:rPr>
                <w:color w:val="0D0D0D" w:themeColor="text1" w:themeTint="F2"/>
                <w:spacing w:val="-4"/>
                <w:szCs w:val="20"/>
              </w:rPr>
              <w:t>,</w:t>
            </w:r>
            <w:r w:rsidRPr="00EE0E7E">
              <w:rPr>
                <w:color w:val="0D0D0D" w:themeColor="text1" w:themeTint="F2"/>
                <w:spacing w:val="-4"/>
                <w:szCs w:val="20"/>
              </w:rPr>
              <w:t xml:space="preserve"> poradenství v oblasti </w:t>
            </w:r>
            <w:proofErr w:type="gramStart"/>
            <w:r w:rsidRPr="00EE0E7E">
              <w:rPr>
                <w:color w:val="0D0D0D" w:themeColor="text1" w:themeTint="F2"/>
                <w:spacing w:val="-4"/>
                <w:szCs w:val="20"/>
              </w:rPr>
              <w:t>řízení</w:t>
            </w:r>
            <w:r w:rsidRPr="00EE0E7E">
              <w:rPr>
                <w:color w:val="0D0D0D" w:themeColor="text1" w:themeTint="F2"/>
                <w:spacing w:val="-4"/>
              </w:rPr>
              <w:t xml:space="preserve"> (</w:t>
            </w:r>
            <w:r w:rsidRPr="00EE0E7E">
              <w:rPr>
                <w:spacing w:val="-4"/>
              </w:rPr>
              <w:t>–</w:t>
            </w:r>
            <w:r w:rsidRPr="00EE0E7E">
              <w:rPr>
                <w:color w:val="0D0D0D" w:themeColor="text1" w:themeTint="F2"/>
                <w:spacing w:val="-4"/>
              </w:rPr>
              <w:t>7,4</w:t>
            </w:r>
            <w:proofErr w:type="gramEnd"/>
            <w:r>
              <w:rPr>
                <w:color w:val="0D0D0D" w:themeColor="text1" w:themeTint="F2"/>
                <w:spacing w:val="-4"/>
              </w:rPr>
              <w:t xml:space="preserve"> %), reklama </w:t>
            </w:r>
            <w:r>
              <w:rPr>
                <w:color w:val="0D0D0D" w:themeColor="text1" w:themeTint="F2"/>
                <w:spacing w:val="-4"/>
              </w:rPr>
              <w:lastRenderedPageBreak/>
              <w:t>a</w:t>
            </w:r>
            <w:r w:rsidRPr="00EE0E7E">
              <w:rPr>
                <w:color w:val="0D0D0D" w:themeColor="text1" w:themeTint="F2"/>
                <w:spacing w:val="-4"/>
              </w:rPr>
              <w:t> průzkum trhu (</w:t>
            </w:r>
            <w:r w:rsidRPr="00EE0E7E">
              <w:rPr>
                <w:spacing w:val="-4"/>
              </w:rPr>
              <w:t>–</w:t>
            </w:r>
            <w:r w:rsidRPr="00EE0E7E">
              <w:rPr>
                <w:color w:val="0D0D0D" w:themeColor="text1" w:themeTint="F2"/>
                <w:spacing w:val="-4"/>
              </w:rPr>
              <w:t>6,5</w:t>
            </w:r>
            <w:r>
              <w:rPr>
                <w:color w:val="0D0D0D" w:themeColor="text1" w:themeTint="F2"/>
                <w:spacing w:val="-4"/>
              </w:rPr>
              <w:t> %</w:t>
            </w:r>
            <w:r w:rsidRPr="00EE0E7E">
              <w:rPr>
                <w:color w:val="0D0D0D" w:themeColor="text1" w:themeTint="F2"/>
                <w:spacing w:val="-4"/>
              </w:rPr>
              <w:t>). Mezi volnočasovým</w:t>
            </w:r>
            <w:r>
              <w:rPr>
                <w:color w:val="0D0D0D" w:themeColor="text1" w:themeTint="F2"/>
                <w:spacing w:val="-4"/>
              </w:rPr>
              <w:t>i</w:t>
            </w:r>
            <w:r w:rsidRPr="00EE0E7E">
              <w:rPr>
                <w:color w:val="0D0D0D" w:themeColor="text1" w:themeTint="F2"/>
                <w:spacing w:val="-4"/>
              </w:rPr>
              <w:t xml:space="preserve"> aktivitami byl silně za</w:t>
            </w:r>
            <w:r>
              <w:rPr>
                <w:color w:val="0D0D0D" w:themeColor="text1" w:themeTint="F2"/>
                <w:spacing w:val="-4"/>
              </w:rPr>
              <w:t xml:space="preserve">sažen tzv. filmový a hudební </w:t>
            </w:r>
            <w:proofErr w:type="gramStart"/>
            <w:r>
              <w:rPr>
                <w:color w:val="0D0D0D" w:themeColor="text1" w:themeTint="F2"/>
                <w:spacing w:val="-4"/>
              </w:rPr>
              <w:t>prů</w:t>
            </w:r>
            <w:r w:rsidRPr="00EE0E7E">
              <w:rPr>
                <w:color w:val="0D0D0D" w:themeColor="text1" w:themeTint="F2"/>
                <w:spacing w:val="-4"/>
              </w:rPr>
              <w:t>mysl (</w:t>
            </w:r>
            <w:r w:rsidRPr="00EE0E7E">
              <w:rPr>
                <w:spacing w:val="-4"/>
              </w:rPr>
              <w:t>–</w:t>
            </w:r>
            <w:r w:rsidRPr="00EE0E7E">
              <w:rPr>
                <w:color w:val="0D0D0D" w:themeColor="text1" w:themeTint="F2"/>
                <w:spacing w:val="-4"/>
              </w:rPr>
              <w:t>13,3</w:t>
            </w:r>
            <w:proofErr w:type="gramEnd"/>
            <w:r>
              <w:rPr>
                <w:color w:val="0D0D0D" w:themeColor="text1" w:themeTint="F2"/>
                <w:spacing w:val="-4"/>
              </w:rPr>
              <w:t> %</w:t>
            </w:r>
            <w:r w:rsidRPr="00EE0E7E">
              <w:rPr>
                <w:color w:val="0D0D0D" w:themeColor="text1" w:themeTint="F2"/>
                <w:spacing w:val="-4"/>
              </w:rPr>
              <w:t>)</w:t>
            </w:r>
            <w:r w:rsidRPr="00EE0E7E">
              <w:rPr>
                <w:rStyle w:val="Znakapoznpodarou"/>
                <w:color w:val="0D0D0D" w:themeColor="text1" w:themeTint="F2"/>
                <w:spacing w:val="-4"/>
              </w:rPr>
              <w:footnoteReference w:id="40"/>
            </w:r>
            <w:r w:rsidRPr="00EE0E7E">
              <w:rPr>
                <w:color w:val="0D0D0D" w:themeColor="text1" w:themeTint="F2"/>
                <w:spacing w:val="-4"/>
              </w:rPr>
              <w:t>.</w:t>
            </w:r>
          </w:p>
        </w:tc>
      </w:tr>
      <w:tr w:rsidR="00ED1959" w:rsidRPr="00191C35" w14:paraId="455E843C" w14:textId="77777777" w:rsidTr="000F7C73">
        <w:trPr>
          <w:trHeight w:val="145"/>
        </w:trPr>
        <w:tc>
          <w:tcPr>
            <w:tcW w:w="1728" w:type="dxa"/>
            <w:shd w:val="clear" w:color="auto" w:fill="auto"/>
            <w:tcMar>
              <w:left w:w="0" w:type="dxa"/>
            </w:tcMar>
          </w:tcPr>
          <w:p w14:paraId="08FAA0EF" w14:textId="77777777" w:rsidR="00ED1959" w:rsidRDefault="00ED1959" w:rsidP="00ED1959">
            <w:pPr>
              <w:pStyle w:val="Marginlie"/>
            </w:pPr>
            <w:r>
              <w:lastRenderedPageBreak/>
              <w:t xml:space="preserve">Důvěra podnikatelů ve službách během 2. čtvrtletí rostla, </w:t>
            </w:r>
            <w:proofErr w:type="spellStart"/>
            <w:r>
              <w:t>předpandemické</w:t>
            </w:r>
            <w:proofErr w:type="spellEnd"/>
            <w:r>
              <w:t xml:space="preserve"> úrovně však dosud nedosáhla.</w:t>
            </w:r>
          </w:p>
          <w:p w14:paraId="11FC9518" w14:textId="77777777" w:rsidR="00ED1959" w:rsidRDefault="00ED1959" w:rsidP="00ED1959">
            <w:pPr>
              <w:pStyle w:val="Marginlie"/>
            </w:pPr>
          </w:p>
          <w:p w14:paraId="21F07847" w14:textId="77777777" w:rsidR="00ED1959" w:rsidRDefault="00ED1959" w:rsidP="00ED1959">
            <w:pPr>
              <w:pStyle w:val="Marginlie"/>
            </w:pPr>
          </w:p>
          <w:p w14:paraId="2142F9B9" w14:textId="77777777" w:rsidR="00ED1959" w:rsidRDefault="00ED1959" w:rsidP="00ED1959">
            <w:pPr>
              <w:pStyle w:val="Marginlie"/>
            </w:pPr>
            <w:r>
              <w:t>Situace v dílčích odvětvích služeb byla velmi různorodá.</w:t>
            </w:r>
          </w:p>
        </w:tc>
        <w:tc>
          <w:tcPr>
            <w:tcW w:w="206" w:type="dxa"/>
            <w:shd w:val="clear" w:color="auto" w:fill="auto"/>
            <w:tcMar>
              <w:left w:w="0" w:type="dxa"/>
            </w:tcMar>
          </w:tcPr>
          <w:p w14:paraId="2172F9B3"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52E20ECC" w14:textId="77777777" w:rsidR="00ED1959" w:rsidRPr="00466B3E" w:rsidRDefault="00ED1959" w:rsidP="00ED1959">
            <w:pPr>
              <w:rPr>
                <w:color w:val="0D0D0D" w:themeColor="text1" w:themeTint="F2"/>
                <w:spacing w:val="-4"/>
              </w:rPr>
            </w:pPr>
            <w:r>
              <w:rPr>
                <w:color w:val="0D0D0D" w:themeColor="text1" w:themeTint="F2"/>
                <w:spacing w:val="-4"/>
              </w:rPr>
              <w:t>Během jara se celková důvěra</w:t>
            </w:r>
            <w:r w:rsidRPr="00466B3E">
              <w:rPr>
                <w:color w:val="0D0D0D" w:themeColor="text1" w:themeTint="F2"/>
                <w:spacing w:val="-4"/>
              </w:rPr>
              <w:t xml:space="preserve"> podnikatelů ve vybraných službách</w:t>
            </w:r>
            <w:r>
              <w:rPr>
                <w:color w:val="0D0D0D" w:themeColor="text1" w:themeTint="F2"/>
                <w:spacing w:val="-4"/>
              </w:rPr>
              <w:t xml:space="preserve"> zlepšovala, což vyvrcholilo v červnu a červenci (</w:t>
            </w:r>
            <w:r w:rsidRPr="008830F9">
              <w:rPr>
                <w:color w:val="0D0D0D" w:themeColor="text1" w:themeTint="F2"/>
                <w:spacing w:val="-4"/>
                <w:szCs w:val="20"/>
              </w:rPr>
              <w:t>vysoké úrovně z přelomu let 2019 a</w:t>
            </w:r>
            <w:r>
              <w:rPr>
                <w:color w:val="0D0D0D" w:themeColor="text1" w:themeTint="F2"/>
                <w:spacing w:val="-4"/>
                <w:szCs w:val="20"/>
              </w:rPr>
              <w:t> </w:t>
            </w:r>
            <w:r w:rsidRPr="008830F9">
              <w:rPr>
                <w:color w:val="0D0D0D" w:themeColor="text1" w:themeTint="F2"/>
                <w:spacing w:val="-4"/>
                <w:szCs w:val="20"/>
              </w:rPr>
              <w:t xml:space="preserve">2020 </w:t>
            </w:r>
            <w:r>
              <w:rPr>
                <w:color w:val="0D0D0D" w:themeColor="text1" w:themeTint="F2"/>
                <w:spacing w:val="-4"/>
                <w:szCs w:val="20"/>
              </w:rPr>
              <w:t xml:space="preserve">však </w:t>
            </w:r>
            <w:r w:rsidRPr="008830F9">
              <w:rPr>
                <w:color w:val="0D0D0D" w:themeColor="text1" w:themeTint="F2"/>
                <w:spacing w:val="-4"/>
                <w:szCs w:val="20"/>
              </w:rPr>
              <w:t>nedosáhla</w:t>
            </w:r>
            <w:r>
              <w:rPr>
                <w:color w:val="0D0D0D" w:themeColor="text1" w:themeTint="F2"/>
                <w:spacing w:val="-4"/>
              </w:rPr>
              <w:t xml:space="preserve">). </w:t>
            </w:r>
            <w:r w:rsidRPr="00466B3E">
              <w:rPr>
                <w:color w:val="0D0D0D" w:themeColor="text1" w:themeTint="F2"/>
                <w:spacing w:val="-4"/>
              </w:rPr>
              <w:t>Srpen přinesl</w:t>
            </w:r>
            <w:r>
              <w:rPr>
                <w:color w:val="0D0D0D" w:themeColor="text1" w:themeTint="F2"/>
                <w:spacing w:val="-4"/>
              </w:rPr>
              <w:t>,</w:t>
            </w:r>
            <w:r w:rsidRPr="00466B3E">
              <w:rPr>
                <w:color w:val="0D0D0D" w:themeColor="text1" w:themeTint="F2"/>
                <w:spacing w:val="-4"/>
              </w:rPr>
              <w:t xml:space="preserve"> podobně jako u</w:t>
            </w:r>
            <w:r>
              <w:rPr>
                <w:color w:val="0D0D0D" w:themeColor="text1" w:themeTint="F2"/>
                <w:spacing w:val="-4"/>
              </w:rPr>
              <w:t> </w:t>
            </w:r>
            <w:r w:rsidRPr="00466B3E">
              <w:rPr>
                <w:color w:val="0D0D0D" w:themeColor="text1" w:themeTint="F2"/>
                <w:spacing w:val="-4"/>
              </w:rPr>
              <w:t>obchodníků</w:t>
            </w:r>
            <w:r>
              <w:rPr>
                <w:color w:val="0D0D0D" w:themeColor="text1" w:themeTint="F2"/>
                <w:spacing w:val="-4"/>
              </w:rPr>
              <w:t>,</w:t>
            </w:r>
            <w:r w:rsidRPr="00466B3E">
              <w:rPr>
                <w:color w:val="0D0D0D" w:themeColor="text1" w:themeTint="F2"/>
                <w:spacing w:val="-4"/>
              </w:rPr>
              <w:t xml:space="preserve"> mírnou korekci směrem dolů, což souviselo hlavně se snížením hodnocení současné ekonomické situace</w:t>
            </w:r>
            <w:r>
              <w:rPr>
                <w:color w:val="0D0D0D" w:themeColor="text1" w:themeTint="F2"/>
                <w:spacing w:val="-4"/>
              </w:rPr>
              <w:t xml:space="preserve"> i celkové poptávky. I </w:t>
            </w:r>
            <w:r w:rsidRPr="00466B3E">
              <w:rPr>
                <w:color w:val="0D0D0D" w:themeColor="text1" w:themeTint="F2"/>
                <w:spacing w:val="-4"/>
              </w:rPr>
              <w:t>výhledy na růst podnika</w:t>
            </w:r>
            <w:r>
              <w:rPr>
                <w:color w:val="0D0D0D" w:themeColor="text1" w:themeTint="F2"/>
                <w:spacing w:val="-4"/>
              </w:rPr>
              <w:t xml:space="preserve">telské činnosti na počátek letošního podzimu </w:t>
            </w:r>
            <w:r w:rsidRPr="00466B3E">
              <w:rPr>
                <w:color w:val="0D0D0D" w:themeColor="text1" w:themeTint="F2"/>
                <w:spacing w:val="-4"/>
              </w:rPr>
              <w:t xml:space="preserve">se zhoršily. </w:t>
            </w:r>
            <w:r>
              <w:rPr>
                <w:color w:val="0D0D0D" w:themeColor="text1" w:themeTint="F2"/>
                <w:spacing w:val="-4"/>
              </w:rPr>
              <w:t>Více než čtvrtina firem stále</w:t>
            </w:r>
            <w:r w:rsidRPr="00466B3E">
              <w:rPr>
                <w:color w:val="0D0D0D" w:themeColor="text1" w:themeTint="F2"/>
                <w:spacing w:val="-4"/>
              </w:rPr>
              <w:t xml:space="preserve"> uvažovala o</w:t>
            </w:r>
            <w:r>
              <w:rPr>
                <w:color w:val="0D0D0D" w:themeColor="text1" w:themeTint="F2"/>
                <w:spacing w:val="-4"/>
              </w:rPr>
              <w:t> </w:t>
            </w:r>
            <w:r w:rsidRPr="00466B3E">
              <w:rPr>
                <w:color w:val="0D0D0D" w:themeColor="text1" w:themeTint="F2"/>
                <w:spacing w:val="-4"/>
              </w:rPr>
              <w:t xml:space="preserve">redukci </w:t>
            </w:r>
            <w:r>
              <w:rPr>
                <w:color w:val="0D0D0D" w:themeColor="text1" w:themeTint="F2"/>
                <w:spacing w:val="-4"/>
              </w:rPr>
              <w:t>počtu zaměstnanců</w:t>
            </w:r>
            <w:r w:rsidRPr="00466B3E">
              <w:rPr>
                <w:color w:val="0D0D0D" w:themeColor="text1" w:themeTint="F2"/>
                <w:spacing w:val="-4"/>
              </w:rPr>
              <w:t>. Stav v</w:t>
            </w:r>
            <w:r>
              <w:rPr>
                <w:color w:val="0D0D0D" w:themeColor="text1" w:themeTint="F2"/>
                <w:spacing w:val="-4"/>
              </w:rPr>
              <w:t> </w:t>
            </w:r>
            <w:r w:rsidRPr="00466B3E">
              <w:rPr>
                <w:color w:val="0D0D0D" w:themeColor="text1" w:themeTint="F2"/>
                <w:spacing w:val="-4"/>
              </w:rPr>
              <w:t>dílčích odvětvích služeb z</w:t>
            </w:r>
            <w:r>
              <w:rPr>
                <w:color w:val="0D0D0D" w:themeColor="text1" w:themeTint="F2"/>
                <w:spacing w:val="-4"/>
              </w:rPr>
              <w:t> </w:t>
            </w:r>
            <w:r w:rsidRPr="00466B3E">
              <w:rPr>
                <w:color w:val="0D0D0D" w:themeColor="text1" w:themeTint="F2"/>
                <w:spacing w:val="-4"/>
              </w:rPr>
              <w:t>pohledu celkové důvěry, poptá</w:t>
            </w:r>
            <w:r>
              <w:rPr>
                <w:color w:val="0D0D0D" w:themeColor="text1" w:themeTint="F2"/>
                <w:spacing w:val="-4"/>
              </w:rPr>
              <w:t>vky i zaměstnanosti byl dosti</w:t>
            </w:r>
            <w:r w:rsidRPr="00466B3E">
              <w:rPr>
                <w:color w:val="0D0D0D" w:themeColor="text1" w:themeTint="F2"/>
                <w:spacing w:val="-4"/>
              </w:rPr>
              <w:t xml:space="preserve"> různorodý. Projevovaly se přetrvávající problémy v</w:t>
            </w:r>
            <w:r>
              <w:rPr>
                <w:color w:val="0D0D0D" w:themeColor="text1" w:themeTint="F2"/>
                <w:spacing w:val="-4"/>
              </w:rPr>
              <w:t> </w:t>
            </w:r>
            <w:r w:rsidRPr="00466B3E">
              <w:rPr>
                <w:color w:val="0D0D0D" w:themeColor="text1" w:themeTint="F2"/>
                <w:spacing w:val="-4"/>
              </w:rPr>
              <w:t>oborech propojených s</w:t>
            </w:r>
            <w:r>
              <w:rPr>
                <w:color w:val="0D0D0D" w:themeColor="text1" w:themeTint="F2"/>
                <w:spacing w:val="-4"/>
              </w:rPr>
              <w:t> </w:t>
            </w:r>
            <w:r w:rsidRPr="00466B3E">
              <w:rPr>
                <w:color w:val="0D0D0D" w:themeColor="text1" w:themeTint="F2"/>
                <w:spacing w:val="-4"/>
              </w:rPr>
              <w:t>cestovním ruchem a</w:t>
            </w:r>
            <w:r>
              <w:rPr>
                <w:color w:val="0D0D0D" w:themeColor="text1" w:themeTint="F2"/>
                <w:spacing w:val="-4"/>
              </w:rPr>
              <w:t> </w:t>
            </w:r>
            <w:r w:rsidRPr="00466B3E">
              <w:rPr>
                <w:color w:val="0D0D0D" w:themeColor="text1" w:themeTint="F2"/>
                <w:spacing w:val="-4"/>
              </w:rPr>
              <w:t>v</w:t>
            </w:r>
            <w:r>
              <w:rPr>
                <w:color w:val="0D0D0D" w:themeColor="text1" w:themeTint="F2"/>
                <w:spacing w:val="-4"/>
              </w:rPr>
              <w:t> </w:t>
            </w:r>
            <w:r w:rsidRPr="00466B3E">
              <w:rPr>
                <w:color w:val="0D0D0D" w:themeColor="text1" w:themeTint="F2"/>
                <w:spacing w:val="-4"/>
              </w:rPr>
              <w:t>posledních měsících i</w:t>
            </w:r>
            <w:r>
              <w:rPr>
                <w:color w:val="0D0D0D" w:themeColor="text1" w:themeTint="F2"/>
                <w:spacing w:val="-4"/>
              </w:rPr>
              <w:t> </w:t>
            </w:r>
            <w:r w:rsidRPr="00466B3E">
              <w:rPr>
                <w:color w:val="0D0D0D" w:themeColor="text1" w:themeTint="F2"/>
                <w:spacing w:val="-4"/>
              </w:rPr>
              <w:t>v</w:t>
            </w:r>
            <w:r>
              <w:rPr>
                <w:color w:val="0D0D0D" w:themeColor="text1" w:themeTint="F2"/>
                <w:spacing w:val="-4"/>
              </w:rPr>
              <w:t> </w:t>
            </w:r>
            <w:r w:rsidRPr="00466B3E">
              <w:rPr>
                <w:color w:val="0D0D0D" w:themeColor="text1" w:themeTint="F2"/>
                <w:spacing w:val="-4"/>
              </w:rPr>
              <w:t>těch navázaných na průmysl</w:t>
            </w:r>
            <w:r>
              <w:rPr>
                <w:color w:val="0D0D0D" w:themeColor="text1" w:themeTint="F2"/>
                <w:spacing w:val="-4"/>
              </w:rPr>
              <w:t>. Nedostatečná poptávka limitovala skoro třetinu podniků ve službách.</w:t>
            </w:r>
          </w:p>
        </w:tc>
      </w:tr>
      <w:tr w:rsidR="00ED1959" w:rsidRPr="00191C35" w14:paraId="5128ABBD" w14:textId="77777777" w:rsidTr="000F7C73">
        <w:trPr>
          <w:trHeight w:val="145"/>
        </w:trPr>
        <w:tc>
          <w:tcPr>
            <w:tcW w:w="1728" w:type="dxa"/>
            <w:shd w:val="clear" w:color="auto" w:fill="auto"/>
            <w:tcMar>
              <w:left w:w="0" w:type="dxa"/>
            </w:tcMar>
          </w:tcPr>
          <w:p w14:paraId="5603C4F7" w14:textId="77777777" w:rsidR="00ED1959" w:rsidRDefault="00ED1959" w:rsidP="00ED1959">
            <w:pPr>
              <w:pStyle w:val="Marginlie"/>
            </w:pPr>
          </w:p>
        </w:tc>
        <w:tc>
          <w:tcPr>
            <w:tcW w:w="206" w:type="dxa"/>
            <w:shd w:val="clear" w:color="auto" w:fill="auto"/>
            <w:tcMar>
              <w:left w:w="0" w:type="dxa"/>
            </w:tcMar>
          </w:tcPr>
          <w:p w14:paraId="69A82965"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7348F695" w14:textId="77777777" w:rsidR="00ED1959" w:rsidRPr="00307BAB" w:rsidRDefault="00ED1959" w:rsidP="00ED1959">
            <w:pPr>
              <w:spacing w:after="0"/>
              <w:rPr>
                <w:spacing w:val="2"/>
                <w:szCs w:val="20"/>
              </w:rPr>
            </w:pPr>
            <w:r w:rsidRPr="00307BAB">
              <w:rPr>
                <w:b/>
                <w:spacing w:val="2"/>
              </w:rPr>
              <w:t>Graf č. 7</w:t>
            </w:r>
            <w:r>
              <w:rPr>
                <w:b/>
                <w:spacing w:val="2"/>
              </w:rPr>
              <w:t xml:space="preserve"> </w:t>
            </w:r>
            <w:r w:rsidRPr="00307BAB">
              <w:rPr>
                <w:b/>
                <w:spacing w:val="2"/>
              </w:rPr>
              <w:t xml:space="preserve"> Příspěvky odvětví k meziroční změně tržeb ve službách*</w:t>
            </w:r>
            <w:r w:rsidRPr="00307BAB">
              <w:rPr>
                <w:b/>
                <w:spacing w:val="2"/>
              </w:rPr>
              <w:br/>
            </w:r>
            <w:r w:rsidRPr="00307BAB">
              <w:rPr>
                <w:spacing w:val="2"/>
              </w:rPr>
              <w:t>(v p. b., očištěno o kalendářní vlivy)</w:t>
            </w:r>
            <w:r w:rsidRPr="00307BAB">
              <w:rPr>
                <w:b/>
                <w:bCs/>
                <w:spacing w:val="2"/>
              </w:rPr>
              <w:t xml:space="preserve">, </w:t>
            </w:r>
            <w:r w:rsidRPr="00307BAB">
              <w:rPr>
                <w:b/>
                <w:spacing w:val="2"/>
              </w:rPr>
              <w:t>saldo indikátoru důvěry ve službách**</w:t>
            </w:r>
            <w:r w:rsidRPr="00307BAB">
              <w:rPr>
                <w:b/>
                <w:spacing w:val="2"/>
              </w:rPr>
              <w:br/>
            </w:r>
            <w:r w:rsidRPr="00307BAB">
              <w:rPr>
                <w:spacing w:val="2"/>
              </w:rPr>
              <w:t>(v p. b., pravá osa)</w:t>
            </w:r>
            <w:r w:rsidRPr="00307BAB">
              <w:rPr>
                <w:b/>
                <w:spacing w:val="2"/>
              </w:rPr>
              <w:t xml:space="preserve"> a vybrané bariéry růstu*</w:t>
            </w:r>
            <w:r w:rsidRPr="00307BAB">
              <w:rPr>
                <w:spacing w:val="2"/>
              </w:rPr>
              <w:t>* (v %, pravá osa)</w:t>
            </w:r>
          </w:p>
        </w:tc>
      </w:tr>
      <w:tr w:rsidR="00ED1959" w:rsidRPr="00191C35" w14:paraId="6B7060D2" w14:textId="77777777" w:rsidTr="00181029">
        <w:tblPrEx>
          <w:tblCellMar>
            <w:left w:w="70" w:type="dxa"/>
            <w:right w:w="70" w:type="dxa"/>
          </w:tblCellMar>
        </w:tblPrEx>
        <w:trPr>
          <w:trHeight w:val="145"/>
        </w:trPr>
        <w:tc>
          <w:tcPr>
            <w:tcW w:w="1728" w:type="dxa"/>
            <w:shd w:val="clear" w:color="auto" w:fill="auto"/>
          </w:tcPr>
          <w:p w14:paraId="20514402" w14:textId="77777777" w:rsidR="00ED1959" w:rsidRDefault="00ED1959" w:rsidP="00ED1959">
            <w:pPr>
              <w:pStyle w:val="Marginlie"/>
            </w:pPr>
          </w:p>
        </w:tc>
        <w:tc>
          <w:tcPr>
            <w:tcW w:w="206" w:type="dxa"/>
            <w:shd w:val="clear" w:color="auto" w:fill="auto"/>
          </w:tcPr>
          <w:p w14:paraId="68AACC1A" w14:textId="77777777" w:rsidR="00ED1959" w:rsidRPr="00B43216" w:rsidRDefault="00ED1959" w:rsidP="00ED1959">
            <w:pPr>
              <w:pStyle w:val="Textpoznpodarou"/>
              <w:jc w:val="both"/>
              <w:rPr>
                <w:spacing w:val="-4"/>
              </w:rPr>
            </w:pPr>
          </w:p>
        </w:tc>
        <w:tc>
          <w:tcPr>
            <w:tcW w:w="7730" w:type="dxa"/>
            <w:shd w:val="clear" w:color="auto" w:fill="auto"/>
          </w:tcPr>
          <w:p w14:paraId="7B64F74E" w14:textId="66FA8401" w:rsidR="00ED1959" w:rsidRPr="004D53D9" w:rsidRDefault="00181029" w:rsidP="00ED1959">
            <w:pPr>
              <w:spacing w:after="0"/>
              <w:rPr>
                <w:spacing w:val="-4"/>
                <w:szCs w:val="20"/>
              </w:rPr>
            </w:pPr>
            <w:r>
              <w:rPr>
                <w:noProof/>
              </w:rPr>
              <w:drawing>
                <wp:inline distT="0" distB="0" distL="0" distR="0" wp14:anchorId="33A70AFB" wp14:editId="1ED09EA0">
                  <wp:extent cx="4777153" cy="3590193"/>
                  <wp:effectExtent l="0" t="0" r="4445"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ED1959" w:rsidRPr="00191C35" w14:paraId="1761CC59" w14:textId="77777777" w:rsidTr="000F7C73">
        <w:trPr>
          <w:trHeight w:val="145"/>
        </w:trPr>
        <w:tc>
          <w:tcPr>
            <w:tcW w:w="1728" w:type="dxa"/>
            <w:shd w:val="clear" w:color="auto" w:fill="auto"/>
            <w:tcMar>
              <w:left w:w="0" w:type="dxa"/>
            </w:tcMar>
          </w:tcPr>
          <w:p w14:paraId="513F514C" w14:textId="77777777" w:rsidR="00ED1959" w:rsidRDefault="00ED1959" w:rsidP="00ED1959">
            <w:pPr>
              <w:pStyle w:val="Marginlie"/>
            </w:pPr>
          </w:p>
        </w:tc>
        <w:tc>
          <w:tcPr>
            <w:tcW w:w="206" w:type="dxa"/>
            <w:shd w:val="clear" w:color="auto" w:fill="auto"/>
            <w:tcMar>
              <w:left w:w="0" w:type="dxa"/>
            </w:tcMar>
          </w:tcPr>
          <w:p w14:paraId="051EB7F0"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0683382D" w14:textId="77777777" w:rsidR="00ED1959" w:rsidRPr="00883202" w:rsidRDefault="00ED1959" w:rsidP="00ED1959">
            <w:pPr>
              <w:spacing w:after="0"/>
              <w:rPr>
                <w:rFonts w:cs="Arial"/>
                <w:sz w:val="14"/>
                <w:szCs w:val="14"/>
              </w:rPr>
            </w:pPr>
            <w:r w:rsidRPr="00883202">
              <w:rPr>
                <w:rFonts w:cs="Arial"/>
                <w:sz w:val="14"/>
                <w:szCs w:val="14"/>
              </w:rPr>
              <w:t>*</w:t>
            </w:r>
            <w:r w:rsidRPr="00883202">
              <w:rPr>
                <w:color w:val="0D0D0D" w:themeColor="text1" w:themeTint="F2"/>
                <w:sz w:val="14"/>
                <w:szCs w:val="14"/>
              </w:rPr>
              <w:t>Bez odvětví obchodu, peněžnictví, pojišťovnictví, vědy, výzkumu a veřejných služeb.</w:t>
            </w:r>
          </w:p>
          <w:p w14:paraId="730EBC7C" w14:textId="77777777" w:rsidR="00ED1959" w:rsidRPr="00417064" w:rsidRDefault="00ED1959" w:rsidP="00ED1959">
            <w:pPr>
              <w:tabs>
                <w:tab w:val="right" w:pos="7711"/>
              </w:tabs>
              <w:spacing w:after="200"/>
              <w:rPr>
                <w:rFonts w:cs="Arial"/>
                <w:sz w:val="14"/>
                <w:szCs w:val="14"/>
              </w:rPr>
            </w:pPr>
            <w:r w:rsidRPr="00883202">
              <w:rPr>
                <w:rFonts w:cs="Arial"/>
                <w:sz w:val="14"/>
                <w:szCs w:val="14"/>
              </w:rPr>
              <w:t>**</w:t>
            </w:r>
            <w:r w:rsidRPr="00883202">
              <w:rPr>
                <w:rFonts w:cs="Arial"/>
                <w:spacing w:val="-2"/>
                <w:sz w:val="14"/>
                <w:szCs w:val="14"/>
              </w:rPr>
              <w:t xml:space="preserve">Zahrnuje i finanční sektor. Saldo důvěry i bariéry růstu jsou sezónně očištěny a vyjadřují stav </w:t>
            </w:r>
            <w:r>
              <w:rPr>
                <w:rFonts w:cs="Arial"/>
                <w:spacing w:val="-2"/>
                <w:sz w:val="14"/>
                <w:szCs w:val="14"/>
              </w:rPr>
              <w:t xml:space="preserve">v prvním (bariéry růstu), resp. </w:t>
            </w:r>
            <w:r w:rsidRPr="00883202">
              <w:rPr>
                <w:rFonts w:cs="Arial"/>
                <w:spacing w:val="-2"/>
                <w:sz w:val="14"/>
                <w:szCs w:val="14"/>
              </w:rPr>
              <w:t>ve druhém měsíci daného čtvrtletí</w:t>
            </w:r>
            <w:r>
              <w:rPr>
                <w:rFonts w:cs="Arial"/>
                <w:spacing w:val="-2"/>
                <w:sz w:val="14"/>
                <w:szCs w:val="14"/>
              </w:rPr>
              <w:t xml:space="preserve"> (saldo důvěry)</w:t>
            </w:r>
            <w:r w:rsidRPr="00883202">
              <w:rPr>
                <w:rFonts w:cs="Arial"/>
                <w:spacing w:val="-2"/>
                <w:sz w:val="14"/>
                <w:szCs w:val="14"/>
              </w:rPr>
              <w:t>.</w:t>
            </w:r>
            <w:r>
              <w:rPr>
                <w:rFonts w:cs="Arial"/>
                <w:spacing w:val="-2"/>
                <w:sz w:val="14"/>
                <w:szCs w:val="14"/>
              </w:rPr>
              <w:t xml:space="preserve"> </w:t>
            </w:r>
            <w:r>
              <w:rPr>
                <w:rFonts w:cs="Arial"/>
                <w:sz w:val="14"/>
                <w:szCs w:val="14"/>
              </w:rPr>
              <w:t>Podniky mohly uvést více hlavních bariér současně.</w:t>
            </w:r>
            <w:r>
              <w:rPr>
                <w:rFonts w:cs="Arial"/>
                <w:sz w:val="14"/>
                <w:szCs w:val="14"/>
              </w:rPr>
              <w:tab/>
              <w:t>Z</w:t>
            </w:r>
            <w:r w:rsidRPr="00883202">
              <w:rPr>
                <w:rFonts w:cs="Arial"/>
                <w:sz w:val="14"/>
                <w:szCs w:val="14"/>
              </w:rPr>
              <w:t>droj: ČSÚ</w:t>
            </w:r>
            <w:r>
              <w:rPr>
                <w:rFonts w:cs="Arial"/>
                <w:sz w:val="14"/>
                <w:szCs w:val="14"/>
              </w:rPr>
              <w:t xml:space="preserve">, </w:t>
            </w:r>
            <w:proofErr w:type="spellStart"/>
            <w:r>
              <w:rPr>
                <w:rFonts w:cs="Arial"/>
                <w:sz w:val="14"/>
                <w:szCs w:val="14"/>
              </w:rPr>
              <w:t>Eurostat</w:t>
            </w:r>
            <w:proofErr w:type="spellEnd"/>
          </w:p>
        </w:tc>
      </w:tr>
      <w:tr w:rsidR="00ED1959" w:rsidRPr="008932CD" w14:paraId="27933C00" w14:textId="77777777" w:rsidTr="000F7C73">
        <w:trPr>
          <w:trHeight w:val="145"/>
        </w:trPr>
        <w:tc>
          <w:tcPr>
            <w:tcW w:w="1728" w:type="dxa"/>
            <w:shd w:val="clear" w:color="auto" w:fill="auto"/>
            <w:tcMar>
              <w:left w:w="0" w:type="dxa"/>
            </w:tcMar>
          </w:tcPr>
          <w:p w14:paraId="1DE92A02" w14:textId="77777777" w:rsidR="00ED1959" w:rsidRDefault="00ED1959" w:rsidP="00ED1959">
            <w:pPr>
              <w:pStyle w:val="Marginlie"/>
              <w:rPr>
                <w:color w:val="0D0D0D" w:themeColor="text1" w:themeTint="F2"/>
              </w:rPr>
            </w:pPr>
            <w:r>
              <w:t>Vývoj maloobchodních tržeb byl určován nejen režimem rozvolňování při ústupu pandemie, ale i obecnějšími makroekonomickými faktory.</w:t>
            </w:r>
          </w:p>
        </w:tc>
        <w:tc>
          <w:tcPr>
            <w:tcW w:w="206" w:type="dxa"/>
            <w:shd w:val="clear" w:color="auto" w:fill="auto"/>
            <w:tcMar>
              <w:left w:w="0" w:type="dxa"/>
            </w:tcMar>
          </w:tcPr>
          <w:p w14:paraId="14FD40A2" w14:textId="77777777" w:rsidR="00ED1959" w:rsidRPr="008932CD" w:rsidRDefault="00ED1959" w:rsidP="00ED1959">
            <w:pPr>
              <w:pStyle w:val="Textpoznpodarou"/>
              <w:jc w:val="both"/>
              <w:rPr>
                <w:color w:val="0D0D0D" w:themeColor="text1" w:themeTint="F2"/>
                <w:spacing w:val="-4"/>
              </w:rPr>
            </w:pPr>
          </w:p>
        </w:tc>
        <w:tc>
          <w:tcPr>
            <w:tcW w:w="7730" w:type="dxa"/>
            <w:shd w:val="clear" w:color="auto" w:fill="auto"/>
            <w:tcMar>
              <w:left w:w="0" w:type="dxa"/>
            </w:tcMar>
          </w:tcPr>
          <w:p w14:paraId="52A53947" w14:textId="77777777" w:rsidR="00ED1959" w:rsidRDefault="00ED1959" w:rsidP="00ED1959">
            <w:pPr>
              <w:spacing w:after="0"/>
              <w:rPr>
                <w:color w:val="0D0D0D" w:themeColor="text1" w:themeTint="F2"/>
                <w:spacing w:val="-4"/>
                <w:szCs w:val="20"/>
              </w:rPr>
            </w:pPr>
            <w:r>
              <w:rPr>
                <w:rFonts w:cs="Arial"/>
                <w:color w:val="0D0D0D" w:themeColor="text1" w:themeTint="F2"/>
                <w:spacing w:val="-4"/>
                <w:szCs w:val="20"/>
              </w:rPr>
              <w:t>T</w:t>
            </w:r>
            <w:r w:rsidRPr="002617EE">
              <w:rPr>
                <w:rFonts w:cs="Arial"/>
                <w:color w:val="0D0D0D" w:themeColor="text1" w:themeTint="F2"/>
                <w:spacing w:val="-4"/>
                <w:szCs w:val="20"/>
              </w:rPr>
              <w:t>ržby</w:t>
            </w:r>
            <w:r>
              <w:rPr>
                <w:rFonts w:cs="Arial"/>
                <w:color w:val="0D0D0D" w:themeColor="text1" w:themeTint="F2"/>
                <w:spacing w:val="-4"/>
                <w:szCs w:val="20"/>
              </w:rPr>
              <w:t xml:space="preserve"> v maloobchodě</w:t>
            </w:r>
            <w:r w:rsidRPr="002617EE">
              <w:rPr>
                <w:rFonts w:cs="Arial"/>
                <w:color w:val="0D0D0D" w:themeColor="text1" w:themeTint="F2"/>
                <w:spacing w:val="-4"/>
                <w:szCs w:val="20"/>
              </w:rPr>
              <w:t xml:space="preserve"> byly </w:t>
            </w:r>
            <w:r>
              <w:rPr>
                <w:rFonts w:cs="Arial"/>
                <w:color w:val="0D0D0D" w:themeColor="text1" w:themeTint="F2"/>
                <w:spacing w:val="-4"/>
                <w:szCs w:val="20"/>
              </w:rPr>
              <w:t xml:space="preserve">letos </w:t>
            </w:r>
            <w:r w:rsidRPr="002617EE">
              <w:rPr>
                <w:rFonts w:cs="Arial"/>
                <w:color w:val="0D0D0D" w:themeColor="text1" w:themeTint="F2"/>
                <w:spacing w:val="-4"/>
                <w:szCs w:val="20"/>
              </w:rPr>
              <w:t xml:space="preserve">po celé </w:t>
            </w:r>
            <w:r>
              <w:rPr>
                <w:rFonts w:cs="Arial"/>
                <w:color w:val="0D0D0D" w:themeColor="text1" w:themeTint="F2"/>
                <w:spacing w:val="-4"/>
                <w:szCs w:val="20"/>
              </w:rPr>
              <w:t xml:space="preserve">1. čtvrtletí ovlivněny uzavřením části provozoven, což poznamenalo zejména specializované prodejny s nepotravinářským zbožím. V březnu, </w:t>
            </w:r>
            <w:r w:rsidRPr="001F719B">
              <w:rPr>
                <w:spacing w:val="-4"/>
              </w:rPr>
              <w:t xml:space="preserve">kdy pandemie </w:t>
            </w:r>
            <w:proofErr w:type="spellStart"/>
            <w:r w:rsidRPr="001F719B">
              <w:rPr>
                <w:spacing w:val="-4"/>
              </w:rPr>
              <w:t>koronaviru</w:t>
            </w:r>
            <w:proofErr w:type="spellEnd"/>
            <w:r w:rsidRPr="001F719B">
              <w:rPr>
                <w:spacing w:val="-4"/>
              </w:rPr>
              <w:t xml:space="preserve"> v Česku vrcholila, došlo k dalšímu zpřísnění vládních restrikcí v</w:t>
            </w:r>
            <w:r>
              <w:rPr>
                <w:spacing w:val="-4"/>
              </w:rPr>
              <w:t xml:space="preserve"> oblasti mobility obyvatelstva, což silně utlumilo maloobchodní poptávku </w:t>
            </w:r>
            <w:r>
              <w:rPr>
                <w:rFonts w:cs="Arial"/>
                <w:color w:val="0D0D0D" w:themeColor="text1" w:themeTint="F2"/>
                <w:spacing w:val="-4"/>
                <w:szCs w:val="20"/>
              </w:rPr>
              <w:t>po pohonných hmotách. Postupné rozvolňování restrikcí vedlo k tomu, že ve druhé půli května fungoval maloobchod prakticky bez omezení. Jarní režim rozvolňování byl z časového hlediska do značné míry obdobný jako v roce 2020</w:t>
            </w:r>
            <w:r>
              <w:rPr>
                <w:rStyle w:val="Znakapoznpodarou"/>
                <w:color w:val="0D0D0D" w:themeColor="text1" w:themeTint="F2"/>
                <w:spacing w:val="-4"/>
                <w:szCs w:val="20"/>
              </w:rPr>
              <w:footnoteReference w:id="41"/>
            </w:r>
            <w:r>
              <w:rPr>
                <w:rFonts w:cs="Arial"/>
                <w:color w:val="0D0D0D" w:themeColor="text1" w:themeTint="F2"/>
                <w:spacing w:val="-4"/>
                <w:szCs w:val="20"/>
              </w:rPr>
              <w:t>.</w:t>
            </w:r>
          </w:p>
        </w:tc>
      </w:tr>
      <w:tr w:rsidR="00ED1959" w:rsidRPr="008932CD" w14:paraId="3AA8FC15" w14:textId="77777777" w:rsidTr="000F7C73">
        <w:trPr>
          <w:trHeight w:val="145"/>
        </w:trPr>
        <w:tc>
          <w:tcPr>
            <w:tcW w:w="1728" w:type="dxa"/>
            <w:shd w:val="clear" w:color="auto" w:fill="auto"/>
            <w:tcMar>
              <w:left w:w="0" w:type="dxa"/>
            </w:tcMar>
          </w:tcPr>
          <w:p w14:paraId="5671925B" w14:textId="77777777" w:rsidR="00ED1959" w:rsidRDefault="00ED1959" w:rsidP="00ED1959">
            <w:pPr>
              <w:pStyle w:val="Marginlie"/>
              <w:rPr>
                <w:color w:val="0D0D0D" w:themeColor="text1" w:themeTint="F2"/>
              </w:rPr>
            </w:pPr>
            <w:r>
              <w:rPr>
                <w:color w:val="0D0D0D" w:themeColor="text1" w:themeTint="F2"/>
              </w:rPr>
              <w:lastRenderedPageBreak/>
              <w:t>Meziroční růst tržeb v maloobchodu byl ve 2. čtvrtletí tažen zejména vyšším prodejem nepotravinářského zboží a pohonných hmot.</w:t>
            </w:r>
          </w:p>
        </w:tc>
        <w:tc>
          <w:tcPr>
            <w:tcW w:w="206" w:type="dxa"/>
            <w:shd w:val="clear" w:color="auto" w:fill="auto"/>
            <w:tcMar>
              <w:left w:w="0" w:type="dxa"/>
            </w:tcMar>
          </w:tcPr>
          <w:p w14:paraId="5E089C67" w14:textId="77777777" w:rsidR="00ED1959" w:rsidRPr="008932CD" w:rsidRDefault="00ED1959" w:rsidP="00ED1959">
            <w:pPr>
              <w:pStyle w:val="Textpoznpodarou"/>
              <w:jc w:val="both"/>
              <w:rPr>
                <w:color w:val="0D0D0D" w:themeColor="text1" w:themeTint="F2"/>
                <w:spacing w:val="-4"/>
              </w:rPr>
            </w:pPr>
          </w:p>
        </w:tc>
        <w:tc>
          <w:tcPr>
            <w:tcW w:w="7730" w:type="dxa"/>
            <w:shd w:val="clear" w:color="auto" w:fill="auto"/>
            <w:tcMar>
              <w:left w:w="0" w:type="dxa"/>
            </w:tcMar>
          </w:tcPr>
          <w:p w14:paraId="0B64F21D" w14:textId="07190485" w:rsidR="00ED1959" w:rsidRPr="00BE4DA9" w:rsidRDefault="00ED1959" w:rsidP="008D3295">
            <w:pPr>
              <w:spacing w:after="0"/>
              <w:rPr>
                <w:spacing w:val="-4"/>
              </w:rPr>
            </w:pPr>
            <w:r w:rsidRPr="002617EE">
              <w:rPr>
                <w:rFonts w:cs="Arial"/>
                <w:color w:val="0D0D0D" w:themeColor="text1" w:themeTint="F2"/>
                <w:spacing w:val="-4"/>
                <w:szCs w:val="20"/>
              </w:rPr>
              <w:t>Maloobchodních tržby</w:t>
            </w:r>
            <w:r w:rsidRPr="002617EE">
              <w:rPr>
                <w:rStyle w:val="Znakapoznpodarou"/>
                <w:color w:val="0D0D0D" w:themeColor="text1" w:themeTint="F2"/>
                <w:spacing w:val="-4"/>
              </w:rPr>
              <w:footnoteReference w:id="42"/>
            </w:r>
            <w:r>
              <w:rPr>
                <w:rFonts w:cs="Arial"/>
                <w:color w:val="0D0D0D" w:themeColor="text1" w:themeTint="F2"/>
                <w:spacing w:val="-4"/>
                <w:szCs w:val="20"/>
              </w:rPr>
              <w:t xml:space="preserve"> se ve 2. čtvrtletí </w:t>
            </w:r>
            <w:proofErr w:type="spellStart"/>
            <w:r>
              <w:rPr>
                <w:rFonts w:cs="Arial"/>
                <w:color w:val="0D0D0D" w:themeColor="text1" w:themeTint="F2"/>
                <w:spacing w:val="-4"/>
                <w:szCs w:val="20"/>
              </w:rPr>
              <w:t>mezikvartálně</w:t>
            </w:r>
            <w:proofErr w:type="spellEnd"/>
            <w:r>
              <w:rPr>
                <w:rFonts w:cs="Arial"/>
                <w:color w:val="0D0D0D" w:themeColor="text1" w:themeTint="F2"/>
                <w:spacing w:val="-4"/>
                <w:szCs w:val="20"/>
              </w:rPr>
              <w:t xml:space="preserve"> zvýšily o 7,8 % a kompenzovaly tak pokles z předchozích dvou čtvrtletí. Silně rostly především tržby za prodej nepotravinářského zboží, u něhož se projevil i efekt odložené spotřeby. Meziročně maloobchod posílil o 7,1 %, zčásti i vlivem slabších loňských prodejů</w:t>
            </w:r>
            <w:r>
              <w:rPr>
                <w:rStyle w:val="Znakapoznpodarou"/>
                <w:color w:val="0D0D0D" w:themeColor="text1" w:themeTint="F2"/>
                <w:spacing w:val="-4"/>
                <w:szCs w:val="20"/>
              </w:rPr>
              <w:footnoteReference w:id="43"/>
            </w:r>
            <w:r>
              <w:rPr>
                <w:rFonts w:cs="Arial"/>
                <w:color w:val="0D0D0D" w:themeColor="text1" w:themeTint="F2"/>
                <w:spacing w:val="-4"/>
                <w:szCs w:val="20"/>
              </w:rPr>
              <w:t>. Dařilo se především prodeji nepotravinářského zboží (+11 %), jemuž pomohl stále se roz</w:t>
            </w:r>
            <w:r w:rsidR="004E3B7F">
              <w:rPr>
                <w:rFonts w:cs="Arial"/>
                <w:color w:val="0D0D0D" w:themeColor="text1" w:themeTint="F2"/>
                <w:spacing w:val="-4"/>
                <w:szCs w:val="20"/>
              </w:rPr>
              <w:t>víjející internetový obchod (+12,3 %, za dva roky +56</w:t>
            </w:r>
            <w:r>
              <w:rPr>
                <w:rFonts w:cs="Arial"/>
                <w:color w:val="0D0D0D" w:themeColor="text1" w:themeTint="F2"/>
                <w:spacing w:val="-4"/>
                <w:szCs w:val="20"/>
              </w:rPr>
              <w:t>,</w:t>
            </w:r>
            <w:r w:rsidR="004E3B7F">
              <w:rPr>
                <w:rFonts w:cs="Arial"/>
                <w:color w:val="0D0D0D" w:themeColor="text1" w:themeTint="F2"/>
                <w:spacing w:val="-4"/>
                <w:szCs w:val="20"/>
              </w:rPr>
              <w:t>7</w:t>
            </w:r>
            <w:r>
              <w:rPr>
                <w:rFonts w:cs="Arial"/>
                <w:color w:val="0D0D0D" w:themeColor="text1" w:themeTint="F2"/>
                <w:spacing w:val="-4"/>
                <w:szCs w:val="20"/>
              </w:rPr>
              <w:t> %) i vyšší tržby ve specializovaných obchodech – zejména s oděvy, obuví a koženým zbožím (+29,2 %) a </w:t>
            </w:r>
            <w:r w:rsidRPr="0021149E">
              <w:rPr>
                <w:rFonts w:cs="Arial"/>
                <w:color w:val="0D0D0D" w:themeColor="text1" w:themeTint="F2"/>
                <w:spacing w:val="-4"/>
                <w:szCs w:val="20"/>
              </w:rPr>
              <w:t>počítačovým a</w:t>
            </w:r>
            <w:r>
              <w:rPr>
                <w:rFonts w:cs="Arial"/>
                <w:color w:val="0D0D0D" w:themeColor="text1" w:themeTint="F2"/>
                <w:spacing w:val="-4"/>
                <w:szCs w:val="20"/>
              </w:rPr>
              <w:t> </w:t>
            </w:r>
            <w:r w:rsidRPr="0021149E">
              <w:rPr>
                <w:rFonts w:cs="Arial"/>
                <w:color w:val="0D0D0D" w:themeColor="text1" w:themeTint="F2"/>
                <w:spacing w:val="-4"/>
                <w:szCs w:val="20"/>
              </w:rPr>
              <w:t>komunikačním zařízením</w:t>
            </w:r>
            <w:r>
              <w:rPr>
                <w:rFonts w:cs="Arial"/>
                <w:color w:val="0D0D0D" w:themeColor="text1" w:themeTint="F2"/>
                <w:spacing w:val="-4"/>
                <w:szCs w:val="20"/>
              </w:rPr>
              <w:t xml:space="preserve"> (+20,1 %). Mnohem střídměji rostl prodej potravin, a to jak v </w:t>
            </w:r>
            <w:r w:rsidR="008D3295">
              <w:rPr>
                <w:rFonts w:cs="Arial"/>
                <w:color w:val="0D0D0D" w:themeColor="text1" w:themeTint="F2"/>
                <w:spacing w:val="-4"/>
                <w:szCs w:val="20"/>
              </w:rPr>
              <w:t>obvykle velkých nespecializovaných</w:t>
            </w:r>
            <w:r>
              <w:rPr>
                <w:rFonts w:cs="Arial"/>
                <w:color w:val="0D0D0D" w:themeColor="text1" w:themeTint="F2"/>
                <w:spacing w:val="-4"/>
                <w:szCs w:val="20"/>
              </w:rPr>
              <w:t xml:space="preserve"> </w:t>
            </w:r>
            <w:r w:rsidR="008D3295">
              <w:rPr>
                <w:rFonts w:cs="Arial"/>
                <w:color w:val="0D0D0D" w:themeColor="text1" w:themeTint="F2"/>
                <w:spacing w:val="-4"/>
                <w:szCs w:val="20"/>
              </w:rPr>
              <w:t>prodejnách (+1,0</w:t>
            </w:r>
            <w:r>
              <w:rPr>
                <w:rFonts w:cs="Arial"/>
                <w:color w:val="0D0D0D" w:themeColor="text1" w:themeTint="F2"/>
                <w:spacing w:val="-4"/>
                <w:szCs w:val="20"/>
              </w:rPr>
              <w:t> %</w:t>
            </w:r>
            <w:r w:rsidR="008D3295">
              <w:rPr>
                <w:rFonts w:cs="Arial"/>
                <w:color w:val="0D0D0D" w:themeColor="text1" w:themeTint="F2"/>
                <w:spacing w:val="-4"/>
                <w:szCs w:val="20"/>
              </w:rPr>
              <w:t>), tak i ve</w:t>
            </w:r>
            <w:r w:rsidR="008C17F0">
              <w:rPr>
                <w:rFonts w:cs="Arial"/>
                <w:color w:val="0D0D0D" w:themeColor="text1" w:themeTint="F2"/>
                <w:spacing w:val="-4"/>
                <w:szCs w:val="20"/>
              </w:rPr>
              <w:t xml:space="preserve"> specializovaných (+3,3 %) – u </w:t>
            </w:r>
            <w:r>
              <w:rPr>
                <w:rFonts w:cs="Arial"/>
                <w:color w:val="0D0D0D" w:themeColor="text1" w:themeTint="F2"/>
                <w:spacing w:val="-4"/>
                <w:szCs w:val="20"/>
              </w:rPr>
              <w:t xml:space="preserve">kterých byl loni navíc </w:t>
            </w:r>
            <w:r w:rsidR="008C17F0">
              <w:rPr>
                <w:rFonts w:cs="Arial"/>
                <w:color w:val="0D0D0D" w:themeColor="text1" w:themeTint="F2"/>
                <w:spacing w:val="-4"/>
                <w:szCs w:val="20"/>
              </w:rPr>
              <w:t xml:space="preserve">prodej </w:t>
            </w:r>
            <w:r>
              <w:rPr>
                <w:rFonts w:cs="Arial"/>
                <w:color w:val="0D0D0D" w:themeColor="text1" w:themeTint="F2"/>
                <w:spacing w:val="-4"/>
                <w:szCs w:val="20"/>
              </w:rPr>
              <w:t>silně utlumený. To platilo také o prodeji pohonných hmot, jehož letošní růst (9,6 %) nemohl propad z loňského jara zdaleka kompenzovat</w:t>
            </w:r>
            <w:r w:rsidRPr="00562DB1">
              <w:rPr>
                <w:rFonts w:cs="Arial"/>
                <w:color w:val="0D0D0D" w:themeColor="text1" w:themeTint="F2"/>
                <w:spacing w:val="-4"/>
                <w:szCs w:val="20"/>
              </w:rPr>
              <w:t xml:space="preserve">. </w:t>
            </w:r>
            <w:r>
              <w:rPr>
                <w:rFonts w:cs="Arial"/>
                <w:color w:val="0D0D0D" w:themeColor="text1" w:themeTint="F2"/>
                <w:spacing w:val="-4"/>
                <w:szCs w:val="20"/>
              </w:rPr>
              <w:t>Podobně tomu bylo i v </w:t>
            </w:r>
            <w:r w:rsidRPr="00562DB1">
              <w:rPr>
                <w:rFonts w:cs="Arial"/>
                <w:color w:val="0D0D0D" w:themeColor="text1" w:themeTint="F2"/>
                <w:spacing w:val="-4"/>
                <w:szCs w:val="20"/>
              </w:rPr>
              <w:t>motoristickém segmentu obchodu</w:t>
            </w:r>
            <w:r>
              <w:rPr>
                <w:rFonts w:cs="Arial"/>
                <w:color w:val="0D0D0D" w:themeColor="text1" w:themeTint="F2"/>
                <w:spacing w:val="-4"/>
                <w:szCs w:val="20"/>
              </w:rPr>
              <w:t>, kde sice letos ve 2. čtvrtletí rostly tržby meziročně o 36,7 %, v úhrnu za dvouleté období byly ale stále o 4,0 % nižší.</w:t>
            </w:r>
          </w:p>
        </w:tc>
      </w:tr>
    </w:tbl>
    <w:p w14:paraId="7FDB7848" w14:textId="77777777" w:rsidR="00ED1959" w:rsidRPr="00E42054" w:rsidRDefault="00ED1959" w:rsidP="00ED1959">
      <w:pPr>
        <w:pStyle w:val="Nadpis11"/>
        <w:rPr>
          <w:b w:val="0"/>
          <w:sz w:val="2"/>
          <w:szCs w:val="2"/>
        </w:rPr>
      </w:pPr>
    </w:p>
    <w:p w14:paraId="21A26D60" w14:textId="77777777" w:rsidR="00ED1959" w:rsidRDefault="00ED1959">
      <w:pPr>
        <w:spacing w:after="0" w:line="240" w:lineRule="auto"/>
        <w:jc w:val="left"/>
        <w:rPr>
          <w:rFonts w:eastAsia="MS Gothic"/>
          <w:b/>
          <w:bCs/>
          <w:color w:val="71818C"/>
          <w:sz w:val="32"/>
          <w:szCs w:val="28"/>
        </w:rPr>
      </w:pPr>
      <w:r>
        <w:br w:type="page"/>
      </w:r>
    </w:p>
    <w:p w14:paraId="6F4AC23B" w14:textId="77777777" w:rsidR="008E51EB" w:rsidRPr="009110F7" w:rsidRDefault="008E51EB" w:rsidP="00BB50C0">
      <w:pPr>
        <w:pStyle w:val="Nadpis11"/>
      </w:pPr>
      <w:bookmarkStart w:id="14" w:name="_Toc82508187"/>
      <w:r>
        <w:lastRenderedPageBreak/>
        <w:t>4</w:t>
      </w:r>
      <w:r w:rsidRPr="009110F7">
        <w:t>.</w:t>
      </w:r>
      <w:r>
        <w:t> </w:t>
      </w:r>
      <w:r w:rsidRPr="009110F7">
        <w:t>Vnější vztahy</w:t>
      </w:r>
      <w:bookmarkEnd w:id="14"/>
    </w:p>
    <w:tbl>
      <w:tblPr>
        <w:tblW w:w="9639" w:type="dxa"/>
        <w:tblInd w:w="-15" w:type="dxa"/>
        <w:tblCellMar>
          <w:left w:w="0" w:type="dxa"/>
          <w:right w:w="0" w:type="dxa"/>
        </w:tblCellMar>
        <w:tblLook w:val="00A0" w:firstRow="1" w:lastRow="0" w:firstColumn="1" w:lastColumn="0" w:noHBand="0" w:noVBand="0"/>
      </w:tblPr>
      <w:tblGrid>
        <w:gridCol w:w="1762"/>
        <w:gridCol w:w="223"/>
        <w:gridCol w:w="7654"/>
      </w:tblGrid>
      <w:tr w:rsidR="008E51EB" w:rsidRPr="009110F7" w14:paraId="73FB8217" w14:textId="77777777" w:rsidTr="00AF7277">
        <w:trPr>
          <w:trHeight w:val="145"/>
        </w:trPr>
        <w:tc>
          <w:tcPr>
            <w:tcW w:w="1762" w:type="dxa"/>
            <w:shd w:val="clear" w:color="auto" w:fill="auto"/>
            <w:tcMar>
              <w:left w:w="0" w:type="dxa"/>
            </w:tcMar>
          </w:tcPr>
          <w:p w14:paraId="220A40C7" w14:textId="77777777" w:rsidR="008E51EB" w:rsidRDefault="008E51EB" w:rsidP="00AF7277">
            <w:pPr>
              <w:pStyle w:val="Marginlie"/>
            </w:pPr>
            <w:r>
              <w:t>Vývoz v 1. pololetí výrazně narostl, na čemž mělo hlavní podíl srovnání s krizovým obdobím loňského jara.</w:t>
            </w:r>
          </w:p>
        </w:tc>
        <w:tc>
          <w:tcPr>
            <w:tcW w:w="223" w:type="dxa"/>
            <w:shd w:val="clear" w:color="auto" w:fill="auto"/>
            <w:tcMar>
              <w:left w:w="0" w:type="dxa"/>
            </w:tcMar>
          </w:tcPr>
          <w:p w14:paraId="7E63E922" w14:textId="77777777" w:rsidR="008E51EB" w:rsidRDefault="008E51EB" w:rsidP="00AF7277">
            <w:pPr>
              <w:pStyle w:val="Textpoznpodarou"/>
              <w:jc w:val="both"/>
              <w:rPr>
                <w:spacing w:val="-4"/>
              </w:rPr>
            </w:pPr>
          </w:p>
        </w:tc>
        <w:tc>
          <w:tcPr>
            <w:tcW w:w="7654" w:type="dxa"/>
            <w:shd w:val="clear" w:color="auto" w:fill="auto"/>
            <w:tcMar>
              <w:left w:w="0" w:type="dxa"/>
            </w:tcMar>
          </w:tcPr>
          <w:p w14:paraId="59F3AB32" w14:textId="77777777" w:rsidR="008E51EB" w:rsidRPr="00AF6F98" w:rsidRDefault="008E51EB" w:rsidP="00AF7277">
            <w:pPr>
              <w:spacing w:after="180"/>
              <w:rPr>
                <w:spacing w:val="-4"/>
              </w:rPr>
            </w:pPr>
            <w:r>
              <w:rPr>
                <w:spacing w:val="-4"/>
              </w:rPr>
              <w:t>Hodnota vývozu zboží v 1. pololetí roku 2021 dosáhla 1 995,2 mld. korun, což bylo meziročně více o 390,1 mld. korun (24,3 %). Masivní meziroční nárůst byl z velké části způsoben srovnáním s loňskými jarními měsíci, během kterých se zastavila výroba ve velké části domácího a zahraničního průmyslu, což bylo také doprovázeno propadem zahraničního obchodu. Také proto většina ze zaznamenaného přírůstku připadla na 2. čtvrtletí roku, které bylo loni reakcí na pandemii nejvíce zasaženo. Hodnota vývozu ve 2. kvartálu 2021 činila 1 016,2 mld. korun a jeho meziroční nárůst vyšplhal na 293,0 mld. (40,5 %).</w:t>
            </w:r>
          </w:p>
        </w:tc>
      </w:tr>
      <w:tr w:rsidR="008E51EB" w:rsidRPr="009110F7" w14:paraId="27AB33E9" w14:textId="77777777" w:rsidTr="00AF7277">
        <w:trPr>
          <w:trHeight w:val="145"/>
        </w:trPr>
        <w:tc>
          <w:tcPr>
            <w:tcW w:w="1762" w:type="dxa"/>
            <w:shd w:val="clear" w:color="auto" w:fill="auto"/>
            <w:tcMar>
              <w:left w:w="0" w:type="dxa"/>
            </w:tcMar>
          </w:tcPr>
          <w:p w14:paraId="12BA9FE6" w14:textId="77777777" w:rsidR="008E51EB" w:rsidRDefault="008E51EB" w:rsidP="00AF7277">
            <w:pPr>
              <w:pStyle w:val="Marginlie"/>
            </w:pPr>
            <w:r>
              <w:t>Obnova loni pozastavené průmyslové činnosti dala impulz zejména exportu do EU.</w:t>
            </w:r>
          </w:p>
        </w:tc>
        <w:tc>
          <w:tcPr>
            <w:tcW w:w="223" w:type="dxa"/>
            <w:shd w:val="clear" w:color="auto" w:fill="auto"/>
            <w:tcMar>
              <w:left w:w="0" w:type="dxa"/>
            </w:tcMar>
          </w:tcPr>
          <w:p w14:paraId="1C94F1A1" w14:textId="77777777" w:rsidR="008E51EB" w:rsidRDefault="008E51EB" w:rsidP="00AF7277">
            <w:pPr>
              <w:pStyle w:val="Textpoznpodarou"/>
              <w:jc w:val="both"/>
              <w:rPr>
                <w:spacing w:val="-4"/>
              </w:rPr>
            </w:pPr>
          </w:p>
        </w:tc>
        <w:tc>
          <w:tcPr>
            <w:tcW w:w="7654" w:type="dxa"/>
            <w:shd w:val="clear" w:color="auto" w:fill="auto"/>
            <w:tcMar>
              <w:left w:w="0" w:type="dxa"/>
            </w:tcMar>
          </w:tcPr>
          <w:p w14:paraId="19067460" w14:textId="77777777" w:rsidR="008E51EB" w:rsidRPr="00AF6F98" w:rsidRDefault="008E51EB" w:rsidP="00AF7277">
            <w:pPr>
              <w:spacing w:after="180"/>
              <w:rPr>
                <w:spacing w:val="-4"/>
              </w:rPr>
            </w:pPr>
            <w:r>
              <w:rPr>
                <w:spacing w:val="-4"/>
              </w:rPr>
              <w:t>Mohutné navýšení vývozu v 1. pololetí z většiny připadlo na export do Evropské unie (+328,3 mld. korun, 25,7 %). Relativně mírnější, i když stále výrazný byl přírůstek vývozu mimo země EU (+61,9 mld. korun, 19,0 %). Nejvíce meziročně narostl export do Německa (+113,7 mld. korun, 22,5 %), Polska (+36,9 mld., 35,9 %), na Slovensko (+29,6 mld., 20,0 %) a do Francie (+26,3 mld., 35,4 %). Vzhledem k povaze loňského propadu ale solidně rostl export do téměř všech sledovaných destinací s výjimkou Korejské republiky, kde se nepodařilo navázat na loňský velký přírůstek. Samotné 2. čtvrtletí z velké části přispívalo k nárůstu za celé pololetí, takže se kvartální výsledky těm pololetním velmi podobají. Vývoz do EU tak ve 2. čtvrtletí meziročně vzrostl o 241,1 mld. korun (41,9 %) a mimo EU o 51,7 mld. (35,0 %). Největší přírůstky zaznamenal export do Německa (+84,9 mld. korun, 37,3 %), Polska (+25,2 mld., 55,6 %), na Slovensko (+23,8 mld., 34,4 %) a do Francie (+21,2 mld., 70,0 %).</w:t>
            </w:r>
          </w:p>
        </w:tc>
      </w:tr>
      <w:tr w:rsidR="008E51EB" w:rsidRPr="009110F7" w14:paraId="15D3AE50" w14:textId="77777777" w:rsidTr="00AF7277">
        <w:trPr>
          <w:trHeight w:val="170"/>
        </w:trPr>
        <w:tc>
          <w:tcPr>
            <w:tcW w:w="1762" w:type="dxa"/>
            <w:shd w:val="clear" w:color="auto" w:fill="auto"/>
            <w:tcMar>
              <w:left w:w="0" w:type="dxa"/>
            </w:tcMar>
          </w:tcPr>
          <w:p w14:paraId="6DF32B7D" w14:textId="77777777" w:rsidR="008E51EB" w:rsidRDefault="008E51EB" w:rsidP="00AF7277">
            <w:pPr>
              <w:pStyle w:val="Marginlie"/>
            </w:pPr>
            <w:r>
              <w:t>Nejvíce k přírůstku přispěl vývoz motorových vozidel.</w:t>
            </w:r>
          </w:p>
        </w:tc>
        <w:tc>
          <w:tcPr>
            <w:tcW w:w="223" w:type="dxa"/>
            <w:shd w:val="clear" w:color="auto" w:fill="auto"/>
            <w:tcMar>
              <w:left w:w="0" w:type="dxa"/>
            </w:tcMar>
          </w:tcPr>
          <w:p w14:paraId="24D83CF1" w14:textId="77777777" w:rsidR="008E51EB" w:rsidRDefault="008E51EB" w:rsidP="00AF7277">
            <w:pPr>
              <w:pStyle w:val="Textpoznpodarou"/>
              <w:jc w:val="both"/>
              <w:rPr>
                <w:spacing w:val="-4"/>
              </w:rPr>
            </w:pPr>
          </w:p>
        </w:tc>
        <w:tc>
          <w:tcPr>
            <w:tcW w:w="7654" w:type="dxa"/>
            <w:shd w:val="clear" w:color="auto" w:fill="auto"/>
            <w:tcMar>
              <w:left w:w="0" w:type="dxa"/>
            </w:tcMar>
          </w:tcPr>
          <w:p w14:paraId="16A6BDFF" w14:textId="77777777" w:rsidR="008E51EB" w:rsidRPr="00AF6F98" w:rsidRDefault="008E51EB" w:rsidP="00AF7277">
            <w:pPr>
              <w:spacing w:after="180"/>
              <w:rPr>
                <w:spacing w:val="-4"/>
              </w:rPr>
            </w:pPr>
            <w:r>
              <w:rPr>
                <w:spacing w:val="-4"/>
              </w:rPr>
              <w:t>Co se týká odvětvové struktury, nejvíce v 1. pololetí 2021 k meziročnímu nárůstu vývozu přispěla motorová vozidla (+152,0 mld. korun, 39,1 %), přičemž většina tohoto přírůstku připadla na 2. čtvrtletí (+117,9 mld., 79,0 %). Srovnání s loňským hlubokým propadem ovlivnilo i výsledky dalších důležitých vývozních artiklů za 1. pololetí – výrazně se navýšil export elektrických zařízení (+40,4 mld. korun, 29,4 %), strojů a zařízení (+32,6 mld., 17,9</w:t>
            </w:r>
            <w:r>
              <w:t> </w:t>
            </w:r>
            <w:r>
              <w:rPr>
                <w:spacing w:val="-4"/>
              </w:rPr>
              <w:t>%), pryžových a plastových výrobků (+20,5 mld., 24,0 %) a kovodělných výrobků (+19,5 mld., 18,7 %). Hodnota exportu chemických látek a přípravků často kolísá spolu s cenami ropy, s čímž se dá spojit i velká část letošního navýšení (+24,6 mld. korun, 31,2 %). Silně se zvýšil i vývoz počítačů, elektronických a optických přístrojů (+21,4 mld. korun, 12,3 %), i když segment loni nebyl tak silně zasažen pandemií jako jiné artikly. U většiny zmíněných druhů zboží (výjimkou byly počítače, elektronické a optické přístroje) také ve 2. čtvrtletí export výrazně zrychlil.</w:t>
            </w:r>
          </w:p>
        </w:tc>
      </w:tr>
      <w:tr w:rsidR="008E51EB" w:rsidRPr="009110F7" w14:paraId="22717752" w14:textId="77777777" w:rsidTr="00AF7277">
        <w:trPr>
          <w:trHeight w:val="145"/>
        </w:trPr>
        <w:tc>
          <w:tcPr>
            <w:tcW w:w="1762" w:type="dxa"/>
            <w:shd w:val="clear" w:color="auto" w:fill="auto"/>
            <w:tcMar>
              <w:left w:w="0" w:type="dxa"/>
            </w:tcMar>
          </w:tcPr>
          <w:p w14:paraId="74D30242" w14:textId="77777777" w:rsidR="008E51EB" w:rsidRDefault="008E51EB" w:rsidP="00AF7277">
            <w:pPr>
              <w:pStyle w:val="Marginlie"/>
            </w:pPr>
            <w:r>
              <w:t>Také dovoz meziročně silně rostl.</w:t>
            </w:r>
          </w:p>
        </w:tc>
        <w:tc>
          <w:tcPr>
            <w:tcW w:w="223" w:type="dxa"/>
            <w:shd w:val="clear" w:color="auto" w:fill="auto"/>
            <w:tcMar>
              <w:left w:w="0" w:type="dxa"/>
            </w:tcMar>
          </w:tcPr>
          <w:p w14:paraId="5E0A9DF4" w14:textId="77777777" w:rsidR="008E51EB" w:rsidRDefault="008E51EB" w:rsidP="00AF7277">
            <w:pPr>
              <w:pStyle w:val="Textpoznpodarou"/>
              <w:jc w:val="both"/>
              <w:rPr>
                <w:spacing w:val="-4"/>
              </w:rPr>
            </w:pPr>
          </w:p>
        </w:tc>
        <w:tc>
          <w:tcPr>
            <w:tcW w:w="7654" w:type="dxa"/>
            <w:shd w:val="clear" w:color="auto" w:fill="auto"/>
            <w:tcMar>
              <w:left w:w="0" w:type="dxa"/>
            </w:tcMar>
          </w:tcPr>
          <w:p w14:paraId="585A7CC5" w14:textId="77777777" w:rsidR="008E51EB" w:rsidRPr="00AF6F98" w:rsidRDefault="008E51EB" w:rsidP="00AF7277">
            <w:pPr>
              <w:spacing w:after="180"/>
              <w:rPr>
                <w:spacing w:val="-4"/>
              </w:rPr>
            </w:pPr>
            <w:r>
              <w:rPr>
                <w:spacing w:val="-4"/>
              </w:rPr>
              <w:t>Podobně silně jako export se navýšila i hodnota dovozu. Ta v 1. pololetí činila 1 910,4 mld. korun a meziročně se zvýšila o 350,8 mld. (22,5 %). Dynamika dovozu za vývozem ve 2. pololetí 2020 dost zaostávala. Letos se ale tempa začala postupně vyrovnávat. Ve 2. čtvrtletí hodnota dovozu činila 997,2 mld. korun, což představuje meziroční zvýšení o 283,3 mld. (39,7 %). Dovoz z EU v 1. pololetí meziročně vzrostl o 241,3 mld. korun (24,3 %), zatímco ze zemí mimo EU o 106,8 mld. (19,1 %). Nejvíce narostl import z Německa (+86,4 mld. korun, 22,5 %) a Polska (+36,7 mld., 27,5 %). Nárůst cen ropy a zemního plynu i vyšší poptávka po ropě vedla k prudkému navýšení dovozu z Ruska (+22,7 mld. korun, 73,1 %). Podobně jako u vývozu měl i vývoj importu ve 2. čtvrtletí hlavní dopad na celé pololetí. O 202,6 mld. korun (46,0 %) tak vzrostl dovoz z EU, zatímco import ze zemí mimo EU se navýšil o 78,8 mld. (29,3 %).</w:t>
            </w:r>
          </w:p>
        </w:tc>
      </w:tr>
      <w:tr w:rsidR="008E51EB" w:rsidRPr="009110F7" w14:paraId="60099A46" w14:textId="77777777" w:rsidTr="00AF7277">
        <w:trPr>
          <w:trHeight w:val="145"/>
        </w:trPr>
        <w:tc>
          <w:tcPr>
            <w:tcW w:w="1762" w:type="dxa"/>
            <w:shd w:val="clear" w:color="auto" w:fill="auto"/>
            <w:tcMar>
              <w:left w:w="0" w:type="dxa"/>
            </w:tcMar>
          </w:tcPr>
          <w:p w14:paraId="75FB51E3" w14:textId="77777777" w:rsidR="008E51EB" w:rsidRDefault="008E51EB" w:rsidP="00AF7277">
            <w:pPr>
              <w:pStyle w:val="Marginlie"/>
            </w:pPr>
            <w:r>
              <w:t>Silný vliv na hodnotu dovozu měly rostoucí ceny ropy a dalších surovin.</w:t>
            </w:r>
          </w:p>
        </w:tc>
        <w:tc>
          <w:tcPr>
            <w:tcW w:w="223" w:type="dxa"/>
            <w:shd w:val="clear" w:color="auto" w:fill="auto"/>
            <w:tcMar>
              <w:left w:w="0" w:type="dxa"/>
            </w:tcMar>
          </w:tcPr>
          <w:p w14:paraId="45816E25" w14:textId="77777777" w:rsidR="008E51EB" w:rsidRDefault="008E51EB" w:rsidP="00AF7277">
            <w:pPr>
              <w:pStyle w:val="Textpoznpodarou"/>
              <w:jc w:val="both"/>
              <w:rPr>
                <w:spacing w:val="-4"/>
              </w:rPr>
            </w:pPr>
          </w:p>
        </w:tc>
        <w:tc>
          <w:tcPr>
            <w:tcW w:w="7654" w:type="dxa"/>
            <w:shd w:val="clear" w:color="auto" w:fill="auto"/>
            <w:tcMar>
              <w:left w:w="0" w:type="dxa"/>
            </w:tcMar>
          </w:tcPr>
          <w:p w14:paraId="116B64E0" w14:textId="77777777" w:rsidR="008E51EB" w:rsidRDefault="008E51EB" w:rsidP="00AF7277">
            <w:pPr>
              <w:spacing w:after="180"/>
              <w:rPr>
                <w:spacing w:val="-4"/>
              </w:rPr>
            </w:pPr>
            <w:r>
              <w:rPr>
                <w:spacing w:val="-4"/>
              </w:rPr>
              <w:t xml:space="preserve">Kromě obnovy po pandemickém propadu měl na hodnotu dovozu v 1. pololetí vliv i nárůst cen některých surovin. To je patrné zejména u navýšení dovozu základních kovů (+42,5 mld. korun, 37,9 %), které značně překonalo pandemický propad, i ropy a zemního plynu (+17,2 mld. korun, 48,6 %). Spolu s cenami ropy se prudce zvýšil i dovoz chemických látek a přípravků (+39,9 mld. korun, 30,8 %). U všech hlavní porce přírůstku připadla na 2. kvartál. Jinak měl největší meziroční přírůstek v 1. pololetí dovoz motorových vozidel </w:t>
            </w:r>
            <w:r>
              <w:rPr>
                <w:spacing w:val="-4"/>
              </w:rPr>
              <w:lastRenderedPageBreak/>
              <w:t>(+81,9 mld. korun, 38,8 %), elektrických zařízení (+46,3 mld., 36,1 %) a strojů a zařízení (+26,6 mld., 17,3 %).</w:t>
            </w:r>
          </w:p>
        </w:tc>
      </w:tr>
      <w:tr w:rsidR="008E51EB" w:rsidRPr="009110F7" w14:paraId="5AD9CAAF" w14:textId="77777777" w:rsidTr="00AF7277">
        <w:trPr>
          <w:trHeight w:val="145"/>
        </w:trPr>
        <w:tc>
          <w:tcPr>
            <w:tcW w:w="1762" w:type="dxa"/>
            <w:shd w:val="clear" w:color="auto" w:fill="auto"/>
            <w:tcMar>
              <w:left w:w="0" w:type="dxa"/>
            </w:tcMar>
          </w:tcPr>
          <w:p w14:paraId="6B705268" w14:textId="77777777" w:rsidR="008E51EB" w:rsidRDefault="008E51EB" w:rsidP="00AF7277">
            <w:pPr>
              <w:pStyle w:val="Marginlie"/>
            </w:pPr>
            <w:r>
              <w:lastRenderedPageBreak/>
              <w:t>Bilance zahraničního obchodu za 1. pololetí se meziročně výrazně zlepšila, ale přebytek v samotném 2. kvartálu byl poměrně slabý.</w:t>
            </w:r>
          </w:p>
        </w:tc>
        <w:tc>
          <w:tcPr>
            <w:tcW w:w="223" w:type="dxa"/>
            <w:shd w:val="clear" w:color="auto" w:fill="auto"/>
            <w:tcMar>
              <w:left w:w="0" w:type="dxa"/>
            </w:tcMar>
          </w:tcPr>
          <w:p w14:paraId="4F165DF6" w14:textId="77777777" w:rsidR="008E51EB" w:rsidRDefault="008E51EB" w:rsidP="00AF7277">
            <w:pPr>
              <w:pStyle w:val="Textpoznpodarou"/>
              <w:jc w:val="both"/>
              <w:rPr>
                <w:spacing w:val="-4"/>
              </w:rPr>
            </w:pPr>
          </w:p>
        </w:tc>
        <w:tc>
          <w:tcPr>
            <w:tcW w:w="7654" w:type="dxa"/>
            <w:shd w:val="clear" w:color="auto" w:fill="auto"/>
            <w:tcMar>
              <w:left w:w="0" w:type="dxa"/>
            </w:tcMar>
          </w:tcPr>
          <w:p w14:paraId="281F7BB6" w14:textId="77777777" w:rsidR="008E51EB" w:rsidRPr="00AF6F98" w:rsidRDefault="008E51EB" w:rsidP="00AF7277">
            <w:pPr>
              <w:spacing w:after="180"/>
              <w:rPr>
                <w:spacing w:val="-4"/>
              </w:rPr>
            </w:pPr>
            <w:r>
              <w:rPr>
                <w:spacing w:val="-4"/>
              </w:rPr>
              <w:t>Bilance zahraničního obchodu se zbožím dosáhla za celé 1. pololetí přebytku 84,8 mld. korun, což je meziročně o 36,4 mld. lepší výsledek. Většiny z tohoto zlepšení ale bylo dosaženo v 1. čtvrtletí roku. Ve 2. kvartálu přebytek činil 19,0 mld. korun. To je o 9,7 mld. vyšší přebytek než v loňském 2. čtvrtletí, s jeho výjimkou ale jde o nejhorší výsledek za 2. kvartál od roku 2012</w:t>
            </w:r>
            <w:r>
              <w:rPr>
                <w:rStyle w:val="Znakapoznpodarou"/>
                <w:spacing w:val="-4"/>
              </w:rPr>
              <w:footnoteReference w:id="44"/>
            </w:r>
            <w:r>
              <w:rPr>
                <w:spacing w:val="-4"/>
              </w:rPr>
              <w:t xml:space="preserve">. K poměrně slabému výsledku přispěl zejména vývoj v červnu, kdy se bilance propadla do deficitu, netypického pro tento měsíc. Slabší než obvykle byl ale i květnový výsledek. Za celé 1. pololetí mohutně narostl přebytek obchodu se zeměmi EU (+87,0 mld. korun). Naopak pod vlivem zvýšení cen některých surovin se výrazně prohloubil obvyklý deficit se zeměmi mimo </w:t>
            </w:r>
            <w:proofErr w:type="gramStart"/>
            <w:r>
              <w:rPr>
                <w:spacing w:val="-4"/>
              </w:rPr>
              <w:t>EU (–44,9</w:t>
            </w:r>
            <w:proofErr w:type="gramEnd"/>
            <w:r>
              <w:rPr>
                <w:spacing w:val="-4"/>
              </w:rPr>
              <w:t> mld. korun). V 1. pololetí ve směru zlepšení bilance nejvíce působil obchod s Německem (+27,3 mld. korun) a Francií (+15,8 mld.). Naopak se dál prohloubil deficit obchodu s </w:t>
            </w:r>
            <w:proofErr w:type="gramStart"/>
            <w:r>
              <w:rPr>
                <w:spacing w:val="-4"/>
              </w:rPr>
              <w:t>Čínou (–20,5</w:t>
            </w:r>
            <w:proofErr w:type="gramEnd"/>
            <w:r>
              <w:rPr>
                <w:spacing w:val="-4"/>
              </w:rPr>
              <w:t xml:space="preserve"> mld. korun) a Ruskem </w:t>
            </w:r>
            <w:r>
              <w:rPr>
                <w:spacing w:val="-4"/>
              </w:rPr>
              <w:br/>
              <w:t>(–17,2 mld.). V samotném 2. čtvrtletí se zlepšil přebytek se zeměmi EU o 38,5 mld. korun a naopak deficit s neunijními zeměmi se prohloubil o 27,1 mld. korun. Nejvíce se zlepšila bilance s Francií (+11,5 mld. korun), Německem (+9,2 mld.) a Slovenskem (+7,9 mld.). Zhoršila se zejména bilance obchodu s </w:t>
            </w:r>
            <w:proofErr w:type="gramStart"/>
            <w:r>
              <w:rPr>
                <w:spacing w:val="-4"/>
              </w:rPr>
              <w:t>Ruskem (–13,7</w:t>
            </w:r>
            <w:proofErr w:type="gramEnd"/>
            <w:r>
              <w:rPr>
                <w:spacing w:val="-4"/>
              </w:rPr>
              <w:t> mld. korun), Japonskem (–8,3 mld.) a Polskem (–5,6 mld.).</w:t>
            </w:r>
          </w:p>
        </w:tc>
      </w:tr>
      <w:tr w:rsidR="008E51EB" w:rsidRPr="009110F7" w14:paraId="45BAE3AF" w14:textId="77777777" w:rsidTr="00AF7277">
        <w:trPr>
          <w:trHeight w:val="145"/>
        </w:trPr>
        <w:tc>
          <w:tcPr>
            <w:tcW w:w="1762" w:type="dxa"/>
            <w:shd w:val="clear" w:color="auto" w:fill="auto"/>
            <w:tcMar>
              <w:left w:w="0" w:type="dxa"/>
            </w:tcMar>
          </w:tcPr>
          <w:p w14:paraId="7041860B" w14:textId="77777777" w:rsidR="008E51EB" w:rsidRDefault="008E51EB" w:rsidP="00AF7277">
            <w:pPr>
              <w:pStyle w:val="Marginlie"/>
            </w:pPr>
            <w:r>
              <w:t>Obchod s motorovými vozidly ke zlepšení bilance přispíval nejvíce.</w:t>
            </w:r>
          </w:p>
        </w:tc>
        <w:tc>
          <w:tcPr>
            <w:tcW w:w="223" w:type="dxa"/>
            <w:shd w:val="clear" w:color="auto" w:fill="auto"/>
            <w:tcMar>
              <w:left w:w="0" w:type="dxa"/>
            </w:tcMar>
          </w:tcPr>
          <w:p w14:paraId="1CC05879" w14:textId="77777777" w:rsidR="008E51EB" w:rsidRDefault="008E51EB" w:rsidP="00AF7277">
            <w:pPr>
              <w:pStyle w:val="Textpoznpodarou"/>
              <w:jc w:val="both"/>
              <w:rPr>
                <w:spacing w:val="-4"/>
              </w:rPr>
            </w:pPr>
          </w:p>
        </w:tc>
        <w:tc>
          <w:tcPr>
            <w:tcW w:w="7654" w:type="dxa"/>
            <w:shd w:val="clear" w:color="auto" w:fill="auto"/>
            <w:tcMar>
              <w:left w:w="0" w:type="dxa"/>
            </w:tcMar>
          </w:tcPr>
          <w:p w14:paraId="1A0ED2D5" w14:textId="77777777" w:rsidR="008E51EB" w:rsidRDefault="008E51EB" w:rsidP="00AF7277">
            <w:pPr>
              <w:spacing w:after="180"/>
              <w:rPr>
                <w:spacing w:val="-4"/>
              </w:rPr>
            </w:pPr>
            <w:r>
              <w:rPr>
                <w:spacing w:val="-4"/>
              </w:rPr>
              <w:t xml:space="preserve">Nejvíce ve směru zlepšení bilance působil obchod s motorovými vozidly (+70,1 mld. korun), kovodělnými výrobky (+7,5 mld.) a počítači, elektronickými a optickými přístroji (+6,2 mld.). Naopak velké zhoršení bilance vykázal obchod se základními </w:t>
            </w:r>
            <w:proofErr w:type="gramStart"/>
            <w:r>
              <w:rPr>
                <w:spacing w:val="-4"/>
              </w:rPr>
              <w:t>kovy (–22,0</w:t>
            </w:r>
            <w:proofErr w:type="gramEnd"/>
            <w:r>
              <w:rPr>
                <w:spacing w:val="-4"/>
              </w:rPr>
              <w:t xml:space="preserve"> mld. korun), ropou a zemním plynem (–18,9 mld.), chemickými látkami a přípravky (–15,3 mld.) a základními farmaceutickými výrobky (–11,4 mld.). Ve 2. čtvrtletí byla skladba bilance podobná – hlavní podíl na jejím zlepšení měl obchod s motorovými vozidly (+51,8 mld. korun). Zhoršení se naopak týkalo ropy a zemního </w:t>
            </w:r>
            <w:proofErr w:type="gramStart"/>
            <w:r>
              <w:rPr>
                <w:spacing w:val="-4"/>
              </w:rPr>
              <w:t>plynu (–19,3</w:t>
            </w:r>
            <w:proofErr w:type="gramEnd"/>
            <w:r>
              <w:rPr>
                <w:spacing w:val="-4"/>
              </w:rPr>
              <w:t> mld. korun), základních kovů (–18,8 mld.) a chemických látek a přípravků (–13,1 mld.).</w:t>
            </w:r>
          </w:p>
        </w:tc>
      </w:tr>
      <w:tr w:rsidR="008E51EB" w:rsidRPr="009110F7" w14:paraId="09227A09" w14:textId="77777777" w:rsidTr="00AF7277">
        <w:trPr>
          <w:trHeight w:val="106"/>
        </w:trPr>
        <w:tc>
          <w:tcPr>
            <w:tcW w:w="1762" w:type="dxa"/>
            <w:vMerge w:val="restart"/>
            <w:shd w:val="clear" w:color="auto" w:fill="auto"/>
            <w:tcMar>
              <w:left w:w="0" w:type="dxa"/>
            </w:tcMar>
          </w:tcPr>
          <w:p w14:paraId="2DBD9428" w14:textId="77777777" w:rsidR="008E51EB" w:rsidRDefault="008E51EB" w:rsidP="00AF7277">
            <w:pPr>
              <w:pStyle w:val="Marginlie"/>
            </w:pPr>
          </w:p>
        </w:tc>
        <w:tc>
          <w:tcPr>
            <w:tcW w:w="223" w:type="dxa"/>
            <w:vMerge w:val="restart"/>
            <w:shd w:val="clear" w:color="auto" w:fill="auto"/>
            <w:tcMar>
              <w:left w:w="0" w:type="dxa"/>
            </w:tcMar>
          </w:tcPr>
          <w:p w14:paraId="5CE9855E" w14:textId="77777777" w:rsidR="008E51EB" w:rsidRDefault="008E51EB" w:rsidP="00AF7277">
            <w:pPr>
              <w:pStyle w:val="Textpoznpodarou"/>
              <w:jc w:val="both"/>
              <w:rPr>
                <w:spacing w:val="-4"/>
              </w:rPr>
            </w:pPr>
          </w:p>
        </w:tc>
        <w:tc>
          <w:tcPr>
            <w:tcW w:w="7654" w:type="dxa"/>
            <w:shd w:val="clear" w:color="auto" w:fill="auto"/>
            <w:tcMar>
              <w:left w:w="0" w:type="dxa"/>
            </w:tcMar>
          </w:tcPr>
          <w:p w14:paraId="05AE41E4" w14:textId="77777777" w:rsidR="008E51EB" w:rsidRPr="00D75AC1" w:rsidRDefault="008E51EB" w:rsidP="00AF7277">
            <w:pPr>
              <w:spacing w:after="0"/>
              <w:rPr>
                <w:spacing w:val="-4"/>
                <w:szCs w:val="20"/>
              </w:rPr>
            </w:pPr>
            <w:r w:rsidRPr="00D75AC1">
              <w:rPr>
                <w:rFonts w:cs="Arial"/>
                <w:b/>
                <w:bCs/>
                <w:color w:val="000000"/>
                <w:szCs w:val="20"/>
              </w:rPr>
              <w:t>Graf č.</w:t>
            </w:r>
            <w:r>
              <w:rPr>
                <w:rFonts w:cs="Arial"/>
                <w:b/>
                <w:bCs/>
                <w:color w:val="000000"/>
                <w:szCs w:val="20"/>
              </w:rPr>
              <w:t xml:space="preserve"> 8 </w:t>
            </w:r>
            <w:r w:rsidRPr="00D75AC1">
              <w:rPr>
                <w:rFonts w:cs="Arial"/>
                <w:b/>
                <w:bCs/>
                <w:color w:val="000000"/>
                <w:szCs w:val="20"/>
              </w:rPr>
              <w:t xml:space="preserve"> </w:t>
            </w:r>
            <w:r w:rsidRPr="00D75AC1">
              <w:rPr>
                <w:b/>
                <w:spacing w:val="-4"/>
                <w:szCs w:val="20"/>
              </w:rPr>
              <w:t xml:space="preserve">Bilance zahraničního obchodu </w:t>
            </w:r>
            <w:r>
              <w:rPr>
                <w:b/>
                <w:spacing w:val="-4"/>
                <w:szCs w:val="20"/>
              </w:rPr>
              <w:t xml:space="preserve">se zbožím </w:t>
            </w:r>
            <w:r w:rsidRPr="00D75AC1">
              <w:rPr>
                <w:b/>
                <w:spacing w:val="-4"/>
                <w:szCs w:val="20"/>
              </w:rPr>
              <w:t xml:space="preserve">ve statistice zahraničního obchodu </w:t>
            </w:r>
            <w:r w:rsidRPr="00D75AC1">
              <w:rPr>
                <w:spacing w:val="-4"/>
                <w:szCs w:val="20"/>
              </w:rPr>
              <w:t xml:space="preserve">(kumulace </w:t>
            </w:r>
            <w:r>
              <w:rPr>
                <w:spacing w:val="-4"/>
                <w:szCs w:val="20"/>
              </w:rPr>
              <w:t>1. pololetí</w:t>
            </w:r>
            <w:r w:rsidRPr="00D75AC1">
              <w:rPr>
                <w:spacing w:val="-4"/>
                <w:szCs w:val="20"/>
              </w:rPr>
              <w:t>, v mld.</w:t>
            </w:r>
            <w:r>
              <w:rPr>
                <w:spacing w:val="-4"/>
                <w:szCs w:val="20"/>
              </w:rPr>
              <w:t xml:space="preserve"> </w:t>
            </w:r>
            <w:r w:rsidRPr="00D75AC1">
              <w:rPr>
                <w:spacing w:val="-4"/>
                <w:szCs w:val="20"/>
              </w:rPr>
              <w:t>korun, vybrané oddíly klasifikace CPA)</w:t>
            </w:r>
          </w:p>
        </w:tc>
      </w:tr>
      <w:tr w:rsidR="008E51EB" w:rsidRPr="009110F7" w14:paraId="65290E1A" w14:textId="77777777" w:rsidTr="00AF7277">
        <w:tblPrEx>
          <w:tblCellMar>
            <w:left w:w="70" w:type="dxa"/>
            <w:right w:w="70" w:type="dxa"/>
          </w:tblCellMar>
        </w:tblPrEx>
        <w:trPr>
          <w:trHeight w:val="106"/>
        </w:trPr>
        <w:tc>
          <w:tcPr>
            <w:tcW w:w="1762" w:type="dxa"/>
            <w:vMerge/>
            <w:shd w:val="clear" w:color="auto" w:fill="auto"/>
          </w:tcPr>
          <w:p w14:paraId="0AB05336" w14:textId="77777777" w:rsidR="008E51EB" w:rsidRDefault="008E51EB" w:rsidP="00AF7277">
            <w:pPr>
              <w:pStyle w:val="Marginlie"/>
            </w:pPr>
          </w:p>
        </w:tc>
        <w:tc>
          <w:tcPr>
            <w:tcW w:w="223" w:type="dxa"/>
            <w:vMerge/>
            <w:shd w:val="clear" w:color="auto" w:fill="auto"/>
          </w:tcPr>
          <w:p w14:paraId="2974EAFA" w14:textId="77777777" w:rsidR="008E51EB" w:rsidRDefault="008E51EB" w:rsidP="00AF7277">
            <w:pPr>
              <w:pStyle w:val="Textpoznpodarou"/>
              <w:jc w:val="both"/>
              <w:rPr>
                <w:spacing w:val="-4"/>
              </w:rPr>
            </w:pPr>
          </w:p>
        </w:tc>
        <w:tc>
          <w:tcPr>
            <w:tcW w:w="7654" w:type="dxa"/>
            <w:shd w:val="clear" w:color="auto" w:fill="auto"/>
          </w:tcPr>
          <w:p w14:paraId="056740AE" w14:textId="77777777" w:rsidR="008E51EB" w:rsidRPr="00AF6F98" w:rsidRDefault="008E51EB" w:rsidP="00AF7277">
            <w:pPr>
              <w:spacing w:after="0"/>
              <w:rPr>
                <w:spacing w:val="-4"/>
              </w:rPr>
            </w:pPr>
            <w:r>
              <w:rPr>
                <w:noProof/>
              </w:rPr>
              <w:drawing>
                <wp:inline distT="0" distB="0" distL="0" distR="0" wp14:anchorId="535A21B9" wp14:editId="43CCA9E5">
                  <wp:extent cx="4771467" cy="3365875"/>
                  <wp:effectExtent l="0" t="0" r="0" b="6350"/>
                  <wp:docPr id="9" name="Graf 9">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8E51EB" w:rsidRPr="009110F7" w14:paraId="76B6DDEA" w14:textId="77777777" w:rsidTr="00AF7277">
        <w:trPr>
          <w:trHeight w:val="106"/>
        </w:trPr>
        <w:tc>
          <w:tcPr>
            <w:tcW w:w="1762" w:type="dxa"/>
            <w:vMerge/>
            <w:shd w:val="clear" w:color="auto" w:fill="auto"/>
            <w:tcMar>
              <w:left w:w="0" w:type="dxa"/>
            </w:tcMar>
          </w:tcPr>
          <w:p w14:paraId="730EF2CE" w14:textId="77777777" w:rsidR="008E51EB" w:rsidRDefault="008E51EB" w:rsidP="00AF7277">
            <w:pPr>
              <w:pStyle w:val="Marginlie"/>
            </w:pPr>
          </w:p>
        </w:tc>
        <w:tc>
          <w:tcPr>
            <w:tcW w:w="223" w:type="dxa"/>
            <w:vMerge/>
            <w:shd w:val="clear" w:color="auto" w:fill="auto"/>
            <w:tcMar>
              <w:left w:w="0" w:type="dxa"/>
            </w:tcMar>
          </w:tcPr>
          <w:p w14:paraId="1F85B03D" w14:textId="77777777" w:rsidR="008E51EB" w:rsidRDefault="008E51EB" w:rsidP="00AF7277">
            <w:pPr>
              <w:pStyle w:val="Textpoznpodarou"/>
              <w:jc w:val="both"/>
              <w:rPr>
                <w:spacing w:val="-4"/>
              </w:rPr>
            </w:pPr>
          </w:p>
        </w:tc>
        <w:tc>
          <w:tcPr>
            <w:tcW w:w="7654" w:type="dxa"/>
            <w:shd w:val="clear" w:color="auto" w:fill="auto"/>
            <w:tcMar>
              <w:left w:w="0" w:type="dxa"/>
            </w:tcMar>
          </w:tcPr>
          <w:p w14:paraId="66C6E11C" w14:textId="77777777" w:rsidR="008E51EB" w:rsidRPr="00AF6F98" w:rsidRDefault="008E51EB" w:rsidP="00AF7277">
            <w:pPr>
              <w:spacing w:after="0"/>
              <w:rPr>
                <w:spacing w:val="-4"/>
              </w:rPr>
            </w:pPr>
            <w:r>
              <w:rPr>
                <w:sz w:val="14"/>
                <w:szCs w:val="14"/>
              </w:rPr>
              <w:t>Zdroj: ČSÚ</w:t>
            </w:r>
          </w:p>
        </w:tc>
      </w:tr>
    </w:tbl>
    <w:p w14:paraId="606C45AE" w14:textId="77777777" w:rsidR="00E32778" w:rsidRPr="009110F7" w:rsidRDefault="00E32778" w:rsidP="00E32778">
      <w:pPr>
        <w:pStyle w:val="Nadpis11"/>
      </w:pPr>
      <w:bookmarkStart w:id="15" w:name="_Toc511215218"/>
      <w:bookmarkStart w:id="16" w:name="_Toc19090679"/>
      <w:bookmarkStart w:id="17" w:name="_Toc42852411"/>
      <w:bookmarkStart w:id="18" w:name="_Toc50712130"/>
      <w:bookmarkStart w:id="19" w:name="_Toc58605377"/>
      <w:bookmarkStart w:id="20" w:name="_Toc26865023"/>
      <w:bookmarkStart w:id="21" w:name="_Toc82508188"/>
      <w:bookmarkEnd w:id="9"/>
      <w:bookmarkEnd w:id="10"/>
      <w:bookmarkEnd w:id="11"/>
      <w:bookmarkEnd w:id="12"/>
      <w:bookmarkEnd w:id="15"/>
      <w:bookmarkEnd w:id="16"/>
      <w:r w:rsidRPr="009110F7">
        <w:lastRenderedPageBreak/>
        <w:t>5</w:t>
      </w:r>
      <w:r>
        <w:t>. </w:t>
      </w:r>
      <w:r w:rsidRPr="009110F7">
        <w:t>Ceny</w:t>
      </w:r>
      <w:bookmarkEnd w:id="17"/>
      <w:bookmarkEnd w:id="21"/>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E32778" w:rsidRPr="009110F7" w14:paraId="4DFB7BE2" w14:textId="77777777" w:rsidTr="00F57D57">
        <w:trPr>
          <w:trHeight w:val="145"/>
        </w:trPr>
        <w:tc>
          <w:tcPr>
            <w:tcW w:w="1805" w:type="dxa"/>
            <w:shd w:val="clear" w:color="auto" w:fill="auto"/>
            <w:tcMar>
              <w:left w:w="0" w:type="dxa"/>
            </w:tcMar>
          </w:tcPr>
          <w:p w14:paraId="34B9FECD" w14:textId="77777777" w:rsidR="00E32778" w:rsidRPr="00793D78" w:rsidRDefault="00E32778" w:rsidP="00F57D57">
            <w:pPr>
              <w:pStyle w:val="Marginlie"/>
              <w:rPr>
                <w:spacing w:val="0"/>
              </w:rPr>
            </w:pPr>
            <w:r>
              <w:rPr>
                <w:spacing w:val="0"/>
              </w:rPr>
              <w:t>Růst cenové hladiny zrychlil.</w:t>
            </w:r>
          </w:p>
        </w:tc>
        <w:tc>
          <w:tcPr>
            <w:tcW w:w="224" w:type="dxa"/>
            <w:shd w:val="clear" w:color="auto" w:fill="auto"/>
            <w:tcMar>
              <w:left w:w="0" w:type="dxa"/>
            </w:tcMar>
          </w:tcPr>
          <w:p w14:paraId="5E70C91A" w14:textId="77777777" w:rsidR="00E32778" w:rsidRPr="00793D78" w:rsidRDefault="00E32778" w:rsidP="00F57D57">
            <w:pPr>
              <w:pStyle w:val="Textpoznpodarou1"/>
              <w:jc w:val="both"/>
            </w:pPr>
          </w:p>
        </w:tc>
        <w:tc>
          <w:tcPr>
            <w:tcW w:w="7610" w:type="dxa"/>
            <w:shd w:val="clear" w:color="auto" w:fill="auto"/>
            <w:tcMar>
              <w:left w:w="0" w:type="dxa"/>
            </w:tcMar>
          </w:tcPr>
          <w:p w14:paraId="27DFC0FD" w14:textId="77777777" w:rsidR="00E32778" w:rsidRPr="00793D78" w:rsidRDefault="00E32778" w:rsidP="00F57D57">
            <w:pPr>
              <w:rPr>
                <w:szCs w:val="20"/>
              </w:rPr>
            </w:pPr>
            <w:r>
              <w:rPr>
                <w:szCs w:val="20"/>
              </w:rPr>
              <w:t>Celkový meziroční nárůst cenové hladiny v ekonomice podle deflátoru HDP ve 2. čtvrtletí dosáhl 4,3 %. To je zrychlení oproti 1. čtvrtletí. Mezičtvrtletní nárůst cenové hladiny zrychlil na 1,5 %. Výrazně zrychlilo meziroční tempo cenového růstu spotřebních statků (3,9 %), a to jednak těch spotřebovávaných domácnostmi (2,1 %), ale hlavně v případě vládních institucí (7,4 %). Kapitálové statky meziročně zdražily o 3,5 %. Směnné relace oslabily na 100,7 %. Oslabení se týkalo směnných relací obchodu se zbožím (100,9 %), ale i se službami (99,0 %).</w:t>
            </w:r>
          </w:p>
        </w:tc>
      </w:tr>
      <w:tr w:rsidR="00E32778" w:rsidRPr="009110F7" w14:paraId="1CB4C8B5" w14:textId="77777777" w:rsidTr="00F57D57">
        <w:trPr>
          <w:trHeight w:val="145"/>
        </w:trPr>
        <w:tc>
          <w:tcPr>
            <w:tcW w:w="1805" w:type="dxa"/>
            <w:shd w:val="clear" w:color="auto" w:fill="auto"/>
            <w:tcMar>
              <w:left w:w="0" w:type="dxa"/>
            </w:tcMar>
          </w:tcPr>
          <w:p w14:paraId="43CC5C00" w14:textId="77777777" w:rsidR="00E32778" w:rsidRPr="00793D78" w:rsidRDefault="00E32778" w:rsidP="00F57D57">
            <w:pPr>
              <w:pStyle w:val="Marginlie"/>
              <w:rPr>
                <w:spacing w:val="0"/>
              </w:rPr>
            </w:pPr>
            <w:r>
              <w:rPr>
                <w:spacing w:val="0"/>
              </w:rPr>
              <w:t>Ve 2. čtvrtletí meziroční růst spotřebitelských cen výrazně zrychlil.</w:t>
            </w:r>
          </w:p>
        </w:tc>
        <w:tc>
          <w:tcPr>
            <w:tcW w:w="224" w:type="dxa"/>
            <w:shd w:val="clear" w:color="auto" w:fill="auto"/>
            <w:tcMar>
              <w:left w:w="0" w:type="dxa"/>
            </w:tcMar>
          </w:tcPr>
          <w:p w14:paraId="11F2501B" w14:textId="77777777" w:rsidR="00E32778" w:rsidRPr="00793D78" w:rsidRDefault="00E32778" w:rsidP="00F57D57">
            <w:pPr>
              <w:pStyle w:val="Textpoznpodarou1"/>
              <w:jc w:val="both"/>
              <w:rPr>
                <w:highlight w:val="yellow"/>
              </w:rPr>
            </w:pPr>
          </w:p>
        </w:tc>
        <w:tc>
          <w:tcPr>
            <w:tcW w:w="7610" w:type="dxa"/>
            <w:shd w:val="clear" w:color="auto" w:fill="auto"/>
            <w:tcMar>
              <w:left w:w="0" w:type="dxa"/>
            </w:tcMar>
          </w:tcPr>
          <w:p w14:paraId="17F7E910" w14:textId="77777777" w:rsidR="00E32778" w:rsidRPr="000316FC" w:rsidRDefault="00E32778" w:rsidP="00F57D57">
            <w:r>
              <w:t xml:space="preserve">Meziroční přírůstek spotřebitelských cen ve 2. čtvrtletí 2021 dosáhl 2,9 %. Po slabším meziročním tempu z 1. kvartálu tak došlo v průběhu 2. čtvrtletí k výraznému posílení. Na tom mělo podíl zejména zrychlení meziročního růstu cen dopravy (pod vlivem cen pohonných hmot), jež se také dostaly na pozici oddílu spotřebního koše, který nejvíce ovlivnil celkový </w:t>
            </w:r>
            <w:r w:rsidRPr="00EB06EF">
              <w:t>meziroční přírůstek cen. Druhý nejvyšší příspěvek představovaly ceny alkoholických nápojů a tabáku. Posílil i vliv přírůstku cen bydlení a energií. Za celé 1. pololetí se spotřebitelské ceny meziročně zvýšily o 2,5 %. Ve srovnání s 1. čtvrtletím 2021 spotřebitelské ceny vzrostly o 1,0 %, což byl také výsledek posílení cenového růstu u dopravy. K mezičtvrtletnímu navýšení výrazněji přispěl i přírůstek cen bydlení a alkoholických nápojů a tabáku.</w:t>
            </w:r>
          </w:p>
        </w:tc>
      </w:tr>
      <w:tr w:rsidR="00E32778" w:rsidRPr="00D75AC1" w14:paraId="40085F67" w14:textId="77777777" w:rsidTr="00F57D57">
        <w:trPr>
          <w:trHeight w:val="170"/>
        </w:trPr>
        <w:tc>
          <w:tcPr>
            <w:tcW w:w="1805" w:type="dxa"/>
            <w:vMerge w:val="restart"/>
            <w:shd w:val="clear" w:color="auto" w:fill="auto"/>
            <w:tcMar>
              <w:left w:w="0" w:type="dxa"/>
            </w:tcMar>
          </w:tcPr>
          <w:p w14:paraId="5E847C94" w14:textId="77777777" w:rsidR="00E32778" w:rsidRDefault="00E32778" w:rsidP="00F57D57">
            <w:pPr>
              <w:pStyle w:val="Marginlie"/>
              <w:rPr>
                <w:spacing w:val="0"/>
              </w:rPr>
            </w:pPr>
          </w:p>
        </w:tc>
        <w:tc>
          <w:tcPr>
            <w:tcW w:w="224" w:type="dxa"/>
            <w:vMerge w:val="restart"/>
            <w:shd w:val="clear" w:color="auto" w:fill="auto"/>
            <w:tcMar>
              <w:left w:w="0" w:type="dxa"/>
            </w:tcMar>
          </w:tcPr>
          <w:p w14:paraId="1BAC15C8" w14:textId="77777777" w:rsidR="00E32778" w:rsidRPr="00793D78" w:rsidRDefault="00E32778" w:rsidP="00F57D57">
            <w:pPr>
              <w:pStyle w:val="Textpoznpodarou1"/>
              <w:jc w:val="both"/>
              <w:rPr>
                <w:highlight w:val="yellow"/>
              </w:rPr>
            </w:pPr>
          </w:p>
        </w:tc>
        <w:tc>
          <w:tcPr>
            <w:tcW w:w="7610" w:type="dxa"/>
            <w:shd w:val="clear" w:color="auto" w:fill="auto"/>
            <w:tcMar>
              <w:left w:w="0" w:type="dxa"/>
            </w:tcMar>
          </w:tcPr>
          <w:p w14:paraId="33CC4F3B" w14:textId="77777777" w:rsidR="00E32778" w:rsidRPr="00D75AC1" w:rsidRDefault="00E32778" w:rsidP="00F57D57">
            <w:pPr>
              <w:spacing w:after="0"/>
              <w:rPr>
                <w:b/>
                <w:szCs w:val="20"/>
              </w:rPr>
            </w:pPr>
            <w:r w:rsidRPr="00793D78">
              <w:rPr>
                <w:rFonts w:cs="Arial"/>
                <w:b/>
                <w:bCs/>
                <w:color w:val="000000"/>
                <w:sz w:val="18"/>
                <w:szCs w:val="18"/>
              </w:rPr>
              <w:t xml:space="preserve">Graf </w:t>
            </w:r>
            <w:r>
              <w:rPr>
                <w:rFonts w:cs="Arial"/>
                <w:b/>
                <w:bCs/>
                <w:color w:val="000000"/>
                <w:sz w:val="18"/>
                <w:szCs w:val="18"/>
              </w:rPr>
              <w:t xml:space="preserve">č. 9 </w:t>
            </w:r>
            <w:r w:rsidRPr="00793D78">
              <w:rPr>
                <w:rFonts w:cs="Arial"/>
                <w:b/>
                <w:bCs/>
                <w:color w:val="000000"/>
                <w:sz w:val="18"/>
                <w:szCs w:val="18"/>
              </w:rPr>
              <w:t xml:space="preserve"> Ceny ve vybraných oddílech indexu spotřebitelských cen</w:t>
            </w:r>
            <w:r w:rsidRPr="00793D78">
              <w:rPr>
                <w:rFonts w:cs="Arial"/>
                <w:b/>
                <w:color w:val="000000"/>
                <w:sz w:val="18"/>
                <w:szCs w:val="18"/>
              </w:rPr>
              <w:t xml:space="preserve"> </w:t>
            </w:r>
            <w:r w:rsidRPr="009067EA">
              <w:rPr>
                <w:rFonts w:cs="Arial"/>
                <w:color w:val="000000"/>
                <w:sz w:val="18"/>
                <w:szCs w:val="18"/>
              </w:rPr>
              <w:t>(meziročně v %)</w:t>
            </w:r>
          </w:p>
        </w:tc>
      </w:tr>
      <w:tr w:rsidR="00E32778" w:rsidRPr="009110F7" w14:paraId="546FA6EF" w14:textId="77777777" w:rsidTr="00F57D57">
        <w:tblPrEx>
          <w:tblCellMar>
            <w:left w:w="70" w:type="dxa"/>
            <w:right w:w="70" w:type="dxa"/>
          </w:tblCellMar>
        </w:tblPrEx>
        <w:trPr>
          <w:trHeight w:val="170"/>
        </w:trPr>
        <w:tc>
          <w:tcPr>
            <w:tcW w:w="1805" w:type="dxa"/>
            <w:vMerge/>
            <w:shd w:val="clear" w:color="auto" w:fill="auto"/>
          </w:tcPr>
          <w:p w14:paraId="1C40CB83" w14:textId="77777777" w:rsidR="00E32778" w:rsidRPr="00793D78" w:rsidRDefault="00E32778" w:rsidP="00F57D57">
            <w:pPr>
              <w:pStyle w:val="Marginlie"/>
              <w:rPr>
                <w:spacing w:val="0"/>
              </w:rPr>
            </w:pPr>
          </w:p>
        </w:tc>
        <w:tc>
          <w:tcPr>
            <w:tcW w:w="224" w:type="dxa"/>
            <w:vMerge/>
            <w:shd w:val="clear" w:color="auto" w:fill="auto"/>
          </w:tcPr>
          <w:p w14:paraId="7CCC12F0" w14:textId="77777777" w:rsidR="00E32778" w:rsidRPr="00793D78" w:rsidRDefault="00E32778" w:rsidP="00F57D57">
            <w:pPr>
              <w:pStyle w:val="Textpoznpodarou"/>
              <w:jc w:val="both"/>
            </w:pPr>
          </w:p>
        </w:tc>
        <w:tc>
          <w:tcPr>
            <w:tcW w:w="7610" w:type="dxa"/>
            <w:shd w:val="clear" w:color="auto" w:fill="auto"/>
          </w:tcPr>
          <w:p w14:paraId="3BFF83CA" w14:textId="77777777" w:rsidR="00E32778" w:rsidRPr="00793D78" w:rsidRDefault="00E32778" w:rsidP="00F57D57">
            <w:pPr>
              <w:spacing w:after="0"/>
            </w:pPr>
            <w:r>
              <w:rPr>
                <w:noProof/>
              </w:rPr>
              <w:drawing>
                <wp:inline distT="0" distB="0" distL="0" distR="0" wp14:anchorId="1D9EA16B" wp14:editId="69A33693">
                  <wp:extent cx="4737600" cy="3553200"/>
                  <wp:effectExtent l="0" t="0" r="6350" b="0"/>
                  <wp:docPr id="16" name="Graf 16">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E32778" w:rsidRPr="009110F7" w14:paraId="754D62F4" w14:textId="77777777" w:rsidTr="00F57D57">
        <w:trPr>
          <w:trHeight w:val="170"/>
        </w:trPr>
        <w:tc>
          <w:tcPr>
            <w:tcW w:w="1805" w:type="dxa"/>
            <w:vMerge/>
            <w:shd w:val="clear" w:color="auto" w:fill="auto"/>
            <w:tcMar>
              <w:left w:w="0" w:type="dxa"/>
            </w:tcMar>
          </w:tcPr>
          <w:p w14:paraId="5A6414C3" w14:textId="77777777" w:rsidR="00E32778" w:rsidRPr="00793D78" w:rsidRDefault="00E32778" w:rsidP="00F57D57">
            <w:pPr>
              <w:pStyle w:val="Marginlie"/>
              <w:rPr>
                <w:spacing w:val="0"/>
              </w:rPr>
            </w:pPr>
          </w:p>
        </w:tc>
        <w:tc>
          <w:tcPr>
            <w:tcW w:w="224" w:type="dxa"/>
            <w:vMerge/>
            <w:shd w:val="clear" w:color="auto" w:fill="auto"/>
            <w:tcMar>
              <w:left w:w="0" w:type="dxa"/>
            </w:tcMar>
          </w:tcPr>
          <w:p w14:paraId="4C7D52EF" w14:textId="77777777" w:rsidR="00E32778" w:rsidRPr="00793D78" w:rsidRDefault="00E32778" w:rsidP="00F57D57">
            <w:pPr>
              <w:pStyle w:val="Textpoznpodarou"/>
              <w:jc w:val="both"/>
            </w:pPr>
          </w:p>
        </w:tc>
        <w:tc>
          <w:tcPr>
            <w:tcW w:w="7610" w:type="dxa"/>
            <w:shd w:val="clear" w:color="auto" w:fill="auto"/>
            <w:tcMar>
              <w:left w:w="0" w:type="dxa"/>
            </w:tcMar>
          </w:tcPr>
          <w:p w14:paraId="7EE36958" w14:textId="77777777" w:rsidR="00E32778" w:rsidRPr="00793D78" w:rsidRDefault="00E32778" w:rsidP="00F57D57">
            <w:pPr>
              <w:rPr>
                <w:sz w:val="14"/>
                <w:szCs w:val="14"/>
              </w:rPr>
            </w:pPr>
            <w:r w:rsidRPr="00793D78">
              <w:rPr>
                <w:sz w:val="14"/>
                <w:szCs w:val="14"/>
              </w:rPr>
              <w:t>Zdroj: ČSÚ</w:t>
            </w:r>
          </w:p>
        </w:tc>
      </w:tr>
      <w:tr w:rsidR="00E32778" w:rsidRPr="009110F7" w14:paraId="1269119D" w14:textId="77777777" w:rsidTr="00F57D57">
        <w:trPr>
          <w:trHeight w:val="145"/>
        </w:trPr>
        <w:tc>
          <w:tcPr>
            <w:tcW w:w="1805" w:type="dxa"/>
            <w:shd w:val="clear" w:color="auto" w:fill="auto"/>
            <w:tcMar>
              <w:left w:w="0" w:type="dxa"/>
            </w:tcMar>
          </w:tcPr>
          <w:p w14:paraId="34DA32F0" w14:textId="77777777" w:rsidR="00E32778" w:rsidRDefault="00E32778" w:rsidP="00F57D57">
            <w:pPr>
              <w:pStyle w:val="Marginlie"/>
              <w:rPr>
                <w:spacing w:val="0"/>
              </w:rPr>
            </w:pPr>
            <w:r>
              <w:rPr>
                <w:spacing w:val="0"/>
              </w:rPr>
              <w:t>Na posílení dynamiky se podílely hlavně ceny pohonných hmot.</w:t>
            </w:r>
          </w:p>
        </w:tc>
        <w:tc>
          <w:tcPr>
            <w:tcW w:w="224" w:type="dxa"/>
            <w:shd w:val="clear" w:color="auto" w:fill="auto"/>
            <w:tcMar>
              <w:left w:w="0" w:type="dxa"/>
            </w:tcMar>
          </w:tcPr>
          <w:p w14:paraId="31E0E440" w14:textId="77777777" w:rsidR="00E32778" w:rsidRPr="00793D78" w:rsidRDefault="00E32778" w:rsidP="00F57D57">
            <w:pPr>
              <w:pStyle w:val="Textpoznpodarou1"/>
              <w:jc w:val="both"/>
            </w:pPr>
          </w:p>
        </w:tc>
        <w:tc>
          <w:tcPr>
            <w:tcW w:w="7610" w:type="dxa"/>
            <w:shd w:val="clear" w:color="auto" w:fill="auto"/>
            <w:tcMar>
              <w:left w:w="0" w:type="dxa"/>
            </w:tcMar>
          </w:tcPr>
          <w:p w14:paraId="1BA13488" w14:textId="77777777" w:rsidR="00E32778" w:rsidRDefault="00E32778" w:rsidP="00F57D57">
            <w:r>
              <w:t>Ceny dopravy se ve 2. čtvrtletí meziročně zvýšily o 9,1 %. To je výrazně více než v předchozím kvartálu (2,4 %) a jde o rekordní přírůstek v celé časové řadě</w:t>
            </w:r>
            <w:r w:rsidR="00067982">
              <w:t xml:space="preserve"> od roku 2005</w:t>
            </w:r>
            <w:r>
              <w:t>. Hlavním tahounem růstu cen dopravy byl provoz osobních dopravních prostředků, především pohonné hmoty. Ceny ropy totiž ve srovnání s rekordně nízkou úrovní stejného období loňského roku podstatně vzrostly</w:t>
            </w:r>
            <w:r>
              <w:rPr>
                <w:rStyle w:val="Znakapoznpodarou"/>
              </w:rPr>
              <w:footnoteReference w:id="45"/>
            </w:r>
            <w:r>
              <w:t xml:space="preserve">. Meziročně se náklady na provoz dopravních prostředků zvýšily o 13,9 %. Výkyvy dynamiky cen ropy jsou </w:t>
            </w:r>
            <w:r>
              <w:lastRenderedPageBreak/>
              <w:t>poměrně obvyklé, tentokrát se ale jejich růst potkal i s více než rok trvajícím silným meziročním růstem cen nákupů automobilů, motocyklů a jízdních kol (ve 2. čtvrtletí 7,1 %). Na 1,5 % zrychlil ve 2. čtvrtletí i přírůstek cen dopravních služeb.</w:t>
            </w:r>
          </w:p>
        </w:tc>
      </w:tr>
      <w:tr w:rsidR="00E32778" w:rsidRPr="009110F7" w14:paraId="2CC00CFA" w14:textId="77777777" w:rsidTr="00F57D57">
        <w:trPr>
          <w:trHeight w:val="145"/>
        </w:trPr>
        <w:tc>
          <w:tcPr>
            <w:tcW w:w="1805" w:type="dxa"/>
            <w:shd w:val="clear" w:color="auto" w:fill="auto"/>
            <w:tcMar>
              <w:left w:w="0" w:type="dxa"/>
            </w:tcMar>
          </w:tcPr>
          <w:p w14:paraId="63D55D18" w14:textId="77777777" w:rsidR="00E32778" w:rsidRPr="00EB06EF" w:rsidRDefault="00E32778" w:rsidP="00F57D57">
            <w:pPr>
              <w:pStyle w:val="Marginlie"/>
              <w:rPr>
                <w:spacing w:val="0"/>
              </w:rPr>
            </w:pPr>
            <w:r w:rsidRPr="00EB06EF">
              <w:rPr>
                <w:spacing w:val="0"/>
              </w:rPr>
              <w:lastRenderedPageBreak/>
              <w:t>Dál silně rostly ceny tabákových výrobků.</w:t>
            </w:r>
          </w:p>
        </w:tc>
        <w:tc>
          <w:tcPr>
            <w:tcW w:w="224" w:type="dxa"/>
            <w:shd w:val="clear" w:color="auto" w:fill="auto"/>
            <w:tcMar>
              <w:left w:w="0" w:type="dxa"/>
            </w:tcMar>
          </w:tcPr>
          <w:p w14:paraId="0B61503E" w14:textId="77777777" w:rsidR="00E32778" w:rsidRPr="00EB06EF" w:rsidRDefault="00E32778" w:rsidP="00F57D57">
            <w:pPr>
              <w:pStyle w:val="Textpoznpodarou1"/>
              <w:jc w:val="both"/>
            </w:pPr>
          </w:p>
        </w:tc>
        <w:tc>
          <w:tcPr>
            <w:tcW w:w="7610" w:type="dxa"/>
            <w:shd w:val="clear" w:color="auto" w:fill="auto"/>
            <w:tcMar>
              <w:left w:w="0" w:type="dxa"/>
            </w:tcMar>
          </w:tcPr>
          <w:p w14:paraId="2F500AEE" w14:textId="77777777" w:rsidR="00E32778" w:rsidRDefault="00E32778" w:rsidP="00067982">
            <w:r w:rsidRPr="00EB06EF">
              <w:t xml:space="preserve">Silně ve 2. čtvrtletí meziročně rostly i ceny alkoholických nápojů a tabáku (9,8 %). Nad 9% úrovní se přírůstky pohybovaly od loňského června až do letošního května. Ve 2. čtvrtletí se ceny tabáku meziročně zvýšily o 14,8 %, zatímco ceny alkoholických nápojů o 3,2 %. Na celkovém růstu cen se projevilo i posílení meziročního přírůstku cen bydlení a energií na 1,3 %. S výjimkou cen elektrické a tepelné energie, plynu a dalších paliv (pokles o 2,8 %) zrychlil růst cen v celém </w:t>
            </w:r>
            <w:r w:rsidR="00067982">
              <w:t>oddíle</w:t>
            </w:r>
            <w:r w:rsidRPr="00EB06EF">
              <w:t>. Nájemné meziročně vzrostlo o 1,8 %, imputované nájemné dokonce o 3,6 %. Běžná údržba a opravy zdražily o 3,4 % a ostatní služby související s bydlením o 4,0 %.</w:t>
            </w:r>
          </w:p>
        </w:tc>
      </w:tr>
      <w:tr w:rsidR="00E32778" w:rsidRPr="009110F7" w14:paraId="606033D7" w14:textId="77777777" w:rsidTr="00F57D57">
        <w:trPr>
          <w:trHeight w:val="145"/>
        </w:trPr>
        <w:tc>
          <w:tcPr>
            <w:tcW w:w="1805" w:type="dxa"/>
            <w:shd w:val="clear" w:color="auto" w:fill="auto"/>
            <w:tcMar>
              <w:left w:w="0" w:type="dxa"/>
            </w:tcMar>
          </w:tcPr>
          <w:p w14:paraId="5EBE955B" w14:textId="77777777" w:rsidR="00E32778" w:rsidRDefault="00E32778" w:rsidP="00F57D57">
            <w:pPr>
              <w:pStyle w:val="Marginlie"/>
              <w:rPr>
                <w:spacing w:val="0"/>
              </w:rPr>
            </w:pPr>
            <w:r>
              <w:rPr>
                <w:spacing w:val="0"/>
              </w:rPr>
              <w:t>Rostly ceny většiny oddílů spotřebního koše.</w:t>
            </w:r>
          </w:p>
        </w:tc>
        <w:tc>
          <w:tcPr>
            <w:tcW w:w="224" w:type="dxa"/>
            <w:shd w:val="clear" w:color="auto" w:fill="auto"/>
            <w:tcMar>
              <w:left w:w="0" w:type="dxa"/>
            </w:tcMar>
          </w:tcPr>
          <w:p w14:paraId="5074A949" w14:textId="77777777" w:rsidR="00E32778" w:rsidRPr="00793D78" w:rsidRDefault="00E32778" w:rsidP="00F57D57">
            <w:pPr>
              <w:pStyle w:val="Textpoznpodarou1"/>
              <w:jc w:val="both"/>
            </w:pPr>
          </w:p>
        </w:tc>
        <w:tc>
          <w:tcPr>
            <w:tcW w:w="7610" w:type="dxa"/>
            <w:shd w:val="clear" w:color="auto" w:fill="auto"/>
            <w:tcMar>
              <w:left w:w="0" w:type="dxa"/>
            </w:tcMar>
          </w:tcPr>
          <w:p w14:paraId="268F3E92" w14:textId="77777777" w:rsidR="00E32778" w:rsidRDefault="00E32778" w:rsidP="00F57D57">
            <w:r>
              <w:t xml:space="preserve">K růstu spotřebitelských cen dále významněji přispívalo stravování a ubytování (meziroční přírůstek 2,9 %). Z toho ceny stravovacích služeb rostly o 3,4 %. Ceny ubytovacích služeb byly meziročně nižší o 0,7 %, v průběhu 2. kvartálu ale meziroční propad postupně slábl s tím, jak se uvolňovaly restrikce, které toto odvětví omezovaly. Většina dalších oddílů spotřebního koše vykazovala meziroční růst. Meziroční zvýšení u ostatního zboží a služeb (2,8 %) ovlivňovaly hlavně ceny finančních služeb. Ceny rekreace a kultury vzrostly o 2,0 % a přírůstek posílil zejména u ostatních </w:t>
            </w:r>
            <w:r w:rsidRPr="00BB52B3">
              <w:t>předmět</w:t>
            </w:r>
            <w:r>
              <w:t>ů</w:t>
            </w:r>
            <w:r w:rsidRPr="00BB52B3">
              <w:t xml:space="preserve"> pro rekreaci a</w:t>
            </w:r>
            <w:r>
              <w:t> </w:t>
            </w:r>
            <w:r w:rsidRPr="00BB52B3">
              <w:t>volný čas vč</w:t>
            </w:r>
            <w:r>
              <w:t>etně</w:t>
            </w:r>
            <w:r w:rsidRPr="00BB52B3">
              <w:t xml:space="preserve"> zahrad</w:t>
            </w:r>
            <w:r>
              <w:t>nictví</w:t>
            </w:r>
            <w:r w:rsidRPr="00BB52B3">
              <w:t xml:space="preserve"> a</w:t>
            </w:r>
            <w:r>
              <w:t> </w:t>
            </w:r>
            <w:r w:rsidRPr="00BB52B3">
              <w:t>dom</w:t>
            </w:r>
            <w:r>
              <w:t>ácích</w:t>
            </w:r>
            <w:r w:rsidRPr="00BB52B3">
              <w:t xml:space="preserve"> zvířat</w:t>
            </w:r>
            <w:r>
              <w:t xml:space="preserve"> (4,2 %). Ceny odívání a obuvi vzrostly o 2,9 %, bytového vybavení a zařízení domácnosti o 2,1 %, zdraví o 3,5 % a vzdělávání o 2,8 %.</w:t>
            </w:r>
          </w:p>
        </w:tc>
      </w:tr>
      <w:tr w:rsidR="00E32778" w:rsidRPr="009110F7" w14:paraId="2C516B2F" w14:textId="77777777" w:rsidTr="00F57D57">
        <w:trPr>
          <w:trHeight w:val="145"/>
        </w:trPr>
        <w:tc>
          <w:tcPr>
            <w:tcW w:w="1805" w:type="dxa"/>
            <w:shd w:val="clear" w:color="auto" w:fill="auto"/>
            <w:tcMar>
              <w:left w:w="0" w:type="dxa"/>
            </w:tcMar>
          </w:tcPr>
          <w:p w14:paraId="65B19FE9" w14:textId="77777777" w:rsidR="00E32778" w:rsidRDefault="00E32778" w:rsidP="00F57D57">
            <w:pPr>
              <w:pStyle w:val="Marginlie"/>
              <w:rPr>
                <w:spacing w:val="0"/>
              </w:rPr>
            </w:pPr>
            <w:r>
              <w:rPr>
                <w:spacing w:val="0"/>
              </w:rPr>
              <w:t>Ceny potravin a nealkoholických nápojů meziročně klesaly.</w:t>
            </w:r>
          </w:p>
        </w:tc>
        <w:tc>
          <w:tcPr>
            <w:tcW w:w="224" w:type="dxa"/>
            <w:shd w:val="clear" w:color="auto" w:fill="auto"/>
            <w:tcMar>
              <w:left w:w="0" w:type="dxa"/>
            </w:tcMar>
          </w:tcPr>
          <w:p w14:paraId="6A50A18E" w14:textId="77777777" w:rsidR="00E32778" w:rsidRPr="00793D78" w:rsidRDefault="00E32778" w:rsidP="00F57D57">
            <w:pPr>
              <w:pStyle w:val="Textpoznpodarou1"/>
              <w:jc w:val="both"/>
            </w:pPr>
          </w:p>
        </w:tc>
        <w:tc>
          <w:tcPr>
            <w:tcW w:w="7610" w:type="dxa"/>
            <w:shd w:val="clear" w:color="auto" w:fill="auto"/>
            <w:tcMar>
              <w:left w:w="0" w:type="dxa"/>
            </w:tcMar>
          </w:tcPr>
          <w:p w14:paraId="3252C4B7" w14:textId="77777777" w:rsidR="00E32778" w:rsidRDefault="00E32778" w:rsidP="00E32778">
            <w:r>
              <w:t xml:space="preserve">Ve směru meziročního poklesu spotřebitelských cen výrazněji působily jen potraviny a nealkoholické nápoje. Jejich ceny meziročně klesly o 0,8 %. Vliv měl zejména pokles cen masa o 2,6 % a dále </w:t>
            </w:r>
            <w:proofErr w:type="gramStart"/>
            <w:r>
              <w:t>ovoce (–4,2</w:t>
            </w:r>
            <w:proofErr w:type="gramEnd"/>
            <w:r>
              <w:t> %) i zeleniny (–5,8 %). K růstu cen potravin naopak přispěl silný nárůst u olejů a tuků (11,6 %). Jen mírně se navýšily ceny pekárenských výrobků a obilovin (0,7 %). Snížily se i ceny pošt a </w:t>
            </w:r>
            <w:proofErr w:type="gramStart"/>
            <w:r>
              <w:t>telekomunikací</w:t>
            </w:r>
            <w:r>
              <w:br/>
              <w:t>(–0,3</w:t>
            </w:r>
            <w:proofErr w:type="gramEnd"/>
            <w:r>
              <w:t> %).</w:t>
            </w:r>
          </w:p>
        </w:tc>
      </w:tr>
      <w:tr w:rsidR="00E32778" w:rsidRPr="009110F7" w14:paraId="7F66391A" w14:textId="77777777" w:rsidTr="00F57D57">
        <w:trPr>
          <w:trHeight w:val="170"/>
        </w:trPr>
        <w:tc>
          <w:tcPr>
            <w:tcW w:w="1805" w:type="dxa"/>
            <w:vMerge w:val="restart"/>
            <w:shd w:val="clear" w:color="auto" w:fill="auto"/>
            <w:tcMar>
              <w:left w:w="0" w:type="dxa"/>
            </w:tcMar>
          </w:tcPr>
          <w:p w14:paraId="4A89C796" w14:textId="77777777" w:rsidR="00E32778" w:rsidRDefault="00E32778" w:rsidP="00F57D57">
            <w:pPr>
              <w:pStyle w:val="Marginlie"/>
              <w:rPr>
                <w:spacing w:val="0"/>
              </w:rPr>
            </w:pPr>
          </w:p>
        </w:tc>
        <w:tc>
          <w:tcPr>
            <w:tcW w:w="224" w:type="dxa"/>
            <w:vMerge w:val="restart"/>
            <w:shd w:val="clear" w:color="auto" w:fill="auto"/>
            <w:tcMar>
              <w:left w:w="0" w:type="dxa"/>
            </w:tcMar>
          </w:tcPr>
          <w:p w14:paraId="22BA9358" w14:textId="77777777" w:rsidR="00E32778" w:rsidRPr="00793D78" w:rsidRDefault="00E32778" w:rsidP="00F57D57">
            <w:pPr>
              <w:pStyle w:val="Textpoznpodarou1"/>
              <w:jc w:val="both"/>
            </w:pPr>
          </w:p>
        </w:tc>
        <w:tc>
          <w:tcPr>
            <w:tcW w:w="7610" w:type="dxa"/>
            <w:shd w:val="clear" w:color="auto" w:fill="auto"/>
            <w:tcMar>
              <w:left w:w="0" w:type="dxa"/>
            </w:tcMar>
          </w:tcPr>
          <w:p w14:paraId="6AB3663E" w14:textId="77777777" w:rsidR="00E32778" w:rsidRDefault="00E32778" w:rsidP="00F57D57">
            <w:pPr>
              <w:spacing w:after="0"/>
            </w:pPr>
            <w:r>
              <w:rPr>
                <w:b/>
                <w:sz w:val="18"/>
                <w:szCs w:val="18"/>
                <w:lang w:eastAsia="en-US"/>
              </w:rPr>
              <w:t>Graf č. 10</w:t>
            </w:r>
            <w:r w:rsidRPr="00793D78">
              <w:rPr>
                <w:b/>
                <w:sz w:val="18"/>
                <w:szCs w:val="18"/>
                <w:lang w:eastAsia="en-US"/>
              </w:rPr>
              <w:t xml:space="preserve">  Ceny nemovitostí </w:t>
            </w:r>
            <w:r w:rsidRPr="009067EA">
              <w:rPr>
                <w:sz w:val="18"/>
                <w:szCs w:val="18"/>
                <w:lang w:eastAsia="en-US"/>
              </w:rPr>
              <w:t>(meziroční změna, v %)</w:t>
            </w:r>
          </w:p>
        </w:tc>
      </w:tr>
      <w:tr w:rsidR="00E32778" w:rsidRPr="009110F7" w14:paraId="47B28EFC" w14:textId="77777777" w:rsidTr="00F57D57">
        <w:tblPrEx>
          <w:tblCellMar>
            <w:left w:w="70" w:type="dxa"/>
            <w:right w:w="70" w:type="dxa"/>
          </w:tblCellMar>
        </w:tblPrEx>
        <w:trPr>
          <w:trHeight w:val="170"/>
        </w:trPr>
        <w:tc>
          <w:tcPr>
            <w:tcW w:w="1805" w:type="dxa"/>
            <w:vMerge/>
            <w:shd w:val="clear" w:color="auto" w:fill="auto"/>
          </w:tcPr>
          <w:p w14:paraId="0FA99FD2" w14:textId="77777777" w:rsidR="00E32778" w:rsidRDefault="00E32778" w:rsidP="00F57D57">
            <w:pPr>
              <w:pStyle w:val="Marginlie"/>
              <w:rPr>
                <w:spacing w:val="0"/>
              </w:rPr>
            </w:pPr>
          </w:p>
        </w:tc>
        <w:tc>
          <w:tcPr>
            <w:tcW w:w="224" w:type="dxa"/>
            <w:vMerge/>
            <w:shd w:val="clear" w:color="auto" w:fill="auto"/>
          </w:tcPr>
          <w:p w14:paraId="7964FB0D" w14:textId="77777777" w:rsidR="00E32778" w:rsidRPr="00793D78" w:rsidRDefault="00E32778" w:rsidP="00F57D57">
            <w:pPr>
              <w:pStyle w:val="Textpoznpodarou1"/>
              <w:jc w:val="both"/>
            </w:pPr>
          </w:p>
        </w:tc>
        <w:tc>
          <w:tcPr>
            <w:tcW w:w="7610" w:type="dxa"/>
            <w:shd w:val="clear" w:color="auto" w:fill="auto"/>
          </w:tcPr>
          <w:p w14:paraId="320011AB" w14:textId="77777777" w:rsidR="00E32778" w:rsidRDefault="00E32778" w:rsidP="00F57D57">
            <w:pPr>
              <w:spacing w:after="0"/>
            </w:pPr>
            <w:r>
              <w:rPr>
                <w:noProof/>
              </w:rPr>
              <w:drawing>
                <wp:inline distT="0" distB="0" distL="0" distR="0" wp14:anchorId="357181CA" wp14:editId="5E8CFACC">
                  <wp:extent cx="4737600" cy="3553200"/>
                  <wp:effectExtent l="0" t="0" r="6350" b="0"/>
                  <wp:docPr id="2" name="Graf 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E32778" w:rsidRPr="009110F7" w14:paraId="2B0E6175" w14:textId="77777777" w:rsidTr="00F57D57">
        <w:trPr>
          <w:trHeight w:val="170"/>
        </w:trPr>
        <w:tc>
          <w:tcPr>
            <w:tcW w:w="1805" w:type="dxa"/>
            <w:vMerge/>
            <w:shd w:val="clear" w:color="auto" w:fill="auto"/>
            <w:tcMar>
              <w:left w:w="0" w:type="dxa"/>
            </w:tcMar>
          </w:tcPr>
          <w:p w14:paraId="2824266D" w14:textId="77777777" w:rsidR="00E32778" w:rsidRDefault="00E32778" w:rsidP="00F57D57">
            <w:pPr>
              <w:pStyle w:val="Marginlie"/>
              <w:rPr>
                <w:spacing w:val="0"/>
              </w:rPr>
            </w:pPr>
          </w:p>
        </w:tc>
        <w:tc>
          <w:tcPr>
            <w:tcW w:w="224" w:type="dxa"/>
            <w:vMerge/>
            <w:shd w:val="clear" w:color="auto" w:fill="auto"/>
            <w:tcMar>
              <w:left w:w="0" w:type="dxa"/>
            </w:tcMar>
          </w:tcPr>
          <w:p w14:paraId="0DE2E503" w14:textId="77777777" w:rsidR="00E32778" w:rsidRPr="00793D78" w:rsidRDefault="00E32778" w:rsidP="00F57D57">
            <w:pPr>
              <w:pStyle w:val="Textpoznpodarou1"/>
              <w:jc w:val="both"/>
            </w:pPr>
          </w:p>
        </w:tc>
        <w:tc>
          <w:tcPr>
            <w:tcW w:w="7610" w:type="dxa"/>
            <w:shd w:val="clear" w:color="auto" w:fill="auto"/>
            <w:tcMar>
              <w:left w:w="0" w:type="dxa"/>
            </w:tcMar>
          </w:tcPr>
          <w:p w14:paraId="54786D85" w14:textId="77777777" w:rsidR="00E32778" w:rsidRDefault="00E32778" w:rsidP="00E32778">
            <w:pPr>
              <w:spacing w:after="0"/>
            </w:pPr>
            <w:r w:rsidRPr="00793D78">
              <w:rPr>
                <w:sz w:val="14"/>
                <w:szCs w:val="14"/>
              </w:rPr>
              <w:t>Zdroj: ČSÚ</w:t>
            </w:r>
          </w:p>
        </w:tc>
      </w:tr>
      <w:tr w:rsidR="00E32778" w:rsidRPr="009110F7" w14:paraId="23AC15D5" w14:textId="77777777" w:rsidTr="00F57D57">
        <w:trPr>
          <w:trHeight w:val="145"/>
        </w:trPr>
        <w:tc>
          <w:tcPr>
            <w:tcW w:w="1805" w:type="dxa"/>
            <w:shd w:val="clear" w:color="auto" w:fill="auto"/>
            <w:tcMar>
              <w:left w:w="0" w:type="dxa"/>
            </w:tcMar>
          </w:tcPr>
          <w:p w14:paraId="61BD8CAF" w14:textId="77777777" w:rsidR="00E32778" w:rsidRDefault="00E32778" w:rsidP="00F57D57">
            <w:pPr>
              <w:pStyle w:val="Marginlie"/>
              <w:rPr>
                <w:spacing w:val="0"/>
              </w:rPr>
            </w:pPr>
            <w:r>
              <w:rPr>
                <w:spacing w:val="0"/>
              </w:rPr>
              <w:lastRenderedPageBreak/>
              <w:t>Růst cen bytů dál zrychloval.</w:t>
            </w:r>
          </w:p>
        </w:tc>
        <w:tc>
          <w:tcPr>
            <w:tcW w:w="224" w:type="dxa"/>
            <w:shd w:val="clear" w:color="auto" w:fill="auto"/>
            <w:tcMar>
              <w:left w:w="0" w:type="dxa"/>
            </w:tcMar>
          </w:tcPr>
          <w:p w14:paraId="3FCB04D8" w14:textId="77777777" w:rsidR="00E32778" w:rsidRPr="00793D78" w:rsidRDefault="00E32778" w:rsidP="00F57D57">
            <w:pPr>
              <w:pStyle w:val="Textpoznpodarou1"/>
              <w:jc w:val="both"/>
            </w:pPr>
          </w:p>
        </w:tc>
        <w:tc>
          <w:tcPr>
            <w:tcW w:w="7610" w:type="dxa"/>
            <w:shd w:val="clear" w:color="auto" w:fill="auto"/>
            <w:tcMar>
              <w:left w:w="0" w:type="dxa"/>
            </w:tcMar>
          </w:tcPr>
          <w:p w14:paraId="6A85A231" w14:textId="77777777" w:rsidR="00E32778" w:rsidRDefault="00E32778" w:rsidP="00F57D57">
            <w:r>
              <w:t>Na trhu s nemovitostmi dál sílily tlaky působící ve směru nárůstu cen. Nabídkové ceny bytů v ČR ve 2. čtvrtletí meziročně rostly o 8,0 %, což je mírně více než v předchozím čtvrtletí. Přitom dál zrychlovala dynamika nabídkových cen bytů mimo Prahu (12,4 %), zatímco ceny v Praze rostly výrazně mírněji (4,5 %). Co se týká realizovaných cen starších bytů, zde došlo k další akceleraci, která meziroční nárůsty dostala k úrovni předchozího vrcholu z roku 2017. Realizované ceny starších bytů v ČR byly ve 2. čtvrtletí meziročně vyšší o 17,9 %. Z toho v Praze přírůstek dosáhl 15,8 %, zatímco mimo Prahu to bylo 18,5 %. Realizované ceny nových bytů v Praze vzrostly meziročně o 11,9 %. Výrazný převis dynamiky realizovaných cen nad nabídkovými cenami naznačuje velmi malou vyjednávací pozici kupujících v prostředí silného převisu poptávky nad nabídkou, který v některých oblastech trvá již několik let.</w:t>
            </w:r>
          </w:p>
        </w:tc>
      </w:tr>
      <w:tr w:rsidR="00E32778" w:rsidRPr="009110F7" w14:paraId="246B35C6" w14:textId="77777777" w:rsidTr="00F57D57">
        <w:trPr>
          <w:trHeight w:val="145"/>
        </w:trPr>
        <w:tc>
          <w:tcPr>
            <w:tcW w:w="1805" w:type="dxa"/>
            <w:shd w:val="clear" w:color="auto" w:fill="auto"/>
            <w:tcMar>
              <w:left w:w="0" w:type="dxa"/>
            </w:tcMar>
          </w:tcPr>
          <w:p w14:paraId="1BCE52AA" w14:textId="77777777" w:rsidR="00E32778" w:rsidRDefault="00E32778" w:rsidP="00F57D57">
            <w:pPr>
              <w:pStyle w:val="Marginlie"/>
              <w:rPr>
                <w:spacing w:val="0"/>
              </w:rPr>
            </w:pPr>
            <w:r>
              <w:rPr>
                <w:spacing w:val="0"/>
              </w:rPr>
              <w:t>Meziroční růst spotřebitelských cen v EU posílil.</w:t>
            </w:r>
          </w:p>
        </w:tc>
        <w:tc>
          <w:tcPr>
            <w:tcW w:w="224" w:type="dxa"/>
            <w:shd w:val="clear" w:color="auto" w:fill="auto"/>
            <w:tcMar>
              <w:left w:w="0" w:type="dxa"/>
            </w:tcMar>
          </w:tcPr>
          <w:p w14:paraId="554605C5" w14:textId="77777777" w:rsidR="00E32778" w:rsidRPr="00793D78" w:rsidRDefault="00E32778" w:rsidP="00F57D57">
            <w:pPr>
              <w:pStyle w:val="Textpoznpodarou1"/>
              <w:jc w:val="both"/>
            </w:pPr>
          </w:p>
        </w:tc>
        <w:tc>
          <w:tcPr>
            <w:tcW w:w="7610" w:type="dxa"/>
            <w:shd w:val="clear" w:color="auto" w:fill="auto"/>
            <w:tcMar>
              <w:left w:w="0" w:type="dxa"/>
            </w:tcMar>
          </w:tcPr>
          <w:p w14:paraId="7A583160" w14:textId="77777777" w:rsidR="00E32778" w:rsidRDefault="00E32778" w:rsidP="00067982">
            <w:r>
              <w:t>Také v Evropské unii postupně zrychluje meziroční růst spotřebitelských cen. Ve 2. čtvrtletí index meziročně vzrostl o 2,2 % (v 1. kvartálu to bylo 1,4 %). Zrychlení je ovlivněno především meziročním nárůstem cen dopravy, posun vzhůru je ale v EU patrný také u dynamiky cen bydlení a energií. Zmírnil naopak růst cen potravin. Nejvíce se spotřebitelské ceny ve 2. čtvrtletí zvyšovaly v Maďarsku (5,3 %), Polsku (4,6 %) a Lucembursku (3,6 %). Výrazně nadprůměrně ale rostly ceny i v</w:t>
            </w:r>
            <w:r w:rsidR="00067982">
              <w:t> Litvě a Estonsku</w:t>
            </w:r>
            <w:r>
              <w:t xml:space="preserve">, Rumunsku a Česku. Jediné dvě ekonomiky, kde došlo ve 2. čtvrtletí k meziročnímu poklesu, byly </w:t>
            </w:r>
            <w:proofErr w:type="gramStart"/>
            <w:r>
              <w:t>Řecko (–0,6</w:t>
            </w:r>
            <w:proofErr w:type="gramEnd"/>
            <w:r>
              <w:t> %) a Portugalsko (–0,1 %). Stagnovaly spotřebitelské ceny na Maltě (0,1 %).</w:t>
            </w:r>
          </w:p>
        </w:tc>
      </w:tr>
      <w:tr w:rsidR="00E32778" w:rsidRPr="009110F7" w14:paraId="63BADB45" w14:textId="77777777" w:rsidTr="00F57D57">
        <w:trPr>
          <w:trHeight w:val="170"/>
        </w:trPr>
        <w:tc>
          <w:tcPr>
            <w:tcW w:w="1805" w:type="dxa"/>
            <w:vMerge w:val="restart"/>
            <w:shd w:val="clear" w:color="auto" w:fill="auto"/>
            <w:tcMar>
              <w:left w:w="0" w:type="dxa"/>
            </w:tcMar>
          </w:tcPr>
          <w:p w14:paraId="3FFAB72F" w14:textId="77777777" w:rsidR="00E32778" w:rsidRDefault="00E32778" w:rsidP="00F57D57">
            <w:pPr>
              <w:pStyle w:val="Marginlie"/>
              <w:rPr>
                <w:spacing w:val="0"/>
              </w:rPr>
            </w:pPr>
          </w:p>
        </w:tc>
        <w:tc>
          <w:tcPr>
            <w:tcW w:w="224" w:type="dxa"/>
            <w:vMerge w:val="restart"/>
            <w:shd w:val="clear" w:color="auto" w:fill="auto"/>
            <w:tcMar>
              <w:left w:w="0" w:type="dxa"/>
            </w:tcMar>
          </w:tcPr>
          <w:p w14:paraId="10526024" w14:textId="77777777" w:rsidR="00E32778" w:rsidRPr="00793D78" w:rsidRDefault="00E32778" w:rsidP="00F57D57">
            <w:pPr>
              <w:pStyle w:val="Textpoznpodarou1"/>
              <w:jc w:val="both"/>
              <w:rPr>
                <w:highlight w:val="yellow"/>
              </w:rPr>
            </w:pPr>
          </w:p>
        </w:tc>
        <w:tc>
          <w:tcPr>
            <w:tcW w:w="7610" w:type="dxa"/>
            <w:shd w:val="clear" w:color="auto" w:fill="auto"/>
            <w:tcMar>
              <w:left w:w="0" w:type="dxa"/>
            </w:tcMar>
          </w:tcPr>
          <w:p w14:paraId="433F054B" w14:textId="77777777" w:rsidR="00E32778" w:rsidRPr="00D75AC1" w:rsidRDefault="00E32778" w:rsidP="00F57D57">
            <w:pPr>
              <w:spacing w:after="0"/>
              <w:rPr>
                <w:b/>
                <w:szCs w:val="20"/>
              </w:rPr>
            </w:pPr>
            <w:r>
              <w:rPr>
                <w:b/>
                <w:sz w:val="18"/>
                <w:szCs w:val="18"/>
              </w:rPr>
              <w:t>Graf č. 11</w:t>
            </w:r>
            <w:r w:rsidRPr="00793D78">
              <w:rPr>
                <w:b/>
                <w:sz w:val="18"/>
                <w:szCs w:val="18"/>
              </w:rPr>
              <w:t xml:space="preserve">  </w:t>
            </w:r>
            <w:r w:rsidRPr="00793D78">
              <w:rPr>
                <w:b/>
                <w:sz w:val="18"/>
                <w:szCs w:val="18"/>
                <w:lang w:eastAsia="en-US"/>
              </w:rPr>
              <w:t xml:space="preserve">Ceny hlavních skupin průmyslových výrobců </w:t>
            </w:r>
            <w:r w:rsidRPr="009067EA">
              <w:rPr>
                <w:sz w:val="18"/>
                <w:szCs w:val="18"/>
                <w:lang w:eastAsia="en-US"/>
              </w:rPr>
              <w:t>(meziroční změna, v %, podle klasifikace CPA)</w:t>
            </w:r>
          </w:p>
        </w:tc>
      </w:tr>
      <w:tr w:rsidR="00E32778" w:rsidRPr="009110F7" w14:paraId="6F9CC68F" w14:textId="77777777" w:rsidTr="00F57D57">
        <w:tblPrEx>
          <w:tblCellMar>
            <w:left w:w="70" w:type="dxa"/>
            <w:right w:w="70" w:type="dxa"/>
          </w:tblCellMar>
        </w:tblPrEx>
        <w:trPr>
          <w:trHeight w:val="170"/>
        </w:trPr>
        <w:tc>
          <w:tcPr>
            <w:tcW w:w="1805" w:type="dxa"/>
            <w:vMerge/>
            <w:shd w:val="clear" w:color="auto" w:fill="auto"/>
          </w:tcPr>
          <w:p w14:paraId="127ADBC8" w14:textId="77777777" w:rsidR="00E32778" w:rsidRPr="00793D78" w:rsidRDefault="00E32778" w:rsidP="00F57D57">
            <w:pPr>
              <w:pStyle w:val="Marginlie"/>
              <w:rPr>
                <w:spacing w:val="0"/>
              </w:rPr>
            </w:pPr>
          </w:p>
        </w:tc>
        <w:tc>
          <w:tcPr>
            <w:tcW w:w="224" w:type="dxa"/>
            <w:vMerge/>
            <w:shd w:val="clear" w:color="auto" w:fill="auto"/>
          </w:tcPr>
          <w:p w14:paraId="0E4E48D9" w14:textId="77777777" w:rsidR="00E32778" w:rsidRPr="00793D78" w:rsidRDefault="00E32778" w:rsidP="00F57D57">
            <w:pPr>
              <w:pStyle w:val="Textpoznpodarou1"/>
              <w:jc w:val="both"/>
            </w:pPr>
          </w:p>
        </w:tc>
        <w:tc>
          <w:tcPr>
            <w:tcW w:w="7610" w:type="dxa"/>
            <w:shd w:val="clear" w:color="auto" w:fill="auto"/>
          </w:tcPr>
          <w:p w14:paraId="6C4D615B" w14:textId="77777777" w:rsidR="00E32778" w:rsidRPr="00793D78" w:rsidRDefault="00E32778" w:rsidP="00F57D57">
            <w:pPr>
              <w:spacing w:after="0"/>
            </w:pPr>
            <w:r>
              <w:rPr>
                <w:noProof/>
              </w:rPr>
              <w:drawing>
                <wp:inline distT="0" distB="0" distL="0" distR="0" wp14:anchorId="617E4AD6" wp14:editId="4509CEB5">
                  <wp:extent cx="4737600" cy="3553200"/>
                  <wp:effectExtent l="0" t="0" r="6350" b="0"/>
                  <wp:docPr id="20" name="Graf 20">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E32778" w:rsidRPr="009110F7" w14:paraId="5C4B1497" w14:textId="77777777" w:rsidTr="00F57D57">
        <w:trPr>
          <w:trHeight w:val="170"/>
        </w:trPr>
        <w:tc>
          <w:tcPr>
            <w:tcW w:w="1805" w:type="dxa"/>
            <w:vMerge/>
            <w:shd w:val="clear" w:color="auto" w:fill="auto"/>
            <w:tcMar>
              <w:left w:w="0" w:type="dxa"/>
            </w:tcMar>
          </w:tcPr>
          <w:p w14:paraId="6C7A485E" w14:textId="77777777" w:rsidR="00E32778" w:rsidRPr="00793D78" w:rsidRDefault="00E32778" w:rsidP="00F57D57">
            <w:pPr>
              <w:pStyle w:val="Marginlie"/>
              <w:rPr>
                <w:spacing w:val="0"/>
              </w:rPr>
            </w:pPr>
          </w:p>
        </w:tc>
        <w:tc>
          <w:tcPr>
            <w:tcW w:w="224" w:type="dxa"/>
            <w:vMerge/>
            <w:shd w:val="clear" w:color="auto" w:fill="auto"/>
            <w:tcMar>
              <w:left w:w="0" w:type="dxa"/>
            </w:tcMar>
          </w:tcPr>
          <w:p w14:paraId="2A37380F" w14:textId="77777777" w:rsidR="00E32778" w:rsidRPr="00793D78" w:rsidRDefault="00E32778" w:rsidP="00F57D57">
            <w:pPr>
              <w:pStyle w:val="Textpoznpodarou1"/>
              <w:jc w:val="both"/>
            </w:pPr>
          </w:p>
        </w:tc>
        <w:tc>
          <w:tcPr>
            <w:tcW w:w="7610" w:type="dxa"/>
            <w:shd w:val="clear" w:color="auto" w:fill="auto"/>
            <w:tcMar>
              <w:left w:w="0" w:type="dxa"/>
            </w:tcMar>
          </w:tcPr>
          <w:p w14:paraId="236E5F4F" w14:textId="77777777" w:rsidR="00E32778" w:rsidRPr="00793D78" w:rsidRDefault="00E32778" w:rsidP="00F57D57">
            <w:r w:rsidRPr="00793D78">
              <w:rPr>
                <w:sz w:val="14"/>
                <w:szCs w:val="14"/>
              </w:rPr>
              <w:t>Zdroj: ČSÚ</w:t>
            </w:r>
          </w:p>
        </w:tc>
      </w:tr>
      <w:tr w:rsidR="00E32778" w:rsidRPr="009110F7" w14:paraId="303A74F8" w14:textId="77777777" w:rsidTr="00F57D57">
        <w:trPr>
          <w:trHeight w:val="145"/>
        </w:trPr>
        <w:tc>
          <w:tcPr>
            <w:tcW w:w="1805" w:type="dxa"/>
            <w:shd w:val="clear" w:color="auto" w:fill="auto"/>
            <w:tcMar>
              <w:left w:w="0" w:type="dxa"/>
            </w:tcMar>
          </w:tcPr>
          <w:p w14:paraId="4761DC37" w14:textId="77777777" w:rsidR="00E32778" w:rsidRDefault="00E32778" w:rsidP="00F57D57">
            <w:pPr>
              <w:pStyle w:val="Marginlie"/>
              <w:rPr>
                <w:spacing w:val="0"/>
              </w:rPr>
            </w:pPr>
            <w:r>
              <w:rPr>
                <w:spacing w:val="0"/>
              </w:rPr>
              <w:t>Ceny průmyslových výrobců meziročně vyskočily nejvíce od roku 2011.</w:t>
            </w:r>
          </w:p>
        </w:tc>
        <w:tc>
          <w:tcPr>
            <w:tcW w:w="224" w:type="dxa"/>
            <w:shd w:val="clear" w:color="auto" w:fill="auto"/>
            <w:tcMar>
              <w:left w:w="0" w:type="dxa"/>
            </w:tcMar>
          </w:tcPr>
          <w:p w14:paraId="104A1162" w14:textId="77777777" w:rsidR="00E32778" w:rsidRPr="00793D78" w:rsidRDefault="00E32778" w:rsidP="00F57D57">
            <w:pPr>
              <w:pStyle w:val="Textpoznpodarou1"/>
              <w:jc w:val="both"/>
            </w:pPr>
          </w:p>
        </w:tc>
        <w:tc>
          <w:tcPr>
            <w:tcW w:w="7610" w:type="dxa"/>
            <w:shd w:val="clear" w:color="auto" w:fill="auto"/>
            <w:tcMar>
              <w:left w:w="0" w:type="dxa"/>
            </w:tcMar>
          </w:tcPr>
          <w:p w14:paraId="0489A98F" w14:textId="77777777" w:rsidR="00E32778" w:rsidRDefault="00E32778" w:rsidP="00F57D57">
            <w:r>
              <w:t xml:space="preserve">Výrazné zrychlení se týkalo i meziročního přírůstku cen průmyslových výrobců. Ten ve 2. čtvrtletí dosáhl 5,3 % (v 1. kvartálu 1,5 %), což je nejvíce od 3. čtvrtletí 2011. Za celé 1. pololetí se tak ceny meziročně zvýšily o 3,4 %. I v případě cen průmyslových výrobců lze mluvit o vlivu prudkého meziročního navýšení cen ropy. To bylo patrné u cen těžby a dobývání, které se meziročně zvýšily o 0,8 % po více než rok trvající sérii poklesů. Dynamika cen výrobků a služeb zpracovatelského průmyslu zrychlila na 6,5 % </w:t>
            </w:r>
            <w:r>
              <w:lastRenderedPageBreak/>
              <w:t>a nejvíce k tomu přispěly ceny koksu a rafinovaných ropných výrobků</w:t>
            </w:r>
            <w:r>
              <w:rPr>
                <w:rStyle w:val="Znakapoznpodarou"/>
              </w:rPr>
              <w:footnoteReference w:id="46"/>
            </w:r>
            <w:r>
              <w:t>. Mimořádně silně se navýšily ceny chemických látek a výrobků (38,4 %) a také obecných kovů a kovodělných výrobků (10,7 %). K meziročnímu růstu cen průmyslových výrobců významně přispívalo i dřevo, papír a tisk (5,4 %) a pryžové a plastové výrobky (2,7 %). Výrazný byl i přírůstek cen elektrických zařízení (4,1 %), textilu, oděvů a usní (3,1 %) a nábytku a ostatních výrobků zpracovatelského průmyslu (2,9 %). Meziročně klesly ceny dopravních prostředků a počítačů, elektronických a optických přístrojů (shodně o 2,6 %) a pak potravinářských výrobků, nápojů a </w:t>
            </w:r>
            <w:proofErr w:type="gramStart"/>
            <w:r>
              <w:t>tabáku (–0,6</w:t>
            </w:r>
            <w:proofErr w:type="gramEnd"/>
            <w:r>
              <w:t> %). Ceny elektřiny, plynu, páry a klimatizovaného vzduchu meziročně stagnovaly (0,1 %). Naopak přírůstek u zásobování vodou a služeb souvisejících s odpadními vodami zůstal silný (6,2 %).</w:t>
            </w:r>
          </w:p>
        </w:tc>
      </w:tr>
      <w:tr w:rsidR="00E32778" w:rsidRPr="009110F7" w14:paraId="3FEDE3C9" w14:textId="77777777" w:rsidTr="00F57D57">
        <w:trPr>
          <w:trHeight w:val="145"/>
        </w:trPr>
        <w:tc>
          <w:tcPr>
            <w:tcW w:w="1805" w:type="dxa"/>
            <w:shd w:val="clear" w:color="auto" w:fill="auto"/>
            <w:tcMar>
              <w:left w:w="0" w:type="dxa"/>
            </w:tcMar>
          </w:tcPr>
          <w:p w14:paraId="4DA61367" w14:textId="77777777" w:rsidR="00E32778" w:rsidRDefault="00E32778" w:rsidP="00F57D57">
            <w:pPr>
              <w:pStyle w:val="Marginlie"/>
              <w:rPr>
                <w:spacing w:val="0"/>
              </w:rPr>
            </w:pPr>
            <w:r>
              <w:rPr>
                <w:spacing w:val="0"/>
              </w:rPr>
              <w:lastRenderedPageBreak/>
              <w:t>Ceny průmyslových výrobců v EU meziročně rostly mimořádně silně.</w:t>
            </w:r>
          </w:p>
        </w:tc>
        <w:tc>
          <w:tcPr>
            <w:tcW w:w="224" w:type="dxa"/>
            <w:shd w:val="clear" w:color="auto" w:fill="auto"/>
            <w:tcMar>
              <w:left w:w="0" w:type="dxa"/>
            </w:tcMar>
          </w:tcPr>
          <w:p w14:paraId="774330EE" w14:textId="77777777" w:rsidR="00E32778" w:rsidRPr="00793D78" w:rsidRDefault="00E32778" w:rsidP="00F57D57">
            <w:pPr>
              <w:pStyle w:val="Textpoznpodarou1"/>
              <w:jc w:val="both"/>
            </w:pPr>
          </w:p>
        </w:tc>
        <w:tc>
          <w:tcPr>
            <w:tcW w:w="7610" w:type="dxa"/>
            <w:shd w:val="clear" w:color="auto" w:fill="auto"/>
            <w:tcMar>
              <w:left w:w="0" w:type="dxa"/>
            </w:tcMar>
          </w:tcPr>
          <w:p w14:paraId="67B9047B" w14:textId="77777777" w:rsidR="00E32778" w:rsidRDefault="00E32778" w:rsidP="00C07279">
            <w:r>
              <w:t>Ceny průmyslových výrobců v EU se ve 2. čtvrtletí meziročně navýšily o 9,2 %. To je masivní zrychlení oproti 1. čtvrtletí (2,2 %). Rostoucí ceny ropy silně ovlivnily posílení meziročního nárůstu cen těžby a dobývání (22,5 %) i ceny ve zpracovatelském průmyslu (7,0 %). Zrychlila rovněž meziroční dynamika cen elektřiny, plynu, páry a klimatizovaného vzduchu (18,</w:t>
            </w:r>
            <w:r w:rsidR="00C07279">
              <w:t>4</w:t>
            </w:r>
            <w:r>
              <w:t> %). Meziročně rostly ceny průmyslových výrobců v celé Unii a více než 10% přírůstek vykázalo celkem 10 zemí EU. Nejvíce se meziročně zvyšovaly ceny výrobců v Irsku (40,5 %), Belgii (17,9 %) a Dánsku (16,6 %). Mírnější byl nárůst v případě Malty (1,1 %), Slovenska (2,6 %) a Slovinska (4,2 %). I Česko přes výrazný nárůst patřilo k zemím s dynamikou pod průměrem EU.</w:t>
            </w:r>
          </w:p>
        </w:tc>
      </w:tr>
      <w:tr w:rsidR="00E32778" w:rsidRPr="009110F7" w14:paraId="6D3DF773" w14:textId="77777777" w:rsidTr="00F57D57">
        <w:trPr>
          <w:trHeight w:val="145"/>
        </w:trPr>
        <w:tc>
          <w:tcPr>
            <w:tcW w:w="1805" w:type="dxa"/>
            <w:shd w:val="clear" w:color="auto" w:fill="auto"/>
            <w:tcMar>
              <w:left w:w="0" w:type="dxa"/>
            </w:tcMar>
          </w:tcPr>
          <w:p w14:paraId="24486E96" w14:textId="77777777" w:rsidR="00E32778" w:rsidRPr="00793D78" w:rsidRDefault="00E32778" w:rsidP="00F57D57">
            <w:pPr>
              <w:pStyle w:val="Marginlie"/>
              <w:rPr>
                <w:spacing w:val="0"/>
              </w:rPr>
            </w:pPr>
            <w:r>
              <w:rPr>
                <w:spacing w:val="0"/>
              </w:rPr>
              <w:t>Dál zpomalovalo meziroční tempo růstu cen tržních služeb.</w:t>
            </w:r>
          </w:p>
        </w:tc>
        <w:tc>
          <w:tcPr>
            <w:tcW w:w="224" w:type="dxa"/>
            <w:shd w:val="clear" w:color="auto" w:fill="auto"/>
            <w:tcMar>
              <w:left w:w="0" w:type="dxa"/>
            </w:tcMar>
          </w:tcPr>
          <w:p w14:paraId="09C73ECC" w14:textId="77777777" w:rsidR="00E32778" w:rsidRPr="00793D78" w:rsidRDefault="00E32778" w:rsidP="00F57D57">
            <w:pPr>
              <w:pStyle w:val="Textpoznpodarou1"/>
              <w:jc w:val="both"/>
            </w:pPr>
          </w:p>
        </w:tc>
        <w:tc>
          <w:tcPr>
            <w:tcW w:w="7610" w:type="dxa"/>
            <w:shd w:val="clear" w:color="auto" w:fill="auto"/>
            <w:tcMar>
              <w:left w:w="0" w:type="dxa"/>
            </w:tcMar>
          </w:tcPr>
          <w:p w14:paraId="3BC0C478" w14:textId="77777777" w:rsidR="00E32778" w:rsidRPr="00793D78" w:rsidRDefault="00E32778" w:rsidP="00F57D57">
            <w:r>
              <w:t xml:space="preserve">Všeobecné zpomalení ekonomiky dál působilo na index cen tržních služeb, jehož dynamika opět zmírnila. Ceny tržních služeb ve 2. čtvrtletí meziročně vzrostly o 1,0 %, což je nejméně od 1. čtvrtletí 2017. Nejvíce k meziročnímu růstu přes zpomalení přispívaly ceny služeb v oblasti programování a souvisejícího poradenství, které meziročně vzrostly o 3,1 %. Významnější příspěvek měly také ceny pozemní a potrubní dopravy (1,4 %), služby v oblasti nemovitostí (1,5 %) a služby v oblasti zaměstnání (6,1 %, výrazné zrychlení oproti předchozím třem kvartálům). Ostatní odvětví přispívala jen drobně – skladování a podpůrné služby v dopravě (1,0 %), poštovní a kurýrní služby (2,0 %), právní a účetnické služby (2,0 %), vedení podniků, poradenství v oblasti řízení (2,4 %) a bezpečnostní a pátrací služby (3,5 %). Výrazněji ve směru poklesu cen působily informační </w:t>
            </w:r>
            <w:proofErr w:type="gramStart"/>
            <w:r>
              <w:t>služby (–4,8</w:t>
            </w:r>
            <w:proofErr w:type="gramEnd"/>
            <w:r>
              <w:t> %), architektonické a inženýrské služby a technické zkoušky a analýzy (–1,2 %) a reklamní služby a průzkum trhu (–1,8 %).</w:t>
            </w:r>
          </w:p>
        </w:tc>
      </w:tr>
      <w:tr w:rsidR="00E32778" w:rsidRPr="009110F7" w14:paraId="38EB766A" w14:textId="77777777" w:rsidTr="00F57D57">
        <w:trPr>
          <w:trHeight w:val="145"/>
        </w:trPr>
        <w:tc>
          <w:tcPr>
            <w:tcW w:w="1805" w:type="dxa"/>
            <w:shd w:val="clear" w:color="auto" w:fill="auto"/>
            <w:tcMar>
              <w:left w:w="0" w:type="dxa"/>
            </w:tcMar>
          </w:tcPr>
          <w:p w14:paraId="7D4AD808" w14:textId="77777777" w:rsidR="00E32778" w:rsidRPr="00793D78" w:rsidRDefault="00E32778" w:rsidP="00F57D57">
            <w:pPr>
              <w:pStyle w:val="Marginlie"/>
              <w:rPr>
                <w:spacing w:val="0"/>
              </w:rPr>
            </w:pPr>
            <w:r>
              <w:rPr>
                <w:spacing w:val="0"/>
              </w:rPr>
              <w:t>Ceny zemědělské výroby vzrostly.</w:t>
            </w:r>
          </w:p>
        </w:tc>
        <w:tc>
          <w:tcPr>
            <w:tcW w:w="224" w:type="dxa"/>
            <w:shd w:val="clear" w:color="auto" w:fill="auto"/>
            <w:tcMar>
              <w:left w:w="0" w:type="dxa"/>
            </w:tcMar>
          </w:tcPr>
          <w:p w14:paraId="3B4EA26B" w14:textId="77777777" w:rsidR="00E32778" w:rsidRPr="00793D78" w:rsidRDefault="00E32778" w:rsidP="00F57D57">
            <w:pPr>
              <w:pStyle w:val="Textpoznpodarou1"/>
              <w:jc w:val="both"/>
            </w:pPr>
          </w:p>
        </w:tc>
        <w:tc>
          <w:tcPr>
            <w:tcW w:w="7610" w:type="dxa"/>
            <w:shd w:val="clear" w:color="auto" w:fill="auto"/>
            <w:tcMar>
              <w:left w:w="0" w:type="dxa"/>
            </w:tcMar>
          </w:tcPr>
          <w:p w14:paraId="52B9B1EB" w14:textId="77777777" w:rsidR="00E32778" w:rsidRPr="00CB64E1" w:rsidRDefault="00E32778" w:rsidP="00F57D57">
            <w:pPr>
              <w:rPr>
                <w:spacing w:val="-2"/>
              </w:rPr>
            </w:pPr>
            <w:r>
              <w:rPr>
                <w:spacing w:val="-2"/>
              </w:rPr>
              <w:t xml:space="preserve">Ceny zemědělské výroby se meziročně zvýšily o 3,8 %. Jde o první přírůstek od 3. čtvrtletí 2019. Výrazně posílil přírůstek cen rostlinné výroby (8,9 %). Přispěl k tomu 12,0% nárůst cen obilovin, kde se výrazně zvýšily ceny pšenice (16,2 %) i kukuřice (22,2 %). Posílení dynamiky bylo vidět také u průmyslových plodin (10,8 %), z toho olejniny zdražily o 11,0 % (především řepka). Ceny krmných plodin se zvýšily o 2,1 %. Naopak ceny zeleniny a zahradnických produktů klesly o 4,4 %, brambor o 15,5 % a ovoce o 5,2 %. Ceny živočišné výroby dál klesaly, ale jejich meziroční propad se ve 2. čtvrtletí zmírnil na 1,6 %. Především pod vlivem cen prasat se totiž zmírnil hluboký pokles u hospodářských </w:t>
            </w:r>
            <w:proofErr w:type="gramStart"/>
            <w:r>
              <w:rPr>
                <w:spacing w:val="-2"/>
              </w:rPr>
              <w:t>zvířat (–7,3</w:t>
            </w:r>
            <w:proofErr w:type="gramEnd"/>
            <w:r>
              <w:rPr>
                <w:spacing w:val="-2"/>
              </w:rPr>
              <w:t> %). Ceny živočišných výrobků vzrostly o 3,1 %, z toho ceny mléka o 2,9 % a vajec o 4,6 %.</w:t>
            </w:r>
          </w:p>
        </w:tc>
      </w:tr>
      <w:tr w:rsidR="00E32778" w:rsidRPr="009110F7" w14:paraId="1A13AEF9" w14:textId="77777777" w:rsidTr="00F57D57">
        <w:trPr>
          <w:trHeight w:val="145"/>
        </w:trPr>
        <w:tc>
          <w:tcPr>
            <w:tcW w:w="1805" w:type="dxa"/>
            <w:shd w:val="clear" w:color="auto" w:fill="auto"/>
            <w:tcMar>
              <w:left w:w="0" w:type="dxa"/>
            </w:tcMar>
          </w:tcPr>
          <w:p w14:paraId="3C2A8584" w14:textId="77777777" w:rsidR="00E32778" w:rsidRPr="00793D78" w:rsidRDefault="00E32778" w:rsidP="00F57D57">
            <w:pPr>
              <w:pStyle w:val="Marginlie"/>
              <w:rPr>
                <w:spacing w:val="0"/>
              </w:rPr>
            </w:pPr>
            <w:r>
              <w:rPr>
                <w:spacing w:val="0"/>
              </w:rPr>
              <w:t>Růst cen exportu oslabil.</w:t>
            </w:r>
          </w:p>
        </w:tc>
        <w:tc>
          <w:tcPr>
            <w:tcW w:w="224" w:type="dxa"/>
            <w:shd w:val="clear" w:color="auto" w:fill="auto"/>
            <w:tcMar>
              <w:left w:w="0" w:type="dxa"/>
            </w:tcMar>
          </w:tcPr>
          <w:p w14:paraId="4650FDF5" w14:textId="77777777" w:rsidR="00E32778" w:rsidRPr="00793D78" w:rsidRDefault="00E32778" w:rsidP="00F57D57">
            <w:pPr>
              <w:pStyle w:val="Textpoznpodarou1"/>
              <w:jc w:val="both"/>
            </w:pPr>
          </w:p>
        </w:tc>
        <w:tc>
          <w:tcPr>
            <w:tcW w:w="7610" w:type="dxa"/>
            <w:shd w:val="clear" w:color="auto" w:fill="auto"/>
            <w:tcMar>
              <w:left w:w="0" w:type="dxa"/>
            </w:tcMar>
          </w:tcPr>
          <w:p w14:paraId="2C2B7426" w14:textId="4E795B2B" w:rsidR="00E32778" w:rsidRPr="00793D78" w:rsidRDefault="00E32778" w:rsidP="00FA3FA8">
            <w:r>
              <w:t>Ceny vývozu ve 2. čtvrtletí 2021 meziročně vzrostly o 1,8 %. Výrazné zpomalení tempa</w:t>
            </w:r>
            <w:r w:rsidR="00FA3FA8">
              <w:t xml:space="preserve"> růstu</w:t>
            </w:r>
            <w:r>
              <w:t xml:space="preserve"> ve srovnání s 1. čtvrtletím lze připsat zejména velkému meziročnímu posílení kurzu koruny</w:t>
            </w:r>
            <w:r>
              <w:rPr>
                <w:rStyle w:val="Znakapoznpodarou"/>
              </w:rPr>
              <w:footnoteReference w:id="47"/>
            </w:r>
            <w:r>
              <w:t xml:space="preserve">, které aktuálně působí silně protiinflačně. Ve 2. čtvrtletí se nejvíce meziročně zvyšovaly ceny exportu minerálních paliv a maziv (47,2 %) a ostatních </w:t>
            </w:r>
            <w:r>
              <w:lastRenderedPageBreak/>
              <w:t>surovin</w:t>
            </w:r>
            <w:r>
              <w:rPr>
                <w:rStyle w:val="Znakapoznpodarou"/>
              </w:rPr>
              <w:footnoteReference w:id="48"/>
            </w:r>
            <w:r>
              <w:t xml:space="preserve"> (37,6 %). Silné bylo i navýšení u chemikálií a příbuzných výrobků (9,5 %). Naopak oslabil meziroční přírůstek cen polotovarů</w:t>
            </w:r>
            <w:r>
              <w:rPr>
                <w:rStyle w:val="Znakapoznpodarou"/>
              </w:rPr>
              <w:footnoteReference w:id="49"/>
            </w:r>
            <w:r>
              <w:t xml:space="preserve"> (2,7 %) a potravin a živých zvířat (1,0 %). Do hlubokého poklesu se dostala meziroční dynamika cen vývozu nápojů a </w:t>
            </w:r>
            <w:proofErr w:type="gramStart"/>
            <w:r>
              <w:t>tabáku</w:t>
            </w:r>
            <w:r w:rsidR="00FA3FA8">
              <w:t xml:space="preserve"> </w:t>
            </w:r>
            <w:r>
              <w:t>(–6,2</w:t>
            </w:r>
            <w:proofErr w:type="gramEnd"/>
            <w:r>
              <w:t xml:space="preserve"> %) a průmyslového spotřebního zboží (–4,1 %). Meziročně se snížily i ceny strojů a dopravních prostředků (–1,5 %), které přitom v předchozích čtyřech kvartálech výrazně </w:t>
            </w:r>
            <w:proofErr w:type="gramStart"/>
            <w:r>
              <w:t>rostly a nejvíce</w:t>
            </w:r>
            <w:proofErr w:type="gramEnd"/>
            <w:r>
              <w:t xml:space="preserve"> se u nich projevilo posílení koruny.</w:t>
            </w:r>
          </w:p>
        </w:tc>
      </w:tr>
      <w:tr w:rsidR="00E32778" w:rsidRPr="009110F7" w14:paraId="598A9378" w14:textId="77777777" w:rsidTr="00F57D57">
        <w:trPr>
          <w:trHeight w:val="145"/>
        </w:trPr>
        <w:tc>
          <w:tcPr>
            <w:tcW w:w="1805" w:type="dxa"/>
            <w:shd w:val="clear" w:color="auto" w:fill="auto"/>
            <w:tcMar>
              <w:left w:w="0" w:type="dxa"/>
            </w:tcMar>
          </w:tcPr>
          <w:p w14:paraId="002C3FC8" w14:textId="77777777" w:rsidR="00E32778" w:rsidRPr="00793D78" w:rsidRDefault="00E32778" w:rsidP="00F57D57">
            <w:pPr>
              <w:pStyle w:val="Marginlie"/>
              <w:rPr>
                <w:spacing w:val="0"/>
              </w:rPr>
            </w:pPr>
            <w:r>
              <w:rPr>
                <w:spacing w:val="0"/>
              </w:rPr>
              <w:lastRenderedPageBreak/>
              <w:t>Směnné relace byly poprvé po více než dvou letech záporné.</w:t>
            </w:r>
          </w:p>
        </w:tc>
        <w:tc>
          <w:tcPr>
            <w:tcW w:w="224" w:type="dxa"/>
            <w:shd w:val="clear" w:color="auto" w:fill="auto"/>
            <w:tcMar>
              <w:left w:w="0" w:type="dxa"/>
            </w:tcMar>
          </w:tcPr>
          <w:p w14:paraId="3C978D69" w14:textId="77777777" w:rsidR="00E32778" w:rsidRPr="00793D78" w:rsidRDefault="00E32778" w:rsidP="00F57D57">
            <w:pPr>
              <w:pStyle w:val="Textpoznpodarou1"/>
              <w:jc w:val="both"/>
            </w:pPr>
          </w:p>
        </w:tc>
        <w:tc>
          <w:tcPr>
            <w:tcW w:w="7610" w:type="dxa"/>
            <w:shd w:val="clear" w:color="auto" w:fill="auto"/>
            <w:tcMar>
              <w:left w:w="0" w:type="dxa"/>
            </w:tcMar>
          </w:tcPr>
          <w:p w14:paraId="1D18C000" w14:textId="77777777" w:rsidR="00E32778" w:rsidRDefault="00E32778" w:rsidP="00F57D57">
            <w:r>
              <w:t xml:space="preserve">Ceny dovozu byly ve 2. čtvrtletí meziročně vyšší o 2,3 %. Nejvíce narostly ceny minerálních paliv (71,8 %) a ostatních surovin (21,6 %). Výrazně rostly i ceny chemikálií a příbuzných výrobků (6,0 %) a navýšily se ceny dovážených polotovarů (4,3 %). Silně se prohloubil pokles cen strojů a dopravních </w:t>
            </w:r>
            <w:proofErr w:type="gramStart"/>
            <w:r>
              <w:t>prostředků (–5,4</w:t>
            </w:r>
            <w:proofErr w:type="gramEnd"/>
            <w:r>
              <w:t xml:space="preserve"> %) a průmyslového spotřebního zboží (–4,8 %). Snížily se i ceny potravin a živých </w:t>
            </w:r>
            <w:proofErr w:type="gramStart"/>
            <w:r>
              <w:t>zvířat (–3,6</w:t>
            </w:r>
            <w:proofErr w:type="gramEnd"/>
            <w:r>
              <w:t> %) a nápojů a tabáku (–1,7 %). Směnné relace byly ve 2. čtvrtletí záporné (99,5 %), poprvé od 4. čtvrtletí 2018. Záporné byly směnné relace obchodu s minerálními palivy (85,7 %), nápoji a tabákem (95,4 %) a polotovary (98,5 %). Naopak kladných směnných relací dosáhl ve 2. čtvrtletí obchod s ostatními surovinami (113,2 %), potravinami a živými zvířaty (104,8 %), stroji a dopravními prostředky (104,1 %), chemikáliemi (103,3 %) a průmyslovým spotřebním zbožím (100,7 %).</w:t>
            </w:r>
          </w:p>
        </w:tc>
      </w:tr>
    </w:tbl>
    <w:p w14:paraId="344849C5" w14:textId="77777777" w:rsidR="00E32778" w:rsidRDefault="00E32778" w:rsidP="00E32778">
      <w:pPr>
        <w:spacing w:after="0" w:line="240" w:lineRule="auto"/>
        <w:jc w:val="left"/>
        <w:rPr>
          <w:rFonts w:eastAsia="MS Gothic"/>
          <w:b/>
          <w:bCs/>
          <w:color w:val="71818C"/>
          <w:sz w:val="32"/>
          <w:szCs w:val="28"/>
          <w:highlight w:val="yellow"/>
        </w:rPr>
      </w:pPr>
    </w:p>
    <w:p w14:paraId="5442E8FA" w14:textId="77777777" w:rsidR="00E32778" w:rsidRPr="000F45E7" w:rsidRDefault="00E32778" w:rsidP="00E32778">
      <w:pPr>
        <w:pStyle w:val="Nadpis11"/>
        <w:spacing w:after="0"/>
        <w:rPr>
          <w:b w:val="0"/>
          <w:sz w:val="2"/>
          <w:szCs w:val="2"/>
        </w:rPr>
      </w:pPr>
    </w:p>
    <w:p w14:paraId="25F09391" w14:textId="77777777" w:rsidR="00E32778" w:rsidRPr="00E42054" w:rsidRDefault="00E32778" w:rsidP="00E32778">
      <w:pPr>
        <w:pStyle w:val="Nadpis11"/>
        <w:rPr>
          <w:b w:val="0"/>
          <w:sz w:val="2"/>
          <w:szCs w:val="2"/>
        </w:rPr>
      </w:pPr>
    </w:p>
    <w:p w14:paraId="1959E5DD" w14:textId="77777777" w:rsidR="00DF57D6" w:rsidRPr="008E51EB" w:rsidRDefault="00DF57D6" w:rsidP="00DF57D6">
      <w:pPr>
        <w:spacing w:after="0" w:line="240" w:lineRule="auto"/>
        <w:jc w:val="left"/>
        <w:rPr>
          <w:rFonts w:eastAsia="MS Gothic"/>
          <w:b/>
          <w:bCs/>
          <w:color w:val="71818C"/>
          <w:sz w:val="32"/>
          <w:szCs w:val="28"/>
          <w:highlight w:val="yellow"/>
        </w:rPr>
      </w:pPr>
    </w:p>
    <w:p w14:paraId="28D40E00" w14:textId="77777777" w:rsidR="00781AD3" w:rsidRPr="006F79FB" w:rsidRDefault="00DF57D6" w:rsidP="006F79FB">
      <w:pPr>
        <w:spacing w:after="0" w:line="240" w:lineRule="auto"/>
        <w:jc w:val="left"/>
        <w:rPr>
          <w:rFonts w:eastAsia="MS Gothic"/>
          <w:b/>
          <w:bCs/>
          <w:color w:val="71818C"/>
          <w:sz w:val="32"/>
          <w:szCs w:val="28"/>
        </w:rPr>
      </w:pPr>
      <w:r>
        <w:br w:type="page"/>
      </w:r>
      <w:bookmarkEnd w:id="18"/>
      <w:bookmarkEnd w:id="19"/>
      <w:bookmarkEnd w:id="20"/>
    </w:p>
    <w:p w14:paraId="6A29F11C" w14:textId="77777777" w:rsidR="0070658E" w:rsidRDefault="0070658E" w:rsidP="0070658E">
      <w:pPr>
        <w:pStyle w:val="Nadpis11"/>
        <w:spacing w:after="120"/>
      </w:pPr>
      <w:bookmarkStart w:id="22" w:name="_Toc74246554"/>
      <w:bookmarkStart w:id="23" w:name="_Toc66719933"/>
      <w:bookmarkStart w:id="24" w:name="_Toc50712132"/>
      <w:bookmarkStart w:id="25" w:name="_Toc82508189"/>
      <w:r w:rsidRPr="00B43216">
        <w:lastRenderedPageBreak/>
        <w:t>6. Trh práce</w:t>
      </w:r>
      <w:bookmarkEnd w:id="22"/>
      <w:bookmarkEnd w:id="25"/>
    </w:p>
    <w:tbl>
      <w:tblPr>
        <w:tblW w:w="9664" w:type="dxa"/>
        <w:tblInd w:w="-25" w:type="dxa"/>
        <w:tblCellMar>
          <w:left w:w="0" w:type="dxa"/>
          <w:right w:w="0" w:type="dxa"/>
        </w:tblCellMar>
        <w:tblLook w:val="00A0" w:firstRow="1" w:lastRow="0" w:firstColumn="1" w:lastColumn="0" w:noHBand="0" w:noVBand="0"/>
      </w:tblPr>
      <w:tblGrid>
        <w:gridCol w:w="1792"/>
        <w:gridCol w:w="216"/>
        <w:gridCol w:w="7656"/>
      </w:tblGrid>
      <w:tr w:rsidR="0070658E" w:rsidRPr="006237E6" w14:paraId="2B1EEB80" w14:textId="77777777" w:rsidTr="006050CF">
        <w:trPr>
          <w:trHeight w:val="155"/>
        </w:trPr>
        <w:tc>
          <w:tcPr>
            <w:tcW w:w="1792" w:type="dxa"/>
            <w:shd w:val="clear" w:color="auto" w:fill="auto"/>
            <w:tcMar>
              <w:left w:w="0" w:type="dxa"/>
            </w:tcMar>
          </w:tcPr>
          <w:p w14:paraId="6613BA94" w14:textId="77777777" w:rsidR="0070658E" w:rsidRDefault="0070658E" w:rsidP="006050CF">
            <w:pPr>
              <w:pStyle w:val="Marginlie"/>
              <w:spacing w:after="120"/>
              <w:rPr>
                <w:spacing w:val="-4"/>
              </w:rPr>
            </w:pPr>
            <w:r>
              <w:rPr>
                <w:spacing w:val="-4"/>
              </w:rPr>
              <w:t>Zaměstnanců přibylo ve 2. čtvrtletí meziročně nejvíce od konce roku 2018. Úbytky pracujících podnikatelů však pokračovaly.</w:t>
            </w:r>
          </w:p>
        </w:tc>
        <w:tc>
          <w:tcPr>
            <w:tcW w:w="216" w:type="dxa"/>
            <w:shd w:val="clear" w:color="auto" w:fill="auto"/>
            <w:tcMar>
              <w:left w:w="0" w:type="dxa"/>
            </w:tcMar>
          </w:tcPr>
          <w:p w14:paraId="1DE99FD3" w14:textId="77777777" w:rsidR="0070658E" w:rsidRPr="003B1401" w:rsidRDefault="0070658E" w:rsidP="006050CF">
            <w:pPr>
              <w:pStyle w:val="Textpoznpodarou"/>
              <w:spacing w:after="120"/>
              <w:jc w:val="both"/>
              <w:rPr>
                <w:spacing w:val="-4"/>
              </w:rPr>
            </w:pPr>
          </w:p>
        </w:tc>
        <w:tc>
          <w:tcPr>
            <w:tcW w:w="7656" w:type="dxa"/>
            <w:shd w:val="clear" w:color="auto" w:fill="auto"/>
            <w:tcMar>
              <w:left w:w="0" w:type="dxa"/>
            </w:tcMar>
          </w:tcPr>
          <w:p w14:paraId="26A53640" w14:textId="77777777" w:rsidR="0070658E" w:rsidRPr="00943B90" w:rsidRDefault="0070658E" w:rsidP="006050CF">
            <w:pPr>
              <w:rPr>
                <w:spacing w:val="-4"/>
              </w:rPr>
            </w:pPr>
            <w:r w:rsidRPr="007517F0">
              <w:rPr>
                <w:spacing w:val="-4"/>
              </w:rPr>
              <w:t xml:space="preserve">Postupné rozvolnění striktních </w:t>
            </w:r>
            <w:proofErr w:type="spellStart"/>
            <w:r w:rsidRPr="007517F0">
              <w:rPr>
                <w:spacing w:val="-4"/>
              </w:rPr>
              <w:t>protipandemických</w:t>
            </w:r>
            <w:proofErr w:type="spellEnd"/>
            <w:r w:rsidRPr="007517F0">
              <w:rPr>
                <w:spacing w:val="-4"/>
              </w:rPr>
              <w:t xml:space="preserve"> opatření</w:t>
            </w:r>
            <w:r>
              <w:rPr>
                <w:spacing w:val="-4"/>
              </w:rPr>
              <w:t xml:space="preserve"> na přelomu letošního jarního a </w:t>
            </w:r>
            <w:r w:rsidRPr="007517F0">
              <w:rPr>
                <w:spacing w:val="-4"/>
              </w:rPr>
              <w:t xml:space="preserve">letního období </w:t>
            </w:r>
            <w:r>
              <w:rPr>
                <w:spacing w:val="-4"/>
              </w:rPr>
              <w:t xml:space="preserve">doprovázené významnějším útlumem státních podpůrných programů (Antivirus, ošetřovné) </w:t>
            </w:r>
            <w:r w:rsidRPr="007517F0">
              <w:rPr>
                <w:spacing w:val="-4"/>
              </w:rPr>
              <w:t>přinesl</w:t>
            </w:r>
            <w:r>
              <w:rPr>
                <w:spacing w:val="-4"/>
              </w:rPr>
              <w:t>o</w:t>
            </w:r>
            <w:r w:rsidRPr="007517F0">
              <w:rPr>
                <w:spacing w:val="-4"/>
              </w:rPr>
              <w:t xml:space="preserve"> na tuzemský pracovní trh očekávané oživení. </w:t>
            </w:r>
            <w:r>
              <w:rPr>
                <w:spacing w:val="-4"/>
              </w:rPr>
              <w:t>Celková zaměstnanost</w:t>
            </w:r>
            <w:r w:rsidRPr="00B908AF">
              <w:rPr>
                <w:color w:val="0D0D0D" w:themeColor="text1" w:themeTint="F2"/>
                <w:spacing w:val="-4"/>
                <w:vertAlign w:val="superscript"/>
              </w:rPr>
              <w:footnoteReference w:id="50"/>
            </w:r>
            <w:r>
              <w:rPr>
                <w:spacing w:val="-4"/>
              </w:rPr>
              <w:t xml:space="preserve"> se ve </w:t>
            </w:r>
            <w:r w:rsidRPr="007517F0">
              <w:rPr>
                <w:spacing w:val="-4"/>
              </w:rPr>
              <w:t>2.</w:t>
            </w:r>
            <w:r>
              <w:rPr>
                <w:spacing w:val="-4"/>
              </w:rPr>
              <w:t> čtvrtlet</w:t>
            </w:r>
            <w:r w:rsidRPr="007517F0">
              <w:rPr>
                <w:spacing w:val="-4"/>
              </w:rPr>
              <w:t>í</w:t>
            </w:r>
            <w:r>
              <w:rPr>
                <w:spacing w:val="-4"/>
              </w:rPr>
              <w:t xml:space="preserve"> meziročně zvýšila (o 0,3 %, poprvé za posledních sedm kvartálů) a ve srovnání s předchozím čtvrtletím posílila o významných 0,7 %</w:t>
            </w:r>
            <w:r>
              <w:rPr>
                <w:rStyle w:val="Znakapoznpodarou"/>
                <w:spacing w:val="-4"/>
              </w:rPr>
              <w:footnoteReference w:id="51"/>
            </w:r>
            <w:r w:rsidRPr="002272C7">
              <w:rPr>
                <w:spacing w:val="-4"/>
              </w:rPr>
              <w:t xml:space="preserve">. </w:t>
            </w:r>
            <w:r>
              <w:rPr>
                <w:spacing w:val="-4"/>
              </w:rPr>
              <w:t>Na tomto pozitivním vývoji se však</w:t>
            </w:r>
            <w:r w:rsidRPr="002272C7">
              <w:rPr>
                <w:spacing w:val="-4"/>
              </w:rPr>
              <w:t xml:space="preserve"> podíleli </w:t>
            </w:r>
            <w:r>
              <w:rPr>
                <w:spacing w:val="-4"/>
              </w:rPr>
              <w:t>výhradně zaměstnanci, jejichž stav</w:t>
            </w:r>
            <w:r w:rsidRPr="002272C7">
              <w:rPr>
                <w:spacing w:val="-4"/>
              </w:rPr>
              <w:t xml:space="preserve">y </w:t>
            </w:r>
            <w:r>
              <w:rPr>
                <w:spacing w:val="-4"/>
              </w:rPr>
              <w:t xml:space="preserve">se meziročně rozšířily o 52 tis., nejvíce od konce roku 2018. Naopak počet </w:t>
            </w:r>
            <w:r w:rsidRPr="002272C7">
              <w:rPr>
                <w:spacing w:val="-4"/>
              </w:rPr>
              <w:t>podni</w:t>
            </w:r>
            <w:r>
              <w:rPr>
                <w:spacing w:val="-4"/>
              </w:rPr>
              <w:t>katelů klesl takřka o 5 % (resp. 36 tis.) a ubylo jich i ve srovnání s 1. čtvrtletím 2021 (o 1,6 %). Obtíže</w:t>
            </w:r>
            <w:r w:rsidRPr="007517F0">
              <w:rPr>
                <w:spacing w:val="-4"/>
              </w:rPr>
              <w:t xml:space="preserve"> podnika</w:t>
            </w:r>
            <w:r>
              <w:rPr>
                <w:spacing w:val="-4"/>
              </w:rPr>
              <w:t>telů v některých odvětvích mohly</w:t>
            </w:r>
            <w:r w:rsidRPr="007517F0">
              <w:rPr>
                <w:spacing w:val="-4"/>
              </w:rPr>
              <w:t xml:space="preserve"> souviset s </w:t>
            </w:r>
            <w:r>
              <w:rPr>
                <w:spacing w:val="-4"/>
              </w:rPr>
              <w:t>opatrnější</w:t>
            </w:r>
            <w:r w:rsidRPr="007517F0">
              <w:rPr>
                <w:spacing w:val="-4"/>
              </w:rPr>
              <w:t xml:space="preserve"> realizací odložené spotřeby tuzemských domácností </w:t>
            </w:r>
            <w:r>
              <w:rPr>
                <w:spacing w:val="-4"/>
              </w:rPr>
              <w:t>a mohly být umocněny i </w:t>
            </w:r>
            <w:r w:rsidRPr="007517F0">
              <w:rPr>
                <w:spacing w:val="-4"/>
              </w:rPr>
              <w:t>přetrvávajícími omezení</w:t>
            </w:r>
            <w:r>
              <w:rPr>
                <w:spacing w:val="-4"/>
              </w:rPr>
              <w:t>mi</w:t>
            </w:r>
            <w:r w:rsidRPr="007517F0">
              <w:rPr>
                <w:spacing w:val="-4"/>
              </w:rPr>
              <w:t xml:space="preserve"> v příjezdovém cestovním ruchu.</w:t>
            </w:r>
            <w:r>
              <w:rPr>
                <w:spacing w:val="-4"/>
              </w:rPr>
              <w:t xml:space="preserve"> To se odrazilo také v počtu odpracovaných hodin</w:t>
            </w:r>
            <w:r>
              <w:rPr>
                <w:rStyle w:val="Znakapoznpodarou"/>
                <w:spacing w:val="-4"/>
              </w:rPr>
              <w:footnoteReference w:id="52"/>
            </w:r>
            <w:r>
              <w:rPr>
                <w:spacing w:val="-4"/>
              </w:rPr>
              <w:t>.</w:t>
            </w:r>
          </w:p>
        </w:tc>
      </w:tr>
      <w:tr w:rsidR="0070658E" w:rsidRPr="006237E6" w14:paraId="1DB24534" w14:textId="77777777" w:rsidTr="006050CF">
        <w:trPr>
          <w:trHeight w:val="155"/>
        </w:trPr>
        <w:tc>
          <w:tcPr>
            <w:tcW w:w="1792" w:type="dxa"/>
            <w:shd w:val="clear" w:color="auto" w:fill="auto"/>
            <w:tcMar>
              <w:left w:w="0" w:type="dxa"/>
            </w:tcMar>
          </w:tcPr>
          <w:p w14:paraId="5C3D5475" w14:textId="77777777" w:rsidR="0070658E" w:rsidRDefault="0070658E" w:rsidP="006050CF">
            <w:pPr>
              <w:pStyle w:val="Marginlie"/>
              <w:spacing w:after="120"/>
              <w:rPr>
                <w:spacing w:val="-4"/>
              </w:rPr>
            </w:pPr>
            <w:r>
              <w:rPr>
                <w:spacing w:val="-4"/>
              </w:rPr>
              <w:t>Meziročně vyšší zaměstnanost byla tažena zejména veřejnými službami a informačními a komunikačními činnostmi. Silná poptávka po pracovnících se projevovala rovněž ve stavebnictví.</w:t>
            </w:r>
          </w:p>
        </w:tc>
        <w:tc>
          <w:tcPr>
            <w:tcW w:w="216" w:type="dxa"/>
            <w:shd w:val="clear" w:color="auto" w:fill="auto"/>
            <w:tcMar>
              <w:left w:w="0" w:type="dxa"/>
            </w:tcMar>
          </w:tcPr>
          <w:p w14:paraId="37DDE6DE" w14:textId="77777777" w:rsidR="0070658E" w:rsidRPr="003B1401" w:rsidRDefault="0070658E" w:rsidP="006050CF">
            <w:pPr>
              <w:pStyle w:val="Textpoznpodarou"/>
              <w:spacing w:after="120"/>
              <w:jc w:val="both"/>
              <w:rPr>
                <w:spacing w:val="-4"/>
              </w:rPr>
            </w:pPr>
          </w:p>
        </w:tc>
        <w:tc>
          <w:tcPr>
            <w:tcW w:w="7656" w:type="dxa"/>
            <w:shd w:val="clear" w:color="auto" w:fill="auto"/>
            <w:tcMar>
              <w:left w:w="0" w:type="dxa"/>
            </w:tcMar>
          </w:tcPr>
          <w:p w14:paraId="56EEAEBC" w14:textId="77777777" w:rsidR="0070658E" w:rsidRPr="00B908AF" w:rsidRDefault="0070658E" w:rsidP="006050CF">
            <w:pPr>
              <w:rPr>
                <w:rFonts w:cs="Arial"/>
                <w:bCs/>
                <w:color w:val="0D0D0D" w:themeColor="text1" w:themeTint="F2"/>
                <w:spacing w:val="-4"/>
                <w:szCs w:val="20"/>
              </w:rPr>
            </w:pPr>
            <w:r>
              <w:rPr>
                <w:rFonts w:cs="Arial"/>
                <w:bCs/>
                <w:color w:val="0D0D0D" w:themeColor="text1" w:themeTint="F2"/>
                <w:spacing w:val="-4"/>
                <w:szCs w:val="20"/>
              </w:rPr>
              <w:t>Hospodářské oživení ve druhém letošním čtvrtletí se pozitivně promítlo i v počtu pracovníků v drtivé většině hlavních odvětví. K </w:t>
            </w:r>
            <w:proofErr w:type="spellStart"/>
            <w:r>
              <w:rPr>
                <w:rFonts w:cs="Arial"/>
                <w:bCs/>
                <w:color w:val="0D0D0D" w:themeColor="text1" w:themeTint="F2"/>
                <w:spacing w:val="-4"/>
                <w:szCs w:val="20"/>
              </w:rPr>
              <w:t>mezikvartálnímu</w:t>
            </w:r>
            <w:proofErr w:type="spellEnd"/>
            <w:r>
              <w:rPr>
                <w:rFonts w:cs="Arial"/>
                <w:bCs/>
                <w:color w:val="0D0D0D" w:themeColor="text1" w:themeTint="F2"/>
                <w:spacing w:val="-4"/>
                <w:szCs w:val="20"/>
              </w:rPr>
              <w:t xml:space="preserve"> růstu zaměstnanosti nejvíce přispěly p</w:t>
            </w:r>
            <w:r w:rsidRPr="00BE63FE">
              <w:rPr>
                <w:rFonts w:cs="Arial"/>
                <w:bCs/>
                <w:color w:val="0D0D0D" w:themeColor="text1" w:themeTint="F2"/>
                <w:spacing w:val="-4"/>
                <w:szCs w:val="20"/>
              </w:rPr>
              <w:t>rofesní, vědecké, technické a</w:t>
            </w:r>
            <w:r>
              <w:rPr>
                <w:rFonts w:cs="Arial"/>
                <w:bCs/>
                <w:color w:val="0D0D0D" w:themeColor="text1" w:themeTint="F2"/>
                <w:spacing w:val="-4"/>
                <w:szCs w:val="20"/>
              </w:rPr>
              <w:t> </w:t>
            </w:r>
            <w:r w:rsidRPr="00BE63FE">
              <w:rPr>
                <w:rFonts w:cs="Arial"/>
                <w:bCs/>
                <w:color w:val="0D0D0D" w:themeColor="text1" w:themeTint="F2"/>
                <w:spacing w:val="-4"/>
                <w:szCs w:val="20"/>
              </w:rPr>
              <w:t>administrativní činnosti</w:t>
            </w:r>
            <w:r>
              <w:rPr>
                <w:rFonts w:cs="Arial"/>
                <w:bCs/>
                <w:color w:val="0D0D0D" w:themeColor="text1" w:themeTint="F2"/>
                <w:spacing w:val="-4"/>
                <w:szCs w:val="20"/>
              </w:rPr>
              <w:t xml:space="preserve"> (+12 tis.) a průmysl (+11 tis.). V obou případech jde o odvětví, jejichž relativní úbytky zaměstnanosti byly vloni hlubší než v celé ekonomice. K meziročnímu růstu celkové zaměstnanosti pomohlo ve 2. čtvrtletí (obdobně jako po celé pandemické období) nejvíce odvětví veřejná správa,</w:t>
            </w:r>
            <w:r w:rsidRPr="00916338">
              <w:rPr>
                <w:rFonts w:cs="Arial"/>
                <w:bCs/>
                <w:color w:val="0D0D0D" w:themeColor="text1" w:themeTint="F2"/>
                <w:spacing w:val="-4"/>
                <w:szCs w:val="20"/>
              </w:rPr>
              <w:t xml:space="preserve"> obrana, vzdělávání, zdravotní a</w:t>
            </w:r>
            <w:r>
              <w:rPr>
                <w:rFonts w:cs="Arial"/>
                <w:bCs/>
                <w:color w:val="0D0D0D" w:themeColor="text1" w:themeTint="F2"/>
                <w:spacing w:val="-4"/>
                <w:szCs w:val="20"/>
              </w:rPr>
              <w:t> </w:t>
            </w:r>
            <w:r w:rsidRPr="00916338">
              <w:rPr>
                <w:rFonts w:cs="Arial"/>
                <w:bCs/>
                <w:color w:val="0D0D0D" w:themeColor="text1" w:themeTint="F2"/>
                <w:spacing w:val="-4"/>
                <w:szCs w:val="20"/>
              </w:rPr>
              <w:t>sociální péče</w:t>
            </w:r>
            <w:r>
              <w:rPr>
                <w:rFonts w:cs="Arial"/>
                <w:bCs/>
                <w:color w:val="0D0D0D" w:themeColor="text1" w:themeTint="F2"/>
                <w:spacing w:val="-4"/>
                <w:szCs w:val="20"/>
              </w:rPr>
              <w:t xml:space="preserve"> (+30 tis.). Relativně nejsilněji ale rostly dlouhodobě prosperující i</w:t>
            </w:r>
            <w:r w:rsidRPr="00BD1AA6">
              <w:rPr>
                <w:rFonts w:cs="Arial"/>
                <w:bCs/>
                <w:color w:val="0D0D0D" w:themeColor="text1" w:themeTint="F2"/>
                <w:spacing w:val="-4"/>
                <w:szCs w:val="20"/>
              </w:rPr>
              <w:t>nformační a</w:t>
            </w:r>
            <w:r>
              <w:rPr>
                <w:rFonts w:cs="Arial"/>
                <w:bCs/>
                <w:color w:val="0D0D0D" w:themeColor="text1" w:themeTint="F2"/>
                <w:spacing w:val="-4"/>
                <w:szCs w:val="20"/>
              </w:rPr>
              <w:t> </w:t>
            </w:r>
            <w:r w:rsidRPr="00BD1AA6">
              <w:rPr>
                <w:rFonts w:cs="Arial"/>
                <w:bCs/>
                <w:color w:val="0D0D0D" w:themeColor="text1" w:themeTint="F2"/>
                <w:spacing w:val="-4"/>
                <w:szCs w:val="20"/>
              </w:rPr>
              <w:t>komunikační činnosti</w:t>
            </w:r>
            <w:r>
              <w:rPr>
                <w:rFonts w:cs="Arial"/>
                <w:bCs/>
                <w:color w:val="0D0D0D" w:themeColor="text1" w:themeTint="F2"/>
                <w:spacing w:val="-4"/>
                <w:szCs w:val="20"/>
              </w:rPr>
              <w:t xml:space="preserve"> (5,2 %), v nichž se jako v jednom z mála odvětví navyšovaly i počty podnikatelů. </w:t>
            </w:r>
            <w:r>
              <w:rPr>
                <w:spacing w:val="-4"/>
              </w:rPr>
              <w:t>Dařilo se rovněž stavebnictví, v němž</w:t>
            </w:r>
            <w:r w:rsidRPr="003973AE">
              <w:rPr>
                <w:spacing w:val="-4"/>
              </w:rPr>
              <w:t xml:space="preserve"> mírný loňský růst zaměstnanosti pokračoval</w:t>
            </w:r>
            <w:r>
              <w:rPr>
                <w:spacing w:val="-4"/>
              </w:rPr>
              <w:t xml:space="preserve"> (+2,0 %)</w:t>
            </w:r>
            <w:r w:rsidRPr="003973AE">
              <w:rPr>
                <w:spacing w:val="-4"/>
              </w:rPr>
              <w:t>. Dlouhodobě vyso</w:t>
            </w:r>
            <w:r>
              <w:rPr>
                <w:spacing w:val="-4"/>
              </w:rPr>
              <w:t>ká poptávka po pracovní síle tu</w:t>
            </w:r>
            <w:r w:rsidRPr="003973AE">
              <w:rPr>
                <w:spacing w:val="-4"/>
              </w:rPr>
              <w:t xml:space="preserve"> byla do značné míry saturována náborem ze zahraničí. Počet cizinců pracujících v Česku v</w:t>
            </w:r>
            <w:r>
              <w:rPr>
                <w:spacing w:val="-4"/>
              </w:rPr>
              <w:t> </w:t>
            </w:r>
            <w:r w:rsidRPr="003973AE">
              <w:rPr>
                <w:spacing w:val="-4"/>
              </w:rPr>
              <w:t xml:space="preserve">zaměstnaneckém postavení </w:t>
            </w:r>
            <w:r>
              <w:rPr>
                <w:spacing w:val="-4"/>
              </w:rPr>
              <w:t xml:space="preserve">navzdory stále administrativně náročné vízové proceduře v posledních měsících </w:t>
            </w:r>
            <w:r w:rsidRPr="003973AE">
              <w:rPr>
                <w:spacing w:val="-4"/>
              </w:rPr>
              <w:t>rostl</w:t>
            </w:r>
            <w:r>
              <w:rPr>
                <w:spacing w:val="-4"/>
              </w:rPr>
              <w:t>.</w:t>
            </w:r>
            <w:r w:rsidRPr="003973AE">
              <w:rPr>
                <w:spacing w:val="-4"/>
              </w:rPr>
              <w:t xml:space="preserve"> </w:t>
            </w:r>
            <w:r>
              <w:rPr>
                <w:spacing w:val="-4"/>
              </w:rPr>
              <w:t>Letos v </w:t>
            </w:r>
            <w:r w:rsidRPr="003973AE">
              <w:rPr>
                <w:spacing w:val="-4"/>
              </w:rPr>
              <w:t>červnu dosáhl rekordních 682</w:t>
            </w:r>
            <w:r>
              <w:rPr>
                <w:spacing w:val="-4"/>
              </w:rPr>
              <w:t> tis.</w:t>
            </w:r>
            <w:r w:rsidRPr="003973AE">
              <w:rPr>
                <w:spacing w:val="-4"/>
              </w:rPr>
              <w:t xml:space="preserve"> a</w:t>
            </w:r>
            <w:r>
              <w:rPr>
                <w:spacing w:val="-4"/>
              </w:rPr>
              <w:t> meziročně byl vyšší o 13 </w:t>
            </w:r>
            <w:r w:rsidRPr="003973AE">
              <w:rPr>
                <w:spacing w:val="-4"/>
              </w:rPr>
              <w:t>%, z drtivé většiny zásluhou zaměstnanců z Ukrajiny</w:t>
            </w:r>
            <w:r>
              <w:rPr>
                <w:rStyle w:val="Znakapoznpodarou"/>
                <w:spacing w:val="-4"/>
              </w:rPr>
              <w:footnoteReference w:id="53"/>
            </w:r>
            <w:r w:rsidRPr="003973AE">
              <w:rPr>
                <w:spacing w:val="-4"/>
              </w:rPr>
              <w:t>.</w:t>
            </w:r>
          </w:p>
        </w:tc>
      </w:tr>
      <w:tr w:rsidR="0070658E" w:rsidRPr="006237E6" w14:paraId="14EF47EC" w14:textId="77777777" w:rsidTr="006050CF">
        <w:trPr>
          <w:trHeight w:val="155"/>
        </w:trPr>
        <w:tc>
          <w:tcPr>
            <w:tcW w:w="1792" w:type="dxa"/>
            <w:shd w:val="clear" w:color="auto" w:fill="auto"/>
            <w:tcMar>
              <w:left w:w="0" w:type="dxa"/>
            </w:tcMar>
          </w:tcPr>
          <w:p w14:paraId="5B15ACBD" w14:textId="77777777" w:rsidR="0070658E" w:rsidRDefault="0070658E" w:rsidP="006050CF">
            <w:pPr>
              <w:pStyle w:val="Marginlie"/>
              <w:spacing w:after="120"/>
              <w:rPr>
                <w:spacing w:val="-4"/>
              </w:rPr>
            </w:pPr>
            <w:r>
              <w:rPr>
                <w:spacing w:val="-4"/>
              </w:rPr>
              <w:t>I přes dílčí zlepšení přispívalo k poklesu celkové zaměstnanosti stále nejvíce uskupení obchod, doprava, ubytování a pohostinství.</w:t>
            </w:r>
          </w:p>
        </w:tc>
        <w:tc>
          <w:tcPr>
            <w:tcW w:w="216" w:type="dxa"/>
            <w:shd w:val="clear" w:color="auto" w:fill="auto"/>
            <w:tcMar>
              <w:left w:w="0" w:type="dxa"/>
            </w:tcMar>
          </w:tcPr>
          <w:p w14:paraId="6990A81F" w14:textId="77777777" w:rsidR="0070658E" w:rsidRPr="003B1401" w:rsidRDefault="0070658E" w:rsidP="006050CF">
            <w:pPr>
              <w:pStyle w:val="Textpoznpodarou"/>
              <w:spacing w:after="120"/>
              <w:jc w:val="both"/>
              <w:rPr>
                <w:spacing w:val="-4"/>
              </w:rPr>
            </w:pPr>
          </w:p>
        </w:tc>
        <w:tc>
          <w:tcPr>
            <w:tcW w:w="7656" w:type="dxa"/>
            <w:shd w:val="clear" w:color="auto" w:fill="auto"/>
            <w:tcMar>
              <w:left w:w="0" w:type="dxa"/>
            </w:tcMar>
          </w:tcPr>
          <w:p w14:paraId="6D8EA8D1" w14:textId="77777777" w:rsidR="0070658E" w:rsidRPr="00976FF3" w:rsidRDefault="0070658E" w:rsidP="006050CF">
            <w:pPr>
              <w:rPr>
                <w:spacing w:val="-4"/>
              </w:rPr>
            </w:pPr>
            <w:r>
              <w:rPr>
                <w:spacing w:val="-4"/>
              </w:rPr>
              <w:t>Navzdory dílčímu zlepšení se s citelnými meziročními úbytky pracovníků i ve 2. čtvrtletí potýkalo uskupení obchod, doprava, ubytování a </w:t>
            </w:r>
            <w:proofErr w:type="gramStart"/>
            <w:r>
              <w:rPr>
                <w:spacing w:val="-4"/>
              </w:rPr>
              <w:t>pohostinství (–27</w:t>
            </w:r>
            <w:proofErr w:type="gramEnd"/>
            <w:r>
              <w:rPr>
                <w:spacing w:val="-4"/>
              </w:rPr>
              <w:t> tis.)</w:t>
            </w:r>
            <w:r>
              <w:rPr>
                <w:rStyle w:val="Znakapoznpodarou"/>
                <w:spacing w:val="-4"/>
              </w:rPr>
              <w:footnoteReference w:id="54"/>
            </w:r>
            <w:r>
              <w:rPr>
                <w:spacing w:val="-4"/>
              </w:rPr>
              <w:t xml:space="preserve">. Méně tu bylo jak </w:t>
            </w:r>
            <w:proofErr w:type="gramStart"/>
            <w:r>
              <w:rPr>
                <w:spacing w:val="-4"/>
              </w:rPr>
              <w:t>podnikatelů (–11,6</w:t>
            </w:r>
            <w:proofErr w:type="gramEnd"/>
            <w:r>
              <w:rPr>
                <w:spacing w:val="-4"/>
              </w:rPr>
              <w:t> %), tak zaměstnanců (–0,7 %). Pracovníky stále mírně ztrácel i </w:t>
            </w:r>
            <w:proofErr w:type="gramStart"/>
            <w:r>
              <w:rPr>
                <w:spacing w:val="-4"/>
              </w:rPr>
              <w:t>průmysl (–0,5</w:t>
            </w:r>
            <w:proofErr w:type="gramEnd"/>
            <w:r>
              <w:rPr>
                <w:spacing w:val="-4"/>
              </w:rPr>
              <w:t> %, resp. –8 tis.), výhradně vlivem úbytku podnikatelů. Situace v jednotlivých oddílech průmyslu se lišila – lépe na tom byli výrobci motorových vozidel (včetně návazných oborů), energetika či kovovýroba, hůře např. strojírenství či strukturálně postižený těžební průmysl. Stabilní zaměstnanost si v posledních letech udržuje zemědělství, lesnictví a rybářství.</w:t>
            </w:r>
          </w:p>
        </w:tc>
      </w:tr>
      <w:tr w:rsidR="0070658E" w:rsidRPr="006237E6" w14:paraId="08019CF4" w14:textId="77777777" w:rsidTr="006050CF">
        <w:trPr>
          <w:trHeight w:val="155"/>
        </w:trPr>
        <w:tc>
          <w:tcPr>
            <w:tcW w:w="1792" w:type="dxa"/>
            <w:shd w:val="clear" w:color="auto" w:fill="auto"/>
            <w:tcMar>
              <w:left w:w="0" w:type="dxa"/>
            </w:tcMar>
          </w:tcPr>
          <w:p w14:paraId="3AA6F516" w14:textId="77777777" w:rsidR="0070658E" w:rsidRDefault="0070658E" w:rsidP="006050CF">
            <w:pPr>
              <w:pStyle w:val="Marginlie"/>
              <w:spacing w:after="120"/>
              <w:rPr>
                <w:spacing w:val="-4"/>
              </w:rPr>
            </w:pPr>
            <w:r>
              <w:rPr>
                <w:spacing w:val="-4"/>
              </w:rPr>
              <w:t>Během 1. pololetí rostl podíl podniků plánujících navýšení počtu svých zaměstnanců.</w:t>
            </w:r>
          </w:p>
          <w:p w14:paraId="32152A5B" w14:textId="77777777" w:rsidR="0070658E" w:rsidRDefault="0070658E" w:rsidP="006050CF">
            <w:pPr>
              <w:pStyle w:val="Marginlie"/>
              <w:spacing w:after="120"/>
              <w:rPr>
                <w:spacing w:val="-4"/>
              </w:rPr>
            </w:pPr>
          </w:p>
          <w:p w14:paraId="7106A4F8" w14:textId="0A60F803" w:rsidR="0070658E" w:rsidRDefault="0070658E" w:rsidP="006050CF">
            <w:pPr>
              <w:pStyle w:val="Marginlie"/>
              <w:spacing w:after="120"/>
              <w:rPr>
                <w:spacing w:val="-4"/>
              </w:rPr>
            </w:pPr>
          </w:p>
          <w:p w14:paraId="45174ADB" w14:textId="77777777" w:rsidR="00C172F7" w:rsidRDefault="00C172F7" w:rsidP="006050CF">
            <w:pPr>
              <w:pStyle w:val="Marginlie"/>
              <w:spacing w:after="120"/>
              <w:rPr>
                <w:spacing w:val="-4"/>
              </w:rPr>
            </w:pPr>
          </w:p>
          <w:p w14:paraId="26F3BBFA" w14:textId="77777777" w:rsidR="0070658E" w:rsidRPr="003F37F4" w:rsidRDefault="0070658E" w:rsidP="006050CF">
            <w:pPr>
              <w:pStyle w:val="Marginlie"/>
              <w:spacing w:after="120"/>
              <w:rPr>
                <w:spacing w:val="-6"/>
              </w:rPr>
            </w:pPr>
            <w:r w:rsidRPr="003F37F4">
              <w:rPr>
                <w:spacing w:val="-6"/>
              </w:rPr>
              <w:lastRenderedPageBreak/>
              <w:t>Problém s</w:t>
            </w:r>
            <w:r>
              <w:rPr>
                <w:spacing w:val="-6"/>
              </w:rPr>
              <w:t> </w:t>
            </w:r>
            <w:r w:rsidRPr="003F37F4">
              <w:rPr>
                <w:spacing w:val="-6"/>
              </w:rPr>
              <w:t xml:space="preserve">náborem pracovní síly sužoval hlavně stavebnictví, v posledních měsících </w:t>
            </w:r>
            <w:r>
              <w:rPr>
                <w:spacing w:val="-6"/>
              </w:rPr>
              <w:t>narůstal</w:t>
            </w:r>
            <w:r w:rsidRPr="003F37F4">
              <w:rPr>
                <w:spacing w:val="-6"/>
              </w:rPr>
              <w:t xml:space="preserve"> i v průmyslu.</w:t>
            </w:r>
          </w:p>
        </w:tc>
        <w:tc>
          <w:tcPr>
            <w:tcW w:w="216" w:type="dxa"/>
            <w:shd w:val="clear" w:color="auto" w:fill="auto"/>
            <w:tcMar>
              <w:left w:w="0" w:type="dxa"/>
            </w:tcMar>
          </w:tcPr>
          <w:p w14:paraId="6F7F1F4A" w14:textId="77777777" w:rsidR="0070658E" w:rsidRPr="003B1401" w:rsidRDefault="0070658E" w:rsidP="006050CF">
            <w:pPr>
              <w:pStyle w:val="Textpoznpodarou"/>
              <w:spacing w:after="120"/>
              <w:jc w:val="both"/>
              <w:rPr>
                <w:spacing w:val="-4"/>
              </w:rPr>
            </w:pPr>
          </w:p>
        </w:tc>
        <w:tc>
          <w:tcPr>
            <w:tcW w:w="7656" w:type="dxa"/>
            <w:shd w:val="clear" w:color="auto" w:fill="auto"/>
            <w:tcMar>
              <w:left w:w="0" w:type="dxa"/>
            </w:tcMar>
          </w:tcPr>
          <w:p w14:paraId="7AE03FEF" w14:textId="369FBAB5" w:rsidR="0070658E" w:rsidRPr="00314E60" w:rsidRDefault="0070658E" w:rsidP="006050CF">
            <w:pPr>
              <w:spacing w:after="120"/>
              <w:rPr>
                <w:spacing w:val="-4"/>
              </w:rPr>
            </w:pPr>
            <w:r w:rsidRPr="007517F0">
              <w:rPr>
                <w:spacing w:val="-4"/>
              </w:rPr>
              <w:t xml:space="preserve">Dle konjunkturálních průzkumů vystoupala v červnu 2021 krátkodobá </w:t>
            </w:r>
            <w:r w:rsidRPr="008764F3">
              <w:rPr>
                <w:spacing w:val="-4"/>
              </w:rPr>
              <w:t>očekávání podniků v oblasti zaměstnanosti nejvýše od počátku pandemie</w:t>
            </w:r>
            <w:r w:rsidRPr="007517F0">
              <w:rPr>
                <w:spacing w:val="-4"/>
              </w:rPr>
              <w:t>. Pozitivní b</w:t>
            </w:r>
            <w:r>
              <w:rPr>
                <w:spacing w:val="-4"/>
              </w:rPr>
              <w:t>yla ve</w:t>
            </w:r>
            <w:r w:rsidRPr="007517F0">
              <w:rPr>
                <w:spacing w:val="-4"/>
              </w:rPr>
              <w:t xml:space="preserve"> většině od</w:t>
            </w:r>
            <w:r>
              <w:rPr>
                <w:spacing w:val="-4"/>
              </w:rPr>
              <w:t xml:space="preserve">větví vyjma některých </w:t>
            </w:r>
            <w:r w:rsidR="00C172F7">
              <w:rPr>
                <w:spacing w:val="-4"/>
              </w:rPr>
              <w:t xml:space="preserve">oblastí </w:t>
            </w:r>
            <w:r>
              <w:rPr>
                <w:spacing w:val="-4"/>
              </w:rPr>
              <w:t>služeb</w:t>
            </w:r>
            <w:r w:rsidRPr="007517F0">
              <w:rPr>
                <w:spacing w:val="-4"/>
              </w:rPr>
              <w:t xml:space="preserve"> </w:t>
            </w:r>
            <w:r>
              <w:rPr>
                <w:spacing w:val="-4"/>
              </w:rPr>
              <w:t xml:space="preserve">– např. </w:t>
            </w:r>
            <w:r w:rsidRPr="007517F0">
              <w:rPr>
                <w:spacing w:val="-4"/>
              </w:rPr>
              <w:t xml:space="preserve">letecké </w:t>
            </w:r>
            <w:r>
              <w:rPr>
                <w:spacing w:val="-4"/>
              </w:rPr>
              <w:t>dopravy</w:t>
            </w:r>
            <w:r w:rsidRPr="007517F0">
              <w:rPr>
                <w:spacing w:val="-4"/>
              </w:rPr>
              <w:t xml:space="preserve">, </w:t>
            </w:r>
            <w:r>
              <w:rPr>
                <w:spacing w:val="-4"/>
              </w:rPr>
              <w:t xml:space="preserve">vydavatelských činností, </w:t>
            </w:r>
            <w:r w:rsidRPr="007517F0">
              <w:rPr>
                <w:spacing w:val="-4"/>
              </w:rPr>
              <w:t>telekomunikací</w:t>
            </w:r>
            <w:r>
              <w:rPr>
                <w:spacing w:val="-4"/>
              </w:rPr>
              <w:t xml:space="preserve"> i peněžnictví. Zvýšení počtu zaměstnanců plánovalo na období 3. čtvrtletí </w:t>
            </w:r>
            <w:r w:rsidRPr="007517F0">
              <w:rPr>
                <w:spacing w:val="-4"/>
              </w:rPr>
              <w:t>shodně okolo 15</w:t>
            </w:r>
            <w:r>
              <w:rPr>
                <w:spacing w:val="-4"/>
              </w:rPr>
              <w:t> %</w:t>
            </w:r>
            <w:r w:rsidRPr="007517F0">
              <w:rPr>
                <w:spacing w:val="-4"/>
              </w:rPr>
              <w:t xml:space="preserve"> respondentů v průmyslu, stavebnictví </w:t>
            </w:r>
            <w:r>
              <w:rPr>
                <w:spacing w:val="-4"/>
              </w:rPr>
              <w:t>č</w:t>
            </w:r>
            <w:r w:rsidRPr="007517F0">
              <w:rPr>
                <w:spacing w:val="-4"/>
              </w:rPr>
              <w:t xml:space="preserve">i obchodu. </w:t>
            </w:r>
            <w:r>
              <w:rPr>
                <w:spacing w:val="-4"/>
              </w:rPr>
              <w:t xml:space="preserve">Nedostatek zaměstnanců limituje hlavně podniky ve stavebnictví, kde zůstává poslední tři roky nejvýznamnější růstovou bariérou. Od počátku letošního roku má s náborem pracovníků </w:t>
            </w:r>
            <w:r>
              <w:rPr>
                <w:spacing w:val="-4"/>
              </w:rPr>
              <w:lastRenderedPageBreak/>
              <w:t>stále větší obtíže i průmysl</w:t>
            </w:r>
            <w:r>
              <w:rPr>
                <w:rStyle w:val="Znakapoznpodarou"/>
                <w:spacing w:val="-4"/>
              </w:rPr>
              <w:footnoteReference w:id="55"/>
            </w:r>
            <w:r>
              <w:rPr>
                <w:spacing w:val="-4"/>
              </w:rPr>
              <w:t>. Naopak v terciárním sektoru se stále řada odvětví potýkala především se slabší poptávkou po službách. Problém s nedostatkem zaměstnanců tak pociťovaly ve větší míře jen firmy v administrativních a</w:t>
            </w:r>
            <w:r w:rsidRPr="00976FF3">
              <w:rPr>
                <w:spacing w:val="-4"/>
              </w:rPr>
              <w:t> </w:t>
            </w:r>
            <w:r>
              <w:rPr>
                <w:spacing w:val="-4"/>
              </w:rPr>
              <w:t>podpůrných činnostech, pozemní dopravě či kurýrních činnostech – vždy ale s nižší intenzitou než před započetím pandemie.</w:t>
            </w:r>
          </w:p>
        </w:tc>
      </w:tr>
      <w:tr w:rsidR="0070658E" w:rsidRPr="009F2A8A" w14:paraId="0F504BF8" w14:textId="77777777" w:rsidTr="006050CF">
        <w:trPr>
          <w:trHeight w:val="155"/>
        </w:trPr>
        <w:tc>
          <w:tcPr>
            <w:tcW w:w="1792" w:type="dxa"/>
            <w:vMerge w:val="restart"/>
            <w:shd w:val="clear" w:color="auto" w:fill="auto"/>
            <w:tcMar>
              <w:left w:w="0" w:type="dxa"/>
            </w:tcMar>
          </w:tcPr>
          <w:p w14:paraId="40EEEA1F" w14:textId="77777777" w:rsidR="0070658E" w:rsidRPr="00B43216" w:rsidRDefault="0070658E" w:rsidP="006050CF">
            <w:pPr>
              <w:pStyle w:val="Marginlie"/>
              <w:spacing w:after="120"/>
              <w:rPr>
                <w:spacing w:val="-4"/>
              </w:rPr>
            </w:pPr>
          </w:p>
        </w:tc>
        <w:tc>
          <w:tcPr>
            <w:tcW w:w="216" w:type="dxa"/>
            <w:vMerge w:val="restart"/>
            <w:shd w:val="clear" w:color="auto" w:fill="auto"/>
            <w:tcMar>
              <w:left w:w="0" w:type="dxa"/>
            </w:tcMar>
          </w:tcPr>
          <w:p w14:paraId="28988AEB" w14:textId="77777777" w:rsidR="0070658E" w:rsidRPr="00B43216" w:rsidRDefault="0070658E" w:rsidP="006050CF">
            <w:pPr>
              <w:pStyle w:val="Textpoznpodarou"/>
              <w:spacing w:after="120"/>
              <w:jc w:val="both"/>
              <w:rPr>
                <w:spacing w:val="-4"/>
              </w:rPr>
            </w:pPr>
          </w:p>
        </w:tc>
        <w:tc>
          <w:tcPr>
            <w:tcW w:w="7656" w:type="dxa"/>
            <w:shd w:val="clear" w:color="auto" w:fill="auto"/>
            <w:tcMar>
              <w:left w:w="0" w:type="dxa"/>
            </w:tcMar>
          </w:tcPr>
          <w:p w14:paraId="7F16232C" w14:textId="77777777" w:rsidR="0070658E" w:rsidRPr="00CA5850" w:rsidRDefault="0070658E" w:rsidP="006050CF">
            <w:pPr>
              <w:spacing w:after="0"/>
              <w:rPr>
                <w:spacing w:val="-2"/>
              </w:rPr>
            </w:pPr>
            <w:r>
              <w:rPr>
                <w:rFonts w:cs="Arial"/>
                <w:b/>
                <w:bCs/>
                <w:color w:val="000000"/>
                <w:szCs w:val="20"/>
              </w:rPr>
              <w:t>Graf č. 12</w:t>
            </w:r>
            <w:r w:rsidRPr="0068569E">
              <w:rPr>
                <w:rFonts w:cs="Arial"/>
                <w:b/>
                <w:bCs/>
                <w:color w:val="000000"/>
                <w:sz w:val="18"/>
                <w:szCs w:val="18"/>
              </w:rPr>
              <w:t xml:space="preserve">  </w:t>
            </w:r>
            <w:r w:rsidRPr="0068569E">
              <w:rPr>
                <w:b/>
                <w:bCs/>
                <w:lang w:eastAsia="en-US"/>
              </w:rPr>
              <w:t xml:space="preserve">Celková zaměstnanost </w:t>
            </w:r>
            <w:r w:rsidRPr="0068569E">
              <w:rPr>
                <w:lang w:eastAsia="en-US"/>
              </w:rPr>
              <w:t>(</w:t>
            </w:r>
            <w:r w:rsidRPr="0068569E">
              <w:rPr>
                <w:spacing w:val="-2"/>
              </w:rPr>
              <w:t>meziročně v</w:t>
            </w:r>
            <w:r>
              <w:rPr>
                <w:spacing w:val="-2"/>
              </w:rPr>
              <w:t> %</w:t>
            </w:r>
            <w:r w:rsidRPr="0068569E">
              <w:rPr>
                <w:spacing w:val="-2"/>
              </w:rPr>
              <w:t>)</w:t>
            </w:r>
            <w:r w:rsidRPr="0068569E">
              <w:rPr>
                <w:b/>
                <w:bCs/>
                <w:spacing w:val="-2"/>
              </w:rPr>
              <w:t xml:space="preserve">, </w:t>
            </w:r>
            <w:r>
              <w:rPr>
                <w:b/>
                <w:bCs/>
                <w:spacing w:val="-2"/>
              </w:rPr>
              <w:t xml:space="preserve">příspěvky </w:t>
            </w:r>
            <w:r w:rsidRPr="0068569E">
              <w:rPr>
                <w:b/>
                <w:bCs/>
                <w:spacing w:val="-2"/>
              </w:rPr>
              <w:t xml:space="preserve">odvětví k meziroční změně zaměstnanosti </w:t>
            </w:r>
            <w:r w:rsidRPr="0068569E">
              <w:rPr>
                <w:spacing w:val="-2"/>
              </w:rPr>
              <w:t>(v</w:t>
            </w:r>
            <w:r>
              <w:rPr>
                <w:spacing w:val="-2"/>
              </w:rPr>
              <w:t> p. b.</w:t>
            </w:r>
            <w:r w:rsidRPr="0068569E">
              <w:rPr>
                <w:spacing w:val="-2"/>
              </w:rPr>
              <w:t>)</w:t>
            </w:r>
            <w:r w:rsidRPr="0068569E">
              <w:rPr>
                <w:b/>
                <w:bCs/>
                <w:spacing w:val="-2"/>
              </w:rPr>
              <w:t xml:space="preserve"> a očekávání vývoje zaměst</w:t>
            </w:r>
            <w:r>
              <w:rPr>
                <w:b/>
                <w:bCs/>
                <w:spacing w:val="-2"/>
              </w:rPr>
              <w:t>nanosti</w:t>
            </w:r>
            <w:r w:rsidRPr="0068569E">
              <w:rPr>
                <w:b/>
                <w:bCs/>
                <w:spacing w:val="-2"/>
              </w:rPr>
              <w:t xml:space="preserve"> </w:t>
            </w:r>
            <w:r w:rsidRPr="0068569E">
              <w:rPr>
                <w:spacing w:val="-2"/>
              </w:rPr>
              <w:t>(saldo v</w:t>
            </w:r>
            <w:r>
              <w:rPr>
                <w:spacing w:val="-2"/>
              </w:rPr>
              <w:t> p. b.)</w:t>
            </w:r>
          </w:p>
        </w:tc>
      </w:tr>
      <w:tr w:rsidR="0070658E" w:rsidRPr="00B43216" w14:paraId="51BD1805" w14:textId="77777777" w:rsidTr="006050CF">
        <w:tblPrEx>
          <w:tblCellMar>
            <w:left w:w="70" w:type="dxa"/>
            <w:right w:w="70" w:type="dxa"/>
          </w:tblCellMar>
        </w:tblPrEx>
        <w:trPr>
          <w:trHeight w:val="155"/>
        </w:trPr>
        <w:tc>
          <w:tcPr>
            <w:tcW w:w="1792" w:type="dxa"/>
            <w:vMerge/>
            <w:shd w:val="clear" w:color="auto" w:fill="auto"/>
          </w:tcPr>
          <w:p w14:paraId="167F1BAC" w14:textId="77777777" w:rsidR="0070658E" w:rsidRPr="00B43216" w:rsidRDefault="0070658E" w:rsidP="006050CF">
            <w:pPr>
              <w:pStyle w:val="Marginlie"/>
              <w:spacing w:after="120"/>
              <w:rPr>
                <w:spacing w:val="-4"/>
              </w:rPr>
            </w:pPr>
          </w:p>
        </w:tc>
        <w:tc>
          <w:tcPr>
            <w:tcW w:w="216" w:type="dxa"/>
            <w:vMerge/>
            <w:shd w:val="clear" w:color="auto" w:fill="auto"/>
          </w:tcPr>
          <w:p w14:paraId="25556044" w14:textId="77777777" w:rsidR="0070658E" w:rsidRPr="00B43216" w:rsidRDefault="0070658E" w:rsidP="006050CF">
            <w:pPr>
              <w:pStyle w:val="Textpoznpodarou"/>
              <w:spacing w:after="120"/>
              <w:jc w:val="both"/>
              <w:rPr>
                <w:spacing w:val="-4"/>
              </w:rPr>
            </w:pPr>
          </w:p>
        </w:tc>
        <w:tc>
          <w:tcPr>
            <w:tcW w:w="7656" w:type="dxa"/>
            <w:shd w:val="clear" w:color="auto" w:fill="auto"/>
          </w:tcPr>
          <w:p w14:paraId="575ACED1" w14:textId="77777777" w:rsidR="0070658E" w:rsidRPr="00B43216" w:rsidRDefault="0070658E" w:rsidP="006050CF">
            <w:pPr>
              <w:spacing w:after="0"/>
              <w:rPr>
                <w:spacing w:val="-4"/>
              </w:rPr>
            </w:pPr>
            <w:r>
              <w:rPr>
                <w:noProof/>
              </w:rPr>
              <w:drawing>
                <wp:inline distT="0" distB="0" distL="0" distR="0" wp14:anchorId="244BBCDD" wp14:editId="08992C3A">
                  <wp:extent cx="4714875" cy="393382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70658E" w:rsidRPr="00485ED5" w14:paraId="1E9E6243" w14:textId="77777777" w:rsidTr="006050CF">
        <w:trPr>
          <w:trHeight w:val="671"/>
        </w:trPr>
        <w:tc>
          <w:tcPr>
            <w:tcW w:w="1792" w:type="dxa"/>
            <w:vMerge/>
            <w:shd w:val="clear" w:color="auto" w:fill="auto"/>
            <w:tcMar>
              <w:left w:w="0" w:type="dxa"/>
            </w:tcMar>
          </w:tcPr>
          <w:p w14:paraId="5E4F4777" w14:textId="77777777" w:rsidR="0070658E" w:rsidRPr="00B43216" w:rsidRDefault="0070658E" w:rsidP="006050CF">
            <w:pPr>
              <w:pStyle w:val="Marginlie"/>
              <w:spacing w:after="120"/>
              <w:rPr>
                <w:spacing w:val="-4"/>
              </w:rPr>
            </w:pPr>
          </w:p>
        </w:tc>
        <w:tc>
          <w:tcPr>
            <w:tcW w:w="216" w:type="dxa"/>
            <w:vMerge/>
            <w:shd w:val="clear" w:color="auto" w:fill="auto"/>
            <w:tcMar>
              <w:left w:w="0" w:type="dxa"/>
            </w:tcMar>
          </w:tcPr>
          <w:p w14:paraId="22757D4B" w14:textId="77777777" w:rsidR="0070658E" w:rsidRPr="00B43216" w:rsidRDefault="0070658E" w:rsidP="006050CF">
            <w:pPr>
              <w:pStyle w:val="Textpoznpodarou"/>
              <w:spacing w:after="120"/>
              <w:jc w:val="both"/>
              <w:rPr>
                <w:spacing w:val="-4"/>
              </w:rPr>
            </w:pPr>
          </w:p>
        </w:tc>
        <w:tc>
          <w:tcPr>
            <w:tcW w:w="7656" w:type="dxa"/>
            <w:shd w:val="clear" w:color="auto" w:fill="auto"/>
            <w:tcMar>
              <w:left w:w="0" w:type="dxa"/>
            </w:tcMar>
          </w:tcPr>
          <w:p w14:paraId="105470A7" w14:textId="77777777" w:rsidR="0070658E" w:rsidRDefault="0070658E" w:rsidP="006050CF">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1272784F" w14:textId="77777777" w:rsidR="0070658E" w:rsidRDefault="0070658E" w:rsidP="006050CF">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 xml:space="preserve">očekávání vyjadřuje rozdíl v p. b. </w:t>
            </w:r>
            <w:proofErr w:type="gramStart"/>
            <w:r>
              <w:rPr>
                <w:rFonts w:cs="Arial"/>
                <w:color w:val="0D0D0D" w:themeColor="text1" w:themeTint="F2"/>
                <w:sz w:val="14"/>
                <w:szCs w:val="14"/>
              </w:rPr>
              <w:t>mezi</w:t>
            </w:r>
            <w:proofErr w:type="gramEnd"/>
            <w:r>
              <w:rPr>
                <w:rFonts w:cs="Arial"/>
                <w:color w:val="0D0D0D" w:themeColor="text1" w:themeTint="F2"/>
                <w:sz w:val="14"/>
                <w:szCs w:val="14"/>
              </w:rPr>
              <w:t xml:space="preserve"> kategoriemi růst versus pokles zaměstnanosti v nejbližších třech měsících. Údaje jsou sezónně očištěny a vztahují se k druhému měsíci daného čtvrtletí.</w:t>
            </w:r>
          </w:p>
          <w:p w14:paraId="4C7E26AC" w14:textId="77777777" w:rsidR="0070658E" w:rsidRPr="00485ED5" w:rsidRDefault="0070658E" w:rsidP="006050CF">
            <w:pPr>
              <w:spacing w:after="220" w:line="240" w:lineRule="auto"/>
              <w:rPr>
                <w:rFonts w:cs="Arial"/>
                <w:color w:val="0D0D0D" w:themeColor="text1" w:themeTint="F2"/>
                <w:spacing w:val="-2"/>
                <w:sz w:val="14"/>
                <w:szCs w:val="14"/>
              </w:rPr>
            </w:pPr>
            <w:r>
              <w:rPr>
                <w:rFonts w:cs="Arial"/>
                <w:sz w:val="14"/>
                <w:szCs w:val="14"/>
              </w:rPr>
              <w:t>Zdroj: ČSÚ (VŠPS, konjunkturální průzkumy)</w:t>
            </w:r>
          </w:p>
        </w:tc>
      </w:tr>
      <w:tr w:rsidR="0070658E" w:rsidRPr="00D82DBD" w14:paraId="24DA7425" w14:textId="77777777" w:rsidTr="006050CF">
        <w:trPr>
          <w:trHeight w:val="145"/>
        </w:trPr>
        <w:tc>
          <w:tcPr>
            <w:tcW w:w="1792" w:type="dxa"/>
            <w:shd w:val="clear" w:color="auto" w:fill="auto"/>
            <w:tcMar>
              <w:left w:w="0" w:type="dxa"/>
            </w:tcMar>
          </w:tcPr>
          <w:p w14:paraId="3D2C6CA5" w14:textId="77777777" w:rsidR="0070658E" w:rsidRDefault="0070658E" w:rsidP="006050CF">
            <w:pPr>
              <w:pStyle w:val="Marginlie"/>
              <w:spacing w:after="120"/>
              <w:rPr>
                <w:color w:val="0D0D0D" w:themeColor="text1" w:themeTint="F2"/>
                <w:spacing w:val="-5"/>
              </w:rPr>
            </w:pPr>
            <w:r>
              <w:rPr>
                <w:color w:val="0D0D0D" w:themeColor="text1" w:themeTint="F2"/>
                <w:spacing w:val="-5"/>
              </w:rPr>
              <w:t>Nezaměstnanost se ve 2.</w:t>
            </w:r>
            <w:r>
              <w:rPr>
                <w:spacing w:val="-4"/>
              </w:rPr>
              <w:t> </w:t>
            </w:r>
            <w:r>
              <w:rPr>
                <w:color w:val="0D0D0D" w:themeColor="text1" w:themeTint="F2"/>
                <w:spacing w:val="-5"/>
              </w:rPr>
              <w:t>čtvrtletí při souběžném útlumu vládních stabilizačních programů snížila.</w:t>
            </w:r>
          </w:p>
          <w:p w14:paraId="6C50DAA5" w14:textId="77777777" w:rsidR="0070658E" w:rsidRDefault="0070658E" w:rsidP="00FC077B">
            <w:pPr>
              <w:pStyle w:val="Marginlie"/>
              <w:spacing w:line="240" w:lineRule="auto"/>
              <w:rPr>
                <w:color w:val="0D0D0D" w:themeColor="text1" w:themeTint="F2"/>
                <w:spacing w:val="-5"/>
              </w:rPr>
            </w:pPr>
          </w:p>
          <w:p w14:paraId="74E0CA93" w14:textId="77777777" w:rsidR="0070658E" w:rsidRDefault="0070658E" w:rsidP="00FC077B">
            <w:pPr>
              <w:pStyle w:val="Marginlie"/>
              <w:spacing w:line="240" w:lineRule="auto"/>
              <w:rPr>
                <w:color w:val="0D0D0D" w:themeColor="text1" w:themeTint="F2"/>
                <w:spacing w:val="-5"/>
              </w:rPr>
            </w:pPr>
          </w:p>
          <w:p w14:paraId="6EC85320" w14:textId="77777777" w:rsidR="00FC077B" w:rsidRDefault="00FC077B" w:rsidP="00FC077B">
            <w:pPr>
              <w:pStyle w:val="Marginlie"/>
              <w:spacing w:line="240" w:lineRule="auto"/>
              <w:rPr>
                <w:color w:val="0D0D0D" w:themeColor="text1" w:themeTint="F2"/>
                <w:spacing w:val="-5"/>
              </w:rPr>
            </w:pPr>
          </w:p>
          <w:p w14:paraId="1629D7DB" w14:textId="77777777" w:rsidR="00FC077B" w:rsidRDefault="00FC077B" w:rsidP="00FC077B">
            <w:pPr>
              <w:pStyle w:val="Marginlie"/>
              <w:spacing w:line="240" w:lineRule="auto"/>
              <w:rPr>
                <w:color w:val="0D0D0D" w:themeColor="text1" w:themeTint="F2"/>
                <w:spacing w:val="-5"/>
              </w:rPr>
            </w:pPr>
          </w:p>
          <w:p w14:paraId="5E4AAF51" w14:textId="77777777" w:rsidR="00FC077B" w:rsidRDefault="00FC077B" w:rsidP="00FC077B">
            <w:pPr>
              <w:pStyle w:val="Marginlie"/>
              <w:spacing w:line="240" w:lineRule="auto"/>
              <w:rPr>
                <w:color w:val="0D0D0D" w:themeColor="text1" w:themeTint="F2"/>
                <w:spacing w:val="-5"/>
              </w:rPr>
            </w:pPr>
          </w:p>
          <w:p w14:paraId="7234B08E" w14:textId="77777777" w:rsidR="0070658E" w:rsidRDefault="0070658E" w:rsidP="00FC077B">
            <w:pPr>
              <w:pStyle w:val="Marginlie"/>
              <w:spacing w:line="240" w:lineRule="auto"/>
              <w:rPr>
                <w:color w:val="0D0D0D" w:themeColor="text1" w:themeTint="F2"/>
                <w:spacing w:val="-5"/>
              </w:rPr>
            </w:pPr>
          </w:p>
          <w:p w14:paraId="6A663AA2" w14:textId="77777777" w:rsidR="0070658E" w:rsidRDefault="0070658E" w:rsidP="006050CF">
            <w:pPr>
              <w:pStyle w:val="Marginlie"/>
              <w:spacing w:after="120"/>
              <w:rPr>
                <w:color w:val="0D0D0D" w:themeColor="text1" w:themeTint="F2"/>
                <w:spacing w:val="-5"/>
              </w:rPr>
            </w:pPr>
            <w:r>
              <w:rPr>
                <w:color w:val="0D0D0D" w:themeColor="text1" w:themeTint="F2"/>
                <w:spacing w:val="-5"/>
              </w:rPr>
              <w:lastRenderedPageBreak/>
              <w:t>Počet i podíl dlouhodobě nezaměstnaných se ovšem zvýšil.</w:t>
            </w:r>
          </w:p>
        </w:tc>
        <w:tc>
          <w:tcPr>
            <w:tcW w:w="216" w:type="dxa"/>
            <w:shd w:val="clear" w:color="auto" w:fill="auto"/>
            <w:tcMar>
              <w:left w:w="0" w:type="dxa"/>
            </w:tcMar>
          </w:tcPr>
          <w:p w14:paraId="6EE44D36" w14:textId="77777777" w:rsidR="0070658E" w:rsidRPr="00EA508C" w:rsidRDefault="0070658E" w:rsidP="006050CF">
            <w:pPr>
              <w:pStyle w:val="Textpoznpodarou"/>
              <w:spacing w:after="120"/>
              <w:jc w:val="both"/>
              <w:rPr>
                <w:color w:val="0D0D0D" w:themeColor="text1" w:themeTint="F2"/>
                <w:spacing w:val="-4"/>
              </w:rPr>
            </w:pPr>
          </w:p>
        </w:tc>
        <w:tc>
          <w:tcPr>
            <w:tcW w:w="7656" w:type="dxa"/>
            <w:shd w:val="clear" w:color="auto" w:fill="auto"/>
            <w:tcMar>
              <w:left w:w="0" w:type="dxa"/>
            </w:tcMar>
          </w:tcPr>
          <w:p w14:paraId="47731431" w14:textId="77777777" w:rsidR="0070658E" w:rsidRPr="00431E91" w:rsidRDefault="0070658E" w:rsidP="006050CF">
            <w:pPr>
              <w:rPr>
                <w:color w:val="0D0D0D" w:themeColor="text1" w:themeTint="F2"/>
                <w:spacing w:val="-4"/>
              </w:rPr>
            </w:pPr>
            <w:r w:rsidRPr="00431E91">
              <w:rPr>
                <w:color w:val="0D0D0D" w:themeColor="text1" w:themeTint="F2"/>
                <w:spacing w:val="-4"/>
              </w:rPr>
              <w:t>Obecná míra nezaměstnanosti</w:t>
            </w:r>
            <w:r w:rsidRPr="00431E91">
              <w:rPr>
                <w:rStyle w:val="Znakapoznpodarou"/>
                <w:color w:val="0D0D0D" w:themeColor="text1" w:themeTint="F2"/>
                <w:spacing w:val="-4"/>
              </w:rPr>
              <w:footnoteReference w:id="56"/>
            </w:r>
            <w:r w:rsidRPr="00431E91">
              <w:rPr>
                <w:color w:val="0D0D0D" w:themeColor="text1" w:themeTint="F2"/>
                <w:spacing w:val="-4"/>
              </w:rPr>
              <w:t xml:space="preserve"> (ve věku 15 až 64 let) na počátku roku mírně rostla a letos v březnu dosáhla bezmála čtyřletého maxima (3,5 %). Ve 2. čtvrtletí došlo při plném znovuotevření ekonomiky k pozitivnímu obratu a v červnu již bylo bez práce jen 2,4 % ekonomicky aktivních mužů, resp. 3,5 % žen</w:t>
            </w:r>
            <w:r w:rsidRPr="00431E91">
              <w:rPr>
                <w:rStyle w:val="Znakapoznpodarou"/>
                <w:color w:val="0D0D0D" w:themeColor="text1" w:themeTint="F2"/>
                <w:spacing w:val="-4"/>
              </w:rPr>
              <w:footnoteReference w:id="57"/>
            </w:r>
            <w:r w:rsidRPr="00431E91">
              <w:rPr>
                <w:color w:val="0D0D0D" w:themeColor="text1" w:themeTint="F2"/>
                <w:spacing w:val="-4"/>
              </w:rPr>
              <w:t>. Výrazné utlumení vládních stabilizačních programů</w:t>
            </w:r>
            <w:r w:rsidRPr="00431E91">
              <w:rPr>
                <w:rStyle w:val="Znakapoznpodarou"/>
                <w:color w:val="0D0D0D" w:themeColor="text1" w:themeTint="F2"/>
                <w:spacing w:val="-4"/>
              </w:rPr>
              <w:footnoteReference w:id="58"/>
            </w:r>
            <w:r w:rsidRPr="00431E91">
              <w:rPr>
                <w:color w:val="0D0D0D" w:themeColor="text1" w:themeTint="F2"/>
                <w:spacing w:val="-4"/>
              </w:rPr>
              <w:t xml:space="preserve"> se tak v oblasti nezaměstnanosti v tomto období negativně neprojevilo. Ve srovnání s úrovní těsně před pandemií (z února 2020) se více zhoršila pozice žen (+1,6 p. b.) než mužů (+0,6 p. b.). Postavení žen komplikuje fakt, že řada odvětví služeb silně zasažených útlumem poptávky během pandemie se vzpamatovává pomalu a nové pracovníky nabírat zatím neplánuje. I nabídka zkrácených pracovních úvazků patrně zatím nedosáhla úrovně z roku 2019</w:t>
            </w:r>
            <w:r w:rsidRPr="00431E91">
              <w:rPr>
                <w:rStyle w:val="Znakapoznpodarou"/>
                <w:color w:val="0D0D0D" w:themeColor="text1" w:themeTint="F2"/>
                <w:spacing w:val="-4"/>
              </w:rPr>
              <w:footnoteReference w:id="59"/>
            </w:r>
            <w:r w:rsidRPr="00431E91">
              <w:rPr>
                <w:color w:val="0D0D0D" w:themeColor="text1" w:themeTint="F2"/>
                <w:spacing w:val="-4"/>
              </w:rPr>
              <w:t xml:space="preserve">. Míra nezaměstnanosti mezi mladými do 25 let ale klesla </w:t>
            </w:r>
            <w:r w:rsidRPr="00431E91">
              <w:rPr>
                <w:color w:val="0D0D0D" w:themeColor="text1" w:themeTint="F2"/>
                <w:spacing w:val="-4"/>
              </w:rPr>
              <w:lastRenderedPageBreak/>
              <w:t xml:space="preserve">na 7,0 % (podobně u mužů i žen) a byla tak nejnižší od loňského dubna. Dlouhodobě nezaměstnaných ale meziročně přibylo, jejich podíl na celkové nezaměstnanosti se ve 2. čtvrtletí přiblížil </w:t>
            </w:r>
            <w:proofErr w:type="gramStart"/>
            <w:r w:rsidRPr="00431E91">
              <w:rPr>
                <w:color w:val="0D0D0D" w:themeColor="text1" w:themeTint="F2"/>
                <w:spacing w:val="-4"/>
              </w:rPr>
              <w:t>ke</w:t>
            </w:r>
            <w:proofErr w:type="gramEnd"/>
            <w:r w:rsidRPr="00431E91">
              <w:rPr>
                <w:color w:val="0D0D0D" w:themeColor="text1" w:themeTint="F2"/>
                <w:spacing w:val="-4"/>
              </w:rPr>
              <w:t xml:space="preserve"> 30 %, tedy k běžným hodnotám z konjunkturního roku 2019. Z regionů sužovala celková nezaměstnanost nejvíce Karlovarský kraj (5,6 %), </w:t>
            </w:r>
            <w:r w:rsidRPr="00431E91">
              <w:rPr>
                <w:spacing w:val="-4"/>
              </w:rPr>
              <w:t>což platilo po celé pandemické období.</w:t>
            </w:r>
          </w:p>
        </w:tc>
      </w:tr>
      <w:tr w:rsidR="0070658E" w:rsidRPr="00B43216" w14:paraId="7DF56213" w14:textId="77777777" w:rsidTr="006050CF">
        <w:trPr>
          <w:trHeight w:val="155"/>
        </w:trPr>
        <w:tc>
          <w:tcPr>
            <w:tcW w:w="1792" w:type="dxa"/>
            <w:vMerge w:val="restart"/>
            <w:shd w:val="clear" w:color="auto" w:fill="auto"/>
            <w:tcMar>
              <w:left w:w="0" w:type="dxa"/>
            </w:tcMar>
          </w:tcPr>
          <w:p w14:paraId="6BA668D6" w14:textId="77777777" w:rsidR="0070658E" w:rsidRPr="00B43216" w:rsidRDefault="0070658E" w:rsidP="006050CF">
            <w:pPr>
              <w:pStyle w:val="Marginlie"/>
              <w:spacing w:after="120"/>
              <w:rPr>
                <w:spacing w:val="-4"/>
              </w:rPr>
            </w:pPr>
          </w:p>
        </w:tc>
        <w:tc>
          <w:tcPr>
            <w:tcW w:w="216" w:type="dxa"/>
            <w:vMerge w:val="restart"/>
            <w:shd w:val="clear" w:color="auto" w:fill="auto"/>
            <w:tcMar>
              <w:left w:w="0" w:type="dxa"/>
            </w:tcMar>
          </w:tcPr>
          <w:p w14:paraId="6A10B8D3" w14:textId="77777777" w:rsidR="0070658E" w:rsidRPr="00B43216" w:rsidRDefault="0070658E" w:rsidP="006050CF">
            <w:pPr>
              <w:pStyle w:val="Textpoznpodarou"/>
              <w:spacing w:after="120"/>
              <w:jc w:val="both"/>
              <w:rPr>
                <w:spacing w:val="-4"/>
              </w:rPr>
            </w:pPr>
          </w:p>
        </w:tc>
        <w:tc>
          <w:tcPr>
            <w:tcW w:w="7656" w:type="dxa"/>
            <w:shd w:val="clear" w:color="auto" w:fill="auto"/>
            <w:tcMar>
              <w:left w:w="0" w:type="dxa"/>
            </w:tcMar>
          </w:tcPr>
          <w:p w14:paraId="1E8F63D3" w14:textId="77777777" w:rsidR="0070658E" w:rsidRPr="00BD4EF4" w:rsidRDefault="0070658E" w:rsidP="006050CF">
            <w:pPr>
              <w:spacing w:after="0"/>
              <w:rPr>
                <w:b/>
                <w:spacing w:val="-2"/>
              </w:rPr>
            </w:pPr>
            <w:r w:rsidRPr="00BD4EF4">
              <w:rPr>
                <w:b/>
                <w:spacing w:val="-2"/>
              </w:rPr>
              <w:t xml:space="preserve">Graf č. 13  </w:t>
            </w:r>
            <w:r w:rsidRPr="00BD4EF4">
              <w:rPr>
                <w:rFonts w:cs="Arial"/>
                <w:b/>
                <w:spacing w:val="-2"/>
              </w:rPr>
              <w:t xml:space="preserve">Obecná míra nezaměstnanosti </w:t>
            </w:r>
            <w:r w:rsidRPr="00BD4EF4">
              <w:rPr>
                <w:rFonts w:cs="Arial"/>
                <w:bCs/>
                <w:spacing w:val="-2"/>
              </w:rPr>
              <w:t>(v %)</w:t>
            </w:r>
            <w:r w:rsidRPr="00BD4EF4">
              <w:rPr>
                <w:rFonts w:cs="Arial"/>
                <w:b/>
                <w:spacing w:val="-2"/>
              </w:rPr>
              <w:t xml:space="preserve">, podíl dlouhodobě nezaměstnaných a osob ve věku do 25 a nad 50 let mezi nezaměstnanými </w:t>
            </w:r>
            <w:r w:rsidRPr="00BD4EF4">
              <w:rPr>
                <w:rFonts w:cs="Arial"/>
                <w:bCs/>
                <w:spacing w:val="-2"/>
              </w:rPr>
              <w:t>(v %)</w:t>
            </w:r>
            <w:r w:rsidRPr="00BD4EF4">
              <w:rPr>
                <w:rFonts w:cs="Arial"/>
                <w:b/>
                <w:spacing w:val="-2"/>
              </w:rPr>
              <w:t xml:space="preserve">, ekonomicky </w:t>
            </w:r>
            <w:r w:rsidRPr="00C172F7">
              <w:rPr>
                <w:rFonts w:cs="Arial"/>
                <w:b/>
              </w:rPr>
              <w:t xml:space="preserve">neaktivní chtějící pracovat </w:t>
            </w:r>
            <w:r w:rsidRPr="00C172F7">
              <w:rPr>
                <w:rFonts w:cs="Arial"/>
                <w:bCs/>
              </w:rPr>
              <w:t xml:space="preserve">(v tis.)* </w:t>
            </w:r>
            <w:r w:rsidRPr="00C172F7">
              <w:rPr>
                <w:rFonts w:cs="Arial"/>
                <w:b/>
                <w:bCs/>
              </w:rPr>
              <w:t>a očekávání nezaměstnanosti u domácností</w:t>
            </w:r>
            <w:r w:rsidRPr="00C172F7">
              <w:rPr>
                <w:rFonts w:cs="Arial"/>
                <w:bCs/>
              </w:rPr>
              <w:t xml:space="preserve"> (v p. b.)**</w:t>
            </w:r>
          </w:p>
        </w:tc>
      </w:tr>
      <w:tr w:rsidR="0070658E" w:rsidRPr="00B43216" w14:paraId="001FD98F" w14:textId="77777777" w:rsidTr="006050CF">
        <w:tblPrEx>
          <w:tblCellMar>
            <w:left w:w="70" w:type="dxa"/>
            <w:right w:w="70" w:type="dxa"/>
          </w:tblCellMar>
        </w:tblPrEx>
        <w:trPr>
          <w:trHeight w:val="155"/>
        </w:trPr>
        <w:tc>
          <w:tcPr>
            <w:tcW w:w="1792" w:type="dxa"/>
            <w:vMerge/>
            <w:shd w:val="clear" w:color="auto" w:fill="auto"/>
          </w:tcPr>
          <w:p w14:paraId="49C07D98" w14:textId="77777777" w:rsidR="0070658E" w:rsidRPr="00B43216" w:rsidRDefault="0070658E" w:rsidP="006050CF">
            <w:pPr>
              <w:pStyle w:val="Marginlie"/>
              <w:spacing w:after="120"/>
              <w:rPr>
                <w:spacing w:val="-4"/>
              </w:rPr>
            </w:pPr>
          </w:p>
        </w:tc>
        <w:tc>
          <w:tcPr>
            <w:tcW w:w="216" w:type="dxa"/>
            <w:vMerge/>
            <w:shd w:val="clear" w:color="auto" w:fill="auto"/>
          </w:tcPr>
          <w:p w14:paraId="789F1272" w14:textId="77777777" w:rsidR="0070658E" w:rsidRPr="00B43216" w:rsidRDefault="0070658E" w:rsidP="006050CF">
            <w:pPr>
              <w:pStyle w:val="Textpoznpodarou"/>
              <w:spacing w:after="120"/>
              <w:jc w:val="both"/>
              <w:rPr>
                <w:spacing w:val="-4"/>
              </w:rPr>
            </w:pPr>
          </w:p>
        </w:tc>
        <w:tc>
          <w:tcPr>
            <w:tcW w:w="7656" w:type="dxa"/>
            <w:shd w:val="clear" w:color="auto" w:fill="auto"/>
          </w:tcPr>
          <w:p w14:paraId="0993A4A4" w14:textId="77777777" w:rsidR="0070658E" w:rsidRPr="00B43216" w:rsidRDefault="0070658E" w:rsidP="006050CF">
            <w:pPr>
              <w:spacing w:after="0"/>
              <w:rPr>
                <w:spacing w:val="-4"/>
              </w:rPr>
            </w:pPr>
            <w:r>
              <w:rPr>
                <w:noProof/>
              </w:rPr>
              <w:drawing>
                <wp:inline distT="0" distB="0" distL="0" distR="0" wp14:anchorId="77425A8C" wp14:editId="4798B6E1">
                  <wp:extent cx="4752975" cy="3476625"/>
                  <wp:effectExtent l="0" t="0" r="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70658E" w:rsidRPr="00B43216" w14:paraId="118E7BF1" w14:textId="77777777" w:rsidTr="006050CF">
        <w:trPr>
          <w:trHeight w:val="671"/>
        </w:trPr>
        <w:tc>
          <w:tcPr>
            <w:tcW w:w="1792" w:type="dxa"/>
            <w:vMerge/>
            <w:shd w:val="clear" w:color="auto" w:fill="auto"/>
            <w:tcMar>
              <w:left w:w="0" w:type="dxa"/>
            </w:tcMar>
          </w:tcPr>
          <w:p w14:paraId="60E9FC58" w14:textId="77777777" w:rsidR="0070658E" w:rsidRPr="00B43216" w:rsidRDefault="0070658E" w:rsidP="006050CF">
            <w:pPr>
              <w:pStyle w:val="Marginlie"/>
              <w:rPr>
                <w:spacing w:val="-4"/>
              </w:rPr>
            </w:pPr>
          </w:p>
        </w:tc>
        <w:tc>
          <w:tcPr>
            <w:tcW w:w="216" w:type="dxa"/>
            <w:vMerge/>
            <w:shd w:val="clear" w:color="auto" w:fill="auto"/>
            <w:tcMar>
              <w:left w:w="0" w:type="dxa"/>
            </w:tcMar>
          </w:tcPr>
          <w:p w14:paraId="0B829B0F" w14:textId="77777777" w:rsidR="0070658E" w:rsidRPr="00B43216" w:rsidRDefault="0070658E" w:rsidP="006050CF">
            <w:pPr>
              <w:pStyle w:val="Textpoznpodarou"/>
              <w:jc w:val="both"/>
              <w:rPr>
                <w:spacing w:val="-4"/>
              </w:rPr>
            </w:pPr>
          </w:p>
        </w:tc>
        <w:tc>
          <w:tcPr>
            <w:tcW w:w="7656" w:type="dxa"/>
            <w:shd w:val="clear" w:color="auto" w:fill="auto"/>
            <w:tcMar>
              <w:left w:w="0" w:type="dxa"/>
            </w:tcMar>
          </w:tcPr>
          <w:p w14:paraId="2C833D35" w14:textId="77777777" w:rsidR="0070658E" w:rsidRPr="004E68B1" w:rsidRDefault="0070658E" w:rsidP="006050CF">
            <w:pPr>
              <w:spacing w:after="0" w:line="240" w:lineRule="auto"/>
              <w:rPr>
                <w:rFonts w:cs="Arial"/>
                <w:color w:val="0D0D0D" w:themeColor="text1" w:themeTint="F2"/>
                <w:spacing w:val="-2"/>
                <w:sz w:val="14"/>
                <w:szCs w:val="14"/>
              </w:rPr>
            </w:pPr>
            <w:r w:rsidRPr="004E68B1">
              <w:rPr>
                <w:rFonts w:cs="Arial"/>
                <w:color w:val="0D0D0D" w:themeColor="text1" w:themeTint="F2"/>
                <w:spacing w:val="-2"/>
                <w:sz w:val="14"/>
                <w:szCs w:val="14"/>
              </w:rPr>
              <w:t>Pozn.: Údaje o míře nezaměstnanosti jsou po sezónním oči</w:t>
            </w:r>
            <w:r>
              <w:rPr>
                <w:rFonts w:cs="Arial"/>
                <w:color w:val="0D0D0D" w:themeColor="text1" w:themeTint="F2"/>
                <w:spacing w:val="-2"/>
                <w:sz w:val="14"/>
                <w:szCs w:val="14"/>
              </w:rPr>
              <w:t>štění, ostatní ukazatele nikoli</w:t>
            </w:r>
            <w:r w:rsidRPr="004E68B1">
              <w:rPr>
                <w:rFonts w:cs="Arial"/>
                <w:color w:val="0D0D0D" w:themeColor="text1" w:themeTint="F2"/>
                <w:spacing w:val="-2"/>
                <w:sz w:val="14"/>
                <w:szCs w:val="14"/>
              </w:rPr>
              <w:t>.</w:t>
            </w:r>
          </w:p>
          <w:p w14:paraId="41CFDAEB" w14:textId="77777777" w:rsidR="0070658E" w:rsidRDefault="0070658E" w:rsidP="006050CF">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5E0E39D8" w14:textId="77777777" w:rsidR="0070658E" w:rsidRDefault="0070658E" w:rsidP="006050CF">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Vztahuje se k prostřednímu měsíci daného čtvrtletí.</w:t>
            </w:r>
          </w:p>
          <w:p w14:paraId="62CDF074" w14:textId="77777777" w:rsidR="0070658E" w:rsidRPr="00485ED5" w:rsidRDefault="0070658E" w:rsidP="006050CF">
            <w:pPr>
              <w:spacing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w:t>
            </w:r>
          </w:p>
        </w:tc>
      </w:tr>
      <w:tr w:rsidR="00866074" w:rsidRPr="00191C35" w14:paraId="540F18B6" w14:textId="77777777" w:rsidTr="006050CF">
        <w:trPr>
          <w:trHeight w:val="145"/>
        </w:trPr>
        <w:tc>
          <w:tcPr>
            <w:tcW w:w="1792" w:type="dxa"/>
            <w:shd w:val="clear" w:color="auto" w:fill="auto"/>
            <w:tcMar>
              <w:left w:w="0" w:type="dxa"/>
            </w:tcMar>
          </w:tcPr>
          <w:p w14:paraId="22359250" w14:textId="77777777" w:rsidR="00866074" w:rsidRDefault="00866074" w:rsidP="006050CF">
            <w:pPr>
              <w:pStyle w:val="Marginlie"/>
              <w:spacing w:after="120"/>
              <w:rPr>
                <w:color w:val="0D0D0D" w:themeColor="text1" w:themeTint="F2"/>
                <w:spacing w:val="-5"/>
              </w:rPr>
            </w:pPr>
            <w:r>
              <w:rPr>
                <w:color w:val="0D0D0D" w:themeColor="text1" w:themeTint="F2"/>
                <w:spacing w:val="-5"/>
              </w:rPr>
              <w:t>Obavy lidí z růstu nezaměstnanosti se ve 2.</w:t>
            </w:r>
            <w:r>
              <w:rPr>
                <w:spacing w:val="-4"/>
              </w:rPr>
              <w:t> </w:t>
            </w:r>
            <w:r>
              <w:rPr>
                <w:color w:val="0D0D0D" w:themeColor="text1" w:themeTint="F2"/>
                <w:spacing w:val="-5"/>
              </w:rPr>
              <w:t>čtvrtletí snížily na úroveň viditelnou v období před pandemií.</w:t>
            </w:r>
          </w:p>
          <w:p w14:paraId="7C3ABEA8" w14:textId="77777777" w:rsidR="00866074" w:rsidRDefault="00866074" w:rsidP="00FC077B">
            <w:pPr>
              <w:pStyle w:val="Marginlie"/>
              <w:rPr>
                <w:color w:val="0D0D0D" w:themeColor="text1" w:themeTint="F2"/>
                <w:spacing w:val="-5"/>
              </w:rPr>
            </w:pPr>
          </w:p>
          <w:p w14:paraId="74B12AB0" w14:textId="77777777" w:rsidR="00FC077B" w:rsidRDefault="00FC077B" w:rsidP="00FC077B">
            <w:pPr>
              <w:pStyle w:val="Marginlie"/>
              <w:rPr>
                <w:color w:val="0D0D0D" w:themeColor="text1" w:themeTint="F2"/>
                <w:spacing w:val="-5"/>
              </w:rPr>
            </w:pPr>
          </w:p>
          <w:p w14:paraId="4BBFA549" w14:textId="77777777" w:rsidR="00866074" w:rsidRDefault="00866074" w:rsidP="006050CF">
            <w:pPr>
              <w:pStyle w:val="Marginlie"/>
              <w:spacing w:after="120"/>
              <w:rPr>
                <w:color w:val="0D0D0D" w:themeColor="text1" w:themeTint="F2"/>
                <w:spacing w:val="-5"/>
              </w:rPr>
            </w:pPr>
            <w:r>
              <w:rPr>
                <w:color w:val="0D0D0D" w:themeColor="text1" w:themeTint="F2"/>
                <w:spacing w:val="-5"/>
              </w:rPr>
              <w:t>Větší převis uchazečů o práci nad volnými místy hlásily zpravidla jen okresy postižené útlumem těžby uhlí.</w:t>
            </w:r>
          </w:p>
        </w:tc>
        <w:tc>
          <w:tcPr>
            <w:tcW w:w="216" w:type="dxa"/>
            <w:shd w:val="clear" w:color="auto" w:fill="auto"/>
            <w:tcMar>
              <w:left w:w="0" w:type="dxa"/>
            </w:tcMar>
          </w:tcPr>
          <w:p w14:paraId="1234CB65" w14:textId="77777777" w:rsidR="00866074" w:rsidRPr="00EA508C" w:rsidRDefault="00866074" w:rsidP="006050CF">
            <w:pPr>
              <w:pStyle w:val="Textpoznpodarou"/>
              <w:spacing w:after="120"/>
              <w:jc w:val="both"/>
              <w:rPr>
                <w:color w:val="0D0D0D" w:themeColor="text1" w:themeTint="F2"/>
                <w:spacing w:val="-4"/>
              </w:rPr>
            </w:pPr>
          </w:p>
        </w:tc>
        <w:tc>
          <w:tcPr>
            <w:tcW w:w="7656" w:type="dxa"/>
            <w:shd w:val="clear" w:color="auto" w:fill="auto"/>
            <w:tcMar>
              <w:left w:w="0" w:type="dxa"/>
            </w:tcMar>
          </w:tcPr>
          <w:p w14:paraId="0E6BAE6C" w14:textId="77777777" w:rsidR="00866074" w:rsidRPr="00431E91" w:rsidRDefault="00866074" w:rsidP="006050CF">
            <w:pPr>
              <w:rPr>
                <w:color w:val="0D0D0D" w:themeColor="text1" w:themeTint="F2"/>
                <w:spacing w:val="-4"/>
              </w:rPr>
            </w:pPr>
            <w:r w:rsidRPr="00431E91">
              <w:rPr>
                <w:color w:val="0D0D0D" w:themeColor="text1" w:themeTint="F2"/>
                <w:spacing w:val="-4"/>
              </w:rPr>
              <w:t xml:space="preserve">Obavy domácností z růstu nezaměstnanosti (v nejbližších dvanácti měsících) během 2. čtvrtletí prudce oslabily a vrátily se na nízkou úroveň </w:t>
            </w:r>
            <w:proofErr w:type="gramStart"/>
            <w:r w:rsidRPr="00431E91">
              <w:rPr>
                <w:color w:val="0D0D0D" w:themeColor="text1" w:themeTint="F2"/>
                <w:spacing w:val="-4"/>
              </w:rPr>
              <w:t>ze</w:t>
            </w:r>
            <w:proofErr w:type="gramEnd"/>
            <w:r w:rsidRPr="00431E91">
              <w:rPr>
                <w:color w:val="0D0D0D" w:themeColor="text1" w:themeTint="F2"/>
                <w:spacing w:val="-4"/>
              </w:rPr>
              <w:t xml:space="preserve"> 2. poloviny roku 2019. Letošní prázdninové období tento stav jen stvrdilo. Oživení na trhu práce dokládá i rostoucí počet volných pracovních míst. Na konci července 2021 nabízely úřady práce v ČR 385 tis. pozic, meziročně o 24 tis. více (resp. o 12 tis.</w:t>
            </w:r>
            <w:r w:rsidRPr="00431E91">
              <w:rPr>
                <w:rStyle w:val="Znakapoznpodarou"/>
                <w:color w:val="0D0D0D" w:themeColor="text1" w:themeTint="F2"/>
                <w:spacing w:val="-4"/>
              </w:rPr>
              <w:footnoteReference w:id="60"/>
            </w:r>
            <w:r w:rsidRPr="00431E91">
              <w:rPr>
                <w:color w:val="0D0D0D" w:themeColor="text1" w:themeTint="F2"/>
                <w:spacing w:val="-4"/>
              </w:rPr>
              <w:t xml:space="preserve"> více než ve stejném měsíci roku 2019). Ačkoli počet dlouhodobě neobsazených míst zůstává vysoký, jejich podíl na celkové nabídce práce byl nejnižší za posledních jedenáct čtvrtletí</w:t>
            </w:r>
            <w:r w:rsidRPr="00431E91">
              <w:rPr>
                <w:rStyle w:val="Znakapoznpodarou"/>
                <w:color w:val="0D0D0D" w:themeColor="text1" w:themeTint="F2"/>
                <w:spacing w:val="-4"/>
              </w:rPr>
              <w:footnoteReference w:id="61"/>
            </w:r>
            <w:r w:rsidRPr="00431E91">
              <w:rPr>
                <w:color w:val="0D0D0D" w:themeColor="text1" w:themeTint="F2"/>
                <w:spacing w:val="-4"/>
              </w:rPr>
              <w:t>. Podíl míst s minimálními kvalifikačními nároky dále stoupal, základní vzdělání tak postačovalo uchazečům již u 74 % nabízených pozic</w:t>
            </w:r>
            <w:r w:rsidRPr="00431E91">
              <w:rPr>
                <w:rStyle w:val="Znakapoznpodarou"/>
                <w:color w:val="0D0D0D" w:themeColor="text1" w:themeTint="F2"/>
                <w:spacing w:val="-4"/>
              </w:rPr>
              <w:footnoteReference w:id="62"/>
            </w:r>
            <w:r w:rsidRPr="00431E91">
              <w:rPr>
                <w:color w:val="0D0D0D" w:themeColor="text1" w:themeTint="F2"/>
                <w:spacing w:val="-4"/>
              </w:rPr>
              <w:t xml:space="preserve">. To souviselo s rychlým </w:t>
            </w:r>
            <w:proofErr w:type="spellStart"/>
            <w:r w:rsidRPr="00431E91">
              <w:rPr>
                <w:color w:val="0D0D0D" w:themeColor="text1" w:themeTint="F2"/>
                <w:spacing w:val="-4"/>
              </w:rPr>
              <w:t>pokrizovým</w:t>
            </w:r>
            <w:proofErr w:type="spellEnd"/>
            <w:r w:rsidRPr="00431E91">
              <w:rPr>
                <w:color w:val="0D0D0D" w:themeColor="text1" w:themeTint="F2"/>
                <w:spacing w:val="-4"/>
              </w:rPr>
              <w:t xml:space="preserve"> oživením v průmyslu</w:t>
            </w:r>
            <w:r w:rsidRPr="00431E91">
              <w:rPr>
                <w:rStyle w:val="Znakapoznpodarou"/>
                <w:color w:val="0D0D0D" w:themeColor="text1" w:themeTint="F2"/>
                <w:spacing w:val="-4"/>
              </w:rPr>
              <w:footnoteReference w:id="63"/>
            </w:r>
            <w:r w:rsidRPr="00431E91">
              <w:rPr>
                <w:color w:val="0D0D0D" w:themeColor="text1" w:themeTint="F2"/>
                <w:spacing w:val="-4"/>
              </w:rPr>
              <w:t xml:space="preserve">. Ve srovnání s loňským červencem se ovšem mírně rozšířila rovněž nabídka pro uchazeče s maturitním a vyšším vzděláním (+2,5 tis. míst). Ve většině okresů přetrvával převis nabízených míst nad počtem </w:t>
            </w:r>
            <w:r w:rsidRPr="00431E91">
              <w:rPr>
                <w:color w:val="0D0D0D" w:themeColor="text1" w:themeTint="F2"/>
                <w:spacing w:val="-4"/>
              </w:rPr>
              <w:lastRenderedPageBreak/>
              <w:t>registrovaných uchazečů o práci. Ztíženou pozici měli naopak nezaměstnaní hlavně v Moravskoslezském a Ústeckém kraji, zejména v oblastech s útlumem těžby uhlí</w:t>
            </w:r>
            <w:r w:rsidRPr="00431E91">
              <w:rPr>
                <w:rStyle w:val="Znakapoznpodarou"/>
                <w:color w:val="0D0D0D" w:themeColor="text1" w:themeTint="F2"/>
                <w:spacing w:val="-4"/>
              </w:rPr>
              <w:footnoteReference w:id="64"/>
            </w:r>
            <w:r w:rsidRPr="00431E91">
              <w:rPr>
                <w:color w:val="0D0D0D" w:themeColor="text1" w:themeTint="F2"/>
                <w:spacing w:val="-4"/>
              </w:rPr>
              <w:t>.</w:t>
            </w:r>
          </w:p>
        </w:tc>
      </w:tr>
      <w:tr w:rsidR="00866074" w:rsidRPr="00191C35" w14:paraId="5558B548" w14:textId="77777777" w:rsidTr="006050CF">
        <w:trPr>
          <w:trHeight w:val="145"/>
        </w:trPr>
        <w:tc>
          <w:tcPr>
            <w:tcW w:w="1792" w:type="dxa"/>
            <w:shd w:val="clear" w:color="auto" w:fill="auto"/>
            <w:tcMar>
              <w:left w:w="0" w:type="dxa"/>
            </w:tcMar>
          </w:tcPr>
          <w:p w14:paraId="6233CFCA" w14:textId="77777777" w:rsidR="00866074" w:rsidRDefault="00866074" w:rsidP="006050CF">
            <w:pPr>
              <w:pStyle w:val="Marginlie"/>
              <w:spacing w:after="120"/>
            </w:pPr>
            <w:r>
              <w:lastRenderedPageBreak/>
              <w:t>Silný loňský růst počtu ekonomicky neaktivních se letos zastavil.</w:t>
            </w:r>
          </w:p>
        </w:tc>
        <w:tc>
          <w:tcPr>
            <w:tcW w:w="216" w:type="dxa"/>
            <w:shd w:val="clear" w:color="auto" w:fill="auto"/>
            <w:tcMar>
              <w:left w:w="0" w:type="dxa"/>
            </w:tcMar>
          </w:tcPr>
          <w:p w14:paraId="78B751C5" w14:textId="77777777" w:rsidR="00866074" w:rsidRPr="00B43216" w:rsidRDefault="00866074" w:rsidP="006050CF">
            <w:pPr>
              <w:pStyle w:val="Textpoznpodarou"/>
              <w:spacing w:after="120"/>
              <w:jc w:val="both"/>
              <w:rPr>
                <w:spacing w:val="-4"/>
              </w:rPr>
            </w:pPr>
          </w:p>
        </w:tc>
        <w:tc>
          <w:tcPr>
            <w:tcW w:w="7656" w:type="dxa"/>
            <w:shd w:val="clear" w:color="auto" w:fill="auto"/>
            <w:tcMar>
              <w:left w:w="0" w:type="dxa"/>
            </w:tcMar>
          </w:tcPr>
          <w:p w14:paraId="2BC8E728" w14:textId="77777777" w:rsidR="00866074" w:rsidRPr="008A4534" w:rsidRDefault="00866074" w:rsidP="00FC077B">
            <w:pPr>
              <w:rPr>
                <w:color w:val="0D0D0D" w:themeColor="text1" w:themeTint="F2"/>
                <w:spacing w:val="-4"/>
              </w:rPr>
            </w:pPr>
            <w:r>
              <w:rPr>
                <w:color w:val="0D0D0D" w:themeColor="text1" w:themeTint="F2"/>
                <w:spacing w:val="-4"/>
              </w:rPr>
              <w:t>Růst počtu ekonomicky neaktivních osob se po silném loňském vzedmutí</w:t>
            </w:r>
            <w:r>
              <w:rPr>
                <w:rStyle w:val="Znakapoznpodarou"/>
                <w:color w:val="0D0D0D" w:themeColor="text1" w:themeTint="F2"/>
                <w:spacing w:val="-4"/>
              </w:rPr>
              <w:footnoteReference w:id="65"/>
            </w:r>
            <w:r>
              <w:rPr>
                <w:color w:val="0D0D0D" w:themeColor="text1" w:themeTint="F2"/>
                <w:spacing w:val="-4"/>
              </w:rPr>
              <w:t xml:space="preserve"> zastavil. V 1. i 2. čtvrtletí jejich počet meziročně stagnoval. K návratu na předkrizovou úroveň by pomohla vyšší nabídka flexibilnějších forem pracovních úvazků cílená zejména na potenciální pracovníky v obou krajních věkových spektrech produktivního věku. </w:t>
            </w:r>
            <w:r w:rsidRPr="00630775">
              <w:rPr>
                <w:spacing w:val="-4"/>
              </w:rPr>
              <w:t>Počet všech neaktivních nehledajících práci, ale chtějících pracovat</w:t>
            </w:r>
            <w:r>
              <w:rPr>
                <w:spacing w:val="-4"/>
              </w:rPr>
              <w:t xml:space="preserve"> činil ve 2. čtvrtletí 114 tis. osob</w:t>
            </w:r>
            <w:r>
              <w:rPr>
                <w:rStyle w:val="Znakapoznpodarou"/>
                <w:spacing w:val="-4"/>
              </w:rPr>
              <w:footnoteReference w:id="66"/>
            </w:r>
            <w:r>
              <w:rPr>
                <w:spacing w:val="-4"/>
              </w:rPr>
              <w:t xml:space="preserve"> a meziročně se mírně zvýšil podruhé v řadě.</w:t>
            </w:r>
          </w:p>
        </w:tc>
      </w:tr>
      <w:tr w:rsidR="00866074" w:rsidRPr="00191C35" w14:paraId="29A8DEE3" w14:textId="77777777" w:rsidTr="006050CF">
        <w:trPr>
          <w:trHeight w:val="145"/>
        </w:trPr>
        <w:tc>
          <w:tcPr>
            <w:tcW w:w="1792" w:type="dxa"/>
            <w:shd w:val="clear" w:color="auto" w:fill="auto"/>
            <w:tcMar>
              <w:left w:w="0" w:type="dxa"/>
            </w:tcMar>
          </w:tcPr>
          <w:p w14:paraId="472F7D7F" w14:textId="77777777" w:rsidR="00866074" w:rsidRDefault="00866074" w:rsidP="006050CF">
            <w:pPr>
              <w:pStyle w:val="Marginlie"/>
              <w:spacing w:after="120"/>
            </w:pPr>
            <w:r>
              <w:t>Meziroční růst průměrné mzdy ve 2. čtvrtletí vlivem mimořádných faktorů akceleroval.</w:t>
            </w:r>
          </w:p>
        </w:tc>
        <w:tc>
          <w:tcPr>
            <w:tcW w:w="216" w:type="dxa"/>
            <w:shd w:val="clear" w:color="auto" w:fill="auto"/>
            <w:tcMar>
              <w:left w:w="0" w:type="dxa"/>
            </w:tcMar>
          </w:tcPr>
          <w:p w14:paraId="03EE5206" w14:textId="77777777" w:rsidR="00866074" w:rsidRPr="00B43216" w:rsidRDefault="00866074" w:rsidP="006050CF">
            <w:pPr>
              <w:pStyle w:val="Textpoznpodarou"/>
              <w:spacing w:after="120"/>
              <w:jc w:val="both"/>
              <w:rPr>
                <w:spacing w:val="-4"/>
              </w:rPr>
            </w:pPr>
          </w:p>
        </w:tc>
        <w:tc>
          <w:tcPr>
            <w:tcW w:w="7656" w:type="dxa"/>
            <w:shd w:val="clear" w:color="auto" w:fill="auto"/>
            <w:tcMar>
              <w:left w:w="0" w:type="dxa"/>
            </w:tcMar>
          </w:tcPr>
          <w:p w14:paraId="68CD5E55" w14:textId="77777777" w:rsidR="00866074" w:rsidRPr="00647EE5" w:rsidRDefault="00866074" w:rsidP="00FC077B">
            <w:pPr>
              <w:rPr>
                <w:spacing w:val="-4"/>
              </w:rPr>
            </w:pPr>
            <w:r w:rsidRPr="00647EE5">
              <w:rPr>
                <w:spacing w:val="-4"/>
              </w:rPr>
              <w:t>Mzdový růst v ekonomice byl během pandemické</w:t>
            </w:r>
            <w:r>
              <w:rPr>
                <w:spacing w:val="-4"/>
              </w:rPr>
              <w:t>ho</w:t>
            </w:r>
            <w:r w:rsidRPr="00647EE5">
              <w:rPr>
                <w:spacing w:val="-4"/>
              </w:rPr>
              <w:t xml:space="preserve"> období rozkolísaný, především vlivem rozdílného počtu odpracovaných hodin. Zatímco v 1.</w:t>
            </w:r>
            <w:r>
              <w:rPr>
                <w:spacing w:val="-4"/>
              </w:rPr>
              <w:t> čtvrtlet</w:t>
            </w:r>
            <w:r w:rsidRPr="00647EE5">
              <w:rPr>
                <w:spacing w:val="-4"/>
              </w:rPr>
              <w:t>í 2021 se průměrná mzda ve srovnání s ještě standardní loňskou základnou zvýšila nominálně o</w:t>
            </w:r>
            <w:r>
              <w:rPr>
                <w:spacing w:val="-4"/>
              </w:rPr>
              <w:t> </w:t>
            </w:r>
            <w:r w:rsidRPr="00647EE5">
              <w:rPr>
                <w:spacing w:val="-4"/>
              </w:rPr>
              <w:t>3,3</w:t>
            </w:r>
            <w:r>
              <w:rPr>
                <w:spacing w:val="-4"/>
              </w:rPr>
              <w:t> %</w:t>
            </w:r>
            <w:r w:rsidRPr="00647EE5">
              <w:rPr>
                <w:spacing w:val="-4"/>
              </w:rPr>
              <w:t>, ve 2.</w:t>
            </w:r>
            <w:r>
              <w:rPr>
                <w:spacing w:val="-4"/>
              </w:rPr>
              <w:t> čtvrtlet</w:t>
            </w:r>
            <w:r w:rsidRPr="00647EE5">
              <w:rPr>
                <w:spacing w:val="-4"/>
              </w:rPr>
              <w:t>í její tempo akcelerovalo na 11,3</w:t>
            </w:r>
            <w:r>
              <w:rPr>
                <w:spacing w:val="-4"/>
              </w:rPr>
              <w:t> %</w:t>
            </w:r>
            <w:r w:rsidRPr="00647EE5">
              <w:rPr>
                <w:spacing w:val="-4"/>
              </w:rPr>
              <w:t xml:space="preserve">. Hrubá měsíční mzda tak činila </w:t>
            </w:r>
            <w:r w:rsidRPr="00647EE5">
              <w:rPr>
                <w:rFonts w:cs="Arial"/>
                <w:bCs/>
              </w:rPr>
              <w:t>38 275</w:t>
            </w:r>
            <w:r>
              <w:rPr>
                <w:rFonts w:cs="Arial"/>
                <w:bCs/>
              </w:rPr>
              <w:t> </w:t>
            </w:r>
            <w:r w:rsidRPr="00647EE5">
              <w:rPr>
                <w:rFonts w:cs="Arial"/>
                <w:bCs/>
              </w:rPr>
              <w:t xml:space="preserve">korun. </w:t>
            </w:r>
            <w:r w:rsidRPr="00647EE5">
              <w:rPr>
                <w:bCs/>
                <w:spacing w:val="-4"/>
              </w:rPr>
              <w:t>I</w:t>
            </w:r>
            <w:r>
              <w:rPr>
                <w:bCs/>
                <w:spacing w:val="-4"/>
              </w:rPr>
              <w:t> </w:t>
            </w:r>
            <w:r w:rsidRPr="00647EE5">
              <w:rPr>
                <w:bCs/>
                <w:spacing w:val="-4"/>
              </w:rPr>
              <w:t>po zohlednění svižného růstu spotřebitelských cen se mzda reálně zvýšila o rekordních 8,2</w:t>
            </w:r>
            <w:r w:rsidRPr="00647EE5">
              <w:rPr>
                <w:rFonts w:cs="Arial"/>
                <w:bCs/>
                <w:spacing w:val="-4"/>
              </w:rPr>
              <w:t> </w:t>
            </w:r>
            <w:r w:rsidRPr="00647EE5">
              <w:rPr>
                <w:bCs/>
                <w:spacing w:val="-4"/>
              </w:rPr>
              <w:t xml:space="preserve">%. Evidenční počet zaměstnanců </w:t>
            </w:r>
            <w:r>
              <w:rPr>
                <w:bCs/>
                <w:spacing w:val="-4"/>
              </w:rPr>
              <w:t xml:space="preserve">souběžně </w:t>
            </w:r>
            <w:r w:rsidRPr="00647EE5">
              <w:rPr>
                <w:bCs/>
                <w:spacing w:val="-4"/>
              </w:rPr>
              <w:t>narostl (o</w:t>
            </w:r>
            <w:r>
              <w:rPr>
                <w:bCs/>
                <w:spacing w:val="-4"/>
              </w:rPr>
              <w:t> </w:t>
            </w:r>
            <w:r w:rsidRPr="00647EE5">
              <w:rPr>
                <w:bCs/>
                <w:spacing w:val="-4"/>
              </w:rPr>
              <w:t>0,7</w:t>
            </w:r>
            <w:r>
              <w:rPr>
                <w:bCs/>
                <w:spacing w:val="-4"/>
              </w:rPr>
              <w:t> %</w:t>
            </w:r>
            <w:r w:rsidRPr="00647EE5">
              <w:rPr>
                <w:bCs/>
                <w:spacing w:val="-4"/>
              </w:rPr>
              <w:t>, resp. 29</w:t>
            </w:r>
            <w:r>
              <w:rPr>
                <w:bCs/>
                <w:spacing w:val="-4"/>
              </w:rPr>
              <w:t> tis.</w:t>
            </w:r>
            <w:r w:rsidRPr="00647EE5">
              <w:rPr>
                <w:bCs/>
                <w:spacing w:val="-4"/>
              </w:rPr>
              <w:t>), poprvé od počátku roku 2019. Výrazně nerovnoměrný dopad pandemické krize, rozdílná rychlost následného hospodářského oživení, jakož i</w:t>
            </w:r>
            <w:r>
              <w:rPr>
                <w:bCs/>
                <w:spacing w:val="-4"/>
              </w:rPr>
              <w:t> </w:t>
            </w:r>
            <w:r w:rsidRPr="00647EE5">
              <w:rPr>
                <w:bCs/>
                <w:spacing w:val="-4"/>
              </w:rPr>
              <w:t>způsob odměňování v rozpočtové sféře vedly k tomu, že mzdové rozdíly mezi odvětvími a</w:t>
            </w:r>
            <w:r>
              <w:rPr>
                <w:bCs/>
                <w:spacing w:val="-4"/>
              </w:rPr>
              <w:t> </w:t>
            </w:r>
            <w:r w:rsidRPr="00647EE5">
              <w:rPr>
                <w:bCs/>
                <w:spacing w:val="-4"/>
              </w:rPr>
              <w:t>patrně i</w:t>
            </w:r>
            <w:r>
              <w:rPr>
                <w:bCs/>
                <w:spacing w:val="-4"/>
              </w:rPr>
              <w:t> </w:t>
            </w:r>
            <w:r w:rsidRPr="00647EE5">
              <w:rPr>
                <w:bCs/>
                <w:spacing w:val="-4"/>
              </w:rPr>
              <w:t>uvnitř mnohých z nich se prohloubily.</w:t>
            </w:r>
          </w:p>
        </w:tc>
      </w:tr>
      <w:tr w:rsidR="00866074" w:rsidRPr="00191C35" w14:paraId="0884092F" w14:textId="77777777" w:rsidTr="006050CF">
        <w:trPr>
          <w:trHeight w:val="145"/>
        </w:trPr>
        <w:tc>
          <w:tcPr>
            <w:tcW w:w="1792" w:type="dxa"/>
            <w:shd w:val="clear" w:color="auto" w:fill="auto"/>
            <w:tcMar>
              <w:left w:w="0" w:type="dxa"/>
            </w:tcMar>
          </w:tcPr>
          <w:p w14:paraId="4E7B758B" w14:textId="77777777" w:rsidR="00866074" w:rsidRDefault="00866074" w:rsidP="006050CF">
            <w:pPr>
              <w:pStyle w:val="Marginlie"/>
              <w:spacing w:after="120"/>
            </w:pPr>
            <w:proofErr w:type="spellStart"/>
            <w:r>
              <w:t>Mezikvartální</w:t>
            </w:r>
            <w:proofErr w:type="spellEnd"/>
            <w:r>
              <w:t xml:space="preserve"> růst průměrné mzdy se mírně zvýšil.</w:t>
            </w:r>
          </w:p>
        </w:tc>
        <w:tc>
          <w:tcPr>
            <w:tcW w:w="216" w:type="dxa"/>
            <w:shd w:val="clear" w:color="auto" w:fill="auto"/>
            <w:tcMar>
              <w:left w:w="0" w:type="dxa"/>
            </w:tcMar>
          </w:tcPr>
          <w:p w14:paraId="71592F7B" w14:textId="77777777" w:rsidR="00866074" w:rsidRPr="00B43216" w:rsidRDefault="00866074" w:rsidP="006050CF">
            <w:pPr>
              <w:pStyle w:val="Textpoznpodarou"/>
              <w:spacing w:after="120"/>
              <w:jc w:val="both"/>
              <w:rPr>
                <w:spacing w:val="-4"/>
              </w:rPr>
            </w:pPr>
          </w:p>
        </w:tc>
        <w:tc>
          <w:tcPr>
            <w:tcW w:w="7656" w:type="dxa"/>
            <w:shd w:val="clear" w:color="auto" w:fill="auto"/>
            <w:tcMar>
              <w:left w:w="0" w:type="dxa"/>
            </w:tcMar>
          </w:tcPr>
          <w:p w14:paraId="057F87A9" w14:textId="77777777" w:rsidR="00866074" w:rsidRPr="009E7043" w:rsidRDefault="00866074" w:rsidP="00FC077B">
            <w:pPr>
              <w:rPr>
                <w:bCs/>
                <w:spacing w:val="-4"/>
              </w:rPr>
            </w:pPr>
            <w:r w:rsidRPr="009E7043">
              <w:rPr>
                <w:rFonts w:cs="Arial"/>
                <w:spacing w:val="-4"/>
              </w:rPr>
              <w:t>Průměrná mzda po očištění od sezónních vlivů vzrostla oproti 1.</w:t>
            </w:r>
            <w:r>
              <w:rPr>
                <w:rFonts w:cs="Arial"/>
                <w:spacing w:val="-4"/>
              </w:rPr>
              <w:t> čtvrtlet</w:t>
            </w:r>
            <w:r w:rsidRPr="009E7043">
              <w:rPr>
                <w:rFonts w:cs="Arial"/>
                <w:spacing w:val="-4"/>
              </w:rPr>
              <w:t>í 2021 o</w:t>
            </w:r>
            <w:r>
              <w:rPr>
                <w:rFonts w:cs="Arial"/>
                <w:spacing w:val="-4"/>
              </w:rPr>
              <w:t> </w:t>
            </w:r>
            <w:r w:rsidRPr="009E7043">
              <w:rPr>
                <w:rFonts w:cs="Arial"/>
                <w:spacing w:val="-4"/>
              </w:rPr>
              <w:t>1,2</w:t>
            </w:r>
            <w:r>
              <w:rPr>
                <w:rFonts w:cs="Arial"/>
                <w:spacing w:val="-4"/>
              </w:rPr>
              <w:t> %</w:t>
            </w:r>
            <w:r w:rsidRPr="009E7043">
              <w:rPr>
                <w:rFonts w:cs="Arial"/>
                <w:spacing w:val="-4"/>
              </w:rPr>
              <w:t>, tedy nepatrně více než v předchozích dvou kvartálech (0,9</w:t>
            </w:r>
            <w:r>
              <w:rPr>
                <w:rFonts w:cs="Arial"/>
                <w:spacing w:val="-4"/>
              </w:rPr>
              <w:t> %</w:t>
            </w:r>
            <w:r w:rsidRPr="009E7043">
              <w:rPr>
                <w:rFonts w:cs="Arial"/>
                <w:spacing w:val="-4"/>
              </w:rPr>
              <w:t>, 1,1</w:t>
            </w:r>
            <w:r>
              <w:rPr>
                <w:rFonts w:cs="Arial"/>
                <w:spacing w:val="-4"/>
              </w:rPr>
              <w:t> %</w:t>
            </w:r>
            <w:r w:rsidRPr="009E7043">
              <w:rPr>
                <w:rFonts w:cs="Arial"/>
                <w:spacing w:val="-4"/>
              </w:rPr>
              <w:t>). Částečně se projevil efekt ústupu pandemie a</w:t>
            </w:r>
            <w:r>
              <w:rPr>
                <w:rFonts w:cs="Arial"/>
                <w:spacing w:val="-4"/>
              </w:rPr>
              <w:t> </w:t>
            </w:r>
            <w:r w:rsidRPr="009E7043">
              <w:rPr>
                <w:rFonts w:cs="Arial"/>
                <w:spacing w:val="-4"/>
              </w:rPr>
              <w:t>návratu většiny provozoven obchodů i</w:t>
            </w:r>
            <w:r>
              <w:rPr>
                <w:rFonts w:cs="Arial"/>
                <w:spacing w:val="-4"/>
              </w:rPr>
              <w:t> </w:t>
            </w:r>
            <w:r w:rsidRPr="009E7043">
              <w:rPr>
                <w:rFonts w:cs="Arial"/>
                <w:spacing w:val="-4"/>
              </w:rPr>
              <w:t>dalších služeb k běžnému režimu.</w:t>
            </w:r>
            <w:r w:rsidRPr="009E7043">
              <w:rPr>
                <w:bCs/>
                <w:spacing w:val="-4"/>
              </w:rPr>
              <w:t xml:space="preserve"> </w:t>
            </w:r>
            <w:r w:rsidRPr="009E7043">
              <w:rPr>
                <w:rFonts w:cs="Arial"/>
                <w:spacing w:val="-4"/>
              </w:rPr>
              <w:t>Počet odpracovaných hodin u</w:t>
            </w:r>
            <w:r>
              <w:rPr>
                <w:rFonts w:cs="Arial"/>
                <w:spacing w:val="-4"/>
              </w:rPr>
              <w:t> </w:t>
            </w:r>
            <w:r w:rsidRPr="009E7043">
              <w:rPr>
                <w:rFonts w:cs="Arial"/>
                <w:spacing w:val="-4"/>
              </w:rPr>
              <w:t>zaměstnanců ve 2.</w:t>
            </w:r>
            <w:r>
              <w:rPr>
                <w:rFonts w:cs="Arial"/>
                <w:spacing w:val="-4"/>
              </w:rPr>
              <w:t> čtvrtlet</w:t>
            </w:r>
            <w:r w:rsidRPr="009E7043">
              <w:rPr>
                <w:rFonts w:cs="Arial"/>
                <w:spacing w:val="-4"/>
              </w:rPr>
              <w:t>í ovšem</w:t>
            </w:r>
            <w:r>
              <w:rPr>
                <w:rFonts w:cs="Arial"/>
                <w:spacing w:val="-4"/>
              </w:rPr>
              <w:t xml:space="preserve"> stále zaostával z</w:t>
            </w:r>
            <w:r w:rsidRPr="009E7043">
              <w:rPr>
                <w:rFonts w:cs="Arial"/>
                <w:spacing w:val="-4"/>
              </w:rPr>
              <w:t>a předkrizovou úrovní (z</w:t>
            </w:r>
            <w:r>
              <w:rPr>
                <w:rFonts w:cs="Arial"/>
                <w:spacing w:val="-4"/>
              </w:rPr>
              <w:t> </w:t>
            </w:r>
            <w:r w:rsidRPr="009E7043">
              <w:rPr>
                <w:rFonts w:cs="Arial"/>
                <w:spacing w:val="-4"/>
              </w:rPr>
              <w:t>2. čtvrtletí 2019) o</w:t>
            </w:r>
            <w:r w:rsidRPr="009E7043">
              <w:rPr>
                <w:rFonts w:cs="Arial"/>
                <w:spacing w:val="-2"/>
              </w:rPr>
              <w:t> </w:t>
            </w:r>
            <w:r w:rsidRPr="009E7043">
              <w:rPr>
                <w:rFonts w:cs="Arial"/>
                <w:spacing w:val="-4"/>
              </w:rPr>
              <w:t>3,5</w:t>
            </w:r>
            <w:r>
              <w:rPr>
                <w:rFonts w:cs="Arial"/>
                <w:spacing w:val="-4"/>
              </w:rPr>
              <w:t> %</w:t>
            </w:r>
            <w:r>
              <w:rPr>
                <w:rStyle w:val="Znakapoznpodarou"/>
                <w:spacing w:val="-4"/>
              </w:rPr>
              <w:footnoteReference w:id="67"/>
            </w:r>
            <w:r w:rsidRPr="009E7043">
              <w:rPr>
                <w:rFonts w:cs="Arial"/>
                <w:spacing w:val="-4"/>
              </w:rPr>
              <w:t>. Zvláště patrné to bylo v odvětví těsně spjatém s cestovním ruchem – v</w:t>
            </w:r>
            <w:r>
              <w:rPr>
                <w:rFonts w:cs="Arial"/>
                <w:spacing w:val="-4"/>
              </w:rPr>
              <w:t> </w:t>
            </w:r>
            <w:r w:rsidRPr="009E7043">
              <w:rPr>
                <w:rFonts w:cs="Arial"/>
                <w:spacing w:val="-4"/>
              </w:rPr>
              <w:t xml:space="preserve">obchodě, </w:t>
            </w:r>
            <w:r>
              <w:rPr>
                <w:rFonts w:cs="Arial"/>
                <w:spacing w:val="-4"/>
              </w:rPr>
              <w:t xml:space="preserve">dopravě, </w:t>
            </w:r>
            <w:r w:rsidRPr="009E7043">
              <w:rPr>
                <w:rFonts w:cs="Arial"/>
                <w:spacing w:val="-4"/>
              </w:rPr>
              <w:t>pohostinství a</w:t>
            </w:r>
            <w:r w:rsidRPr="009E7043">
              <w:rPr>
                <w:rFonts w:cs="Arial"/>
                <w:spacing w:val="-2"/>
              </w:rPr>
              <w:t> </w:t>
            </w:r>
            <w:r w:rsidRPr="009E7043">
              <w:rPr>
                <w:rFonts w:cs="Arial"/>
                <w:spacing w:val="-4"/>
              </w:rPr>
              <w:t>ubytování (10</w:t>
            </w:r>
            <w:r>
              <w:rPr>
                <w:rFonts w:cs="Arial"/>
                <w:spacing w:val="-4"/>
              </w:rPr>
              <w:t> %</w:t>
            </w:r>
            <w:r w:rsidRPr="009E7043">
              <w:rPr>
                <w:rFonts w:cs="Arial"/>
                <w:spacing w:val="-4"/>
              </w:rPr>
              <w:t>), dále v t</w:t>
            </w:r>
            <w:r>
              <w:rPr>
                <w:rFonts w:cs="Arial"/>
                <w:spacing w:val="-4"/>
              </w:rPr>
              <w:t>akzvaných</w:t>
            </w:r>
            <w:r w:rsidRPr="009E7043">
              <w:rPr>
                <w:rFonts w:cs="Arial"/>
                <w:spacing w:val="-4"/>
              </w:rPr>
              <w:t xml:space="preserve"> ostatních službách (např. kadeřnictví, opravy výrobků pro domácnosti, 18</w:t>
            </w:r>
            <w:r>
              <w:rPr>
                <w:rFonts w:cs="Arial"/>
                <w:spacing w:val="-4"/>
              </w:rPr>
              <w:t> %</w:t>
            </w:r>
            <w:r w:rsidRPr="009E7043">
              <w:rPr>
                <w:rFonts w:cs="Arial"/>
                <w:spacing w:val="-4"/>
              </w:rPr>
              <w:t>) a</w:t>
            </w:r>
            <w:r>
              <w:rPr>
                <w:rFonts w:cs="Arial"/>
                <w:spacing w:val="-4"/>
              </w:rPr>
              <w:t> </w:t>
            </w:r>
            <w:r w:rsidRPr="009E7043">
              <w:rPr>
                <w:rFonts w:cs="Arial"/>
                <w:spacing w:val="-4"/>
              </w:rPr>
              <w:t>v menší míře i</w:t>
            </w:r>
            <w:r>
              <w:rPr>
                <w:rFonts w:cs="Arial"/>
                <w:spacing w:val="-4"/>
              </w:rPr>
              <w:t> </w:t>
            </w:r>
            <w:r w:rsidRPr="009E7043">
              <w:rPr>
                <w:rFonts w:cs="Arial"/>
                <w:spacing w:val="-4"/>
              </w:rPr>
              <w:t>ve finančnictví či zpracovatelském průmyslu.</w:t>
            </w:r>
          </w:p>
        </w:tc>
      </w:tr>
      <w:tr w:rsidR="00866074" w:rsidRPr="00191C35" w14:paraId="49D607F4" w14:textId="77777777" w:rsidTr="006050CF">
        <w:trPr>
          <w:trHeight w:val="145"/>
        </w:trPr>
        <w:tc>
          <w:tcPr>
            <w:tcW w:w="1792" w:type="dxa"/>
            <w:shd w:val="clear" w:color="auto" w:fill="auto"/>
            <w:tcMar>
              <w:left w:w="0" w:type="dxa"/>
            </w:tcMar>
          </w:tcPr>
          <w:p w14:paraId="4C60F8AF" w14:textId="77777777" w:rsidR="00866074" w:rsidRDefault="00866074" w:rsidP="006050CF">
            <w:pPr>
              <w:pStyle w:val="Marginlie"/>
              <w:spacing w:after="120"/>
            </w:pPr>
            <w:r>
              <w:t>Mzdové tempo ovlivňoval mix protisměrně působících faktorů.</w:t>
            </w:r>
          </w:p>
        </w:tc>
        <w:tc>
          <w:tcPr>
            <w:tcW w:w="216" w:type="dxa"/>
            <w:shd w:val="clear" w:color="auto" w:fill="auto"/>
            <w:tcMar>
              <w:left w:w="0" w:type="dxa"/>
            </w:tcMar>
          </w:tcPr>
          <w:p w14:paraId="3F313CA6" w14:textId="77777777" w:rsidR="00866074" w:rsidRPr="00B43216" w:rsidRDefault="00866074" w:rsidP="006050CF">
            <w:pPr>
              <w:pStyle w:val="Textpoznpodarou"/>
              <w:spacing w:after="120"/>
              <w:jc w:val="both"/>
              <w:rPr>
                <w:spacing w:val="-4"/>
              </w:rPr>
            </w:pPr>
          </w:p>
        </w:tc>
        <w:tc>
          <w:tcPr>
            <w:tcW w:w="7656" w:type="dxa"/>
            <w:shd w:val="clear" w:color="auto" w:fill="auto"/>
            <w:tcMar>
              <w:left w:w="0" w:type="dxa"/>
            </w:tcMar>
          </w:tcPr>
          <w:p w14:paraId="5EF0756F" w14:textId="77777777" w:rsidR="00866074" w:rsidRPr="00647EE5" w:rsidRDefault="00866074" w:rsidP="00FC077B">
            <w:pPr>
              <w:rPr>
                <w:rFonts w:cs="Arial"/>
                <w:spacing w:val="-4"/>
              </w:rPr>
            </w:pPr>
            <w:proofErr w:type="spellStart"/>
            <w:r w:rsidRPr="009E7043">
              <w:rPr>
                <w:rFonts w:cs="Arial"/>
                <w:spacing w:val="-4"/>
              </w:rPr>
              <w:t>Prorůstově</w:t>
            </w:r>
            <w:proofErr w:type="spellEnd"/>
            <w:r w:rsidRPr="009E7043">
              <w:rPr>
                <w:rFonts w:cs="Arial"/>
                <w:spacing w:val="-4"/>
              </w:rPr>
              <w:t xml:space="preserve"> působilo na výši mezd napětí na pracovním trhu spojené s</w:t>
            </w:r>
            <w:r>
              <w:rPr>
                <w:rFonts w:cs="Arial"/>
                <w:spacing w:val="-4"/>
              </w:rPr>
              <w:t> </w:t>
            </w:r>
            <w:r w:rsidRPr="009E7043">
              <w:rPr>
                <w:rFonts w:cs="Arial"/>
                <w:spacing w:val="-4"/>
              </w:rPr>
              <w:t>nízkou nezaměstnaností a vysokým počtem dlouhodobě neobsazených pracovních míst. Nedostatek zaměstnanců tak limitoval produkci v řadě významných odvětví. Opačný vliv mělo patrně snížení efektivního zdanění u pracovníků, jež firmám umožnilo udržet vysokou zaměstnanost při nižším tlaku na růst nákladů práce. Část zaměstnavatelů zejména v</w:t>
            </w:r>
            <w:r>
              <w:rPr>
                <w:rFonts w:cs="Arial"/>
                <w:spacing w:val="-4"/>
              </w:rPr>
              <w:t> </w:t>
            </w:r>
            <w:r w:rsidRPr="009E7043">
              <w:rPr>
                <w:rFonts w:cs="Arial"/>
                <w:spacing w:val="-4"/>
              </w:rPr>
              <w:t>tržních odvětvích tak zohlednila fakt, že lidem stoupnou čisté výdělky i</w:t>
            </w:r>
            <w:r>
              <w:rPr>
                <w:rFonts w:cs="Arial"/>
                <w:spacing w:val="-4"/>
              </w:rPr>
              <w:t> </w:t>
            </w:r>
            <w:r w:rsidRPr="009E7043">
              <w:rPr>
                <w:rFonts w:cs="Arial"/>
                <w:spacing w:val="-4"/>
              </w:rPr>
              <w:t>bez zvyšování hrubých</w:t>
            </w:r>
            <w:r>
              <w:rPr>
                <w:rFonts w:cs="Arial"/>
                <w:spacing w:val="-4"/>
              </w:rPr>
              <w:t xml:space="preserve"> </w:t>
            </w:r>
            <w:r w:rsidRPr="009E7043">
              <w:rPr>
                <w:rFonts w:cs="Arial"/>
                <w:spacing w:val="-4"/>
              </w:rPr>
              <w:t>mezd. Mzdovou úroveň navíc stále ovlivňoval i</w:t>
            </w:r>
            <w:r>
              <w:rPr>
                <w:rFonts w:cs="Arial"/>
                <w:spacing w:val="-4"/>
              </w:rPr>
              <w:t> </w:t>
            </w:r>
            <w:r w:rsidRPr="009E7043">
              <w:rPr>
                <w:rFonts w:cs="Arial"/>
                <w:spacing w:val="-4"/>
              </w:rPr>
              <w:t>výpadek mzdy zaměstnanců pobírajících ošetřovné či náhradu mzdy během karantény.</w:t>
            </w:r>
          </w:p>
        </w:tc>
      </w:tr>
      <w:tr w:rsidR="00866074" w:rsidRPr="00191C35" w14:paraId="659D091F" w14:textId="77777777" w:rsidTr="006050CF">
        <w:trPr>
          <w:trHeight w:val="145"/>
        </w:trPr>
        <w:tc>
          <w:tcPr>
            <w:tcW w:w="1792" w:type="dxa"/>
            <w:shd w:val="clear" w:color="auto" w:fill="auto"/>
            <w:tcMar>
              <w:left w:w="0" w:type="dxa"/>
            </w:tcMar>
          </w:tcPr>
          <w:p w14:paraId="32FBF34F" w14:textId="77777777" w:rsidR="00866074" w:rsidRDefault="00866074" w:rsidP="006050CF">
            <w:pPr>
              <w:pStyle w:val="Marginlie"/>
              <w:spacing w:after="120"/>
            </w:pPr>
            <w:r>
              <w:t>Bezprecedentní mzdový růst ve zdravotní a sociální péči souvisel s výplatou mimořádných odměn.</w:t>
            </w:r>
          </w:p>
        </w:tc>
        <w:tc>
          <w:tcPr>
            <w:tcW w:w="216" w:type="dxa"/>
            <w:shd w:val="clear" w:color="auto" w:fill="auto"/>
            <w:tcMar>
              <w:left w:w="0" w:type="dxa"/>
            </w:tcMar>
          </w:tcPr>
          <w:p w14:paraId="06B1E51C" w14:textId="77777777" w:rsidR="00866074" w:rsidRPr="00B43216" w:rsidRDefault="00866074" w:rsidP="006050CF">
            <w:pPr>
              <w:pStyle w:val="Textpoznpodarou"/>
              <w:spacing w:after="120"/>
              <w:jc w:val="both"/>
              <w:rPr>
                <w:spacing w:val="-4"/>
              </w:rPr>
            </w:pPr>
          </w:p>
        </w:tc>
        <w:tc>
          <w:tcPr>
            <w:tcW w:w="7656" w:type="dxa"/>
            <w:shd w:val="clear" w:color="auto" w:fill="auto"/>
            <w:tcMar>
              <w:left w:w="0" w:type="dxa"/>
            </w:tcMar>
          </w:tcPr>
          <w:p w14:paraId="71AF1A9E" w14:textId="77777777" w:rsidR="00866074" w:rsidRPr="00605AA3" w:rsidRDefault="00866074" w:rsidP="00FC077B">
            <w:pPr>
              <w:rPr>
                <w:rFonts w:cs="Arial"/>
                <w:spacing w:val="-3"/>
              </w:rPr>
            </w:pPr>
            <w:r>
              <w:rPr>
                <w:bCs/>
                <w:spacing w:val="-3"/>
              </w:rPr>
              <w:t>V meziročním srovnání</w:t>
            </w:r>
            <w:r w:rsidRPr="009E7043">
              <w:rPr>
                <w:bCs/>
                <w:spacing w:val="-3"/>
              </w:rPr>
              <w:t xml:space="preserve"> se </w:t>
            </w:r>
            <w:r>
              <w:rPr>
                <w:bCs/>
                <w:spacing w:val="-3"/>
              </w:rPr>
              <w:t xml:space="preserve">ve 2. čtvrtletí </w:t>
            </w:r>
            <w:r w:rsidRPr="009E7043">
              <w:rPr>
                <w:bCs/>
                <w:spacing w:val="-3"/>
              </w:rPr>
              <w:t>projevila nízká srovnávací základna</w:t>
            </w:r>
            <w:r>
              <w:rPr>
                <w:bCs/>
                <w:spacing w:val="-3"/>
              </w:rPr>
              <w:t xml:space="preserve"> mezd</w:t>
            </w:r>
            <w:r w:rsidRPr="009E7043">
              <w:rPr>
                <w:bCs/>
                <w:spacing w:val="-3"/>
              </w:rPr>
              <w:t>, a</w:t>
            </w:r>
            <w:r>
              <w:rPr>
                <w:bCs/>
                <w:spacing w:val="-3"/>
              </w:rPr>
              <w:t> </w:t>
            </w:r>
            <w:r w:rsidRPr="009E7043">
              <w:rPr>
                <w:bCs/>
                <w:spacing w:val="-3"/>
              </w:rPr>
              <w:t xml:space="preserve">to </w:t>
            </w:r>
            <w:r w:rsidRPr="009E7043">
              <w:rPr>
                <w:rFonts w:cs="Arial"/>
                <w:spacing w:val="-3"/>
              </w:rPr>
              <w:t>vinou loňské uzávěry části ekonomiky a</w:t>
            </w:r>
            <w:r>
              <w:rPr>
                <w:rFonts w:cs="Arial"/>
                <w:spacing w:val="-3"/>
              </w:rPr>
              <w:t> </w:t>
            </w:r>
            <w:r w:rsidRPr="009E7043">
              <w:rPr>
                <w:rFonts w:cs="Arial"/>
                <w:spacing w:val="-3"/>
              </w:rPr>
              <w:t xml:space="preserve">propadu celkového počtu odpracovaných hodin </w:t>
            </w:r>
            <w:r>
              <w:rPr>
                <w:rFonts w:cs="Arial"/>
                <w:spacing w:val="-3"/>
              </w:rPr>
              <w:t>u</w:t>
            </w:r>
            <w:r w:rsidRPr="009E7043">
              <w:rPr>
                <w:rFonts w:cs="Arial"/>
                <w:spacing w:val="-3"/>
              </w:rPr>
              <w:t> zaměstnanců – meziročně o</w:t>
            </w:r>
            <w:r>
              <w:rPr>
                <w:rFonts w:cs="Arial"/>
                <w:spacing w:val="-3"/>
              </w:rPr>
              <w:t> </w:t>
            </w:r>
            <w:r w:rsidRPr="009E7043">
              <w:rPr>
                <w:rFonts w:cs="Arial"/>
                <w:spacing w:val="-3"/>
              </w:rPr>
              <w:t>rovných 10</w:t>
            </w:r>
            <w:r>
              <w:rPr>
                <w:rFonts w:cs="Arial"/>
                <w:spacing w:val="-3"/>
              </w:rPr>
              <w:t> %</w:t>
            </w:r>
            <w:r w:rsidRPr="009E7043">
              <w:rPr>
                <w:rFonts w:cs="Arial"/>
                <w:spacing w:val="-3"/>
              </w:rPr>
              <w:t>. S pandemií těsně souvisí i</w:t>
            </w:r>
            <w:r>
              <w:rPr>
                <w:rFonts w:cs="Arial"/>
                <w:spacing w:val="-3"/>
              </w:rPr>
              <w:t> </w:t>
            </w:r>
            <w:r w:rsidRPr="009E7043">
              <w:rPr>
                <w:rFonts w:cs="Arial"/>
                <w:spacing w:val="-3"/>
              </w:rPr>
              <w:t>letošní výplata mimořádných odměn zdravotníkům, jež vedla k bezprecedentnímu růstu průměrné nominální mzdy v odvětví zdravotní a</w:t>
            </w:r>
            <w:r>
              <w:rPr>
                <w:rFonts w:cs="Arial"/>
                <w:spacing w:val="-3"/>
              </w:rPr>
              <w:t> </w:t>
            </w:r>
            <w:r w:rsidRPr="009E7043">
              <w:rPr>
                <w:rFonts w:cs="Arial"/>
                <w:spacing w:val="-3"/>
              </w:rPr>
              <w:t>sociální péče o</w:t>
            </w:r>
            <w:r>
              <w:rPr>
                <w:rFonts w:cs="Arial"/>
                <w:spacing w:val="-3"/>
              </w:rPr>
              <w:t> </w:t>
            </w:r>
            <w:r w:rsidRPr="009E7043">
              <w:rPr>
                <w:rFonts w:cs="Arial"/>
                <w:spacing w:val="-3"/>
              </w:rPr>
              <w:t>43,8</w:t>
            </w:r>
            <w:r>
              <w:rPr>
                <w:rFonts w:cs="Arial"/>
                <w:spacing w:val="-3"/>
              </w:rPr>
              <w:t> %</w:t>
            </w:r>
            <w:r w:rsidRPr="009E7043">
              <w:rPr>
                <w:rFonts w:cs="Arial"/>
                <w:spacing w:val="-3"/>
              </w:rPr>
              <w:t>. Bez tohoto odvětví by mzdy ve zbylé části</w:t>
            </w:r>
            <w:r>
              <w:rPr>
                <w:rFonts w:cs="Arial"/>
                <w:spacing w:val="-3"/>
              </w:rPr>
              <w:t xml:space="preserve"> </w:t>
            </w:r>
            <w:r w:rsidRPr="009E7043">
              <w:rPr>
                <w:rFonts w:cs="Arial"/>
                <w:spacing w:val="-3"/>
              </w:rPr>
              <w:t>ekonomiky ve 2.</w:t>
            </w:r>
            <w:r>
              <w:rPr>
                <w:rFonts w:cs="Arial"/>
                <w:spacing w:val="-3"/>
              </w:rPr>
              <w:t> čtvrtlet</w:t>
            </w:r>
            <w:r w:rsidRPr="009E7043">
              <w:rPr>
                <w:rFonts w:cs="Arial"/>
                <w:spacing w:val="-3"/>
              </w:rPr>
              <w:t xml:space="preserve">í meziročně posílily „jen“ </w:t>
            </w:r>
            <w:r>
              <w:rPr>
                <w:rFonts w:cs="Arial"/>
                <w:spacing w:val="-3"/>
              </w:rPr>
              <w:t>o </w:t>
            </w:r>
            <w:r w:rsidRPr="009E7043">
              <w:rPr>
                <w:rFonts w:cs="Arial"/>
                <w:spacing w:val="-3"/>
              </w:rPr>
              <w:t>8,5</w:t>
            </w:r>
            <w:r>
              <w:rPr>
                <w:rFonts w:cs="Arial"/>
                <w:spacing w:val="-3"/>
              </w:rPr>
              <w:t> %</w:t>
            </w:r>
            <w:r w:rsidRPr="009E7043">
              <w:rPr>
                <w:rFonts w:cs="Arial"/>
                <w:spacing w:val="-3"/>
              </w:rPr>
              <w:t>.</w:t>
            </w:r>
          </w:p>
        </w:tc>
      </w:tr>
      <w:tr w:rsidR="00866074" w:rsidRPr="00191C35" w14:paraId="3C61FF01" w14:textId="77777777" w:rsidTr="006050CF">
        <w:trPr>
          <w:trHeight w:val="145"/>
        </w:trPr>
        <w:tc>
          <w:tcPr>
            <w:tcW w:w="1792" w:type="dxa"/>
            <w:shd w:val="clear" w:color="auto" w:fill="auto"/>
            <w:tcMar>
              <w:left w:w="0" w:type="dxa"/>
            </w:tcMar>
          </w:tcPr>
          <w:p w14:paraId="5473CF7D" w14:textId="77777777" w:rsidR="00866074" w:rsidRDefault="00866074" w:rsidP="006050CF">
            <w:pPr>
              <w:pStyle w:val="Marginlie"/>
              <w:spacing w:after="120"/>
            </w:pPr>
            <w:r>
              <w:t>Mimo zdravotnictví rostly průměrné mzdy nejvíce v odvětvích, která byla loni silně zasažena dopady první pandemické vlny.</w:t>
            </w:r>
          </w:p>
        </w:tc>
        <w:tc>
          <w:tcPr>
            <w:tcW w:w="216" w:type="dxa"/>
            <w:shd w:val="clear" w:color="auto" w:fill="auto"/>
            <w:tcMar>
              <w:left w:w="0" w:type="dxa"/>
            </w:tcMar>
          </w:tcPr>
          <w:p w14:paraId="79EBD775" w14:textId="77777777" w:rsidR="00866074" w:rsidRPr="00B43216" w:rsidRDefault="00866074" w:rsidP="006050CF">
            <w:pPr>
              <w:pStyle w:val="Textpoznpodarou"/>
              <w:spacing w:after="120"/>
              <w:jc w:val="both"/>
              <w:rPr>
                <w:spacing w:val="-4"/>
              </w:rPr>
            </w:pPr>
          </w:p>
        </w:tc>
        <w:tc>
          <w:tcPr>
            <w:tcW w:w="7656" w:type="dxa"/>
            <w:shd w:val="clear" w:color="auto" w:fill="auto"/>
            <w:tcMar>
              <w:left w:w="0" w:type="dxa"/>
            </w:tcMar>
          </w:tcPr>
          <w:p w14:paraId="67B596AB" w14:textId="77777777" w:rsidR="00866074" w:rsidRPr="00605AA3" w:rsidRDefault="00866074" w:rsidP="00FC077B">
            <w:pPr>
              <w:rPr>
                <w:bCs/>
                <w:spacing w:val="-3"/>
              </w:rPr>
            </w:pPr>
            <w:r w:rsidRPr="00605AA3">
              <w:rPr>
                <w:rFonts w:cs="Arial"/>
                <w:spacing w:val="-4"/>
              </w:rPr>
              <w:t>Mimo zdravotnictví vzrostly letos ve 2.</w:t>
            </w:r>
            <w:r>
              <w:rPr>
                <w:rFonts w:cs="Arial"/>
                <w:spacing w:val="-4"/>
              </w:rPr>
              <w:t> čtvrtlet</w:t>
            </w:r>
            <w:r w:rsidRPr="00605AA3">
              <w:rPr>
                <w:rFonts w:cs="Arial"/>
                <w:spacing w:val="-4"/>
              </w:rPr>
              <w:t>í meziročně průměrné mzdy nejvíce vesměs v odvětvích, kter</w:t>
            </w:r>
            <w:r>
              <w:rPr>
                <w:rFonts w:cs="Arial"/>
                <w:spacing w:val="-4"/>
              </w:rPr>
              <w:t>á</w:t>
            </w:r>
            <w:r w:rsidRPr="00605AA3">
              <w:rPr>
                <w:rFonts w:cs="Arial"/>
                <w:spacing w:val="-4"/>
              </w:rPr>
              <w:t xml:space="preserve"> byl</w:t>
            </w:r>
            <w:r>
              <w:rPr>
                <w:rFonts w:cs="Arial"/>
                <w:spacing w:val="-4"/>
              </w:rPr>
              <w:t>a</w:t>
            </w:r>
            <w:r w:rsidRPr="00605AA3">
              <w:rPr>
                <w:rFonts w:cs="Arial"/>
                <w:spacing w:val="-4"/>
              </w:rPr>
              <w:t xml:space="preserve"> vloni nejcitelněji zasažen</w:t>
            </w:r>
            <w:r>
              <w:rPr>
                <w:rFonts w:cs="Arial"/>
                <w:spacing w:val="-4"/>
              </w:rPr>
              <w:t>a</w:t>
            </w:r>
            <w:r w:rsidRPr="00605AA3">
              <w:rPr>
                <w:rFonts w:cs="Arial"/>
                <w:spacing w:val="-4"/>
              </w:rPr>
              <w:t xml:space="preserve"> nastupující pandemií – ubytování, stravování a</w:t>
            </w:r>
            <w:r>
              <w:rPr>
                <w:rFonts w:cs="Arial"/>
                <w:spacing w:val="-4"/>
              </w:rPr>
              <w:t> </w:t>
            </w:r>
            <w:r w:rsidRPr="00605AA3">
              <w:rPr>
                <w:rFonts w:cs="Arial"/>
                <w:spacing w:val="-4"/>
              </w:rPr>
              <w:t>pohostinství (+17,3 %), ostatní činnosti (+19,2</w:t>
            </w:r>
            <w:r>
              <w:rPr>
                <w:rFonts w:cs="Arial"/>
                <w:spacing w:val="-4"/>
              </w:rPr>
              <w:t> %</w:t>
            </w:r>
            <w:r w:rsidRPr="00605AA3">
              <w:rPr>
                <w:rFonts w:cs="Arial"/>
                <w:spacing w:val="-4"/>
              </w:rPr>
              <w:t>), administrativní a</w:t>
            </w:r>
            <w:r>
              <w:rPr>
                <w:rFonts w:cs="Arial"/>
                <w:spacing w:val="-4"/>
              </w:rPr>
              <w:t> </w:t>
            </w:r>
            <w:r w:rsidRPr="00605AA3">
              <w:rPr>
                <w:rFonts w:cs="Arial"/>
                <w:spacing w:val="-4"/>
              </w:rPr>
              <w:t>podpůrné činnosti (+12,3</w:t>
            </w:r>
            <w:r>
              <w:rPr>
                <w:rFonts w:cs="Arial"/>
                <w:spacing w:val="-4"/>
              </w:rPr>
              <w:t> %</w:t>
            </w:r>
            <w:r w:rsidRPr="00605AA3">
              <w:rPr>
                <w:rFonts w:cs="Arial"/>
                <w:spacing w:val="-4"/>
              </w:rPr>
              <w:t xml:space="preserve">) </w:t>
            </w:r>
            <w:r w:rsidRPr="006C2B51">
              <w:rPr>
                <w:rFonts w:cs="Arial"/>
                <w:spacing w:val="-4"/>
                <w:szCs w:val="20"/>
              </w:rPr>
              <w:t>a zpracovatelský průmysl (+11,3 %). Výjimkou byly kulturní, zábavní a</w:t>
            </w:r>
            <w:r>
              <w:rPr>
                <w:rFonts w:cs="Arial"/>
                <w:spacing w:val="-4"/>
                <w:szCs w:val="20"/>
              </w:rPr>
              <w:t> </w:t>
            </w:r>
            <w:r w:rsidRPr="006C2B51">
              <w:rPr>
                <w:rFonts w:cs="Arial"/>
                <w:spacing w:val="-4"/>
                <w:szCs w:val="20"/>
              </w:rPr>
              <w:t xml:space="preserve">rekreační činnosti, kde podprůměrné mzdové tempo přetrvalo. Situace ve většině odvětví </w:t>
            </w:r>
            <w:r w:rsidRPr="006C2B51">
              <w:rPr>
                <w:rFonts w:cs="Arial"/>
                <w:spacing w:val="-4"/>
                <w:szCs w:val="20"/>
              </w:rPr>
              <w:lastRenderedPageBreak/>
              <w:t>vázaných na cestovní ruch je ale stále obtížná, o</w:t>
            </w:r>
            <w:r>
              <w:rPr>
                <w:rFonts w:cs="Arial"/>
                <w:spacing w:val="-4"/>
                <w:szCs w:val="20"/>
              </w:rPr>
              <w:t> </w:t>
            </w:r>
            <w:r w:rsidRPr="006C2B51">
              <w:rPr>
                <w:rFonts w:cs="Arial"/>
                <w:spacing w:val="-4"/>
                <w:szCs w:val="20"/>
              </w:rPr>
              <w:t>čemž svědčí pokračující pokles počtu zaměstnanců i</w:t>
            </w:r>
            <w:r>
              <w:rPr>
                <w:rFonts w:cs="Arial"/>
                <w:spacing w:val="-4"/>
                <w:szCs w:val="20"/>
              </w:rPr>
              <w:t> </w:t>
            </w:r>
            <w:r w:rsidRPr="006C2B51">
              <w:rPr>
                <w:rFonts w:cs="Arial"/>
                <w:spacing w:val="-4"/>
                <w:szCs w:val="20"/>
              </w:rPr>
              <w:t xml:space="preserve">skromnější navýšení mezd oproti </w:t>
            </w:r>
            <w:proofErr w:type="spellStart"/>
            <w:r w:rsidRPr="006C2B51">
              <w:rPr>
                <w:rFonts w:cs="Arial"/>
                <w:spacing w:val="-4"/>
                <w:szCs w:val="20"/>
              </w:rPr>
              <w:t>předpandemické</w:t>
            </w:r>
            <w:proofErr w:type="spellEnd"/>
            <w:r w:rsidRPr="006C2B51">
              <w:rPr>
                <w:rFonts w:cs="Arial"/>
                <w:spacing w:val="-4"/>
                <w:szCs w:val="20"/>
              </w:rPr>
              <w:t xml:space="preserve"> </w:t>
            </w:r>
            <w:r w:rsidRPr="006C2B51">
              <w:rPr>
                <w:rFonts w:cs="Arial"/>
                <w:spacing w:val="-5"/>
                <w:szCs w:val="20"/>
              </w:rPr>
              <w:t>úrovni</w:t>
            </w:r>
            <w:r w:rsidRPr="006C2B51">
              <w:rPr>
                <w:rStyle w:val="Znakapoznpodarou"/>
                <w:spacing w:val="-5"/>
                <w:szCs w:val="20"/>
              </w:rPr>
              <w:footnoteReference w:id="68"/>
            </w:r>
            <w:r w:rsidRPr="006C2B51">
              <w:rPr>
                <w:rFonts w:cs="Arial"/>
                <w:spacing w:val="-5"/>
                <w:szCs w:val="20"/>
              </w:rPr>
              <w:t>. I</w:t>
            </w:r>
            <w:r>
              <w:rPr>
                <w:rFonts w:cs="Arial"/>
                <w:spacing w:val="-5"/>
                <w:szCs w:val="20"/>
              </w:rPr>
              <w:t> </w:t>
            </w:r>
            <w:r w:rsidRPr="006C2B51">
              <w:rPr>
                <w:rFonts w:cs="Arial"/>
                <w:spacing w:val="-5"/>
                <w:szCs w:val="20"/>
              </w:rPr>
              <w:t>dosažená výše mezd se v těchto odvětvích stále nachází citelně pod hladinou celé ekonomiky a</w:t>
            </w:r>
            <w:r>
              <w:rPr>
                <w:rFonts w:cs="Arial"/>
                <w:spacing w:val="-5"/>
                <w:szCs w:val="20"/>
              </w:rPr>
              <w:t> </w:t>
            </w:r>
            <w:r w:rsidRPr="006C2B51">
              <w:rPr>
                <w:rFonts w:cs="Arial"/>
                <w:spacing w:val="-5"/>
                <w:szCs w:val="20"/>
              </w:rPr>
              <w:t>např</w:t>
            </w:r>
            <w:r>
              <w:rPr>
                <w:rFonts w:cs="Arial"/>
                <w:spacing w:val="-5"/>
              </w:rPr>
              <w:t>. v ubytování, stravování a pohostinství byla oproti finančnictví jen na třetinové úrovni.</w:t>
            </w:r>
          </w:p>
        </w:tc>
      </w:tr>
      <w:tr w:rsidR="00866074" w:rsidRPr="00191C35" w14:paraId="0181A723" w14:textId="77777777" w:rsidTr="006050CF">
        <w:trPr>
          <w:trHeight w:val="145"/>
        </w:trPr>
        <w:tc>
          <w:tcPr>
            <w:tcW w:w="1792" w:type="dxa"/>
            <w:shd w:val="clear" w:color="auto" w:fill="auto"/>
            <w:tcMar>
              <w:left w:w="0" w:type="dxa"/>
            </w:tcMar>
          </w:tcPr>
          <w:p w14:paraId="16809DE3" w14:textId="77777777" w:rsidR="00866074" w:rsidRDefault="00866074" w:rsidP="006050CF">
            <w:pPr>
              <w:pStyle w:val="Marginlie"/>
              <w:spacing w:after="120"/>
            </w:pPr>
            <w:r>
              <w:lastRenderedPageBreak/>
              <w:t>Ve vzdělávání překonala díky svižnému růstu mezd jejich úroveň mírně hladinu celé ekonomiky.</w:t>
            </w:r>
          </w:p>
          <w:p w14:paraId="5F35BCBE" w14:textId="77777777" w:rsidR="00866074" w:rsidRDefault="00866074" w:rsidP="006050CF">
            <w:pPr>
              <w:pStyle w:val="Marginlie"/>
              <w:spacing w:after="120"/>
            </w:pPr>
          </w:p>
          <w:p w14:paraId="2B96B677" w14:textId="77777777" w:rsidR="00866074" w:rsidRDefault="00866074" w:rsidP="006050CF">
            <w:pPr>
              <w:pStyle w:val="Marginlie"/>
              <w:spacing w:after="120"/>
            </w:pPr>
          </w:p>
          <w:p w14:paraId="4FE2CD38" w14:textId="77777777" w:rsidR="00866074" w:rsidRDefault="00866074" w:rsidP="006050CF">
            <w:pPr>
              <w:pStyle w:val="Marginlie"/>
              <w:spacing w:after="120"/>
            </w:pPr>
          </w:p>
          <w:p w14:paraId="4AE7BCF4" w14:textId="77777777" w:rsidR="00866074" w:rsidRDefault="00866074" w:rsidP="006050CF">
            <w:pPr>
              <w:pStyle w:val="Marginlie"/>
              <w:spacing w:after="120"/>
            </w:pPr>
            <w:r>
              <w:t>Růst průměrných mezd v průmyslu, stavebnictví dopravě a skladování byl v úhrnu za poslední dva roky umírněný.</w:t>
            </w:r>
          </w:p>
        </w:tc>
        <w:tc>
          <w:tcPr>
            <w:tcW w:w="216" w:type="dxa"/>
            <w:shd w:val="clear" w:color="auto" w:fill="auto"/>
            <w:tcMar>
              <w:left w:w="0" w:type="dxa"/>
            </w:tcMar>
          </w:tcPr>
          <w:p w14:paraId="3748ADCA" w14:textId="77777777" w:rsidR="00866074" w:rsidRPr="00B43216" w:rsidRDefault="00866074" w:rsidP="006050CF">
            <w:pPr>
              <w:pStyle w:val="Textpoznpodarou"/>
              <w:spacing w:after="120"/>
              <w:jc w:val="both"/>
              <w:rPr>
                <w:spacing w:val="-4"/>
              </w:rPr>
            </w:pPr>
          </w:p>
        </w:tc>
        <w:tc>
          <w:tcPr>
            <w:tcW w:w="7656" w:type="dxa"/>
            <w:shd w:val="clear" w:color="auto" w:fill="auto"/>
            <w:tcMar>
              <w:left w:w="0" w:type="dxa"/>
            </w:tcMar>
          </w:tcPr>
          <w:p w14:paraId="7A3FED5B" w14:textId="77777777" w:rsidR="00866074" w:rsidRPr="006C2B51" w:rsidRDefault="00866074" w:rsidP="00FC077B">
            <w:pPr>
              <w:rPr>
                <w:bCs/>
                <w:spacing w:val="-4"/>
              </w:rPr>
            </w:pPr>
            <w:r w:rsidRPr="00E02A77">
              <w:rPr>
                <w:bCs/>
                <w:spacing w:val="-4"/>
              </w:rPr>
              <w:t>Ve vzdělávání pokračoval růst platových tarifů z</w:t>
            </w:r>
            <w:r>
              <w:rPr>
                <w:bCs/>
                <w:spacing w:val="-4"/>
              </w:rPr>
              <w:t> </w:t>
            </w:r>
            <w:r w:rsidRPr="00E02A77">
              <w:rPr>
                <w:bCs/>
                <w:spacing w:val="-4"/>
              </w:rPr>
              <w:t>posledních let. Průměrná mzda zde stoupla meziročně o desetinu a</w:t>
            </w:r>
            <w:r>
              <w:rPr>
                <w:bCs/>
                <w:spacing w:val="-4"/>
              </w:rPr>
              <w:t> </w:t>
            </w:r>
            <w:r w:rsidRPr="00E02A77">
              <w:rPr>
                <w:bCs/>
                <w:spacing w:val="-4"/>
              </w:rPr>
              <w:t>těsně překonala úroveň výdělků v</w:t>
            </w:r>
            <w:r>
              <w:rPr>
                <w:bCs/>
                <w:spacing w:val="-4"/>
              </w:rPr>
              <w:t> </w:t>
            </w:r>
            <w:r w:rsidRPr="00E02A77">
              <w:rPr>
                <w:bCs/>
                <w:spacing w:val="-4"/>
              </w:rPr>
              <w:t>celé ekonomice. Naopak ve veřejné správě, obraně i</w:t>
            </w:r>
            <w:r>
              <w:rPr>
                <w:bCs/>
                <w:spacing w:val="-4"/>
              </w:rPr>
              <w:t> </w:t>
            </w:r>
            <w:r w:rsidRPr="00E02A77">
              <w:rPr>
                <w:bCs/>
                <w:spacing w:val="-4"/>
              </w:rPr>
              <w:t>sociálním zabezpečení se mzdový růst prakticky zastavil. Zatímco v</w:t>
            </w:r>
            <w:r>
              <w:rPr>
                <w:bCs/>
                <w:spacing w:val="-4"/>
              </w:rPr>
              <w:t> </w:t>
            </w:r>
            <w:r w:rsidRPr="00E02A77">
              <w:rPr>
                <w:bCs/>
                <w:spacing w:val="-4"/>
              </w:rPr>
              <w:t>obchodě se hospodářské oživení ve 2.</w:t>
            </w:r>
            <w:r>
              <w:rPr>
                <w:bCs/>
                <w:spacing w:val="-4"/>
              </w:rPr>
              <w:t> čtvrtlet</w:t>
            </w:r>
            <w:r w:rsidRPr="00E02A77">
              <w:rPr>
                <w:bCs/>
                <w:spacing w:val="-4"/>
              </w:rPr>
              <w:t xml:space="preserve">í promítlo ve mzdové oblasti </w:t>
            </w:r>
            <w:r>
              <w:rPr>
                <w:bCs/>
                <w:spacing w:val="-4"/>
              </w:rPr>
              <w:t>(+9,4 %) i</w:t>
            </w:r>
            <w:r w:rsidRPr="00E02A77">
              <w:rPr>
                <w:bCs/>
                <w:spacing w:val="-4"/>
              </w:rPr>
              <w:t> </w:t>
            </w:r>
            <w:r>
              <w:rPr>
                <w:bCs/>
                <w:spacing w:val="-4"/>
              </w:rPr>
              <w:t>v </w:t>
            </w:r>
            <w:r w:rsidRPr="00E02A77">
              <w:rPr>
                <w:bCs/>
                <w:spacing w:val="-4"/>
              </w:rPr>
              <w:t>zaměstnanosti (+1,5</w:t>
            </w:r>
            <w:r>
              <w:rPr>
                <w:bCs/>
                <w:spacing w:val="-4"/>
              </w:rPr>
              <w:t> %</w:t>
            </w:r>
            <w:r w:rsidRPr="00E02A77">
              <w:rPr>
                <w:bCs/>
                <w:spacing w:val="-4"/>
              </w:rPr>
              <w:t>), v dopravě a</w:t>
            </w:r>
            <w:r>
              <w:rPr>
                <w:bCs/>
                <w:spacing w:val="-4"/>
              </w:rPr>
              <w:t> </w:t>
            </w:r>
            <w:r w:rsidRPr="00E02A77">
              <w:rPr>
                <w:bCs/>
                <w:spacing w:val="-4"/>
              </w:rPr>
              <w:t>skladování rostly jen průměrné mzdy (+7,6</w:t>
            </w:r>
            <w:r>
              <w:rPr>
                <w:bCs/>
                <w:spacing w:val="-4"/>
              </w:rPr>
              <w:t> %</w:t>
            </w:r>
            <w:r w:rsidRPr="00E02A77">
              <w:rPr>
                <w:bCs/>
                <w:spacing w:val="-4"/>
              </w:rPr>
              <w:t>). To peněžnictví a</w:t>
            </w:r>
            <w:r>
              <w:rPr>
                <w:bCs/>
                <w:spacing w:val="-4"/>
              </w:rPr>
              <w:t> </w:t>
            </w:r>
            <w:r w:rsidRPr="00E02A77">
              <w:rPr>
                <w:bCs/>
                <w:spacing w:val="-4"/>
              </w:rPr>
              <w:t>pojišťovnictví zaznamenalo mírný pokles v</w:t>
            </w:r>
            <w:r>
              <w:rPr>
                <w:bCs/>
                <w:spacing w:val="-4"/>
              </w:rPr>
              <w:t> </w:t>
            </w:r>
            <w:r w:rsidRPr="00E02A77">
              <w:rPr>
                <w:bCs/>
                <w:spacing w:val="-4"/>
              </w:rPr>
              <w:t>obou oblastech, i</w:t>
            </w:r>
            <w:r>
              <w:rPr>
                <w:bCs/>
                <w:spacing w:val="-4"/>
              </w:rPr>
              <w:t> </w:t>
            </w:r>
            <w:r w:rsidRPr="00E02A77">
              <w:rPr>
                <w:bCs/>
                <w:spacing w:val="-4"/>
              </w:rPr>
              <w:t xml:space="preserve">tak </w:t>
            </w:r>
            <w:r>
              <w:rPr>
                <w:bCs/>
                <w:spacing w:val="-4"/>
              </w:rPr>
              <w:t>ovšem</w:t>
            </w:r>
            <w:r w:rsidRPr="00E02A77">
              <w:rPr>
                <w:bCs/>
                <w:spacing w:val="-4"/>
              </w:rPr>
              <w:t xml:space="preserve"> výší průměrných </w:t>
            </w:r>
            <w:r>
              <w:rPr>
                <w:bCs/>
                <w:spacing w:val="-4"/>
              </w:rPr>
              <w:t xml:space="preserve">měsíčních </w:t>
            </w:r>
            <w:r w:rsidRPr="00E02A77">
              <w:rPr>
                <w:bCs/>
                <w:spacing w:val="-4"/>
              </w:rPr>
              <w:t>mezd (63,5</w:t>
            </w:r>
            <w:r>
              <w:rPr>
                <w:bCs/>
                <w:spacing w:val="-4"/>
              </w:rPr>
              <w:t> tis.</w:t>
            </w:r>
            <w:r w:rsidRPr="00E02A77">
              <w:rPr>
                <w:bCs/>
                <w:spacing w:val="-4"/>
              </w:rPr>
              <w:t xml:space="preserve"> korun) předčilo všechna hlavní odvětví ekonomiky. V těsném závěsu figurovaly informační a</w:t>
            </w:r>
            <w:r>
              <w:rPr>
                <w:bCs/>
                <w:spacing w:val="-4"/>
              </w:rPr>
              <w:t> </w:t>
            </w:r>
            <w:r w:rsidRPr="00E02A77">
              <w:rPr>
                <w:bCs/>
                <w:spacing w:val="-4"/>
              </w:rPr>
              <w:t>komunikační činnosti (62,7</w:t>
            </w:r>
            <w:r>
              <w:rPr>
                <w:bCs/>
                <w:spacing w:val="-4"/>
              </w:rPr>
              <w:t> tis.</w:t>
            </w:r>
            <w:r w:rsidRPr="00E02A77">
              <w:rPr>
                <w:bCs/>
                <w:spacing w:val="-4"/>
              </w:rPr>
              <w:t xml:space="preserve"> korun), které patří k nejvíce vytíženým odvětvím během pandemie, což se projevuje i</w:t>
            </w:r>
            <w:r>
              <w:rPr>
                <w:bCs/>
                <w:spacing w:val="-4"/>
              </w:rPr>
              <w:t> </w:t>
            </w:r>
            <w:r w:rsidRPr="00E02A77">
              <w:rPr>
                <w:bCs/>
                <w:spacing w:val="-4"/>
              </w:rPr>
              <w:t>v nepřetržitém růstu zaměstnanosti. Nedostatečnou poptávkou příliš netrpí ani stavebnictví. Růst průměrných mezd zde byl ale za celé pandemické období</w:t>
            </w:r>
            <w:r>
              <w:rPr>
                <w:bCs/>
                <w:spacing w:val="-4"/>
              </w:rPr>
              <w:t xml:space="preserve"> dosti </w:t>
            </w:r>
            <w:r w:rsidRPr="00E02A77">
              <w:rPr>
                <w:bCs/>
                <w:spacing w:val="-4"/>
              </w:rPr>
              <w:t>umírněný, shodně jako v průmyslu, dopravě i</w:t>
            </w:r>
            <w:r>
              <w:rPr>
                <w:bCs/>
                <w:spacing w:val="-4"/>
              </w:rPr>
              <w:t> </w:t>
            </w:r>
            <w:r w:rsidRPr="00E02A77">
              <w:rPr>
                <w:bCs/>
                <w:spacing w:val="-4"/>
              </w:rPr>
              <w:t>skladování.</w:t>
            </w:r>
          </w:p>
        </w:tc>
      </w:tr>
      <w:tr w:rsidR="00866074" w:rsidRPr="00191C35" w14:paraId="37B4D4C2" w14:textId="77777777" w:rsidTr="006050CF">
        <w:trPr>
          <w:trHeight w:val="145"/>
        </w:trPr>
        <w:tc>
          <w:tcPr>
            <w:tcW w:w="1792" w:type="dxa"/>
            <w:shd w:val="clear" w:color="auto" w:fill="auto"/>
            <w:tcMar>
              <w:left w:w="0" w:type="dxa"/>
            </w:tcMar>
          </w:tcPr>
          <w:p w14:paraId="65F58C8E" w14:textId="77777777" w:rsidR="00866074" w:rsidRDefault="00866074" w:rsidP="006050CF">
            <w:pPr>
              <w:pStyle w:val="Marginlie"/>
              <w:spacing w:after="120"/>
            </w:pPr>
          </w:p>
        </w:tc>
        <w:tc>
          <w:tcPr>
            <w:tcW w:w="216" w:type="dxa"/>
            <w:shd w:val="clear" w:color="auto" w:fill="auto"/>
            <w:tcMar>
              <w:left w:w="0" w:type="dxa"/>
            </w:tcMar>
          </w:tcPr>
          <w:p w14:paraId="181E0F30" w14:textId="77777777" w:rsidR="00866074" w:rsidRPr="00B43216" w:rsidRDefault="00866074" w:rsidP="006050CF">
            <w:pPr>
              <w:pStyle w:val="Textpoznpodarou"/>
              <w:spacing w:after="120"/>
              <w:jc w:val="both"/>
              <w:rPr>
                <w:spacing w:val="-4"/>
              </w:rPr>
            </w:pPr>
          </w:p>
        </w:tc>
        <w:tc>
          <w:tcPr>
            <w:tcW w:w="7656" w:type="dxa"/>
            <w:shd w:val="clear" w:color="auto" w:fill="auto"/>
            <w:tcMar>
              <w:left w:w="0" w:type="dxa"/>
            </w:tcMar>
          </w:tcPr>
          <w:p w14:paraId="54395D15" w14:textId="77777777" w:rsidR="00866074" w:rsidRPr="00716203" w:rsidRDefault="00866074" w:rsidP="006050CF">
            <w:pPr>
              <w:spacing w:after="0"/>
              <w:rPr>
                <w:spacing w:val="-4"/>
              </w:rPr>
            </w:pPr>
            <w:r>
              <w:rPr>
                <w:b/>
                <w:spacing w:val="-4"/>
              </w:rPr>
              <w:t>Graf č. 14</w:t>
            </w:r>
            <w:r w:rsidRPr="003E01D3">
              <w:rPr>
                <w:b/>
                <w:spacing w:val="-4"/>
              </w:rPr>
              <w:t xml:space="preserve">  Průměrná nominální</w:t>
            </w:r>
            <w:r>
              <w:rPr>
                <w:b/>
                <w:spacing w:val="-4"/>
              </w:rPr>
              <w:t xml:space="preserve"> a </w:t>
            </w:r>
            <w:r w:rsidRPr="003E01D3">
              <w:rPr>
                <w:b/>
                <w:spacing w:val="-4"/>
              </w:rPr>
              <w:t>reálná mzda a</w:t>
            </w:r>
            <w:r>
              <w:rPr>
                <w:b/>
                <w:spacing w:val="-4"/>
              </w:rPr>
              <w:t> </w:t>
            </w:r>
            <w:r w:rsidRPr="003E01D3">
              <w:rPr>
                <w:b/>
                <w:spacing w:val="-4"/>
              </w:rPr>
              <w:t>mzdový medián</w:t>
            </w:r>
            <w:r>
              <w:rPr>
                <w:spacing w:val="-4"/>
              </w:rPr>
              <w:t xml:space="preserve"> </w:t>
            </w:r>
            <w:r w:rsidRPr="003E01D3">
              <w:rPr>
                <w:spacing w:val="-4"/>
              </w:rPr>
              <w:t>(meziročně, v %)</w:t>
            </w:r>
          </w:p>
        </w:tc>
      </w:tr>
      <w:tr w:rsidR="00866074" w:rsidRPr="00191C35" w14:paraId="219E392F" w14:textId="77777777" w:rsidTr="006050CF">
        <w:tblPrEx>
          <w:tblCellMar>
            <w:left w:w="70" w:type="dxa"/>
            <w:right w:w="70" w:type="dxa"/>
          </w:tblCellMar>
        </w:tblPrEx>
        <w:trPr>
          <w:trHeight w:val="145"/>
        </w:trPr>
        <w:tc>
          <w:tcPr>
            <w:tcW w:w="1792" w:type="dxa"/>
            <w:shd w:val="clear" w:color="auto" w:fill="auto"/>
          </w:tcPr>
          <w:p w14:paraId="2F52E00F" w14:textId="77777777" w:rsidR="00866074" w:rsidRDefault="00866074" w:rsidP="006050CF">
            <w:pPr>
              <w:pStyle w:val="Marginlie"/>
              <w:spacing w:after="120"/>
            </w:pPr>
          </w:p>
        </w:tc>
        <w:tc>
          <w:tcPr>
            <w:tcW w:w="216" w:type="dxa"/>
            <w:shd w:val="clear" w:color="auto" w:fill="auto"/>
          </w:tcPr>
          <w:p w14:paraId="196A612A" w14:textId="77777777" w:rsidR="00866074" w:rsidRPr="00B43216" w:rsidRDefault="00866074" w:rsidP="006050CF">
            <w:pPr>
              <w:pStyle w:val="Textpoznpodarou"/>
              <w:spacing w:after="120"/>
              <w:jc w:val="both"/>
              <w:rPr>
                <w:spacing w:val="-4"/>
              </w:rPr>
            </w:pPr>
          </w:p>
        </w:tc>
        <w:tc>
          <w:tcPr>
            <w:tcW w:w="7656" w:type="dxa"/>
            <w:shd w:val="clear" w:color="auto" w:fill="auto"/>
          </w:tcPr>
          <w:p w14:paraId="211E4733" w14:textId="77777777" w:rsidR="00866074" w:rsidRPr="003E01D3" w:rsidRDefault="00866074" w:rsidP="006050CF">
            <w:pPr>
              <w:spacing w:after="0"/>
              <w:rPr>
                <w:b/>
                <w:spacing w:val="-4"/>
              </w:rPr>
            </w:pPr>
            <w:r>
              <w:rPr>
                <w:noProof/>
              </w:rPr>
              <w:drawing>
                <wp:inline distT="0" distB="0" distL="0" distR="0" wp14:anchorId="48AC9FB1" wp14:editId="21772DDB">
                  <wp:extent cx="4726305" cy="3581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866074" w:rsidRPr="00191C35" w14:paraId="551D4EBC" w14:textId="77777777" w:rsidTr="006050CF">
        <w:trPr>
          <w:trHeight w:val="145"/>
        </w:trPr>
        <w:tc>
          <w:tcPr>
            <w:tcW w:w="1792" w:type="dxa"/>
            <w:shd w:val="clear" w:color="auto" w:fill="auto"/>
            <w:tcMar>
              <w:left w:w="0" w:type="dxa"/>
            </w:tcMar>
          </w:tcPr>
          <w:p w14:paraId="4E0488C1" w14:textId="77777777" w:rsidR="00866074" w:rsidRDefault="00866074" w:rsidP="006050CF">
            <w:pPr>
              <w:pStyle w:val="Marginlie"/>
              <w:spacing w:after="120"/>
            </w:pPr>
          </w:p>
        </w:tc>
        <w:tc>
          <w:tcPr>
            <w:tcW w:w="216" w:type="dxa"/>
            <w:shd w:val="clear" w:color="auto" w:fill="auto"/>
            <w:tcMar>
              <w:left w:w="0" w:type="dxa"/>
            </w:tcMar>
          </w:tcPr>
          <w:p w14:paraId="1EFF354C" w14:textId="77777777" w:rsidR="00866074" w:rsidRPr="00B43216" w:rsidRDefault="00866074" w:rsidP="006050CF">
            <w:pPr>
              <w:pStyle w:val="Textpoznpodarou"/>
              <w:spacing w:after="120"/>
              <w:jc w:val="both"/>
              <w:rPr>
                <w:spacing w:val="-4"/>
              </w:rPr>
            </w:pPr>
          </w:p>
        </w:tc>
        <w:tc>
          <w:tcPr>
            <w:tcW w:w="7656" w:type="dxa"/>
            <w:shd w:val="clear" w:color="auto" w:fill="auto"/>
            <w:tcMar>
              <w:left w:w="0" w:type="dxa"/>
            </w:tcMar>
          </w:tcPr>
          <w:p w14:paraId="3FAC6EA4" w14:textId="77777777" w:rsidR="00866074" w:rsidRPr="00F6560A" w:rsidRDefault="00866074" w:rsidP="00FC077B">
            <w:pPr>
              <w:tabs>
                <w:tab w:val="right" w:pos="7683"/>
              </w:tabs>
              <w:rPr>
                <w:noProof/>
                <w:sz w:val="14"/>
                <w:szCs w:val="14"/>
              </w:rPr>
            </w:pPr>
            <w:r w:rsidRPr="00F6560A">
              <w:rPr>
                <w:bCs/>
                <w:sz w:val="14"/>
                <w:szCs w:val="14"/>
              </w:rPr>
              <w:t>*Zahrnuje odvětví s významnou rolí státu: Veřejná správa a obrana, povinné sociální zabezpečení; Vzdělávání; Zdravotní a sociální péče; Kulturní, zábavní a rekreační činnosti.</w:t>
            </w:r>
            <w:r w:rsidRPr="00F6560A">
              <w:rPr>
                <w:bCs/>
                <w:sz w:val="14"/>
                <w:szCs w:val="14"/>
              </w:rPr>
              <w:tab/>
            </w:r>
            <w:r w:rsidRPr="00F6560A">
              <w:rPr>
                <w:rFonts w:cs="Arial"/>
                <w:color w:val="0D0D0D" w:themeColor="text1" w:themeTint="F2"/>
                <w:spacing w:val="-2"/>
                <w:sz w:val="14"/>
                <w:szCs w:val="14"/>
              </w:rPr>
              <w:t>Zdroj: ČSÚ</w:t>
            </w:r>
          </w:p>
        </w:tc>
      </w:tr>
      <w:bookmarkEnd w:id="23"/>
      <w:bookmarkEnd w:id="24"/>
      <w:tr w:rsidR="00FC077B" w14:paraId="75CA5435" w14:textId="77777777" w:rsidTr="00FC077B">
        <w:trPr>
          <w:trHeight w:val="145"/>
        </w:trPr>
        <w:tc>
          <w:tcPr>
            <w:tcW w:w="1792" w:type="dxa"/>
            <w:shd w:val="clear" w:color="auto" w:fill="auto"/>
            <w:tcMar>
              <w:left w:w="0" w:type="dxa"/>
            </w:tcMar>
          </w:tcPr>
          <w:p w14:paraId="6062753C" w14:textId="77777777" w:rsidR="00FC077B" w:rsidRDefault="00FC077B" w:rsidP="006050CF">
            <w:pPr>
              <w:pStyle w:val="Marginlie"/>
              <w:spacing w:after="120"/>
            </w:pPr>
            <w:r>
              <w:t>Pražský pracovní trh nadále charakterizuje nižší procentní růst průměrných mezd v kombinaci s vyšší tvorbou nových pracovních míst.</w:t>
            </w:r>
          </w:p>
        </w:tc>
        <w:tc>
          <w:tcPr>
            <w:tcW w:w="216" w:type="dxa"/>
            <w:shd w:val="clear" w:color="auto" w:fill="auto"/>
            <w:tcMar>
              <w:left w:w="0" w:type="dxa"/>
            </w:tcMar>
          </w:tcPr>
          <w:p w14:paraId="3C387110" w14:textId="77777777" w:rsidR="00FC077B" w:rsidRPr="00B43216" w:rsidRDefault="00FC077B" w:rsidP="006050CF">
            <w:pPr>
              <w:pStyle w:val="Textpoznpodarou"/>
              <w:spacing w:after="120"/>
              <w:jc w:val="both"/>
              <w:rPr>
                <w:spacing w:val="-4"/>
              </w:rPr>
            </w:pPr>
          </w:p>
        </w:tc>
        <w:tc>
          <w:tcPr>
            <w:tcW w:w="7656" w:type="dxa"/>
            <w:shd w:val="clear" w:color="auto" w:fill="auto"/>
            <w:tcMar>
              <w:left w:w="0" w:type="dxa"/>
            </w:tcMar>
          </w:tcPr>
          <w:p w14:paraId="5C564CBA" w14:textId="77777777" w:rsidR="00FC077B" w:rsidRPr="00FC077B" w:rsidRDefault="00FC077B" w:rsidP="00FC077B">
            <w:pPr>
              <w:tabs>
                <w:tab w:val="right" w:pos="7683"/>
              </w:tabs>
              <w:rPr>
                <w:bCs/>
                <w:szCs w:val="20"/>
              </w:rPr>
            </w:pPr>
            <w:r w:rsidRPr="00FC077B">
              <w:rPr>
                <w:bCs/>
                <w:szCs w:val="20"/>
              </w:rPr>
              <w:t xml:space="preserve">Průměrné mzdy vzrostly ve 2. čtvrtletí meziročně nejvíce v Karlovarském, Libereckém a Královéhradeckém kraji (vždy mírně přes 14 %), nejméně pak v Praze (8,0 %) a středních Čechách (9,6 %), tedy v regionech, kde zároveň za stejné období přibylo relativně nejvíce zaměstnanců. Nižší relativní mzdový růst v Praze kompenzovaný vyšší tvorbou pracovních míst byl typický i v konjunkturním období před pandemií. Větší regionální nerovnosti ve mzdových tempech mohly být letos ovlivněny rozmístěním zdravotnických zařízení (výplata mimořádných odměn), rozdíly v dynamice zaměstnanosti a pak i zastoupením těžebního průmyslu a navazujících oborů, což </w:t>
            </w:r>
            <w:r w:rsidRPr="00FC077B">
              <w:rPr>
                <w:bCs/>
                <w:szCs w:val="20"/>
              </w:rPr>
              <w:lastRenderedPageBreak/>
              <w:t>naznačuje skutečnost, že počet zaměstnanců klesl oproti 2. čtvrtletí 2020 jen v Karlovarském, Ústeckém a Moravskoslezském kraji.</w:t>
            </w:r>
          </w:p>
        </w:tc>
      </w:tr>
      <w:tr w:rsidR="00FC077B" w:rsidRPr="00376E4D" w14:paraId="5F03862B" w14:textId="77777777" w:rsidTr="00FC077B">
        <w:trPr>
          <w:trHeight w:val="145"/>
        </w:trPr>
        <w:tc>
          <w:tcPr>
            <w:tcW w:w="1792" w:type="dxa"/>
            <w:shd w:val="clear" w:color="auto" w:fill="auto"/>
            <w:tcMar>
              <w:left w:w="0" w:type="dxa"/>
            </w:tcMar>
          </w:tcPr>
          <w:p w14:paraId="6E0D70E2" w14:textId="77777777" w:rsidR="00FC077B" w:rsidRDefault="00FC077B" w:rsidP="006050CF">
            <w:pPr>
              <w:pStyle w:val="Marginlie"/>
              <w:spacing w:after="120"/>
            </w:pPr>
            <w:r>
              <w:lastRenderedPageBreak/>
              <w:t>Mzdy žen se nadále zvyšovaly rychleji než u mužů.</w:t>
            </w:r>
          </w:p>
        </w:tc>
        <w:tc>
          <w:tcPr>
            <w:tcW w:w="216" w:type="dxa"/>
            <w:shd w:val="clear" w:color="auto" w:fill="auto"/>
            <w:tcMar>
              <w:left w:w="0" w:type="dxa"/>
            </w:tcMar>
          </w:tcPr>
          <w:p w14:paraId="14B08338" w14:textId="77777777" w:rsidR="00FC077B" w:rsidRPr="00B43216" w:rsidRDefault="00FC077B" w:rsidP="006050CF">
            <w:pPr>
              <w:pStyle w:val="Textpoznpodarou"/>
              <w:spacing w:after="120"/>
              <w:jc w:val="both"/>
              <w:rPr>
                <w:spacing w:val="-4"/>
              </w:rPr>
            </w:pPr>
          </w:p>
        </w:tc>
        <w:tc>
          <w:tcPr>
            <w:tcW w:w="7656" w:type="dxa"/>
            <w:shd w:val="clear" w:color="auto" w:fill="auto"/>
            <w:tcMar>
              <w:left w:w="0" w:type="dxa"/>
            </w:tcMar>
          </w:tcPr>
          <w:p w14:paraId="52A6AB39" w14:textId="77777777" w:rsidR="00FC077B" w:rsidRPr="00FC077B" w:rsidRDefault="00FC077B" w:rsidP="00FC077B">
            <w:pPr>
              <w:tabs>
                <w:tab w:val="right" w:pos="7683"/>
              </w:tabs>
              <w:spacing w:after="0"/>
              <w:rPr>
                <w:bCs/>
                <w:szCs w:val="20"/>
              </w:rPr>
            </w:pPr>
            <w:r w:rsidRPr="00FC077B">
              <w:rPr>
                <w:bCs/>
                <w:szCs w:val="20"/>
              </w:rPr>
              <w:t xml:space="preserve">Medián mezd čítal ve 2. čtvrtletí u mužů 34,5 tis. korun, u žen 30,0 tis. korun. Meziročně nadále posilovaly více výdělky žen (13,2 %) než mužů (10,1 %), zejména vlivem rychlého růstu v oblasti vzdělávání, zdravotní a sociální péče. Podobně jako v předchozích dvou čtvrtletích se výdělky </w:t>
            </w:r>
            <w:proofErr w:type="spellStart"/>
            <w:r w:rsidRPr="00FC077B">
              <w:rPr>
                <w:bCs/>
                <w:szCs w:val="20"/>
              </w:rPr>
              <w:t>vysokopříjmových</w:t>
            </w:r>
            <w:proofErr w:type="spellEnd"/>
            <w:r w:rsidRPr="00FC077B">
              <w:rPr>
                <w:bCs/>
                <w:szCs w:val="20"/>
              </w:rPr>
              <w:t xml:space="preserve"> zaměstnanců meziročně navýšily relativně svižněji než nízkopříjmových. Celková mzdová diferenciace se tak dále mírně prohlubovala.</w:t>
            </w:r>
          </w:p>
        </w:tc>
      </w:tr>
    </w:tbl>
    <w:p w14:paraId="253EFF02" w14:textId="77777777" w:rsidR="00866074" w:rsidRDefault="00866074" w:rsidP="0070658E">
      <w:pPr>
        <w:pStyle w:val="Nadpis11"/>
        <w:spacing w:after="120"/>
      </w:pPr>
      <w:r>
        <w:br w:type="page"/>
      </w:r>
    </w:p>
    <w:p w14:paraId="7CC9ABF7" w14:textId="77777777" w:rsidR="00A9532C" w:rsidRDefault="00A9532C" w:rsidP="0070658E">
      <w:pPr>
        <w:pStyle w:val="Nadpis11"/>
        <w:spacing w:after="120"/>
      </w:pPr>
      <w:bookmarkStart w:id="26" w:name="_Toc82508190"/>
      <w:r>
        <w:lastRenderedPageBreak/>
        <w:t>7. Měnové podmínky</w:t>
      </w:r>
      <w:bookmarkEnd w:id="26"/>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A9532C" w14:paraId="77E55036" w14:textId="77777777" w:rsidTr="00AF7277">
        <w:trPr>
          <w:trHeight w:val="145"/>
        </w:trPr>
        <w:tc>
          <w:tcPr>
            <w:tcW w:w="1802" w:type="dxa"/>
          </w:tcPr>
          <w:p w14:paraId="5FD7246E" w14:textId="77777777" w:rsidR="00A9532C" w:rsidRDefault="00A9532C" w:rsidP="00AF7277">
            <w:pPr>
              <w:pStyle w:val="Marginlie"/>
              <w:rPr>
                <w:lang w:eastAsia="en-US"/>
              </w:rPr>
            </w:pPr>
            <w:r>
              <w:rPr>
                <w:lang w:eastAsia="en-US"/>
              </w:rPr>
              <w:t xml:space="preserve">Na konci 2. čtvrtletí byly zvýšeny základní </w:t>
            </w:r>
            <w:proofErr w:type="spellStart"/>
            <w:r>
              <w:rPr>
                <w:lang w:eastAsia="en-US"/>
              </w:rPr>
              <w:t>měnověpolitické</w:t>
            </w:r>
            <w:proofErr w:type="spellEnd"/>
            <w:r>
              <w:rPr>
                <w:lang w:eastAsia="en-US"/>
              </w:rPr>
              <w:t xml:space="preserve"> sazby.</w:t>
            </w:r>
          </w:p>
        </w:tc>
        <w:tc>
          <w:tcPr>
            <w:tcW w:w="229" w:type="dxa"/>
          </w:tcPr>
          <w:p w14:paraId="5B9D79FC" w14:textId="77777777" w:rsidR="00A9532C" w:rsidRDefault="00A9532C" w:rsidP="00AF7277">
            <w:pPr>
              <w:pStyle w:val="Textpoznpodarou"/>
              <w:jc w:val="both"/>
              <w:rPr>
                <w:spacing w:val="-4"/>
                <w:lang w:eastAsia="en-US"/>
              </w:rPr>
            </w:pPr>
          </w:p>
        </w:tc>
        <w:tc>
          <w:tcPr>
            <w:tcW w:w="7610" w:type="dxa"/>
          </w:tcPr>
          <w:p w14:paraId="435D9336" w14:textId="77777777" w:rsidR="00A9532C" w:rsidRDefault="00A9532C" w:rsidP="00AF7277">
            <w:pPr>
              <w:rPr>
                <w:spacing w:val="-2"/>
                <w:lang w:eastAsia="en-US"/>
              </w:rPr>
            </w:pPr>
            <w:r>
              <w:rPr>
                <w:spacing w:val="-2"/>
                <w:lang w:eastAsia="en-US"/>
              </w:rPr>
              <w:t xml:space="preserve">Sílící inflační tlaky i postupné zotavování české ekonomiky přiměly ČNB k novému navýšení základních </w:t>
            </w:r>
            <w:proofErr w:type="spellStart"/>
            <w:r>
              <w:rPr>
                <w:spacing w:val="-2"/>
                <w:lang w:eastAsia="en-US"/>
              </w:rPr>
              <w:t>měnověpolitických</w:t>
            </w:r>
            <w:proofErr w:type="spellEnd"/>
            <w:r>
              <w:rPr>
                <w:spacing w:val="-2"/>
                <w:lang w:eastAsia="en-US"/>
              </w:rPr>
              <w:t xml:space="preserve"> sazeb, které se odehrálo na konci června a bylo první od loňského února. Dvoutýdenní </w:t>
            </w:r>
            <w:proofErr w:type="spellStart"/>
            <w:r>
              <w:rPr>
                <w:spacing w:val="-2"/>
                <w:lang w:eastAsia="en-US"/>
              </w:rPr>
              <w:t>repo</w:t>
            </w:r>
            <w:proofErr w:type="spellEnd"/>
            <w:r>
              <w:rPr>
                <w:spacing w:val="-2"/>
                <w:lang w:eastAsia="en-US"/>
              </w:rPr>
              <w:t xml:space="preserve"> sazba byla z 0,25 % zvýšena na 0,5 % a lombardní sazba z 1,00 % na 1,25 %. Kurz koruny vůči euru v průběhu celého čtvrtletí postupně oslaboval a dostal se pod úroveň 26 CZK/EUR</w:t>
            </w:r>
            <w:r>
              <w:rPr>
                <w:rStyle w:val="Znakapoznpodarou"/>
                <w:spacing w:val="-2"/>
                <w:lang w:eastAsia="en-US"/>
              </w:rPr>
              <w:footnoteReference w:id="69"/>
            </w:r>
            <w:r>
              <w:rPr>
                <w:spacing w:val="-2"/>
                <w:lang w:eastAsia="en-US"/>
              </w:rPr>
              <w:t>. Červen kurz zakončil na hodnotě 25,485 CZK/EUR a průměr za celé čtvrtletí (25,638 CZK/EUR) byl již mírně silnější než průměr roku 2019 (25,672 CZK/EUR). Meziročně byl kurz silnější o 5,2 %. Kurz koruny vůči dolaru měl také posilující trend, v závěru kvartálu ale došlo k mírnému oslabení a kurz dosáhl 21,439 CZK/USD. Průměr za celé 2. čtvrtletí 2021 činil 21,3 CZK/USD, což je o 13,4 % silnější hodnota než v loňském 2. čtvrtletí.</w:t>
            </w:r>
          </w:p>
        </w:tc>
      </w:tr>
      <w:tr w:rsidR="00A9532C" w14:paraId="312C0EA1" w14:textId="77777777" w:rsidTr="00AF7277">
        <w:trPr>
          <w:trHeight w:val="145"/>
        </w:trPr>
        <w:tc>
          <w:tcPr>
            <w:tcW w:w="1802" w:type="dxa"/>
            <w:hideMark/>
          </w:tcPr>
          <w:p w14:paraId="33432067" w14:textId="77777777" w:rsidR="00A9532C" w:rsidRDefault="00A9532C" w:rsidP="00AF7277">
            <w:pPr>
              <w:pStyle w:val="Marginlie"/>
              <w:rPr>
                <w:lang w:eastAsia="en-US"/>
              </w:rPr>
            </w:pPr>
            <w:r>
              <w:rPr>
                <w:lang w:eastAsia="en-US"/>
              </w:rPr>
              <w:t>Výnosy vládních dluhopisů již nerostly tak výrazně jako v 1. čtvrtletí.</w:t>
            </w:r>
          </w:p>
        </w:tc>
        <w:tc>
          <w:tcPr>
            <w:tcW w:w="229" w:type="dxa"/>
          </w:tcPr>
          <w:p w14:paraId="313EE1C4" w14:textId="77777777" w:rsidR="00A9532C" w:rsidRDefault="00A9532C" w:rsidP="00AF7277">
            <w:pPr>
              <w:pStyle w:val="Textpoznpodarou"/>
              <w:jc w:val="both"/>
              <w:rPr>
                <w:spacing w:val="-4"/>
                <w:lang w:eastAsia="en-US"/>
              </w:rPr>
            </w:pPr>
          </w:p>
        </w:tc>
        <w:tc>
          <w:tcPr>
            <w:tcW w:w="7610" w:type="dxa"/>
          </w:tcPr>
          <w:p w14:paraId="5467E794" w14:textId="77777777" w:rsidR="00A9532C" w:rsidRDefault="00A9532C" w:rsidP="00AF7277">
            <w:pPr>
              <w:rPr>
                <w:spacing w:val="-1"/>
                <w:lang w:eastAsia="en-US"/>
              </w:rPr>
            </w:pPr>
            <w:r>
              <w:rPr>
                <w:spacing w:val="-1"/>
                <w:lang w:eastAsia="en-US"/>
              </w:rPr>
              <w:t>Sazby na mezibankovním trhu se loni snižovaly spolu s </w:t>
            </w:r>
            <w:proofErr w:type="spellStart"/>
            <w:r>
              <w:rPr>
                <w:spacing w:val="-1"/>
                <w:lang w:eastAsia="en-US"/>
              </w:rPr>
              <w:t>měnověpolitickými</w:t>
            </w:r>
            <w:proofErr w:type="spellEnd"/>
            <w:r>
              <w:rPr>
                <w:spacing w:val="-1"/>
                <w:lang w:eastAsia="en-US"/>
              </w:rPr>
              <w:t xml:space="preserve"> úrokovými sazbami, ale následně zůstávaly téměř rok neměnné. Změny v nastavení měnové politiky je ovlivnily a tříměsíční sazba PRIBOR se v červnu zvýšila o 0,11 p. b. </w:t>
            </w:r>
            <w:proofErr w:type="gramStart"/>
            <w:r>
              <w:rPr>
                <w:spacing w:val="-1"/>
                <w:lang w:eastAsia="en-US"/>
              </w:rPr>
              <w:t>na</w:t>
            </w:r>
            <w:proofErr w:type="gramEnd"/>
            <w:r>
              <w:rPr>
                <w:spacing w:val="-1"/>
                <w:lang w:eastAsia="en-US"/>
              </w:rPr>
              <w:t xml:space="preserve"> 0,48 %. Méně dramaticky než v předcházejících měsících se vyvíjely úrokové sazby na vládních dluhopisech. Ty se po výrazném nárůstu v 1. kvartálu měnily jen mírně. Sazba u dluhopisů s nejkratší, dvouletou splatností byla ke konci června na 0,69 %, u střednědobých dluhopisů mírně vzrostla na 1,55 % a úročení dluhopisů s dlouhodobou splatností kleslo na 1,67 %.</w:t>
            </w:r>
          </w:p>
        </w:tc>
      </w:tr>
      <w:tr w:rsidR="00A9532C" w14:paraId="4BAC773D" w14:textId="77777777" w:rsidTr="00AF7277">
        <w:trPr>
          <w:trHeight w:val="145"/>
        </w:trPr>
        <w:tc>
          <w:tcPr>
            <w:tcW w:w="1802" w:type="dxa"/>
            <w:hideMark/>
          </w:tcPr>
          <w:p w14:paraId="023A059E" w14:textId="77777777" w:rsidR="00A9532C" w:rsidRDefault="00A9532C" w:rsidP="00AF7277">
            <w:pPr>
              <w:pStyle w:val="Marginlie"/>
              <w:rPr>
                <w:lang w:eastAsia="en-US"/>
              </w:rPr>
            </w:pPr>
            <w:r>
              <w:rPr>
                <w:lang w:eastAsia="en-US"/>
              </w:rPr>
              <w:t>Nízké úročení klientských termínovaných vkladů se stále projevuje odlivem prostředků na běžné účty.</w:t>
            </w:r>
          </w:p>
        </w:tc>
        <w:tc>
          <w:tcPr>
            <w:tcW w:w="229" w:type="dxa"/>
          </w:tcPr>
          <w:p w14:paraId="06F62AAF" w14:textId="77777777" w:rsidR="00A9532C" w:rsidRDefault="00A9532C" w:rsidP="00AF7277">
            <w:pPr>
              <w:pStyle w:val="Textpoznpodarou"/>
              <w:jc w:val="both"/>
              <w:rPr>
                <w:spacing w:val="-4"/>
                <w:lang w:eastAsia="en-US"/>
              </w:rPr>
            </w:pPr>
          </w:p>
        </w:tc>
        <w:tc>
          <w:tcPr>
            <w:tcW w:w="7610" w:type="dxa"/>
          </w:tcPr>
          <w:p w14:paraId="2CD03C77" w14:textId="77777777" w:rsidR="00A9532C" w:rsidRDefault="00A9532C" w:rsidP="00AF7277">
            <w:pPr>
              <w:rPr>
                <w:spacing w:val="-3"/>
                <w:lang w:eastAsia="en-US"/>
              </w:rPr>
            </w:pPr>
            <w:r>
              <w:rPr>
                <w:spacing w:val="-3"/>
                <w:lang w:eastAsia="en-US"/>
              </w:rPr>
              <w:t xml:space="preserve">Prakticky neměnná zůstala situace u sazeb na klientských vkladech. Běžné účty domácností byly ke konci června v průměru úročeny 0,04 % a vklady s dohodnutou splatností 0,55 %, což představuje mezičtvrtletní navýšení o 0,1 p. b. Narůstaly zejména úroky vkladů se splatností nad dva roky. I běžné účty nefinančních podniků byly téměř nulově úročeny (0,03 % ke konci června). Průměrná úroková sazba jejich vkladů s dohodnutou splatností narostla o 0,09 p. b. </w:t>
            </w:r>
            <w:proofErr w:type="gramStart"/>
            <w:r>
              <w:rPr>
                <w:spacing w:val="-3"/>
                <w:lang w:eastAsia="en-US"/>
              </w:rPr>
              <w:t>na</w:t>
            </w:r>
            <w:proofErr w:type="gramEnd"/>
            <w:r>
              <w:rPr>
                <w:spacing w:val="-3"/>
                <w:lang w:eastAsia="en-US"/>
              </w:rPr>
              <w:t xml:space="preserve"> 0,21 %. Obecně nízké úrokové sazby stály za pokračováním trendu, ve kterém nárůst objemu vkladů dál poháněly zejména netermínované vklady. Jejich navýšení si udrželo silnou meziroční dynamiku (13,9 %), i když se v přírůstku už projevovala vysoká základna loňského 2. kvartálu.</w:t>
            </w:r>
          </w:p>
        </w:tc>
      </w:tr>
      <w:tr w:rsidR="00A9532C" w14:paraId="45F5FD68" w14:textId="77777777" w:rsidTr="00AF7277">
        <w:trPr>
          <w:trHeight w:val="145"/>
        </w:trPr>
        <w:tc>
          <w:tcPr>
            <w:tcW w:w="1802" w:type="dxa"/>
          </w:tcPr>
          <w:p w14:paraId="32673DD5" w14:textId="77777777" w:rsidR="00A9532C" w:rsidRDefault="00A9532C" w:rsidP="00AF7277">
            <w:pPr>
              <w:pStyle w:val="Marginlie"/>
              <w:rPr>
                <w:lang w:eastAsia="en-US"/>
              </w:rPr>
            </w:pPr>
            <w:r>
              <w:rPr>
                <w:lang w:eastAsia="en-US"/>
              </w:rPr>
              <w:t>Úvěry pro domácnosti zdražily.</w:t>
            </w:r>
          </w:p>
          <w:p w14:paraId="3DBBEE4B" w14:textId="77777777" w:rsidR="00A9532C" w:rsidRDefault="00A9532C" w:rsidP="00AF7277">
            <w:pPr>
              <w:pStyle w:val="Marginlie"/>
              <w:rPr>
                <w:lang w:eastAsia="en-US"/>
              </w:rPr>
            </w:pPr>
          </w:p>
          <w:p w14:paraId="6DB18BE2" w14:textId="77777777" w:rsidR="00A9532C" w:rsidRDefault="00A9532C" w:rsidP="00AF7277">
            <w:pPr>
              <w:pStyle w:val="Marginlie"/>
              <w:rPr>
                <w:lang w:eastAsia="en-US"/>
              </w:rPr>
            </w:pPr>
          </w:p>
          <w:p w14:paraId="4F5058BC" w14:textId="77777777" w:rsidR="00A9532C" w:rsidRDefault="00A9532C" w:rsidP="00AF7277">
            <w:pPr>
              <w:pStyle w:val="Marginlie"/>
              <w:rPr>
                <w:lang w:eastAsia="en-US"/>
              </w:rPr>
            </w:pPr>
          </w:p>
          <w:p w14:paraId="5868F30C" w14:textId="77777777" w:rsidR="00A9532C" w:rsidRDefault="00A9532C" w:rsidP="00AF7277">
            <w:pPr>
              <w:pStyle w:val="Marginlie"/>
              <w:rPr>
                <w:lang w:eastAsia="en-US"/>
              </w:rPr>
            </w:pPr>
          </w:p>
          <w:p w14:paraId="4D40E987" w14:textId="77777777" w:rsidR="00A9532C" w:rsidRDefault="00A9532C" w:rsidP="00AF7277">
            <w:pPr>
              <w:pStyle w:val="Marginlie"/>
              <w:rPr>
                <w:lang w:eastAsia="en-US"/>
              </w:rPr>
            </w:pPr>
          </w:p>
          <w:p w14:paraId="4E4BB589" w14:textId="77777777" w:rsidR="00A9532C" w:rsidRDefault="00A9532C" w:rsidP="00AF7277">
            <w:pPr>
              <w:pStyle w:val="Marginlie"/>
              <w:rPr>
                <w:lang w:eastAsia="en-US"/>
              </w:rPr>
            </w:pPr>
          </w:p>
          <w:p w14:paraId="49802C46" w14:textId="77777777" w:rsidR="00A9532C" w:rsidRDefault="00A9532C" w:rsidP="00AF7277">
            <w:pPr>
              <w:pStyle w:val="Marginlie"/>
              <w:rPr>
                <w:lang w:eastAsia="en-US"/>
              </w:rPr>
            </w:pPr>
          </w:p>
          <w:p w14:paraId="552F5BA9" w14:textId="77777777" w:rsidR="00A9532C" w:rsidRDefault="00A9532C" w:rsidP="00AF7277">
            <w:pPr>
              <w:pStyle w:val="Marginlie"/>
              <w:rPr>
                <w:lang w:eastAsia="en-US"/>
              </w:rPr>
            </w:pPr>
          </w:p>
          <w:p w14:paraId="14DC4142" w14:textId="77777777" w:rsidR="00A9532C" w:rsidRDefault="00A9532C" w:rsidP="00AF7277">
            <w:pPr>
              <w:pStyle w:val="Marginlie"/>
              <w:rPr>
                <w:lang w:eastAsia="en-US"/>
              </w:rPr>
            </w:pPr>
          </w:p>
          <w:p w14:paraId="60C032CD" w14:textId="77777777" w:rsidR="00A9532C" w:rsidRDefault="00A9532C" w:rsidP="00AF7277">
            <w:pPr>
              <w:pStyle w:val="Marginlie"/>
              <w:rPr>
                <w:lang w:eastAsia="en-US"/>
              </w:rPr>
            </w:pPr>
            <w:r>
              <w:rPr>
                <w:lang w:eastAsia="en-US"/>
              </w:rPr>
              <w:t>Výrazně zrychlil růst objemu úvěrů na bydlení.</w:t>
            </w:r>
          </w:p>
        </w:tc>
        <w:tc>
          <w:tcPr>
            <w:tcW w:w="229" w:type="dxa"/>
          </w:tcPr>
          <w:p w14:paraId="4869DAA8" w14:textId="77777777" w:rsidR="00A9532C" w:rsidRDefault="00A9532C" w:rsidP="00AF7277">
            <w:pPr>
              <w:pStyle w:val="Textpoznpodarou"/>
              <w:jc w:val="both"/>
              <w:rPr>
                <w:spacing w:val="-4"/>
                <w:lang w:eastAsia="en-US"/>
              </w:rPr>
            </w:pPr>
          </w:p>
        </w:tc>
        <w:tc>
          <w:tcPr>
            <w:tcW w:w="7610" w:type="dxa"/>
          </w:tcPr>
          <w:p w14:paraId="1FF6465C" w14:textId="77777777" w:rsidR="00A9532C" w:rsidRDefault="00A9532C" w:rsidP="00AF7277">
            <w:pPr>
              <w:rPr>
                <w:lang w:eastAsia="en-US"/>
              </w:rPr>
            </w:pPr>
            <w:r>
              <w:rPr>
                <w:lang w:eastAsia="en-US"/>
              </w:rPr>
              <w:t xml:space="preserve">Úrokové sazby úvěrů pro domácnosti se ve 2. čtvrtletí zvyšovaly. O 0,34 p. b. </w:t>
            </w:r>
            <w:proofErr w:type="gramStart"/>
            <w:r>
              <w:rPr>
                <w:lang w:eastAsia="en-US"/>
              </w:rPr>
              <w:t>na</w:t>
            </w:r>
            <w:proofErr w:type="gramEnd"/>
            <w:r>
              <w:rPr>
                <w:lang w:eastAsia="en-US"/>
              </w:rPr>
              <w:t xml:space="preserve"> 7,31 % mezičtvrtletně narostlo i průměrné úročení úvěrů na spotřebu, což bylo první navýšení od konce roku 2019 a největší od 4. čtvrtletí roku 2012. V případě úvěrů na bydlení úrokové sazby rovněž rostly. Průměrně byly úvěry na nákup bytové nemovitosti ke konci června úročeny 2,2 %, což je oproti březnu o 0,14 p. b. </w:t>
            </w:r>
            <w:proofErr w:type="gramStart"/>
            <w:r>
              <w:rPr>
                <w:lang w:eastAsia="en-US"/>
              </w:rPr>
              <w:t>více</w:t>
            </w:r>
            <w:proofErr w:type="gramEnd"/>
            <w:r>
              <w:rPr>
                <w:lang w:eastAsia="en-US"/>
              </w:rPr>
              <w:t>. Nárůst byl zaznamenán u všech fixací. Dynamika objemu úvěrů poskytnutých domácnostem zrychlila spolu s rozvolněním obchodu a služeb. To je patrné hlavně na spotřebních úvěrech, které meziročně rostly o 2,7 % po předchozí stagnaci. Stále jde ale o velmi mírný růst, který může souviset s nižší potřebou úvěrového financování v situaci, kdy se části domácností v posledním roce podařilo naakumulovat hotovost. Zrychlil i růst objemu úvěrů na bydlení – meziroční přírůstek o 9,5 % byl nejvyšší od 2. čtvrtletí 2017. Z podrobnějších údajů přitom vyplývá, že zatímco loni ve 2. čtvrtletí hrála výraznou roli v nárůstu tzv. ostatní nová ujednání související s úvěrovým moratoriem</w:t>
            </w:r>
            <w:r>
              <w:rPr>
                <w:rStyle w:val="Znakapoznpodarou"/>
                <w:lang w:eastAsia="en-US"/>
              </w:rPr>
              <w:footnoteReference w:id="70"/>
            </w:r>
            <w:r>
              <w:rPr>
                <w:lang w:eastAsia="en-US"/>
              </w:rPr>
              <w:t>, nyní velmi rychle nabývají na objemu především čisté nové úvěry. Celkové zadlužení domácností meziročně vzrostlo o 7,7 %, nejvíce od 3. čtvrtletí 2009. Z toho se zadlužení na bydlení zvýšilo o 9,5 % (nejvíce od 1. čtvrtletí 2010) a zadlužení na spotřebu o 1,9 %.</w:t>
            </w:r>
          </w:p>
        </w:tc>
      </w:tr>
      <w:tr w:rsidR="00A9532C" w14:paraId="330B543A" w14:textId="77777777" w:rsidTr="00AF7277">
        <w:trPr>
          <w:trHeight w:val="145"/>
        </w:trPr>
        <w:tc>
          <w:tcPr>
            <w:tcW w:w="1802" w:type="dxa"/>
          </w:tcPr>
          <w:p w14:paraId="09074B49" w14:textId="77777777" w:rsidR="00A9532C" w:rsidRDefault="00A9532C" w:rsidP="00AF7277">
            <w:pPr>
              <w:pStyle w:val="Marginlie"/>
              <w:rPr>
                <w:lang w:eastAsia="en-US"/>
              </w:rPr>
            </w:pPr>
          </w:p>
          <w:p w14:paraId="77DFF473" w14:textId="77777777" w:rsidR="00A9532C" w:rsidRDefault="00A9532C" w:rsidP="00AF7277">
            <w:pPr>
              <w:pStyle w:val="Marginlie"/>
              <w:rPr>
                <w:lang w:eastAsia="en-US"/>
              </w:rPr>
            </w:pPr>
          </w:p>
          <w:p w14:paraId="65B1E42C" w14:textId="77777777" w:rsidR="00A9532C" w:rsidRDefault="00A9532C" w:rsidP="00AF7277">
            <w:pPr>
              <w:pStyle w:val="Marginlie"/>
              <w:rPr>
                <w:lang w:eastAsia="en-US"/>
              </w:rPr>
            </w:pPr>
          </w:p>
          <w:p w14:paraId="748B6AAF" w14:textId="77777777" w:rsidR="00A9532C" w:rsidRDefault="00A9532C" w:rsidP="00AF7277">
            <w:pPr>
              <w:pStyle w:val="Marginlie"/>
              <w:rPr>
                <w:lang w:eastAsia="en-US"/>
              </w:rPr>
            </w:pPr>
            <w:r>
              <w:rPr>
                <w:lang w:eastAsia="en-US"/>
              </w:rPr>
              <w:t>Úrokové sazby úvěrů pro nefinanční podniky naopak klesaly.</w:t>
            </w:r>
          </w:p>
        </w:tc>
        <w:tc>
          <w:tcPr>
            <w:tcW w:w="229" w:type="dxa"/>
          </w:tcPr>
          <w:p w14:paraId="2388C1B3" w14:textId="77777777" w:rsidR="00A9532C" w:rsidRDefault="00A9532C" w:rsidP="00AF7277">
            <w:pPr>
              <w:pStyle w:val="Textpoznpodarou"/>
              <w:jc w:val="both"/>
              <w:rPr>
                <w:spacing w:val="-4"/>
                <w:lang w:eastAsia="en-US"/>
              </w:rPr>
            </w:pPr>
          </w:p>
        </w:tc>
        <w:tc>
          <w:tcPr>
            <w:tcW w:w="7610" w:type="dxa"/>
          </w:tcPr>
          <w:p w14:paraId="507BA8E6" w14:textId="77777777" w:rsidR="00A9532C" w:rsidRDefault="00A9532C" w:rsidP="00AF7277">
            <w:pPr>
              <w:rPr>
                <w:lang w:eastAsia="en-US"/>
              </w:rPr>
            </w:pPr>
            <w:r>
              <w:rPr>
                <w:lang w:eastAsia="en-US"/>
              </w:rPr>
              <w:t xml:space="preserve">Úvěrové financování pro nefinanční podniky v průběhu 2. čtvrtletí naopak zlevňovalo, a to pro všechny objemy úvěrů. Nejmírnější bylo mezičtvrtletní snížení průměrného </w:t>
            </w:r>
            <w:r>
              <w:rPr>
                <w:lang w:eastAsia="en-US"/>
              </w:rPr>
              <w:lastRenderedPageBreak/>
              <w:t xml:space="preserve">úročení v případě nejmenších objemů do 7,5 mil. Kč (o 0,05 p. b. </w:t>
            </w:r>
            <w:proofErr w:type="gramStart"/>
            <w:r>
              <w:rPr>
                <w:lang w:eastAsia="en-US"/>
              </w:rPr>
              <w:t>na</w:t>
            </w:r>
            <w:proofErr w:type="gramEnd"/>
            <w:r>
              <w:rPr>
                <w:lang w:eastAsia="en-US"/>
              </w:rPr>
              <w:t xml:space="preserve"> 3,43 %). Úroková sazba u úvěrů mezi 7,5 a 30 mil. Kč klesla o 0,12 p. b. </w:t>
            </w:r>
            <w:proofErr w:type="gramStart"/>
            <w:r>
              <w:rPr>
                <w:lang w:eastAsia="en-US"/>
              </w:rPr>
              <w:t>na</w:t>
            </w:r>
            <w:proofErr w:type="gramEnd"/>
            <w:r>
              <w:rPr>
                <w:lang w:eastAsia="en-US"/>
              </w:rPr>
              <w:t xml:space="preserve"> 2,35 %. Průměrná sazba v případě úvěrů nad 30 mil. Kč klesla o 0,65 p. b. </w:t>
            </w:r>
            <w:proofErr w:type="gramStart"/>
            <w:r>
              <w:rPr>
                <w:lang w:eastAsia="en-US"/>
              </w:rPr>
              <w:t>na</w:t>
            </w:r>
            <w:proofErr w:type="gramEnd"/>
            <w:r>
              <w:rPr>
                <w:lang w:eastAsia="en-US"/>
              </w:rPr>
              <w:t xml:space="preserve"> 1,19 %, což je rekordně nízká hodnota. Objem úvěrů a pohledávek nefinančních podniků (v korunách i cizí měně) meziročně klesl o 1,9 %. Šlo ale zejména o efekt posílení koruny vůči ostatním měnám, které se v úvěrovém portfoliu výrazně projevilo, protože úvěry v cizí měně tvoří asi třetinu z celkového objemu úvěrů a pohledávek nefinančních podniků. Právě jejich objem meziročně klesl o 13,4 %, zatímco úvěry v korunách vzrostly o 4,6 %. Co se týká časového hlediska, nejvíce ve 2. čtvrtletí narostly úvěry se střednědobou splatností (7,4 %). Meziročně hluboce klesl objem úvěrů v informačních a komunikačních </w:t>
            </w:r>
            <w:proofErr w:type="gramStart"/>
            <w:r>
              <w:rPr>
                <w:lang w:eastAsia="en-US"/>
              </w:rPr>
              <w:t>činnostech (–11,5</w:t>
            </w:r>
            <w:proofErr w:type="gramEnd"/>
            <w:r>
              <w:rPr>
                <w:lang w:eastAsia="en-US"/>
              </w:rPr>
              <w:t xml:space="preserve"> %) a silné bylo i snížení u kulturních, zábavních, rekreačních a ostatních činností (–8,1 %). Nadále trval propad objemu úvěrů poskytnutých ve </w:t>
            </w:r>
            <w:proofErr w:type="gramStart"/>
            <w:r>
              <w:rPr>
                <w:lang w:eastAsia="en-US"/>
              </w:rPr>
              <w:t>stavebnictví (–4,8</w:t>
            </w:r>
            <w:proofErr w:type="gramEnd"/>
            <w:r>
              <w:rPr>
                <w:lang w:eastAsia="en-US"/>
              </w:rPr>
              <w:t> %), zpracovatelském průmyslu (–4,7 %) i velkoobchodě a maloobchodě a opravách a údržbě motorových vozidel (–4,4 %). U všech se jednalo o efekt posílení korunového kurzu, samotné úvěry v korunách u nich stagnovaly, ve stavebnictví rostly o 2,6 %. Klesaly i půjčky v ubytování, stravování a </w:t>
            </w:r>
            <w:proofErr w:type="gramStart"/>
            <w:r>
              <w:rPr>
                <w:lang w:eastAsia="en-US"/>
              </w:rPr>
              <w:t xml:space="preserve">pohostinství </w:t>
            </w:r>
            <w:r>
              <w:rPr>
                <w:lang w:eastAsia="en-US"/>
              </w:rPr>
              <w:br/>
              <w:t>(–3,8</w:t>
            </w:r>
            <w:proofErr w:type="gramEnd"/>
            <w:r>
              <w:rPr>
                <w:lang w:eastAsia="en-US"/>
              </w:rPr>
              <w:t> %). Velké navýšení naopak vykázaly úvěry pro dopravu a skladování (31,8 %), profesní a vědecké činnosti a administrativní činnosti (11,8 %). Mírně meziročně rostly půjčky pro peněžnictví a pojišťovnictví (1,7 %).</w:t>
            </w:r>
          </w:p>
        </w:tc>
      </w:tr>
      <w:tr w:rsidR="00A9532C" w14:paraId="6B55E0B1" w14:textId="77777777" w:rsidTr="00AF7277">
        <w:trPr>
          <w:trHeight w:val="304"/>
        </w:trPr>
        <w:tc>
          <w:tcPr>
            <w:tcW w:w="1802" w:type="dxa"/>
            <w:vMerge w:val="restart"/>
          </w:tcPr>
          <w:p w14:paraId="54AAF249" w14:textId="77777777" w:rsidR="00A9532C" w:rsidRDefault="00A9532C" w:rsidP="00AF7277">
            <w:pPr>
              <w:pStyle w:val="Marginlie"/>
              <w:rPr>
                <w:lang w:eastAsia="en-US"/>
              </w:rPr>
            </w:pPr>
          </w:p>
        </w:tc>
        <w:tc>
          <w:tcPr>
            <w:tcW w:w="229" w:type="dxa"/>
            <w:vMerge w:val="restart"/>
          </w:tcPr>
          <w:p w14:paraId="3D1DC3B8" w14:textId="77777777" w:rsidR="00A9532C" w:rsidRDefault="00A9532C" w:rsidP="00AF7277">
            <w:pPr>
              <w:pStyle w:val="Textpoznpodarou"/>
              <w:jc w:val="both"/>
              <w:rPr>
                <w:spacing w:val="-4"/>
                <w:lang w:eastAsia="en-US"/>
              </w:rPr>
            </w:pPr>
          </w:p>
        </w:tc>
        <w:tc>
          <w:tcPr>
            <w:tcW w:w="7610" w:type="dxa"/>
            <w:hideMark/>
          </w:tcPr>
          <w:p w14:paraId="39EA4495" w14:textId="77777777" w:rsidR="00A9532C" w:rsidRPr="00D721B4" w:rsidRDefault="00A9532C" w:rsidP="00AF7277">
            <w:pPr>
              <w:spacing w:after="0"/>
              <w:rPr>
                <w:szCs w:val="20"/>
                <w:lang w:eastAsia="en-US"/>
              </w:rPr>
            </w:pPr>
            <w:r>
              <w:rPr>
                <w:rFonts w:cs="Arial"/>
                <w:b/>
                <w:bCs/>
                <w:color w:val="000000"/>
                <w:szCs w:val="20"/>
                <w:lang w:eastAsia="en-US"/>
              </w:rPr>
              <w:t>Graf č. 15</w:t>
            </w:r>
            <w:r w:rsidRPr="00D721B4">
              <w:rPr>
                <w:rFonts w:cs="Arial"/>
                <w:b/>
                <w:bCs/>
                <w:color w:val="000000"/>
                <w:szCs w:val="20"/>
                <w:lang w:eastAsia="en-US"/>
              </w:rPr>
              <w:t xml:space="preserve">  </w:t>
            </w:r>
            <w:r w:rsidRPr="00D721B4">
              <w:rPr>
                <w:b/>
                <w:spacing w:val="-4"/>
                <w:szCs w:val="20"/>
                <w:lang w:eastAsia="en-US"/>
              </w:rPr>
              <w:t xml:space="preserve">Tržní úrokové sazby </w:t>
            </w:r>
            <w:r w:rsidRPr="00D721B4">
              <w:rPr>
                <w:bCs/>
                <w:spacing w:val="-4"/>
                <w:szCs w:val="20"/>
                <w:lang w:eastAsia="en-US"/>
              </w:rPr>
              <w:t>(v</w:t>
            </w:r>
            <w:r>
              <w:rPr>
                <w:bCs/>
                <w:spacing w:val="-4"/>
                <w:szCs w:val="20"/>
                <w:lang w:eastAsia="en-US"/>
              </w:rPr>
              <w:t> %</w:t>
            </w:r>
            <w:r w:rsidRPr="00D721B4">
              <w:rPr>
                <w:bCs/>
                <w:spacing w:val="-4"/>
                <w:szCs w:val="20"/>
                <w:lang w:eastAsia="en-US"/>
              </w:rPr>
              <w:t>)</w:t>
            </w:r>
          </w:p>
        </w:tc>
      </w:tr>
      <w:tr w:rsidR="00A9532C" w14:paraId="47F4AEC9" w14:textId="77777777" w:rsidTr="00AF7277">
        <w:tblPrEx>
          <w:tblCellMar>
            <w:left w:w="70" w:type="dxa"/>
            <w:right w:w="70" w:type="dxa"/>
          </w:tblCellMar>
        </w:tblPrEx>
        <w:trPr>
          <w:trHeight w:val="170"/>
        </w:trPr>
        <w:tc>
          <w:tcPr>
            <w:tcW w:w="1802" w:type="dxa"/>
            <w:vMerge/>
            <w:vAlign w:val="center"/>
            <w:hideMark/>
          </w:tcPr>
          <w:p w14:paraId="5899DAF7" w14:textId="77777777" w:rsidR="00A9532C" w:rsidRDefault="00A9532C" w:rsidP="00AF7277">
            <w:pPr>
              <w:spacing w:after="0" w:line="240" w:lineRule="auto"/>
              <w:jc w:val="left"/>
              <w:rPr>
                <w:spacing w:val="-2"/>
                <w:sz w:val="16"/>
                <w:szCs w:val="16"/>
                <w:lang w:eastAsia="en-US"/>
              </w:rPr>
            </w:pPr>
          </w:p>
        </w:tc>
        <w:tc>
          <w:tcPr>
            <w:tcW w:w="229" w:type="dxa"/>
            <w:vMerge/>
            <w:vAlign w:val="center"/>
            <w:hideMark/>
          </w:tcPr>
          <w:p w14:paraId="21720887" w14:textId="77777777" w:rsidR="00A9532C" w:rsidRDefault="00A9532C" w:rsidP="00AF7277">
            <w:pPr>
              <w:spacing w:after="0" w:line="240" w:lineRule="auto"/>
              <w:jc w:val="left"/>
              <w:rPr>
                <w:rFonts w:eastAsia="Calibri"/>
                <w:spacing w:val="-4"/>
                <w:szCs w:val="20"/>
                <w:lang w:eastAsia="en-US"/>
              </w:rPr>
            </w:pPr>
          </w:p>
        </w:tc>
        <w:tc>
          <w:tcPr>
            <w:tcW w:w="7610" w:type="dxa"/>
            <w:hideMark/>
          </w:tcPr>
          <w:p w14:paraId="2EBDF1DE" w14:textId="77777777" w:rsidR="00A9532C" w:rsidRDefault="00A9532C" w:rsidP="00AF7277">
            <w:pPr>
              <w:spacing w:after="0"/>
              <w:rPr>
                <w:sz w:val="14"/>
                <w:szCs w:val="14"/>
                <w:lang w:eastAsia="en-US"/>
              </w:rPr>
            </w:pPr>
            <w:r>
              <w:rPr>
                <w:noProof/>
              </w:rPr>
              <w:drawing>
                <wp:inline distT="0" distB="0" distL="0" distR="0" wp14:anchorId="7426FB41" wp14:editId="1681DE82">
                  <wp:extent cx="4737600" cy="3553200"/>
                  <wp:effectExtent l="0" t="0" r="6350" b="0"/>
                  <wp:docPr id="26" name="Graf 26">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A9532C" w14:paraId="59D89EFC" w14:textId="77777777" w:rsidTr="00AF7277">
        <w:trPr>
          <w:trHeight w:val="170"/>
        </w:trPr>
        <w:tc>
          <w:tcPr>
            <w:tcW w:w="0" w:type="auto"/>
            <w:vMerge/>
            <w:vAlign w:val="center"/>
            <w:hideMark/>
          </w:tcPr>
          <w:p w14:paraId="10E22665" w14:textId="77777777" w:rsidR="00A9532C" w:rsidRDefault="00A9532C" w:rsidP="00AF7277">
            <w:pPr>
              <w:spacing w:after="0" w:line="240" w:lineRule="auto"/>
              <w:jc w:val="left"/>
              <w:rPr>
                <w:spacing w:val="-2"/>
                <w:sz w:val="16"/>
                <w:szCs w:val="16"/>
                <w:lang w:eastAsia="en-US"/>
              </w:rPr>
            </w:pPr>
          </w:p>
        </w:tc>
        <w:tc>
          <w:tcPr>
            <w:tcW w:w="0" w:type="auto"/>
            <w:vMerge/>
            <w:vAlign w:val="center"/>
            <w:hideMark/>
          </w:tcPr>
          <w:p w14:paraId="4EE7AE35" w14:textId="77777777" w:rsidR="00A9532C" w:rsidRDefault="00A9532C" w:rsidP="00AF7277">
            <w:pPr>
              <w:spacing w:after="0" w:line="240" w:lineRule="auto"/>
              <w:jc w:val="left"/>
              <w:rPr>
                <w:rFonts w:eastAsia="Calibri"/>
                <w:spacing w:val="-4"/>
                <w:szCs w:val="20"/>
                <w:lang w:eastAsia="en-US"/>
              </w:rPr>
            </w:pPr>
          </w:p>
        </w:tc>
        <w:tc>
          <w:tcPr>
            <w:tcW w:w="7610" w:type="dxa"/>
            <w:hideMark/>
          </w:tcPr>
          <w:p w14:paraId="291305F7" w14:textId="77777777" w:rsidR="00A9532C" w:rsidRDefault="00A9532C" w:rsidP="00AF7277">
            <w:pPr>
              <w:spacing w:after="0"/>
              <w:rPr>
                <w:sz w:val="14"/>
                <w:szCs w:val="14"/>
                <w:lang w:eastAsia="en-US"/>
              </w:rPr>
            </w:pPr>
            <w:r>
              <w:rPr>
                <w:sz w:val="14"/>
                <w:szCs w:val="14"/>
                <w:lang w:eastAsia="en-US"/>
              </w:rPr>
              <w:t>Zdroj: ČNB</w:t>
            </w:r>
          </w:p>
        </w:tc>
      </w:tr>
    </w:tbl>
    <w:p w14:paraId="6658039C" w14:textId="77777777" w:rsidR="00A9532C" w:rsidRDefault="00A9532C" w:rsidP="00A9532C">
      <w:pPr>
        <w:pStyle w:val="Nadpis11"/>
        <w:rPr>
          <w:b w:val="0"/>
          <w:sz w:val="2"/>
          <w:szCs w:val="2"/>
          <w:highlight w:val="yellow"/>
        </w:rPr>
      </w:pPr>
    </w:p>
    <w:p w14:paraId="598F5E3F" w14:textId="77777777" w:rsidR="00A9532C" w:rsidRDefault="00A9532C" w:rsidP="00A9532C">
      <w:pPr>
        <w:spacing w:after="0" w:line="240" w:lineRule="auto"/>
        <w:jc w:val="left"/>
        <w:rPr>
          <w:b/>
          <w:sz w:val="2"/>
          <w:szCs w:val="2"/>
          <w:highlight w:val="yellow"/>
        </w:rPr>
      </w:pPr>
    </w:p>
    <w:p w14:paraId="6C1F8A46" w14:textId="77777777" w:rsidR="00A9532C" w:rsidRPr="00E42054" w:rsidRDefault="00A9532C" w:rsidP="00A9532C">
      <w:pPr>
        <w:pStyle w:val="Nadpis11"/>
        <w:spacing w:after="0"/>
        <w:rPr>
          <w:b w:val="0"/>
          <w:sz w:val="2"/>
          <w:szCs w:val="2"/>
        </w:rPr>
      </w:pPr>
    </w:p>
    <w:p w14:paraId="11089525" w14:textId="77777777" w:rsidR="00A9532C" w:rsidRDefault="00A9532C" w:rsidP="00A9532C">
      <w:pPr>
        <w:pStyle w:val="Nadpis11"/>
        <w:rPr>
          <w:b w:val="0"/>
          <w:sz w:val="2"/>
          <w:szCs w:val="2"/>
          <w:highlight w:val="yellow"/>
        </w:rPr>
      </w:pPr>
    </w:p>
    <w:p w14:paraId="114E6DB5" w14:textId="77777777" w:rsidR="00A9532C" w:rsidRDefault="00A9532C" w:rsidP="00A9532C">
      <w:pPr>
        <w:spacing w:after="0" w:line="240" w:lineRule="auto"/>
        <w:jc w:val="left"/>
        <w:rPr>
          <w:b/>
          <w:sz w:val="2"/>
          <w:szCs w:val="2"/>
          <w:highlight w:val="yellow"/>
        </w:rPr>
      </w:pPr>
    </w:p>
    <w:p w14:paraId="08D37440" w14:textId="77777777" w:rsidR="00A9532C" w:rsidRPr="00E42054" w:rsidRDefault="00A9532C" w:rsidP="00A9532C">
      <w:pPr>
        <w:spacing w:after="0" w:line="240" w:lineRule="auto"/>
        <w:jc w:val="left"/>
        <w:rPr>
          <w:b/>
          <w:sz w:val="2"/>
          <w:szCs w:val="2"/>
        </w:rPr>
      </w:pPr>
    </w:p>
    <w:p w14:paraId="331F7745" w14:textId="77777777" w:rsidR="00A9532C" w:rsidRPr="00E42054" w:rsidRDefault="00A9532C" w:rsidP="00A9532C">
      <w:pPr>
        <w:pStyle w:val="Nadpis11"/>
        <w:spacing w:after="0"/>
        <w:rPr>
          <w:b w:val="0"/>
          <w:sz w:val="2"/>
          <w:szCs w:val="2"/>
        </w:rPr>
      </w:pPr>
    </w:p>
    <w:p w14:paraId="592F587F" w14:textId="77777777" w:rsidR="00A9532C" w:rsidRPr="00E42054" w:rsidRDefault="00A9532C" w:rsidP="00A9532C">
      <w:pPr>
        <w:pStyle w:val="Nadpis11"/>
        <w:rPr>
          <w:b w:val="0"/>
          <w:sz w:val="2"/>
          <w:szCs w:val="2"/>
        </w:rPr>
      </w:pPr>
    </w:p>
    <w:p w14:paraId="0862F674" w14:textId="77777777" w:rsidR="00A9532C" w:rsidRDefault="00A9532C">
      <w:pPr>
        <w:spacing w:after="0" w:line="240" w:lineRule="auto"/>
        <w:jc w:val="left"/>
        <w:rPr>
          <w:rFonts w:eastAsia="MS Gothic"/>
          <w:b/>
          <w:bCs/>
          <w:color w:val="71818C"/>
          <w:sz w:val="32"/>
          <w:szCs w:val="32"/>
        </w:rPr>
      </w:pPr>
      <w:r>
        <w:rPr>
          <w:szCs w:val="32"/>
        </w:rPr>
        <w:br w:type="page"/>
      </w:r>
    </w:p>
    <w:p w14:paraId="57956C59" w14:textId="77777777" w:rsidR="00BB50C0" w:rsidRDefault="00BB50C0" w:rsidP="00BB50C0">
      <w:pPr>
        <w:pStyle w:val="Nadpis11"/>
      </w:pPr>
      <w:bookmarkStart w:id="27" w:name="_Toc82508191"/>
      <w:r w:rsidRPr="00787441">
        <w:rPr>
          <w:szCs w:val="32"/>
        </w:rPr>
        <w:lastRenderedPageBreak/>
        <w:t>8</w:t>
      </w:r>
      <w:r>
        <w:t>. St</w:t>
      </w:r>
      <w:r w:rsidRPr="009110F7">
        <w:t>átní rozpočet</w:t>
      </w:r>
      <w:bookmarkEnd w:id="27"/>
    </w:p>
    <w:tbl>
      <w:tblPr>
        <w:tblW w:w="9669" w:type="dxa"/>
        <w:tblInd w:w="-20" w:type="dxa"/>
        <w:tblCellMar>
          <w:left w:w="0" w:type="dxa"/>
          <w:right w:w="0" w:type="dxa"/>
        </w:tblCellMar>
        <w:tblLook w:val="00A0" w:firstRow="1" w:lastRow="0" w:firstColumn="1" w:lastColumn="0" w:noHBand="0" w:noVBand="0"/>
      </w:tblPr>
      <w:tblGrid>
        <w:gridCol w:w="1732"/>
        <w:gridCol w:w="217"/>
        <w:gridCol w:w="7720"/>
      </w:tblGrid>
      <w:tr w:rsidR="00BB50C0" w:rsidRPr="003C07E6" w14:paraId="52AAA9E6" w14:textId="77777777" w:rsidTr="00F57D57">
        <w:trPr>
          <w:trHeight w:val="145"/>
        </w:trPr>
        <w:tc>
          <w:tcPr>
            <w:tcW w:w="1732" w:type="dxa"/>
            <w:shd w:val="clear" w:color="auto" w:fill="auto"/>
            <w:tcMar>
              <w:left w:w="0" w:type="dxa"/>
            </w:tcMar>
          </w:tcPr>
          <w:p w14:paraId="1A6A729E" w14:textId="77777777" w:rsidR="00BB50C0" w:rsidRDefault="00BB50C0" w:rsidP="00F57D57">
            <w:pPr>
              <w:pStyle w:val="Marginlie"/>
            </w:pPr>
            <w:r>
              <w:t>K rekordnímu pololetnímu schodku státního rozpočtu přispěl podobným dílem vývoj v 1. i 2. čtvrtletí 2021.</w:t>
            </w:r>
          </w:p>
        </w:tc>
        <w:tc>
          <w:tcPr>
            <w:tcW w:w="217" w:type="dxa"/>
            <w:shd w:val="clear" w:color="auto" w:fill="auto"/>
            <w:tcMar>
              <w:left w:w="0" w:type="dxa"/>
            </w:tcMar>
          </w:tcPr>
          <w:p w14:paraId="00BBDA8A" w14:textId="77777777" w:rsidR="00BB50C0" w:rsidRDefault="00BB50C0" w:rsidP="00F57D57">
            <w:pPr>
              <w:pStyle w:val="Textpoznpodarou"/>
              <w:jc w:val="both"/>
              <w:rPr>
                <w:spacing w:val="-4"/>
              </w:rPr>
            </w:pPr>
          </w:p>
        </w:tc>
        <w:tc>
          <w:tcPr>
            <w:tcW w:w="7720" w:type="dxa"/>
            <w:shd w:val="clear" w:color="auto" w:fill="auto"/>
            <w:tcMar>
              <w:left w:w="0" w:type="dxa"/>
            </w:tcMar>
          </w:tcPr>
          <w:p w14:paraId="41BB8A05" w14:textId="77777777" w:rsidR="00BB50C0" w:rsidRPr="009B277E" w:rsidRDefault="00BB50C0" w:rsidP="00F57D57">
            <w:pPr>
              <w:spacing w:after="200"/>
              <w:rPr>
                <w:spacing w:val="-2"/>
              </w:rPr>
            </w:pPr>
            <w:r w:rsidRPr="009B277E">
              <w:rPr>
                <w:spacing w:val="-2"/>
              </w:rPr>
              <w:t>V 1. pololetí 2021 hospodařil státní rozpočet (SR)</w:t>
            </w:r>
            <w:r w:rsidRPr="009B277E">
              <w:rPr>
                <w:rStyle w:val="Znakapoznpodarou"/>
                <w:spacing w:val="-2"/>
              </w:rPr>
              <w:footnoteReference w:id="71"/>
            </w:r>
            <w:r w:rsidRPr="009B277E">
              <w:rPr>
                <w:spacing w:val="-2"/>
              </w:rPr>
              <w:t xml:space="preserve"> s hlubokým </w:t>
            </w:r>
            <w:r w:rsidRPr="009B277E">
              <w:rPr>
                <w:color w:val="0D0D0D" w:themeColor="text1" w:themeTint="F2"/>
                <w:spacing w:val="-2"/>
              </w:rPr>
              <w:t xml:space="preserve">schodkem ve výši </w:t>
            </w:r>
            <w:r w:rsidRPr="009B277E">
              <w:rPr>
                <w:spacing w:val="-2"/>
              </w:rPr>
              <w:t xml:space="preserve">265,1 mld. korun. Ten byl oproti dosud rekordnímu deficitu z první poloviny loňského roku takřka o 70 mld. hlubší. K dosavadnímu letošnímu schodku přispěl rovnoměrně vývoj v obou čtvrtletích. Během června se ale i díky výraznějšímu rozvolnění </w:t>
            </w:r>
            <w:proofErr w:type="spellStart"/>
            <w:r w:rsidRPr="009B277E">
              <w:rPr>
                <w:spacing w:val="-2"/>
              </w:rPr>
              <w:t>protipandemických</w:t>
            </w:r>
            <w:proofErr w:type="spellEnd"/>
            <w:r w:rsidRPr="009B277E">
              <w:rPr>
                <w:spacing w:val="-2"/>
              </w:rPr>
              <w:t xml:space="preserve"> opatření schodek prohloubil „jen“ o 10 mld. korun. V úhrnu za celé pololetí bylo ale hospodaření SR stále zásadně ovlivňováno nižší ekonomickou aktivitou. Ta spolu s úlevami podnikatelským subjektům, snížením daňového zatížení práce i majetku a změnou rozpočtového určení daní ve prospěch územních rozpočtů</w:t>
            </w:r>
            <w:r w:rsidRPr="009B277E">
              <w:rPr>
                <w:rStyle w:val="Znakapoznpodarou"/>
                <w:spacing w:val="-2"/>
              </w:rPr>
              <w:footnoteReference w:id="72"/>
            </w:r>
            <w:r w:rsidRPr="009B277E">
              <w:rPr>
                <w:spacing w:val="-2"/>
              </w:rPr>
              <w:t xml:space="preserve"> tlumila růst daňových příjmů. Vedle toho přetrvávala také potřeba posílení výdajových transferů na podporu zasažených odvětví a samotných pracovníků, ale i na kompenzaci zvýšených nároků hlavně v oblasti zdravotní péče.</w:t>
            </w:r>
          </w:p>
        </w:tc>
      </w:tr>
      <w:tr w:rsidR="00BB50C0" w:rsidRPr="003C07E6" w14:paraId="2DEF875F" w14:textId="77777777" w:rsidTr="00F57D57">
        <w:trPr>
          <w:trHeight w:val="145"/>
        </w:trPr>
        <w:tc>
          <w:tcPr>
            <w:tcW w:w="1732" w:type="dxa"/>
            <w:shd w:val="clear" w:color="auto" w:fill="auto"/>
            <w:tcMar>
              <w:left w:w="0" w:type="dxa"/>
            </w:tcMar>
          </w:tcPr>
          <w:p w14:paraId="7844B7D0" w14:textId="77777777" w:rsidR="00BB50C0" w:rsidRDefault="00BB50C0" w:rsidP="00F57D57">
            <w:pPr>
              <w:pStyle w:val="Marginlie"/>
            </w:pPr>
            <w:r>
              <w:t>Celostátní daňové inkaso v 1. pololetí mírně rostlo hlavně díky slabší loňské základně. Oproti roku 2019 bylo vyšší až letos v červnu.</w:t>
            </w:r>
          </w:p>
        </w:tc>
        <w:tc>
          <w:tcPr>
            <w:tcW w:w="217" w:type="dxa"/>
            <w:shd w:val="clear" w:color="auto" w:fill="auto"/>
            <w:tcMar>
              <w:left w:w="0" w:type="dxa"/>
            </w:tcMar>
          </w:tcPr>
          <w:p w14:paraId="7F4CAFE7" w14:textId="77777777" w:rsidR="00BB50C0" w:rsidRDefault="00BB50C0" w:rsidP="00F57D57">
            <w:pPr>
              <w:pStyle w:val="Textpoznpodarou"/>
              <w:jc w:val="both"/>
              <w:rPr>
                <w:spacing w:val="-4"/>
              </w:rPr>
            </w:pPr>
          </w:p>
        </w:tc>
        <w:tc>
          <w:tcPr>
            <w:tcW w:w="7720" w:type="dxa"/>
            <w:shd w:val="clear" w:color="auto" w:fill="auto"/>
            <w:tcMar>
              <w:left w:w="0" w:type="dxa"/>
            </w:tcMar>
          </w:tcPr>
          <w:p w14:paraId="3C052F2C" w14:textId="77777777" w:rsidR="00BB50C0" w:rsidRPr="009B277E" w:rsidRDefault="00BB50C0" w:rsidP="00F57D57">
            <w:pPr>
              <w:spacing w:after="200"/>
              <w:rPr>
                <w:spacing w:val="-2"/>
              </w:rPr>
            </w:pPr>
            <w:r w:rsidRPr="009B277E">
              <w:rPr>
                <w:spacing w:val="-2"/>
              </w:rPr>
              <w:t xml:space="preserve">Celkové příjmy SR se v 1. pololetí 2021 meziročně mírně zvýšily o 1,9 % (resp. 13 mld. korun). Bylo tomu tak ale i vlivem nižší loňské základny, neboť </w:t>
            </w:r>
            <w:proofErr w:type="spellStart"/>
            <w:r w:rsidRPr="009B277E">
              <w:rPr>
                <w:spacing w:val="-2"/>
              </w:rPr>
              <w:t>předkoronavirové</w:t>
            </w:r>
            <w:proofErr w:type="spellEnd"/>
            <w:r w:rsidRPr="009B277E">
              <w:rPr>
                <w:spacing w:val="-2"/>
              </w:rPr>
              <w:t xml:space="preserve"> úrovně příjmy letos dosud nedosáhly</w:t>
            </w:r>
            <w:r w:rsidRPr="009B277E">
              <w:rPr>
                <w:rStyle w:val="Znakapoznpodarou"/>
                <w:spacing w:val="-2"/>
              </w:rPr>
              <w:footnoteReference w:id="73"/>
            </w:r>
            <w:r w:rsidRPr="009B277E">
              <w:rPr>
                <w:spacing w:val="-2"/>
              </w:rPr>
              <w:t xml:space="preserve">. Na meziroční růst působil především vyšší výběr pojistného na sociální zabezpečení (díky dobré kondici pracovního trhu i výplatě mimořádných odměn zejména zdravotnickým pracovníkům) a silnější inkaso korporátní daně. Souhrnný celostátní výběr daní (bez pojistného) na úrovni všech veřejných rozpočtů se letos nacházel o 4,4 % nad úrovní prvního loňského pololetí, až v červnu ale mírně převýšil i odpovídající </w:t>
            </w:r>
            <w:proofErr w:type="spellStart"/>
            <w:r w:rsidRPr="009B277E">
              <w:rPr>
                <w:spacing w:val="-2"/>
              </w:rPr>
              <w:t>předkoronavirovou</w:t>
            </w:r>
            <w:proofErr w:type="spellEnd"/>
            <w:r w:rsidRPr="009B277E">
              <w:rPr>
                <w:spacing w:val="-2"/>
              </w:rPr>
              <w:t xml:space="preserve"> úroveň (z června 2019). Nedaňové a kapitálové příjmy a transfery SR v letošním pololetí poprvé od roku 2017 klesly (o 7,8 %), a to jak vinou mírně nižších příjmů z rozpočtu EU, tak zejména proto, že plánovaný převod prostředků privatizačního účtu do SR (10 mld. korun) se letos, na rozdíl od loňského roku, dosud neuskutečnil</w:t>
            </w:r>
            <w:r w:rsidRPr="009B277E">
              <w:rPr>
                <w:rStyle w:val="Znakapoznpodarou"/>
                <w:spacing w:val="-2"/>
              </w:rPr>
              <w:footnoteReference w:id="74"/>
            </w:r>
            <w:r w:rsidRPr="009B277E">
              <w:rPr>
                <w:spacing w:val="-2"/>
              </w:rPr>
              <w:t>.</w:t>
            </w:r>
          </w:p>
        </w:tc>
      </w:tr>
      <w:tr w:rsidR="00BB50C0" w:rsidRPr="003C07E6" w14:paraId="2C8D3E82" w14:textId="77777777" w:rsidTr="00F57D57">
        <w:trPr>
          <w:trHeight w:val="145"/>
        </w:trPr>
        <w:tc>
          <w:tcPr>
            <w:tcW w:w="1732" w:type="dxa"/>
            <w:shd w:val="clear" w:color="auto" w:fill="auto"/>
            <w:tcMar>
              <w:left w:w="0" w:type="dxa"/>
            </w:tcMar>
          </w:tcPr>
          <w:p w14:paraId="59291FED" w14:textId="77777777" w:rsidR="00BB50C0" w:rsidRDefault="00BB50C0" w:rsidP="00F57D57">
            <w:pPr>
              <w:pStyle w:val="Marginlie"/>
            </w:pPr>
            <w:r>
              <w:t>K vyššímu výběru DPH výrazně pomohlo oživení spotřeby letos v</w:t>
            </w:r>
            <w:r>
              <w:rPr>
                <w:spacing w:val="-4"/>
              </w:rPr>
              <w:t> </w:t>
            </w:r>
            <w:r>
              <w:t>červnu.</w:t>
            </w:r>
          </w:p>
        </w:tc>
        <w:tc>
          <w:tcPr>
            <w:tcW w:w="217" w:type="dxa"/>
            <w:shd w:val="clear" w:color="auto" w:fill="auto"/>
            <w:tcMar>
              <w:left w:w="0" w:type="dxa"/>
            </w:tcMar>
          </w:tcPr>
          <w:p w14:paraId="19BAADD4" w14:textId="77777777" w:rsidR="00BB50C0" w:rsidRDefault="00BB50C0" w:rsidP="00F57D57">
            <w:pPr>
              <w:pStyle w:val="Textpoznpodarou"/>
              <w:jc w:val="both"/>
              <w:rPr>
                <w:spacing w:val="-4"/>
              </w:rPr>
            </w:pPr>
          </w:p>
        </w:tc>
        <w:tc>
          <w:tcPr>
            <w:tcW w:w="7720" w:type="dxa"/>
            <w:shd w:val="clear" w:color="auto" w:fill="auto"/>
            <w:tcMar>
              <w:left w:w="0" w:type="dxa"/>
            </w:tcMar>
          </w:tcPr>
          <w:p w14:paraId="29AB529E" w14:textId="77777777" w:rsidR="00BB50C0" w:rsidRDefault="00BB50C0" w:rsidP="00F57D57">
            <w:pPr>
              <w:spacing w:after="200"/>
              <w:rPr>
                <w:spacing w:val="-4"/>
              </w:rPr>
            </w:pPr>
            <w:r>
              <w:rPr>
                <w:spacing w:val="-4"/>
              </w:rPr>
              <w:t>Z váhově dominantní daně – DPH – plynulo do SR v 1. pololetí meziročně o 3,9 % (resp. o 5 mld. korun) více. Na úrovni všech veřejných rozpočtů posílilo inkaso dokonce o 9,1 %. Meziroční srovnání je však ovlivněno slabší loňskou základnou v důsledku citelného omezení provozoven obchodu a dalších služeb. Ve srovnání s </w:t>
            </w:r>
            <w:proofErr w:type="spellStart"/>
            <w:r>
              <w:rPr>
                <w:spacing w:val="-4"/>
              </w:rPr>
              <w:t>předpandemickým</w:t>
            </w:r>
            <w:proofErr w:type="spellEnd"/>
            <w:r>
              <w:rPr>
                <w:spacing w:val="-4"/>
              </w:rPr>
              <w:t xml:space="preserve"> obdobím (1. pololetí 2019) bylo celostátní inkaso o 2,5 % vyšší, především zásluhou výraznějšího oživení soukromé spotřeby letos v červnu. Dílčí dopad na </w:t>
            </w:r>
            <w:r>
              <w:rPr>
                <w:spacing w:val="-5"/>
              </w:rPr>
              <w:t>výběr DPH mělo i snížení</w:t>
            </w:r>
            <w:r w:rsidRPr="00F033DA">
              <w:rPr>
                <w:spacing w:val="-5"/>
              </w:rPr>
              <w:t xml:space="preserve"> saz</w:t>
            </w:r>
            <w:r>
              <w:rPr>
                <w:spacing w:val="-5"/>
              </w:rPr>
              <w:t xml:space="preserve">eb daně u některých služeb (zejména </w:t>
            </w:r>
            <w:r w:rsidRPr="00F033DA">
              <w:rPr>
                <w:spacing w:val="-5"/>
              </w:rPr>
              <w:t>ve stravování)</w:t>
            </w:r>
            <w:r>
              <w:rPr>
                <w:rStyle w:val="Znakapoznpodarou"/>
                <w:spacing w:val="-5"/>
              </w:rPr>
              <w:footnoteReference w:id="75"/>
            </w:r>
            <w:r w:rsidRPr="00F033DA">
              <w:rPr>
                <w:spacing w:val="-5"/>
              </w:rPr>
              <w:t>.</w:t>
            </w:r>
          </w:p>
        </w:tc>
      </w:tr>
      <w:tr w:rsidR="00BB50C0" w:rsidRPr="003C07E6" w14:paraId="6070DA3F" w14:textId="77777777" w:rsidTr="00F57D57">
        <w:trPr>
          <w:trHeight w:val="145"/>
        </w:trPr>
        <w:tc>
          <w:tcPr>
            <w:tcW w:w="1732" w:type="dxa"/>
            <w:shd w:val="clear" w:color="auto" w:fill="auto"/>
            <w:tcMar>
              <w:left w:w="0" w:type="dxa"/>
            </w:tcMar>
          </w:tcPr>
          <w:p w14:paraId="41A3C32A" w14:textId="77777777" w:rsidR="00BB50C0" w:rsidRDefault="00BB50C0" w:rsidP="00F57D57">
            <w:pPr>
              <w:pStyle w:val="Marginlie"/>
            </w:pPr>
            <w:r>
              <w:t>Inkaso spotřebních daní propadlo meziročně o</w:t>
            </w:r>
            <w:r>
              <w:rPr>
                <w:spacing w:val="-4"/>
              </w:rPr>
              <w:t> </w:t>
            </w:r>
            <w:r>
              <w:t>více než desetinu a za rozpočtovým očekáváním notně zaostávalo.</w:t>
            </w:r>
          </w:p>
        </w:tc>
        <w:tc>
          <w:tcPr>
            <w:tcW w:w="217" w:type="dxa"/>
            <w:shd w:val="clear" w:color="auto" w:fill="auto"/>
            <w:tcMar>
              <w:left w:w="0" w:type="dxa"/>
            </w:tcMar>
          </w:tcPr>
          <w:p w14:paraId="4282F61A" w14:textId="77777777" w:rsidR="00BB50C0" w:rsidRDefault="00BB50C0" w:rsidP="00F57D57">
            <w:pPr>
              <w:pStyle w:val="Textpoznpodarou"/>
              <w:jc w:val="both"/>
              <w:rPr>
                <w:spacing w:val="-4"/>
              </w:rPr>
            </w:pPr>
          </w:p>
        </w:tc>
        <w:tc>
          <w:tcPr>
            <w:tcW w:w="7720" w:type="dxa"/>
            <w:shd w:val="clear" w:color="auto" w:fill="auto"/>
            <w:tcMar>
              <w:left w:w="0" w:type="dxa"/>
            </w:tcMar>
          </w:tcPr>
          <w:p w14:paraId="3528271A" w14:textId="77777777" w:rsidR="00BB50C0" w:rsidRPr="00B25FF5" w:rsidRDefault="00BB50C0" w:rsidP="00F57D57">
            <w:pPr>
              <w:spacing w:after="200"/>
              <w:rPr>
                <w:spacing w:val="-5"/>
              </w:rPr>
            </w:pPr>
            <w:r w:rsidRPr="00460F0F">
              <w:rPr>
                <w:color w:val="0D0D0D" w:themeColor="text1" w:themeTint="F2"/>
                <w:spacing w:val="-5"/>
              </w:rPr>
              <w:t>Celkové příjmy SR ze spotřebních daní</w:t>
            </w:r>
            <w:r>
              <w:rPr>
                <w:spacing w:val="-4"/>
              </w:rPr>
              <w:t xml:space="preserve"> v 1. pololetí propadly o více než desetinu (za dva roky dokonce o šestinu). Jejich výběr tak na rozdíl od DPH dosud letos za rozpočtovým očekáváním citelně zaostával. Projevilo se výrazné snížení inkasa u daně z minerálních olejů (meziročně o pětinu), v důsledku slabších přepravních výkonů zejména v osobní dopravě umocněné nově zavedeným snížením sazby daně u motorové nafty</w:t>
            </w:r>
            <w:r>
              <w:rPr>
                <w:rStyle w:val="Znakapoznpodarou"/>
                <w:spacing w:val="-4"/>
              </w:rPr>
              <w:footnoteReference w:id="76"/>
            </w:r>
            <w:r>
              <w:rPr>
                <w:spacing w:val="-4"/>
              </w:rPr>
              <w:t xml:space="preserve">. Skoro </w:t>
            </w:r>
            <w:r w:rsidRPr="00460F0F">
              <w:rPr>
                <w:color w:val="0D0D0D" w:themeColor="text1" w:themeTint="F2"/>
                <w:spacing w:val="-5"/>
              </w:rPr>
              <w:t xml:space="preserve">polovina meziročního poklesu </w:t>
            </w:r>
            <w:r>
              <w:rPr>
                <w:color w:val="0D0D0D" w:themeColor="text1" w:themeTint="F2"/>
                <w:spacing w:val="-5"/>
              </w:rPr>
              <w:t xml:space="preserve">výběru všech spotřebních daní </w:t>
            </w:r>
            <w:r w:rsidRPr="00460F0F">
              <w:rPr>
                <w:color w:val="0D0D0D" w:themeColor="text1" w:themeTint="F2"/>
                <w:spacing w:val="-5"/>
              </w:rPr>
              <w:t xml:space="preserve">šla </w:t>
            </w:r>
            <w:r>
              <w:rPr>
                <w:color w:val="0D0D0D" w:themeColor="text1" w:themeTint="F2"/>
                <w:spacing w:val="-5"/>
              </w:rPr>
              <w:t xml:space="preserve">letos </w:t>
            </w:r>
            <w:r w:rsidRPr="00460F0F">
              <w:rPr>
                <w:color w:val="0D0D0D" w:themeColor="text1" w:themeTint="F2"/>
                <w:spacing w:val="-5"/>
              </w:rPr>
              <w:t xml:space="preserve">na vrub slabšího </w:t>
            </w:r>
            <w:r>
              <w:rPr>
                <w:color w:val="0D0D0D" w:themeColor="text1" w:themeTint="F2"/>
                <w:spacing w:val="-5"/>
              </w:rPr>
              <w:t xml:space="preserve">inkasa u tabákových </w:t>
            </w:r>
            <w:proofErr w:type="gramStart"/>
            <w:r>
              <w:rPr>
                <w:color w:val="0D0D0D" w:themeColor="text1" w:themeTint="F2"/>
                <w:spacing w:val="-5"/>
              </w:rPr>
              <w:t>výrobků (</w:t>
            </w:r>
            <w:r w:rsidRPr="00460F0F">
              <w:rPr>
                <w:spacing w:val="-5"/>
              </w:rPr>
              <w:t>–</w:t>
            </w:r>
            <w:r>
              <w:rPr>
                <w:color w:val="0D0D0D" w:themeColor="text1" w:themeTint="F2"/>
                <w:spacing w:val="-5"/>
              </w:rPr>
              <w:t>14</w:t>
            </w:r>
            <w:proofErr w:type="gramEnd"/>
            <w:r>
              <w:rPr>
                <w:color w:val="0D0D0D" w:themeColor="text1" w:themeTint="F2"/>
                <w:spacing w:val="-5"/>
              </w:rPr>
              <w:t> %). V samotném 2. čtvrtletí však výběr kopíroval loňskou úroveň, neboť se již začal výrazněji projevovat dopad růstu daňové sazby a patrně</w:t>
            </w:r>
            <w:r>
              <w:rPr>
                <w:spacing w:val="-4"/>
              </w:rPr>
              <w:t xml:space="preserve"> </w:t>
            </w:r>
            <w:r>
              <w:rPr>
                <w:color w:val="0D0D0D" w:themeColor="text1" w:themeTint="F2"/>
                <w:spacing w:val="-5"/>
              </w:rPr>
              <w:t>i</w:t>
            </w:r>
            <w:r>
              <w:rPr>
                <w:spacing w:val="-4"/>
              </w:rPr>
              <w:t> </w:t>
            </w:r>
            <w:r>
              <w:rPr>
                <w:color w:val="0D0D0D" w:themeColor="text1" w:themeTint="F2"/>
                <w:spacing w:val="-5"/>
              </w:rPr>
              <w:t>oživení přeshraničních nákupů. Výběr váhově méně významné daně u piva klesal v obou letošních čtvrtletích, naopak u daně z lihu došlo během 2. čtvrtletí k pozitivnímu obratu. Příznivý efekt znovuotevření restauračních zařízení, jakož i pozvolného oživení cestovního ruchu by se ale měl ve výběru spotřebních daní naplno projevit až během letního období.</w:t>
            </w:r>
          </w:p>
        </w:tc>
      </w:tr>
      <w:tr w:rsidR="00BB50C0" w:rsidRPr="003C07E6" w14:paraId="05F2EA7C" w14:textId="77777777" w:rsidTr="00F57D57">
        <w:trPr>
          <w:trHeight w:val="145"/>
        </w:trPr>
        <w:tc>
          <w:tcPr>
            <w:tcW w:w="1732" w:type="dxa"/>
            <w:shd w:val="clear" w:color="auto" w:fill="auto"/>
            <w:tcMar>
              <w:left w:w="0" w:type="dxa"/>
            </w:tcMar>
          </w:tcPr>
          <w:p w14:paraId="64719FDD" w14:textId="77777777" w:rsidR="00BB50C0" w:rsidRDefault="00BB50C0" w:rsidP="00F57D57">
            <w:pPr>
              <w:pStyle w:val="Marginlie"/>
            </w:pPr>
            <w:r>
              <w:lastRenderedPageBreak/>
              <w:t xml:space="preserve">Inkaso korporátní daně </w:t>
            </w:r>
            <w:proofErr w:type="spellStart"/>
            <w:r>
              <w:t>předpandemickou</w:t>
            </w:r>
            <w:proofErr w:type="spellEnd"/>
            <w:r>
              <w:t xml:space="preserve"> úroveň již převýšilo. </w:t>
            </w:r>
          </w:p>
        </w:tc>
        <w:tc>
          <w:tcPr>
            <w:tcW w:w="217" w:type="dxa"/>
            <w:shd w:val="clear" w:color="auto" w:fill="auto"/>
            <w:tcMar>
              <w:left w:w="0" w:type="dxa"/>
            </w:tcMar>
          </w:tcPr>
          <w:p w14:paraId="760EE096" w14:textId="77777777" w:rsidR="00BB50C0" w:rsidRDefault="00BB50C0" w:rsidP="00F57D57">
            <w:pPr>
              <w:pStyle w:val="Textpoznpodarou"/>
              <w:jc w:val="both"/>
              <w:rPr>
                <w:spacing w:val="-4"/>
              </w:rPr>
            </w:pPr>
          </w:p>
        </w:tc>
        <w:tc>
          <w:tcPr>
            <w:tcW w:w="7720" w:type="dxa"/>
            <w:shd w:val="clear" w:color="auto" w:fill="auto"/>
            <w:tcMar>
              <w:left w:w="0" w:type="dxa"/>
            </w:tcMar>
          </w:tcPr>
          <w:p w14:paraId="33CACBA3" w14:textId="77777777" w:rsidR="00BB50C0" w:rsidRPr="00A66749" w:rsidRDefault="00BB50C0" w:rsidP="00F57D57">
            <w:pPr>
              <w:spacing w:after="200"/>
              <w:rPr>
                <w:spacing w:val="-5"/>
              </w:rPr>
            </w:pPr>
            <w:r w:rsidRPr="00A66749">
              <w:rPr>
                <w:spacing w:val="-5"/>
              </w:rPr>
              <w:t>Na korporátní dani získal SR v 1.</w:t>
            </w:r>
            <w:r>
              <w:rPr>
                <w:spacing w:val="-5"/>
              </w:rPr>
              <w:t> pololet</w:t>
            </w:r>
            <w:r w:rsidRPr="00A66749">
              <w:rPr>
                <w:spacing w:val="-5"/>
              </w:rPr>
              <w:t>í meziročně o</w:t>
            </w:r>
            <w:r>
              <w:rPr>
                <w:spacing w:val="-5"/>
              </w:rPr>
              <w:t> </w:t>
            </w:r>
            <w:r w:rsidRPr="00A66749">
              <w:rPr>
                <w:spacing w:val="-5"/>
              </w:rPr>
              <w:t>45</w:t>
            </w:r>
            <w:r>
              <w:rPr>
                <w:spacing w:val="-5"/>
              </w:rPr>
              <w:t> %</w:t>
            </w:r>
            <w:r w:rsidRPr="00A66749">
              <w:rPr>
                <w:spacing w:val="-5"/>
              </w:rPr>
              <w:t xml:space="preserve"> (+23</w:t>
            </w:r>
            <w:r>
              <w:rPr>
                <w:spacing w:val="-5"/>
              </w:rPr>
              <w:t> mld.</w:t>
            </w:r>
            <w:r w:rsidRPr="00A66749">
              <w:rPr>
                <w:spacing w:val="-5"/>
              </w:rPr>
              <w:t xml:space="preserve"> korun) více. Přes polovinu z tohoto přírůstku lze připsat nízké loňské základně (hlavně vlivem prominutí červnové zálohy na daň). Meziroční srovnání je rozostřeno i</w:t>
            </w:r>
            <w:r>
              <w:rPr>
                <w:spacing w:val="-5"/>
              </w:rPr>
              <w:t> změnou rozpočtového určení daní a </w:t>
            </w:r>
            <w:r w:rsidRPr="00A66749">
              <w:rPr>
                <w:spacing w:val="-5"/>
              </w:rPr>
              <w:t>individuálními žádostmi firem o</w:t>
            </w:r>
            <w:r>
              <w:rPr>
                <w:spacing w:val="-5"/>
              </w:rPr>
              <w:t> </w:t>
            </w:r>
            <w:r w:rsidRPr="00A66749">
              <w:rPr>
                <w:spacing w:val="-5"/>
              </w:rPr>
              <w:t>úpravu záloh na da</w:t>
            </w:r>
            <w:r>
              <w:rPr>
                <w:spacing w:val="-5"/>
              </w:rPr>
              <w:t>ň</w:t>
            </w:r>
            <w:r w:rsidRPr="00A66749">
              <w:rPr>
                <w:rStyle w:val="Znakapoznpodarou"/>
                <w:spacing w:val="-5"/>
              </w:rPr>
              <w:footnoteReference w:id="77"/>
            </w:r>
            <w:r w:rsidRPr="00A66749">
              <w:rPr>
                <w:spacing w:val="-5"/>
              </w:rPr>
              <w:t>. Celostátní inkaso korporátní daně převýšilo letos úroveň z</w:t>
            </w:r>
            <w:r>
              <w:rPr>
                <w:spacing w:val="-5"/>
              </w:rPr>
              <w:t> </w:t>
            </w:r>
            <w:r w:rsidRPr="00A66749">
              <w:rPr>
                <w:spacing w:val="-5"/>
              </w:rPr>
              <w:t>1.</w:t>
            </w:r>
            <w:r>
              <w:rPr>
                <w:spacing w:val="-5"/>
              </w:rPr>
              <w:t> pololet</w:t>
            </w:r>
            <w:r w:rsidRPr="00A66749">
              <w:rPr>
                <w:spacing w:val="-5"/>
              </w:rPr>
              <w:t>í 2019 o</w:t>
            </w:r>
            <w:r>
              <w:rPr>
                <w:spacing w:val="-5"/>
              </w:rPr>
              <w:t> </w:t>
            </w:r>
            <w:r w:rsidRPr="00A66749">
              <w:rPr>
                <w:spacing w:val="-5"/>
              </w:rPr>
              <w:t>8,5</w:t>
            </w:r>
            <w:r>
              <w:rPr>
                <w:spacing w:val="-5"/>
              </w:rPr>
              <w:t> %</w:t>
            </w:r>
            <w:r w:rsidRPr="00A66749">
              <w:rPr>
                <w:spacing w:val="-5"/>
              </w:rPr>
              <w:t xml:space="preserve">. </w:t>
            </w:r>
          </w:p>
        </w:tc>
      </w:tr>
      <w:tr w:rsidR="00BB50C0" w:rsidRPr="003C07E6" w14:paraId="54B64A56" w14:textId="77777777" w:rsidTr="00F57D57">
        <w:trPr>
          <w:trHeight w:val="145"/>
        </w:trPr>
        <w:tc>
          <w:tcPr>
            <w:tcW w:w="1732" w:type="dxa"/>
            <w:shd w:val="clear" w:color="auto" w:fill="auto"/>
            <w:tcMar>
              <w:left w:w="0" w:type="dxa"/>
            </w:tcMar>
          </w:tcPr>
          <w:p w14:paraId="531A4859" w14:textId="77777777" w:rsidR="00BB50C0" w:rsidRDefault="00BB50C0" w:rsidP="00F57D57">
            <w:pPr>
              <w:pStyle w:val="Marginlie"/>
            </w:pPr>
            <w:r>
              <w:t xml:space="preserve">Výběr daně z příjmů FO ze závislé činnosti byl ovlivněn zrušením </w:t>
            </w:r>
            <w:proofErr w:type="spellStart"/>
            <w:r>
              <w:t>superhrubé</w:t>
            </w:r>
            <w:proofErr w:type="spellEnd"/>
            <w:r>
              <w:t xml:space="preserve"> mzdy i pokračující výplatou kompenzačních bonusů.</w:t>
            </w:r>
          </w:p>
        </w:tc>
        <w:tc>
          <w:tcPr>
            <w:tcW w:w="217" w:type="dxa"/>
            <w:shd w:val="clear" w:color="auto" w:fill="auto"/>
            <w:tcMar>
              <w:left w:w="0" w:type="dxa"/>
            </w:tcMar>
          </w:tcPr>
          <w:p w14:paraId="32566C1A" w14:textId="77777777" w:rsidR="00BB50C0" w:rsidRDefault="00BB50C0" w:rsidP="00F57D57">
            <w:pPr>
              <w:pStyle w:val="Textpoznpodarou"/>
              <w:jc w:val="both"/>
              <w:rPr>
                <w:spacing w:val="-4"/>
              </w:rPr>
            </w:pPr>
          </w:p>
        </w:tc>
        <w:tc>
          <w:tcPr>
            <w:tcW w:w="7720" w:type="dxa"/>
            <w:shd w:val="clear" w:color="auto" w:fill="auto"/>
            <w:tcMar>
              <w:left w:w="0" w:type="dxa"/>
            </w:tcMar>
          </w:tcPr>
          <w:p w14:paraId="387DFF42" w14:textId="77777777" w:rsidR="00BB50C0" w:rsidRPr="0095443E" w:rsidRDefault="00BB50C0" w:rsidP="00F57D57">
            <w:pPr>
              <w:spacing w:after="200"/>
              <w:rPr>
                <w:spacing w:val="-4"/>
              </w:rPr>
            </w:pPr>
            <w:r>
              <w:rPr>
                <w:spacing w:val="-4"/>
              </w:rPr>
              <w:t>S</w:t>
            </w:r>
            <w:r w:rsidRPr="0095443E">
              <w:rPr>
                <w:spacing w:val="-4"/>
              </w:rPr>
              <w:t>nížení daňového zatížení práce</w:t>
            </w:r>
            <w:r w:rsidRPr="00285F04">
              <w:rPr>
                <w:vertAlign w:val="superscript"/>
              </w:rPr>
              <w:footnoteReference w:id="78"/>
            </w:r>
            <w:r>
              <w:rPr>
                <w:spacing w:val="-4"/>
              </w:rPr>
              <w:t xml:space="preserve"> představovalo klíčový faktor vedoucí k tomu, že celostátní inkaso </w:t>
            </w:r>
            <w:r w:rsidRPr="0095443E">
              <w:rPr>
                <w:spacing w:val="-4"/>
              </w:rPr>
              <w:t>daně</w:t>
            </w:r>
            <w:r>
              <w:rPr>
                <w:spacing w:val="-4"/>
              </w:rPr>
              <w:t xml:space="preserve"> z příjmů</w:t>
            </w:r>
            <w:r w:rsidRPr="0095443E">
              <w:rPr>
                <w:spacing w:val="-4"/>
              </w:rPr>
              <w:t xml:space="preserve"> </w:t>
            </w:r>
            <w:r>
              <w:rPr>
                <w:spacing w:val="-4"/>
              </w:rPr>
              <w:t xml:space="preserve">fyzických osob </w:t>
            </w:r>
            <w:r w:rsidRPr="0095443E">
              <w:rPr>
                <w:spacing w:val="-4"/>
              </w:rPr>
              <w:t>ze závislé činnosti</w:t>
            </w:r>
            <w:r>
              <w:rPr>
                <w:spacing w:val="-4"/>
              </w:rPr>
              <w:t xml:space="preserve"> propadlo meziročně téměř o třetinu a dosáhlo nejnižší pololetní úrovně za posledních devět let (58,3 mld. korun). Na výši inkasa nadále působily i vyplacené kompenzační bonusy (zejména OSVČ), jejich negativní rozpočtový dopad byl ale letos ve srovnání s 1. pololetím 2020 skoro o polovinu slabší.</w:t>
            </w:r>
          </w:p>
        </w:tc>
      </w:tr>
      <w:tr w:rsidR="00BB50C0" w:rsidRPr="00F704D2" w14:paraId="0053ED81" w14:textId="77777777" w:rsidTr="00F57D57">
        <w:trPr>
          <w:trHeight w:val="170"/>
        </w:trPr>
        <w:tc>
          <w:tcPr>
            <w:tcW w:w="1732" w:type="dxa"/>
            <w:vMerge w:val="restart"/>
            <w:shd w:val="clear" w:color="auto" w:fill="auto"/>
            <w:tcMar>
              <w:left w:w="0" w:type="dxa"/>
            </w:tcMar>
          </w:tcPr>
          <w:p w14:paraId="704EAA65" w14:textId="77777777" w:rsidR="00BB50C0" w:rsidRDefault="00BB50C0" w:rsidP="00F57D57">
            <w:pPr>
              <w:pStyle w:val="Marginlie"/>
            </w:pPr>
          </w:p>
        </w:tc>
        <w:tc>
          <w:tcPr>
            <w:tcW w:w="217" w:type="dxa"/>
            <w:vMerge w:val="restart"/>
            <w:shd w:val="clear" w:color="auto" w:fill="auto"/>
            <w:tcMar>
              <w:left w:w="0" w:type="dxa"/>
            </w:tcMar>
          </w:tcPr>
          <w:p w14:paraId="14EBC6C7" w14:textId="77777777" w:rsidR="00BB50C0" w:rsidRDefault="00BB50C0" w:rsidP="00F57D57">
            <w:pPr>
              <w:pStyle w:val="Textpoznpodarou"/>
              <w:jc w:val="both"/>
              <w:rPr>
                <w:spacing w:val="-4"/>
              </w:rPr>
            </w:pPr>
          </w:p>
        </w:tc>
        <w:tc>
          <w:tcPr>
            <w:tcW w:w="7720" w:type="dxa"/>
            <w:shd w:val="clear" w:color="auto" w:fill="auto"/>
            <w:tcMar>
              <w:left w:w="0" w:type="dxa"/>
            </w:tcMar>
          </w:tcPr>
          <w:p w14:paraId="34356AEE" w14:textId="77777777" w:rsidR="00BB50C0" w:rsidRPr="00A66749" w:rsidRDefault="00BB50C0" w:rsidP="00F57D57">
            <w:pPr>
              <w:spacing w:after="0" w:line="240" w:lineRule="auto"/>
              <w:rPr>
                <w:rFonts w:cs="Arial"/>
                <w:bCs/>
                <w:spacing w:val="-4"/>
              </w:rPr>
            </w:pPr>
            <w:r w:rsidRPr="00A66749">
              <w:rPr>
                <w:rFonts w:cs="Arial"/>
                <w:b/>
                <w:bCs/>
                <w:color w:val="000000"/>
                <w:spacing w:val="-4"/>
                <w:szCs w:val="20"/>
              </w:rPr>
              <w:t>Graf č. 16  Příspěvek dílčích příjmů k</w:t>
            </w:r>
            <w:r>
              <w:rPr>
                <w:rFonts w:cs="Arial"/>
                <w:b/>
                <w:bCs/>
                <w:color w:val="000000"/>
                <w:spacing w:val="-4"/>
                <w:szCs w:val="20"/>
              </w:rPr>
              <w:t> </w:t>
            </w:r>
            <w:r w:rsidRPr="00A66749">
              <w:rPr>
                <w:rFonts w:cs="Arial"/>
                <w:b/>
                <w:bCs/>
                <w:color w:val="000000"/>
                <w:spacing w:val="-4"/>
                <w:szCs w:val="20"/>
              </w:rPr>
              <w:t xml:space="preserve">růstu </w:t>
            </w:r>
            <w:r w:rsidRPr="00A66749">
              <w:rPr>
                <w:rFonts w:cs="Arial"/>
                <w:b/>
                <w:bCs/>
                <w:spacing w:val="-4"/>
                <w:szCs w:val="20"/>
              </w:rPr>
              <w:t>celostátního</w:t>
            </w:r>
            <w:r w:rsidRPr="00A66749">
              <w:rPr>
                <w:rFonts w:cs="Arial"/>
                <w:b/>
                <w:bCs/>
                <w:spacing w:val="-4"/>
              </w:rPr>
              <w:t xml:space="preserve"> daňového inkasa* </w:t>
            </w:r>
            <w:r w:rsidRPr="00A66749">
              <w:rPr>
                <w:rFonts w:cs="Arial"/>
                <w:bCs/>
                <w:spacing w:val="-4"/>
              </w:rPr>
              <w:t>(</w:t>
            </w:r>
            <w:r w:rsidRPr="00A66749">
              <w:rPr>
                <w:spacing w:val="-4"/>
              </w:rPr>
              <w:t>meziročně</w:t>
            </w:r>
            <w:r w:rsidRPr="00A66749">
              <w:rPr>
                <w:bCs/>
                <w:spacing w:val="-4"/>
              </w:rPr>
              <w:t xml:space="preserve"> v p.</w:t>
            </w:r>
            <w:r>
              <w:rPr>
                <w:bCs/>
                <w:spacing w:val="-4"/>
              </w:rPr>
              <w:t> </w:t>
            </w:r>
            <w:r w:rsidRPr="00A66749">
              <w:rPr>
                <w:bCs/>
                <w:spacing w:val="-4"/>
              </w:rPr>
              <w:t xml:space="preserve">b.) </w:t>
            </w:r>
            <w:r w:rsidRPr="00A66749">
              <w:rPr>
                <w:rFonts w:cs="Arial"/>
                <w:b/>
                <w:bCs/>
                <w:spacing w:val="-4"/>
              </w:rPr>
              <w:t>a saldo státního rozpočtu v rámci 1. pololetí</w:t>
            </w:r>
            <w:r w:rsidRPr="00A66749">
              <w:rPr>
                <w:spacing w:val="-4"/>
              </w:rPr>
              <w:t xml:space="preserve"> </w:t>
            </w:r>
            <w:r w:rsidRPr="00A66749">
              <w:rPr>
                <w:rFonts w:cs="Arial"/>
                <w:bCs/>
                <w:spacing w:val="-4"/>
              </w:rPr>
              <w:t>(v mld. korun, pravá osa)</w:t>
            </w:r>
          </w:p>
        </w:tc>
      </w:tr>
      <w:tr w:rsidR="00BB50C0" w14:paraId="4BC7DE98" w14:textId="77777777" w:rsidTr="00F57D57">
        <w:tblPrEx>
          <w:tblCellMar>
            <w:left w:w="70" w:type="dxa"/>
            <w:right w:w="70" w:type="dxa"/>
          </w:tblCellMar>
        </w:tblPrEx>
        <w:trPr>
          <w:trHeight w:val="170"/>
        </w:trPr>
        <w:tc>
          <w:tcPr>
            <w:tcW w:w="1732" w:type="dxa"/>
            <w:vMerge/>
            <w:shd w:val="clear" w:color="auto" w:fill="auto"/>
          </w:tcPr>
          <w:p w14:paraId="2ECB1474" w14:textId="77777777" w:rsidR="00BB50C0" w:rsidRDefault="00BB50C0" w:rsidP="00F57D57">
            <w:pPr>
              <w:pStyle w:val="Marginlie"/>
            </w:pPr>
          </w:p>
        </w:tc>
        <w:tc>
          <w:tcPr>
            <w:tcW w:w="217" w:type="dxa"/>
            <w:vMerge/>
            <w:shd w:val="clear" w:color="auto" w:fill="auto"/>
          </w:tcPr>
          <w:p w14:paraId="3FDC6E86" w14:textId="77777777" w:rsidR="00BB50C0" w:rsidRDefault="00BB50C0" w:rsidP="00F57D57">
            <w:pPr>
              <w:pStyle w:val="Textpoznpodarou"/>
              <w:jc w:val="both"/>
              <w:rPr>
                <w:spacing w:val="-4"/>
              </w:rPr>
            </w:pPr>
          </w:p>
        </w:tc>
        <w:tc>
          <w:tcPr>
            <w:tcW w:w="7720" w:type="dxa"/>
            <w:shd w:val="clear" w:color="auto" w:fill="auto"/>
          </w:tcPr>
          <w:p w14:paraId="0688DE61" w14:textId="77777777" w:rsidR="00BB50C0" w:rsidRPr="0067514E" w:rsidRDefault="00BB50C0" w:rsidP="00F57D57">
            <w:pPr>
              <w:spacing w:after="0"/>
              <w:rPr>
                <w:spacing w:val="-6"/>
              </w:rPr>
            </w:pPr>
            <w:r>
              <w:rPr>
                <w:noProof/>
              </w:rPr>
              <w:drawing>
                <wp:inline distT="0" distB="0" distL="0" distR="0" wp14:anchorId="0F41D84D" wp14:editId="6C13C8DA">
                  <wp:extent cx="4755515" cy="3459708"/>
                  <wp:effectExtent l="0" t="0" r="6985" b="762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BB50C0" w:rsidRPr="007B3A78" w14:paraId="5153BC70" w14:textId="77777777" w:rsidTr="00F57D57">
        <w:trPr>
          <w:trHeight w:val="170"/>
        </w:trPr>
        <w:tc>
          <w:tcPr>
            <w:tcW w:w="1732" w:type="dxa"/>
            <w:vMerge/>
            <w:shd w:val="clear" w:color="auto" w:fill="auto"/>
            <w:tcMar>
              <w:left w:w="0" w:type="dxa"/>
            </w:tcMar>
          </w:tcPr>
          <w:p w14:paraId="4DB33F44" w14:textId="77777777" w:rsidR="00BB50C0" w:rsidRDefault="00BB50C0" w:rsidP="00F57D57">
            <w:pPr>
              <w:pStyle w:val="Marginlie"/>
            </w:pPr>
          </w:p>
        </w:tc>
        <w:tc>
          <w:tcPr>
            <w:tcW w:w="217" w:type="dxa"/>
            <w:vMerge/>
            <w:shd w:val="clear" w:color="auto" w:fill="auto"/>
            <w:tcMar>
              <w:left w:w="0" w:type="dxa"/>
            </w:tcMar>
          </w:tcPr>
          <w:p w14:paraId="708EE991" w14:textId="77777777" w:rsidR="00BB50C0" w:rsidRDefault="00BB50C0" w:rsidP="00F57D57">
            <w:pPr>
              <w:pStyle w:val="Textpoznpodarou"/>
              <w:jc w:val="both"/>
              <w:rPr>
                <w:spacing w:val="-4"/>
              </w:rPr>
            </w:pPr>
          </w:p>
        </w:tc>
        <w:tc>
          <w:tcPr>
            <w:tcW w:w="7720" w:type="dxa"/>
            <w:shd w:val="clear" w:color="auto" w:fill="auto"/>
            <w:tcMar>
              <w:left w:w="0" w:type="dxa"/>
            </w:tcMar>
          </w:tcPr>
          <w:p w14:paraId="35A36606" w14:textId="77777777" w:rsidR="00BB50C0" w:rsidRDefault="00BB50C0" w:rsidP="00F57D57">
            <w:pPr>
              <w:tabs>
                <w:tab w:val="right" w:pos="7683"/>
              </w:tabs>
              <w:spacing w:after="0" w:line="240" w:lineRule="auto"/>
              <w:jc w:val="left"/>
              <w:rPr>
                <w:spacing w:val="-2"/>
                <w:sz w:val="14"/>
                <w:szCs w:val="14"/>
              </w:rPr>
            </w:pPr>
            <w:r>
              <w:rPr>
                <w:spacing w:val="-2"/>
                <w:sz w:val="14"/>
                <w:szCs w:val="14"/>
              </w:rPr>
              <w:t>* Zahrnuje d</w:t>
            </w:r>
            <w:r w:rsidRPr="00A66749">
              <w:rPr>
                <w:spacing w:val="-2"/>
                <w:sz w:val="14"/>
                <w:szCs w:val="14"/>
              </w:rPr>
              <w:t>aňové příjmy bez pojistného na sociální zabezpečení.</w:t>
            </w:r>
            <w:r>
              <w:rPr>
                <w:spacing w:val="-2"/>
                <w:sz w:val="14"/>
                <w:szCs w:val="14"/>
              </w:rPr>
              <w:tab/>
            </w:r>
          </w:p>
          <w:p w14:paraId="588DC1E1" w14:textId="77777777" w:rsidR="00BB50C0" w:rsidRPr="00A66749" w:rsidRDefault="00BB50C0" w:rsidP="00F57D57">
            <w:pPr>
              <w:tabs>
                <w:tab w:val="right" w:pos="7683"/>
              </w:tabs>
              <w:spacing w:after="180" w:line="240" w:lineRule="auto"/>
              <w:jc w:val="left"/>
              <w:rPr>
                <w:spacing w:val="-2"/>
                <w:sz w:val="14"/>
                <w:szCs w:val="14"/>
              </w:rPr>
            </w:pPr>
            <w:r w:rsidRPr="00A66749">
              <w:rPr>
                <w:spacing w:val="-2"/>
                <w:sz w:val="14"/>
                <w:szCs w:val="14"/>
              </w:rPr>
              <w:t>Zdroj: MF ČR</w:t>
            </w:r>
          </w:p>
        </w:tc>
      </w:tr>
      <w:tr w:rsidR="00BB50C0" w:rsidRPr="008266F0" w14:paraId="779F04C9" w14:textId="77777777" w:rsidTr="00F57D57">
        <w:trPr>
          <w:trHeight w:val="145"/>
        </w:trPr>
        <w:tc>
          <w:tcPr>
            <w:tcW w:w="1732" w:type="dxa"/>
            <w:shd w:val="clear" w:color="auto" w:fill="auto"/>
            <w:tcMar>
              <w:left w:w="0" w:type="dxa"/>
            </w:tcMar>
          </w:tcPr>
          <w:p w14:paraId="1470FD84" w14:textId="77777777" w:rsidR="00BB50C0" w:rsidRDefault="00BB50C0" w:rsidP="00F57D57">
            <w:pPr>
              <w:pStyle w:val="Marginlie"/>
            </w:pPr>
            <w:r>
              <w:t>Fiskální expanze probíhala výhradně pod taktovkou běžných výdajů SR. Ty byly zásadně ovlivněny vyššími výdaji ve zdravotnictví a na podpůrné programy pro firmy a organizace.</w:t>
            </w:r>
          </w:p>
        </w:tc>
        <w:tc>
          <w:tcPr>
            <w:tcW w:w="217" w:type="dxa"/>
            <w:shd w:val="clear" w:color="auto" w:fill="auto"/>
            <w:tcMar>
              <w:left w:w="0" w:type="dxa"/>
            </w:tcMar>
          </w:tcPr>
          <w:p w14:paraId="4DBA68D9" w14:textId="77777777" w:rsidR="00BB50C0" w:rsidRDefault="00BB50C0" w:rsidP="00F57D57">
            <w:pPr>
              <w:pStyle w:val="Textpoznpodarou"/>
              <w:jc w:val="both"/>
              <w:rPr>
                <w:spacing w:val="-4"/>
              </w:rPr>
            </w:pPr>
          </w:p>
        </w:tc>
        <w:tc>
          <w:tcPr>
            <w:tcW w:w="7720" w:type="dxa"/>
            <w:shd w:val="clear" w:color="auto" w:fill="auto"/>
            <w:tcMar>
              <w:left w:w="0" w:type="dxa"/>
            </w:tcMar>
          </w:tcPr>
          <w:p w14:paraId="03553A02" w14:textId="77777777" w:rsidR="00BB50C0" w:rsidRPr="004725AE" w:rsidRDefault="00BB50C0" w:rsidP="00F57D57">
            <w:pPr>
              <w:spacing w:after="200"/>
              <w:rPr>
                <w:color w:val="0D0D0D" w:themeColor="text1" w:themeTint="F2"/>
                <w:spacing w:val="-5"/>
              </w:rPr>
            </w:pPr>
            <w:r w:rsidRPr="004725AE">
              <w:rPr>
                <w:color w:val="0D0D0D" w:themeColor="text1" w:themeTint="F2"/>
                <w:spacing w:val="-5"/>
              </w:rPr>
              <w:t xml:space="preserve">Celkové výdaje SR </w:t>
            </w:r>
            <w:r>
              <w:rPr>
                <w:spacing w:val="-5"/>
              </w:rPr>
              <w:t>posílily</w:t>
            </w:r>
            <w:r>
              <w:rPr>
                <w:color w:val="0D0D0D" w:themeColor="text1" w:themeTint="F2"/>
                <w:spacing w:val="-5"/>
              </w:rPr>
              <w:t xml:space="preserve"> v 1. čtvrtletí</w:t>
            </w:r>
            <w:r>
              <w:rPr>
                <w:spacing w:val="-5"/>
              </w:rPr>
              <w:t xml:space="preserve"> </w:t>
            </w:r>
            <w:r w:rsidRPr="004725AE">
              <w:rPr>
                <w:color w:val="0D0D0D" w:themeColor="text1" w:themeTint="F2"/>
                <w:spacing w:val="-5"/>
              </w:rPr>
              <w:t>meziročně</w:t>
            </w:r>
            <w:r>
              <w:rPr>
                <w:spacing w:val="-5"/>
              </w:rPr>
              <w:t xml:space="preserve"> o 10,2 %, v následujícím kvartálu o 8,5 %. V úhrnu převýšily </w:t>
            </w:r>
            <w:proofErr w:type="spellStart"/>
            <w:r>
              <w:rPr>
                <w:spacing w:val="-5"/>
              </w:rPr>
              <w:t>předpandemickou</w:t>
            </w:r>
            <w:proofErr w:type="spellEnd"/>
            <w:r>
              <w:rPr>
                <w:spacing w:val="-5"/>
              </w:rPr>
              <w:t xml:space="preserve"> úroveň z 1. pololetí 2019 dokonce o 27,9 % (+213 mld. korun). Fiskální expanze byla letos dosud tažena výhradně běžnými výdaji, jejichž meziroční růst (o 88,3 mld.) lze dát z velké většiny do přímé souvislosti</w:t>
            </w:r>
            <w:r>
              <w:rPr>
                <w:color w:val="0D0D0D" w:themeColor="text1" w:themeTint="F2"/>
                <w:spacing w:val="-5"/>
              </w:rPr>
              <w:t xml:space="preserve"> s </w:t>
            </w:r>
            <w:r w:rsidRPr="00F91658">
              <w:rPr>
                <w:color w:val="0D0D0D" w:themeColor="text1" w:themeTint="F2"/>
                <w:spacing w:val="-5"/>
              </w:rPr>
              <w:t xml:space="preserve">opatřeními </w:t>
            </w:r>
            <w:r>
              <w:rPr>
                <w:color w:val="0D0D0D" w:themeColor="text1" w:themeTint="F2"/>
                <w:spacing w:val="-5"/>
              </w:rPr>
              <w:t xml:space="preserve">kompenzujícími negativní důsledky pandemie (na </w:t>
            </w:r>
            <w:r>
              <w:rPr>
                <w:spacing w:val="-5"/>
              </w:rPr>
              <w:t>podniky, jednotlivce i obce)</w:t>
            </w:r>
            <w:r w:rsidRPr="00456B08">
              <w:rPr>
                <w:spacing w:val="-5"/>
              </w:rPr>
              <w:t xml:space="preserve"> či </w:t>
            </w:r>
            <w:r>
              <w:rPr>
                <w:spacing w:val="-5"/>
              </w:rPr>
              <w:t>s </w:t>
            </w:r>
            <w:r w:rsidRPr="00456B08">
              <w:rPr>
                <w:spacing w:val="-5"/>
              </w:rPr>
              <w:t>podporou za</w:t>
            </w:r>
            <w:r>
              <w:rPr>
                <w:spacing w:val="-5"/>
              </w:rPr>
              <w:t xml:space="preserve">tíženého zdravotnického </w:t>
            </w:r>
            <w:r w:rsidRPr="00456B08">
              <w:rPr>
                <w:spacing w:val="-5"/>
              </w:rPr>
              <w:t>systému</w:t>
            </w:r>
            <w:r w:rsidRPr="00456B08">
              <w:rPr>
                <w:rStyle w:val="Znakapoznpodarou"/>
                <w:spacing w:val="-5"/>
              </w:rPr>
              <w:footnoteReference w:id="79"/>
            </w:r>
            <w:r w:rsidRPr="00456B08">
              <w:rPr>
                <w:spacing w:val="-5"/>
              </w:rPr>
              <w:t>.</w:t>
            </w:r>
            <w:r>
              <w:rPr>
                <w:spacing w:val="-5"/>
              </w:rPr>
              <w:t xml:space="preserve"> To lze vysvětlit tím, že zatímco v první půli loňského roku se velká část rychle přijatých </w:t>
            </w:r>
            <w:proofErr w:type="spellStart"/>
            <w:r>
              <w:rPr>
                <w:spacing w:val="-5"/>
              </w:rPr>
              <w:t>protipandemických</w:t>
            </w:r>
            <w:proofErr w:type="spellEnd"/>
            <w:r>
              <w:rPr>
                <w:spacing w:val="-5"/>
              </w:rPr>
              <w:t xml:space="preserve"> opatření soustředila na daňovou oblast včetně pojistného (odklady, zrušení či individuální úprava výše placených záloh, vratky formou </w:t>
            </w:r>
            <w:r>
              <w:rPr>
                <w:spacing w:val="-5"/>
              </w:rPr>
              <w:lastRenderedPageBreak/>
              <w:t>kompenzačních bonusů), letos šlo primárně o výdaje do zdravotnictví (odměny pracovníkům, vyšší platby za státní pojištěnce) i široké spektrum podpůrných programů pro zasažené podniky i organizace.</w:t>
            </w:r>
          </w:p>
        </w:tc>
      </w:tr>
      <w:tr w:rsidR="00BB50C0" w:rsidRPr="008266F0" w14:paraId="1B30DAC4" w14:textId="77777777" w:rsidTr="00F57D57">
        <w:trPr>
          <w:trHeight w:val="145"/>
        </w:trPr>
        <w:tc>
          <w:tcPr>
            <w:tcW w:w="1732" w:type="dxa"/>
            <w:shd w:val="clear" w:color="auto" w:fill="auto"/>
            <w:tcMar>
              <w:left w:w="0" w:type="dxa"/>
            </w:tcMar>
          </w:tcPr>
          <w:p w14:paraId="2A879DB7" w14:textId="77777777" w:rsidR="00BB50C0" w:rsidRDefault="00BB50C0" w:rsidP="00F57D57">
            <w:pPr>
              <w:pStyle w:val="Marginlie"/>
            </w:pPr>
            <w:r>
              <w:lastRenderedPageBreak/>
              <w:t>Růst výdajů na platy pracovníků ve školství pokračoval.</w:t>
            </w:r>
          </w:p>
          <w:p w14:paraId="2FBA4847" w14:textId="77777777" w:rsidR="00BB50C0" w:rsidRDefault="00BB50C0" w:rsidP="00F57D57">
            <w:pPr>
              <w:pStyle w:val="Marginlie"/>
            </w:pPr>
          </w:p>
          <w:p w14:paraId="18739A9F" w14:textId="77777777" w:rsidR="00BB50C0" w:rsidRDefault="00BB50C0" w:rsidP="00F57D57">
            <w:pPr>
              <w:pStyle w:val="Marginlie"/>
            </w:pPr>
          </w:p>
          <w:p w14:paraId="25FF7C89" w14:textId="77777777" w:rsidR="00BB50C0" w:rsidRDefault="00BB50C0" w:rsidP="00F57D57">
            <w:pPr>
              <w:pStyle w:val="Marginlie"/>
            </w:pPr>
          </w:p>
          <w:p w14:paraId="55596524" w14:textId="77777777" w:rsidR="00BB50C0" w:rsidRDefault="00BB50C0" w:rsidP="00F57D57">
            <w:pPr>
              <w:pStyle w:val="Marginlie"/>
            </w:pPr>
          </w:p>
          <w:p w14:paraId="6189F9F5" w14:textId="77777777" w:rsidR="00BB50C0" w:rsidRDefault="00BB50C0" w:rsidP="00F57D57">
            <w:pPr>
              <w:pStyle w:val="Marginlie"/>
            </w:pPr>
          </w:p>
          <w:p w14:paraId="05470AB8" w14:textId="77777777" w:rsidR="00BB50C0" w:rsidRDefault="00BB50C0" w:rsidP="00F57D57">
            <w:pPr>
              <w:pStyle w:val="Marginlie"/>
            </w:pPr>
          </w:p>
          <w:p w14:paraId="1172D8BD" w14:textId="77777777" w:rsidR="00BB50C0" w:rsidRDefault="00BB50C0" w:rsidP="00F57D57">
            <w:pPr>
              <w:pStyle w:val="Marginlie"/>
            </w:pPr>
          </w:p>
          <w:p w14:paraId="7DF17E5B" w14:textId="77777777" w:rsidR="00BB50C0" w:rsidRDefault="00BB50C0" w:rsidP="00F57D57">
            <w:pPr>
              <w:pStyle w:val="Marginlie"/>
            </w:pPr>
            <w:r>
              <w:t>Výdaje na neinvestiční nákupy proti loňské rekordní výši oslabily.</w:t>
            </w:r>
          </w:p>
        </w:tc>
        <w:tc>
          <w:tcPr>
            <w:tcW w:w="217" w:type="dxa"/>
            <w:shd w:val="clear" w:color="auto" w:fill="auto"/>
            <w:tcMar>
              <w:left w:w="0" w:type="dxa"/>
            </w:tcMar>
          </w:tcPr>
          <w:p w14:paraId="34897600" w14:textId="77777777" w:rsidR="00BB50C0" w:rsidRDefault="00BB50C0" w:rsidP="00F57D57">
            <w:pPr>
              <w:pStyle w:val="Textpoznpodarou"/>
              <w:jc w:val="both"/>
              <w:rPr>
                <w:spacing w:val="-4"/>
              </w:rPr>
            </w:pPr>
          </w:p>
        </w:tc>
        <w:tc>
          <w:tcPr>
            <w:tcW w:w="7720" w:type="dxa"/>
            <w:shd w:val="clear" w:color="auto" w:fill="auto"/>
            <w:tcMar>
              <w:left w:w="0" w:type="dxa"/>
            </w:tcMar>
          </w:tcPr>
          <w:p w14:paraId="1880AB1B" w14:textId="77777777" w:rsidR="00BB50C0" w:rsidRPr="004725AE" w:rsidRDefault="00BB50C0" w:rsidP="00F57D57">
            <w:pPr>
              <w:spacing w:after="210"/>
              <w:rPr>
                <w:color w:val="0D0D0D" w:themeColor="text1" w:themeTint="F2"/>
                <w:spacing w:val="-5"/>
              </w:rPr>
            </w:pPr>
            <w:r w:rsidRPr="00456B08">
              <w:rPr>
                <w:spacing w:val="-5"/>
              </w:rPr>
              <w:t xml:space="preserve">Z běžných výdajů </w:t>
            </w:r>
            <w:r>
              <w:rPr>
                <w:spacing w:val="-5"/>
              </w:rPr>
              <w:t>nejvíce vzrostl</w:t>
            </w:r>
            <w:r w:rsidRPr="00456B08">
              <w:rPr>
                <w:spacing w:val="-5"/>
              </w:rPr>
              <w:t xml:space="preserve">y </w:t>
            </w:r>
            <w:r w:rsidRPr="00456B08">
              <w:rPr>
                <w:color w:val="0D0D0D" w:themeColor="text1" w:themeTint="F2"/>
                <w:spacing w:val="-5"/>
              </w:rPr>
              <w:t>neinvestiční trans</w:t>
            </w:r>
            <w:r>
              <w:rPr>
                <w:color w:val="0D0D0D" w:themeColor="text1" w:themeTint="F2"/>
                <w:spacing w:val="-5"/>
              </w:rPr>
              <w:t>fery podnikatelským subjektům (+61 %, na</w:t>
            </w:r>
            <w:r>
              <w:rPr>
                <w:spacing w:val="-5"/>
              </w:rPr>
              <w:t xml:space="preserve"> 85,3 mld. korun) soustřeďující rozhodující část </w:t>
            </w:r>
            <w:r w:rsidRPr="00456B08">
              <w:rPr>
                <w:spacing w:val="-5"/>
              </w:rPr>
              <w:t>podpůrných opatření (program Antivirus, podpora firem v nejvíce</w:t>
            </w:r>
            <w:r>
              <w:rPr>
                <w:spacing w:val="-5"/>
              </w:rPr>
              <w:t xml:space="preserve"> zasažených odvětvích, ošetřovné pro OSVČ) a neinvestiční</w:t>
            </w:r>
            <w:r w:rsidRPr="00371E6A">
              <w:rPr>
                <w:spacing w:val="-5"/>
              </w:rPr>
              <w:t xml:space="preserve"> transfery f</w:t>
            </w:r>
            <w:r>
              <w:rPr>
                <w:spacing w:val="-5"/>
              </w:rPr>
              <w:t>ondům sociálního a veřejného zdravotního pojištění (+55 %). Naopak vyšší běžné transfery územním rozpočtům (+14 %, +18,8 mld.) souvisely především s pokračujícím růstem průměrných platů v regionálním školství</w:t>
            </w:r>
            <w:r>
              <w:rPr>
                <w:rStyle w:val="Znakapoznpodarou"/>
                <w:spacing w:val="-5"/>
              </w:rPr>
              <w:footnoteReference w:id="80"/>
            </w:r>
            <w:r>
              <w:rPr>
                <w:spacing w:val="-5"/>
              </w:rPr>
              <w:t xml:space="preserve"> a s navýšením prostředků na sociální služby. Naopak třetím rokem v řadě oslabovalo tempo růstu výdajů na </w:t>
            </w:r>
            <w:r w:rsidRPr="00456B08">
              <w:rPr>
                <w:spacing w:val="-5"/>
              </w:rPr>
              <w:t>platy v organizačních složkách státu</w:t>
            </w:r>
            <w:r>
              <w:rPr>
                <w:spacing w:val="-5"/>
              </w:rPr>
              <w:t xml:space="preserve"> </w:t>
            </w:r>
            <w:r w:rsidRPr="00AC078B">
              <w:rPr>
                <w:spacing w:val="-5"/>
              </w:rPr>
              <w:t>(na 1,1 %, nejméně</w:t>
            </w:r>
            <w:r>
              <w:rPr>
                <w:spacing w:val="-5"/>
              </w:rPr>
              <w:t xml:space="preserve"> za posledních deset let). Zhruba o 3 mld. korun méně vydal SR meziročně v 1. pololetí jak na běžných transferech příspěvkovým organizacím (loňské výdaje na oddlužení části nemocnic se již neopakovaly), tak i na neinvestičních nákupech</w:t>
            </w:r>
            <w:r>
              <w:rPr>
                <w:rStyle w:val="Znakapoznpodarou"/>
                <w:spacing w:val="-5"/>
              </w:rPr>
              <w:footnoteReference w:id="81"/>
            </w:r>
            <w:r>
              <w:rPr>
                <w:spacing w:val="-5"/>
              </w:rPr>
              <w:t>, v nichž byla letos nižší potřeba ochranných pomůcek i zdravotnického materiálu jen zčásti kompenzována nárůstem výdajů na nákup vakcín.</w:t>
            </w:r>
          </w:p>
        </w:tc>
      </w:tr>
      <w:tr w:rsidR="00BB50C0" w:rsidRPr="008266F0" w14:paraId="5E986A7D" w14:textId="77777777" w:rsidTr="00F57D57">
        <w:trPr>
          <w:trHeight w:val="145"/>
        </w:trPr>
        <w:tc>
          <w:tcPr>
            <w:tcW w:w="1732" w:type="dxa"/>
            <w:shd w:val="clear" w:color="auto" w:fill="auto"/>
            <w:tcMar>
              <w:left w:w="0" w:type="dxa"/>
            </w:tcMar>
          </w:tcPr>
          <w:p w14:paraId="3C454E45" w14:textId="77777777" w:rsidR="00BB50C0" w:rsidRDefault="00BB50C0" w:rsidP="00F57D57">
            <w:pPr>
              <w:pStyle w:val="Marginlie"/>
            </w:pPr>
            <w:r>
              <w:t xml:space="preserve">Čerpání nedůchodových sociálních dávek se meziročně snížilo. Oproti </w:t>
            </w:r>
            <w:proofErr w:type="spellStart"/>
            <w:r>
              <w:t>předpandemické</w:t>
            </w:r>
            <w:proofErr w:type="spellEnd"/>
            <w:r>
              <w:t xml:space="preserve"> úrovni bylo ale znatelně vyšší.</w:t>
            </w:r>
          </w:p>
          <w:p w14:paraId="49D88854" w14:textId="77777777" w:rsidR="00BB50C0" w:rsidRDefault="00BB50C0" w:rsidP="00F57D57">
            <w:pPr>
              <w:pStyle w:val="Marginlie"/>
            </w:pPr>
          </w:p>
          <w:p w14:paraId="12F2E180" w14:textId="77777777" w:rsidR="00BB50C0" w:rsidRDefault="00BB50C0" w:rsidP="00F57D57">
            <w:pPr>
              <w:pStyle w:val="Marginlie"/>
            </w:pPr>
          </w:p>
          <w:p w14:paraId="0AC19CF5" w14:textId="77777777" w:rsidR="00BB50C0" w:rsidRDefault="00BB50C0" w:rsidP="00F57D57">
            <w:pPr>
              <w:pStyle w:val="Marginlie"/>
            </w:pPr>
          </w:p>
          <w:p w14:paraId="40AF11FC" w14:textId="77777777" w:rsidR="00BB50C0" w:rsidRDefault="00BB50C0" w:rsidP="00F57D57">
            <w:pPr>
              <w:pStyle w:val="Marginlie"/>
            </w:pPr>
          </w:p>
          <w:p w14:paraId="1751C61E" w14:textId="77777777" w:rsidR="00BB50C0" w:rsidRDefault="00BB50C0" w:rsidP="00F57D57">
            <w:pPr>
              <w:pStyle w:val="Marginlie"/>
            </w:pPr>
          </w:p>
          <w:p w14:paraId="372A3102" w14:textId="77777777" w:rsidR="00BB50C0" w:rsidRDefault="00BB50C0" w:rsidP="00F57D57">
            <w:pPr>
              <w:pStyle w:val="Marginlie"/>
            </w:pPr>
            <w:r>
              <w:t>Růst objemu dávek hmotné nouze pokračoval, u podpor v nezaměstnanosti se ale ve 2. čtvrtletí zastavil.</w:t>
            </w:r>
          </w:p>
        </w:tc>
        <w:tc>
          <w:tcPr>
            <w:tcW w:w="217" w:type="dxa"/>
            <w:shd w:val="clear" w:color="auto" w:fill="auto"/>
            <w:tcMar>
              <w:left w:w="0" w:type="dxa"/>
            </w:tcMar>
          </w:tcPr>
          <w:p w14:paraId="68A6F7D6" w14:textId="77777777" w:rsidR="00BB50C0" w:rsidRDefault="00BB50C0" w:rsidP="00F57D57">
            <w:pPr>
              <w:pStyle w:val="Textpoznpodarou"/>
              <w:jc w:val="both"/>
              <w:rPr>
                <w:spacing w:val="-4"/>
              </w:rPr>
            </w:pPr>
          </w:p>
        </w:tc>
        <w:tc>
          <w:tcPr>
            <w:tcW w:w="7720" w:type="dxa"/>
            <w:shd w:val="clear" w:color="auto" w:fill="auto"/>
            <w:tcMar>
              <w:left w:w="0" w:type="dxa"/>
            </w:tcMar>
          </w:tcPr>
          <w:p w14:paraId="687EABF9" w14:textId="77777777" w:rsidR="00BB50C0" w:rsidRPr="008E078C" w:rsidRDefault="00BB50C0" w:rsidP="00F57D57">
            <w:pPr>
              <w:spacing w:after="210"/>
              <w:rPr>
                <w:spacing w:val="-3"/>
              </w:rPr>
            </w:pPr>
            <w:r>
              <w:rPr>
                <w:spacing w:val="-3"/>
              </w:rPr>
              <w:t>Ačkoliv sociální dávky tradičně představují</w:t>
            </w:r>
            <w:r w:rsidRPr="008E078C">
              <w:rPr>
                <w:spacing w:val="-3"/>
              </w:rPr>
              <w:t xml:space="preserve"> váhově dominantní výdaj SR, růst jejich čerpání zůstal </w:t>
            </w:r>
            <w:r>
              <w:rPr>
                <w:spacing w:val="-3"/>
              </w:rPr>
              <w:t xml:space="preserve">letos </w:t>
            </w:r>
            <w:r w:rsidRPr="008E078C">
              <w:rPr>
                <w:spacing w:val="-3"/>
              </w:rPr>
              <w:t>ve stínu výdajů přímo souvisejících s pandemií</w:t>
            </w:r>
            <w:r w:rsidRPr="008E078C">
              <w:rPr>
                <w:rStyle w:val="Znakapoznpodarou"/>
                <w:spacing w:val="-3"/>
              </w:rPr>
              <w:footnoteReference w:id="82"/>
            </w:r>
            <w:r w:rsidRPr="008E078C">
              <w:rPr>
                <w:spacing w:val="-3"/>
              </w:rPr>
              <w:t xml:space="preserve">. </w:t>
            </w:r>
            <w:r>
              <w:rPr>
                <w:spacing w:val="-3"/>
              </w:rPr>
              <w:t>Na tyto dávky putovalo v 1.</w:t>
            </w:r>
            <w:r w:rsidRPr="00456B08">
              <w:rPr>
                <w:spacing w:val="-5"/>
              </w:rPr>
              <w:t> </w:t>
            </w:r>
            <w:r w:rsidRPr="008E078C">
              <w:rPr>
                <w:spacing w:val="-3"/>
              </w:rPr>
              <w:t>pololetí meziročně jen o</w:t>
            </w:r>
            <w:r>
              <w:rPr>
                <w:spacing w:val="-3"/>
              </w:rPr>
              <w:t> </w:t>
            </w:r>
            <w:r w:rsidRPr="008E078C">
              <w:rPr>
                <w:spacing w:val="-3"/>
              </w:rPr>
              <w:t>3,7</w:t>
            </w:r>
            <w:r>
              <w:rPr>
                <w:spacing w:val="-3"/>
              </w:rPr>
              <w:t> %</w:t>
            </w:r>
            <w:r w:rsidRPr="008E078C">
              <w:rPr>
                <w:spacing w:val="-3"/>
              </w:rPr>
              <w:t xml:space="preserve"> (12,6</w:t>
            </w:r>
            <w:r>
              <w:rPr>
                <w:spacing w:val="-3"/>
              </w:rPr>
              <w:t> mld.</w:t>
            </w:r>
            <w:r w:rsidRPr="008E078C">
              <w:rPr>
                <w:spacing w:val="-3"/>
              </w:rPr>
              <w:t xml:space="preserve"> korun) více. Na rozdíl od většiny loňského roku vykázaly v letošním </w:t>
            </w:r>
            <w:r>
              <w:rPr>
                <w:spacing w:val="-3"/>
              </w:rPr>
              <w:t>1. </w:t>
            </w:r>
            <w:r w:rsidRPr="008E078C">
              <w:rPr>
                <w:spacing w:val="-3"/>
              </w:rPr>
              <w:t xml:space="preserve">pololetí vyšší tempo výdaje na důchody (+5,7 %) než na ostatní sociální </w:t>
            </w:r>
            <w:proofErr w:type="gramStart"/>
            <w:r w:rsidRPr="008E078C">
              <w:rPr>
                <w:spacing w:val="-3"/>
              </w:rPr>
              <w:t>dávky (–2,0</w:t>
            </w:r>
            <w:proofErr w:type="gramEnd"/>
            <w:r w:rsidRPr="008E078C">
              <w:rPr>
                <w:spacing w:val="-3"/>
              </w:rPr>
              <w:t> %)</w:t>
            </w:r>
            <w:r w:rsidRPr="008E078C">
              <w:rPr>
                <w:rStyle w:val="Znakapoznpodarou"/>
                <w:spacing w:val="-3"/>
              </w:rPr>
              <w:footnoteReference w:id="83"/>
            </w:r>
            <w:r w:rsidRPr="008E078C">
              <w:rPr>
                <w:spacing w:val="-3"/>
              </w:rPr>
              <w:t>. O</w:t>
            </w:r>
            <w:r>
              <w:rPr>
                <w:spacing w:val="-3"/>
              </w:rPr>
              <w:t> </w:t>
            </w:r>
            <w:r w:rsidRPr="008E078C">
              <w:rPr>
                <w:spacing w:val="-3"/>
              </w:rPr>
              <w:t xml:space="preserve">pokles jejich čerpání se nejvíce zasloužily dávky </w:t>
            </w:r>
            <w:r>
              <w:rPr>
                <w:spacing w:val="-3"/>
              </w:rPr>
              <w:t>plynoucí z </w:t>
            </w:r>
            <w:r w:rsidRPr="008E078C">
              <w:rPr>
                <w:spacing w:val="-3"/>
              </w:rPr>
              <w:t xml:space="preserve">nemocenského </w:t>
            </w:r>
            <w:proofErr w:type="gramStart"/>
            <w:r w:rsidRPr="008E078C">
              <w:rPr>
                <w:spacing w:val="-3"/>
              </w:rPr>
              <w:t>pojištění (–5,0</w:t>
            </w:r>
            <w:proofErr w:type="gramEnd"/>
            <w:r w:rsidRPr="008E078C">
              <w:rPr>
                <w:spacing w:val="-3"/>
              </w:rPr>
              <w:t> %)</w:t>
            </w:r>
            <w:r w:rsidRPr="008E078C">
              <w:rPr>
                <w:rStyle w:val="Znakapoznpodarou"/>
                <w:spacing w:val="-3"/>
              </w:rPr>
              <w:footnoteReference w:id="84"/>
            </w:r>
            <w:r w:rsidRPr="008E078C">
              <w:rPr>
                <w:spacing w:val="-3"/>
              </w:rPr>
              <w:t>. Stalo se tak přesto, že výdaje na většinu nemocenských dávek meziročně vzrostly. Klíčovým se ovšem ukázalo letošní jarní znovuotevření škol, které utlumilo potřebu dávek ošetřovného, jejichž čerpání v loňském 2.</w:t>
            </w:r>
            <w:r>
              <w:rPr>
                <w:spacing w:val="-3"/>
              </w:rPr>
              <w:t> </w:t>
            </w:r>
            <w:r w:rsidRPr="008E078C">
              <w:rPr>
                <w:spacing w:val="-3"/>
              </w:rPr>
              <w:t>čtvrtletí kulminovalo. Meziročně méně vydal letos SR i</w:t>
            </w:r>
            <w:r>
              <w:rPr>
                <w:spacing w:val="-3"/>
              </w:rPr>
              <w:t> </w:t>
            </w:r>
            <w:r w:rsidRPr="008E078C">
              <w:rPr>
                <w:spacing w:val="-3"/>
              </w:rPr>
              <w:t xml:space="preserve">na </w:t>
            </w:r>
            <w:r>
              <w:rPr>
                <w:spacing w:val="-3"/>
              </w:rPr>
              <w:t>dávky státní sociální podpory, a to díky příznivému vývoji takřka všech druhů</w:t>
            </w:r>
            <w:r w:rsidRPr="008E078C">
              <w:rPr>
                <w:spacing w:val="-3"/>
              </w:rPr>
              <w:t xml:space="preserve"> dávek, včetně těch příjmově testovaných. Zhoršenou příjmovou situaci někt</w:t>
            </w:r>
            <w:r>
              <w:rPr>
                <w:spacing w:val="-3"/>
              </w:rPr>
              <w:t>erých domácností ale naznačuje</w:t>
            </w:r>
            <w:r w:rsidRPr="008E078C">
              <w:rPr>
                <w:spacing w:val="-3"/>
              </w:rPr>
              <w:t xml:space="preserve"> vyšší čerpání dávek hmotné nouze, jež bylo patrné již pátý kvartál v řadě. Zlepšení celkové situace na trhu práce ve vazbě na ústup pandemie se promítlo do</w:t>
            </w:r>
            <w:r>
              <w:rPr>
                <w:spacing w:val="-3"/>
              </w:rPr>
              <w:t xml:space="preserve"> </w:t>
            </w:r>
            <w:r w:rsidRPr="008E078C">
              <w:rPr>
                <w:spacing w:val="-3"/>
              </w:rPr>
              <w:t>vyplacených podpor v nezaměstnanosti. Jejich objem se letos v</w:t>
            </w:r>
            <w:r>
              <w:rPr>
                <w:spacing w:val="-3"/>
              </w:rPr>
              <w:t> </w:t>
            </w:r>
            <w:r w:rsidRPr="008E078C">
              <w:rPr>
                <w:spacing w:val="-3"/>
              </w:rPr>
              <w:t>období od května do června meziročně snížil skoro o</w:t>
            </w:r>
            <w:r>
              <w:rPr>
                <w:spacing w:val="-3"/>
              </w:rPr>
              <w:t> </w:t>
            </w:r>
            <w:r w:rsidRPr="008E078C">
              <w:rPr>
                <w:spacing w:val="-3"/>
              </w:rPr>
              <w:t>pětinu</w:t>
            </w:r>
            <w:r w:rsidRPr="008E078C">
              <w:rPr>
                <w:rStyle w:val="Znakapoznpodarou"/>
                <w:spacing w:val="-3"/>
              </w:rPr>
              <w:footnoteReference w:id="85"/>
            </w:r>
            <w:r w:rsidRPr="008E078C">
              <w:rPr>
                <w:spacing w:val="-3"/>
              </w:rPr>
              <w:t>.</w:t>
            </w:r>
          </w:p>
        </w:tc>
      </w:tr>
      <w:tr w:rsidR="00BB50C0" w:rsidRPr="008266F0" w14:paraId="07FA6A37" w14:textId="77777777" w:rsidTr="00F57D57">
        <w:trPr>
          <w:trHeight w:val="145"/>
        </w:trPr>
        <w:tc>
          <w:tcPr>
            <w:tcW w:w="1732" w:type="dxa"/>
            <w:shd w:val="clear" w:color="auto" w:fill="auto"/>
            <w:tcMar>
              <w:left w:w="0" w:type="dxa"/>
            </w:tcMar>
          </w:tcPr>
          <w:p w14:paraId="183A20FE" w14:textId="77777777" w:rsidR="00BB50C0" w:rsidRDefault="00BB50C0" w:rsidP="00F57D57">
            <w:pPr>
              <w:pStyle w:val="Marginlie"/>
            </w:pPr>
            <w:r>
              <w:t>Saldo důchodového účtu se ve 2. čtvrtletí 2021 vrátilo k mírnému přebytku.</w:t>
            </w:r>
          </w:p>
        </w:tc>
        <w:tc>
          <w:tcPr>
            <w:tcW w:w="217" w:type="dxa"/>
            <w:shd w:val="clear" w:color="auto" w:fill="auto"/>
            <w:tcMar>
              <w:left w:w="0" w:type="dxa"/>
            </w:tcMar>
          </w:tcPr>
          <w:p w14:paraId="0910731D" w14:textId="77777777" w:rsidR="00BB50C0" w:rsidRDefault="00BB50C0" w:rsidP="00F57D57">
            <w:pPr>
              <w:pStyle w:val="Textpoznpodarou"/>
              <w:jc w:val="both"/>
              <w:rPr>
                <w:spacing w:val="-4"/>
              </w:rPr>
            </w:pPr>
          </w:p>
        </w:tc>
        <w:tc>
          <w:tcPr>
            <w:tcW w:w="7720" w:type="dxa"/>
            <w:shd w:val="clear" w:color="auto" w:fill="auto"/>
            <w:tcMar>
              <w:left w:w="0" w:type="dxa"/>
            </w:tcMar>
          </w:tcPr>
          <w:p w14:paraId="571CD3E9" w14:textId="77777777" w:rsidR="00BB50C0" w:rsidRPr="00AC6ABB" w:rsidRDefault="00BB50C0" w:rsidP="00F57D57">
            <w:pPr>
              <w:spacing w:after="210"/>
              <w:rPr>
                <w:spacing w:val="-5"/>
              </w:rPr>
            </w:pPr>
            <w:r w:rsidRPr="00AC6ABB">
              <w:rPr>
                <w:spacing w:val="-5"/>
              </w:rPr>
              <w:t>Růst výdajů na důchody byl tlumen poklesem počtu jejich příjemců</w:t>
            </w:r>
            <w:r>
              <w:rPr>
                <w:spacing w:val="-5"/>
              </w:rPr>
              <w:t>.</w:t>
            </w:r>
            <w:r w:rsidRPr="00AC6ABB">
              <w:rPr>
                <w:spacing w:val="-5"/>
              </w:rPr>
              <w:t xml:space="preserve"> Těch na konci</w:t>
            </w:r>
            <w:r>
              <w:rPr>
                <w:spacing w:val="-5"/>
              </w:rPr>
              <w:t xml:space="preserve"> </w:t>
            </w:r>
            <w:r w:rsidRPr="00AC6ABB">
              <w:rPr>
                <w:spacing w:val="-5"/>
              </w:rPr>
              <w:t>1.</w:t>
            </w:r>
            <w:r>
              <w:rPr>
                <w:spacing w:val="-5"/>
              </w:rPr>
              <w:t> pololet</w:t>
            </w:r>
            <w:r w:rsidRPr="00AC6ABB">
              <w:rPr>
                <w:spacing w:val="-5"/>
              </w:rPr>
              <w:t xml:space="preserve">í meziročně ubylo o významných </w:t>
            </w:r>
            <w:r>
              <w:rPr>
                <w:spacing w:val="-5"/>
              </w:rPr>
              <w:t>1,2 %, primárn</w:t>
            </w:r>
            <w:r w:rsidRPr="00AC6ABB">
              <w:rPr>
                <w:spacing w:val="-5"/>
              </w:rPr>
              <w:t>ě vlivem zvýšené úmrtnosti v období pandemie. P</w:t>
            </w:r>
            <w:r w:rsidRPr="00AC6ABB">
              <w:rPr>
                <w:rFonts w:cs="Arial"/>
                <w:color w:val="0D0D0D" w:themeColor="text1" w:themeTint="F2"/>
                <w:spacing w:val="-5"/>
              </w:rPr>
              <w:t>říjmy důchodového pojištění se oproti slabší loňské základně</w:t>
            </w:r>
            <w:r w:rsidRPr="00AC6ABB">
              <w:rPr>
                <w:rStyle w:val="Znakapoznpodarou"/>
                <w:color w:val="0D0D0D" w:themeColor="text1" w:themeTint="F2"/>
                <w:spacing w:val="-5"/>
              </w:rPr>
              <w:footnoteReference w:id="86"/>
            </w:r>
            <w:r w:rsidRPr="00AC6ABB">
              <w:rPr>
                <w:rFonts w:cs="Arial"/>
                <w:color w:val="0D0D0D" w:themeColor="text1" w:themeTint="F2"/>
                <w:spacing w:val="-5"/>
              </w:rPr>
              <w:t xml:space="preserve"> navýšily o 7,4 %. Pololetní saldo důchodového účtu</w:t>
            </w:r>
            <w:r w:rsidRPr="00AC6ABB">
              <w:rPr>
                <w:rStyle w:val="Znakapoznpodarou"/>
                <w:color w:val="0D0D0D" w:themeColor="text1" w:themeTint="F2"/>
                <w:spacing w:val="-5"/>
              </w:rPr>
              <w:footnoteReference w:id="87"/>
            </w:r>
            <w:r w:rsidRPr="00AC6ABB">
              <w:rPr>
                <w:rFonts w:cs="Arial"/>
                <w:color w:val="0D0D0D" w:themeColor="text1" w:themeTint="F2"/>
                <w:spacing w:val="-5"/>
              </w:rPr>
              <w:t xml:space="preserve"> vykázalo meziročně mírné zlepšení (</w:t>
            </w:r>
            <w:proofErr w:type="gramStart"/>
            <w:r w:rsidRPr="00AC6ABB">
              <w:rPr>
                <w:rFonts w:cs="Arial"/>
                <w:color w:val="0D0D0D" w:themeColor="text1" w:themeTint="F2"/>
                <w:spacing w:val="-5"/>
              </w:rPr>
              <w:t xml:space="preserve">na </w:t>
            </w:r>
            <w:r w:rsidRPr="00AC6ABB">
              <w:rPr>
                <w:spacing w:val="-5"/>
              </w:rPr>
              <w:t>–</w:t>
            </w:r>
            <w:r w:rsidRPr="00AC6ABB">
              <w:rPr>
                <w:rFonts w:cs="Arial"/>
                <w:color w:val="0D0D0D" w:themeColor="text1" w:themeTint="F2"/>
                <w:spacing w:val="-5"/>
              </w:rPr>
              <w:t>7 mld.</w:t>
            </w:r>
            <w:proofErr w:type="gramEnd"/>
            <w:r w:rsidRPr="00AC6ABB">
              <w:rPr>
                <w:rFonts w:cs="Arial"/>
                <w:color w:val="0D0D0D" w:themeColor="text1" w:themeTint="F2"/>
                <w:spacing w:val="-5"/>
              </w:rPr>
              <w:t xml:space="preserve"> korun). Ve 2.</w:t>
            </w:r>
            <w:r>
              <w:rPr>
                <w:rFonts w:cs="Arial"/>
                <w:color w:val="0D0D0D" w:themeColor="text1" w:themeTint="F2"/>
                <w:spacing w:val="-5"/>
              </w:rPr>
              <w:t> čtvrtlet</w:t>
            </w:r>
            <w:r w:rsidRPr="00AC6ABB">
              <w:rPr>
                <w:rFonts w:cs="Arial"/>
                <w:color w:val="0D0D0D" w:themeColor="text1" w:themeTint="F2"/>
                <w:spacing w:val="-5"/>
              </w:rPr>
              <w:t>í 2021 se díky oživení ekonomické aktivity (umocněném</w:t>
            </w:r>
            <w:r>
              <w:rPr>
                <w:rFonts w:cs="Arial"/>
                <w:color w:val="0D0D0D" w:themeColor="text1" w:themeTint="F2"/>
                <w:spacing w:val="-5"/>
              </w:rPr>
              <w:t>u</w:t>
            </w:r>
            <w:r w:rsidRPr="00AC6ABB">
              <w:rPr>
                <w:rFonts w:cs="Arial"/>
                <w:color w:val="0D0D0D" w:themeColor="text1" w:themeTint="F2"/>
                <w:spacing w:val="-5"/>
              </w:rPr>
              <w:t xml:space="preserve"> výplatou mimořádných odměn ve zdravotnictví) vrátilo do mírného přebytku (+2</w:t>
            </w:r>
            <w:r>
              <w:rPr>
                <w:rFonts w:cs="Arial"/>
                <w:color w:val="0D0D0D" w:themeColor="text1" w:themeTint="F2"/>
                <w:spacing w:val="-5"/>
              </w:rPr>
              <w:t> mld.</w:t>
            </w:r>
            <w:r w:rsidRPr="00AC6ABB">
              <w:rPr>
                <w:rFonts w:cs="Arial"/>
                <w:color w:val="0D0D0D" w:themeColor="text1" w:themeTint="F2"/>
                <w:spacing w:val="-5"/>
              </w:rPr>
              <w:t>), poprvé od konce roku 2019.</w:t>
            </w:r>
          </w:p>
        </w:tc>
      </w:tr>
      <w:tr w:rsidR="00BB50C0" w:rsidRPr="008266F0" w14:paraId="0129BADA" w14:textId="77777777" w:rsidTr="00F57D57">
        <w:trPr>
          <w:trHeight w:val="145"/>
        </w:trPr>
        <w:tc>
          <w:tcPr>
            <w:tcW w:w="1732" w:type="dxa"/>
            <w:shd w:val="clear" w:color="auto" w:fill="auto"/>
            <w:tcMar>
              <w:left w:w="0" w:type="dxa"/>
            </w:tcMar>
          </w:tcPr>
          <w:p w14:paraId="2CC967EB" w14:textId="77777777" w:rsidR="00BB50C0" w:rsidRDefault="00BB50C0" w:rsidP="00F57D57">
            <w:pPr>
              <w:pStyle w:val="Marginlie"/>
            </w:pPr>
            <w:r>
              <w:t>Strmý růst investic ze SR se po třech letech zastavil.</w:t>
            </w:r>
          </w:p>
          <w:p w14:paraId="45A47518" w14:textId="77777777" w:rsidR="00BB50C0" w:rsidRDefault="00BB50C0" w:rsidP="00F57D57">
            <w:pPr>
              <w:pStyle w:val="Marginlie"/>
            </w:pPr>
          </w:p>
          <w:p w14:paraId="512CE193" w14:textId="77777777" w:rsidR="00BB50C0" w:rsidRDefault="00BB50C0" w:rsidP="00F57D57">
            <w:pPr>
              <w:pStyle w:val="Marginlie"/>
            </w:pPr>
          </w:p>
          <w:p w14:paraId="41D6A5A9" w14:textId="77777777" w:rsidR="00BB50C0" w:rsidRDefault="00BB50C0" w:rsidP="00F57D57">
            <w:pPr>
              <w:pStyle w:val="Marginlie"/>
            </w:pPr>
          </w:p>
          <w:p w14:paraId="629E1564" w14:textId="77777777" w:rsidR="00BB50C0" w:rsidRDefault="00BB50C0" w:rsidP="00F57D57">
            <w:pPr>
              <w:pStyle w:val="Marginlie"/>
            </w:pPr>
            <w:r>
              <w:t xml:space="preserve">Příjmy ČR z rozpočtu EU byly i přes meziroční </w:t>
            </w:r>
            <w:r>
              <w:lastRenderedPageBreak/>
              <w:t>pokles druhé nejvyšší za posledních pět let.</w:t>
            </w:r>
          </w:p>
        </w:tc>
        <w:tc>
          <w:tcPr>
            <w:tcW w:w="217" w:type="dxa"/>
            <w:shd w:val="clear" w:color="auto" w:fill="auto"/>
            <w:tcMar>
              <w:left w:w="0" w:type="dxa"/>
            </w:tcMar>
          </w:tcPr>
          <w:p w14:paraId="65A784BA" w14:textId="77777777" w:rsidR="00BB50C0" w:rsidRDefault="00BB50C0" w:rsidP="00F57D57">
            <w:pPr>
              <w:pStyle w:val="Textpoznpodarou"/>
              <w:jc w:val="both"/>
              <w:rPr>
                <w:spacing w:val="-4"/>
              </w:rPr>
            </w:pPr>
          </w:p>
        </w:tc>
        <w:tc>
          <w:tcPr>
            <w:tcW w:w="7720" w:type="dxa"/>
            <w:shd w:val="clear" w:color="auto" w:fill="auto"/>
            <w:tcMar>
              <w:left w:w="0" w:type="dxa"/>
            </w:tcMar>
          </w:tcPr>
          <w:p w14:paraId="669BC6E2" w14:textId="77777777" w:rsidR="00BB50C0" w:rsidRPr="00AC078B" w:rsidRDefault="00BB50C0" w:rsidP="00F57D57">
            <w:pPr>
              <w:spacing w:after="200"/>
              <w:rPr>
                <w:color w:val="0D0D0D" w:themeColor="text1" w:themeTint="F2"/>
                <w:spacing w:val="-5"/>
              </w:rPr>
            </w:pPr>
            <w:r w:rsidRPr="003060BC">
              <w:rPr>
                <w:color w:val="0D0D0D" w:themeColor="text1" w:themeTint="F2"/>
                <w:spacing w:val="-4"/>
              </w:rPr>
              <w:t>Kapitálové výdaje čítaly v 1.</w:t>
            </w:r>
            <w:r>
              <w:rPr>
                <w:color w:val="0D0D0D" w:themeColor="text1" w:themeTint="F2"/>
                <w:spacing w:val="-4"/>
              </w:rPr>
              <w:t> pololet</w:t>
            </w:r>
            <w:r w:rsidRPr="003060BC">
              <w:rPr>
                <w:color w:val="0D0D0D" w:themeColor="text1" w:themeTint="F2"/>
                <w:spacing w:val="-4"/>
              </w:rPr>
              <w:t>í 60 mld. korun</w:t>
            </w:r>
            <w:r>
              <w:rPr>
                <w:color w:val="0D0D0D" w:themeColor="text1" w:themeTint="F2"/>
                <w:spacing w:val="-4"/>
              </w:rPr>
              <w:t>, tedy</w:t>
            </w:r>
            <w:r w:rsidRPr="003060BC">
              <w:rPr>
                <w:spacing w:val="-4"/>
              </w:rPr>
              <w:t xml:space="preserve"> </w:t>
            </w:r>
            <w:r w:rsidRPr="003060BC">
              <w:rPr>
                <w:color w:val="0D0D0D" w:themeColor="text1" w:themeTint="F2"/>
                <w:spacing w:val="-4"/>
              </w:rPr>
              <w:t>méně než třetinu celoročního rozpočtového cíle</w:t>
            </w:r>
            <w:r w:rsidRPr="003060BC">
              <w:rPr>
                <w:color w:val="0D0D0D" w:themeColor="text1" w:themeTint="F2"/>
                <w:spacing w:val="-6"/>
              </w:rPr>
              <w:t>.</w:t>
            </w:r>
            <w:r>
              <w:rPr>
                <w:color w:val="0D0D0D" w:themeColor="text1" w:themeTint="F2"/>
                <w:spacing w:val="-5"/>
              </w:rPr>
              <w:t xml:space="preserve"> Po třech letech silného meziročního růstu se letos snížily o 8,7 %. Na všech výdajích SR se však tato položka podílela více než 6 %. To v rámci všech 1.</w:t>
            </w:r>
            <w:r w:rsidRPr="003060BC">
              <w:rPr>
                <w:color w:val="0D0D0D" w:themeColor="text1" w:themeTint="F2"/>
                <w:spacing w:val="-6"/>
              </w:rPr>
              <w:t> </w:t>
            </w:r>
            <w:r>
              <w:rPr>
                <w:color w:val="0D0D0D" w:themeColor="text1" w:themeTint="F2"/>
                <w:spacing w:val="-5"/>
              </w:rPr>
              <w:t xml:space="preserve">pololetí stále představovalo druhou nejvyšší hodnotu za posledních pět let. Nejvyšší podíl dosud realizovaných investic směřoval tradičně do dopravní infrastruktury, především na projekty spolufinancované z evropských fondů. Celkové příjmy ČR z rozpočtu EU v 1. pololetí činily 71,5 mld. korun, meziročně klesly o 8 %. Přispěly k tomu hlavně nižší příjmy ze strukturálních </w:t>
            </w:r>
            <w:proofErr w:type="gramStart"/>
            <w:r>
              <w:rPr>
                <w:color w:val="0D0D0D" w:themeColor="text1" w:themeTint="F2"/>
                <w:spacing w:val="-5"/>
              </w:rPr>
              <w:lastRenderedPageBreak/>
              <w:t>fondů (</w:t>
            </w:r>
            <w:r w:rsidRPr="00D863C6">
              <w:rPr>
                <w:spacing w:val="-5"/>
              </w:rPr>
              <w:t>–</w:t>
            </w:r>
            <w:r>
              <w:rPr>
                <w:color w:val="0D0D0D" w:themeColor="text1" w:themeTint="F2"/>
                <w:spacing w:val="-5"/>
              </w:rPr>
              <w:t>18</w:t>
            </w:r>
            <w:proofErr w:type="gramEnd"/>
            <w:r>
              <w:rPr>
                <w:color w:val="0D0D0D" w:themeColor="text1" w:themeTint="F2"/>
                <w:spacing w:val="-5"/>
              </w:rPr>
              <w:t> %) a objemově méně významné příjmy na rozvoj venkova (</w:t>
            </w:r>
            <w:r w:rsidRPr="00D863C6">
              <w:rPr>
                <w:spacing w:val="-5"/>
              </w:rPr>
              <w:t>–</w:t>
            </w:r>
            <w:r>
              <w:rPr>
                <w:color w:val="0D0D0D" w:themeColor="text1" w:themeTint="F2"/>
                <w:spacing w:val="-5"/>
              </w:rPr>
              <w:t>19 %). K menším poklesům ale došlo i u všech ostatních hlavních programových oblastí. Po zohlednění mírného navýšení odvodů ČR do rozpočtu EU (+3 %) dosáhla celková čistá pozice ČR vůči Unii 38,7 mld. korun, což představovalo druhé nejvyšší pololetní saldo za posledních pět let.</w:t>
            </w:r>
          </w:p>
        </w:tc>
      </w:tr>
      <w:tr w:rsidR="00BB50C0" w:rsidRPr="00F704D2" w14:paraId="5EBB439D" w14:textId="77777777" w:rsidTr="00F57D57">
        <w:trPr>
          <w:trHeight w:val="170"/>
        </w:trPr>
        <w:tc>
          <w:tcPr>
            <w:tcW w:w="1732" w:type="dxa"/>
            <w:vMerge w:val="restart"/>
            <w:shd w:val="clear" w:color="auto" w:fill="auto"/>
            <w:tcMar>
              <w:left w:w="0" w:type="dxa"/>
            </w:tcMar>
          </w:tcPr>
          <w:p w14:paraId="38F1DC24" w14:textId="77777777" w:rsidR="00BB50C0" w:rsidRDefault="00BB50C0" w:rsidP="00F57D57">
            <w:pPr>
              <w:pStyle w:val="Marginlie"/>
            </w:pPr>
          </w:p>
        </w:tc>
        <w:tc>
          <w:tcPr>
            <w:tcW w:w="217" w:type="dxa"/>
            <w:vMerge w:val="restart"/>
            <w:shd w:val="clear" w:color="auto" w:fill="auto"/>
            <w:tcMar>
              <w:left w:w="0" w:type="dxa"/>
            </w:tcMar>
          </w:tcPr>
          <w:p w14:paraId="31972B98" w14:textId="77777777" w:rsidR="00BB50C0" w:rsidRDefault="00BB50C0" w:rsidP="00F57D57">
            <w:pPr>
              <w:pStyle w:val="Textpoznpodarou"/>
              <w:jc w:val="both"/>
              <w:rPr>
                <w:spacing w:val="-4"/>
              </w:rPr>
            </w:pPr>
          </w:p>
        </w:tc>
        <w:tc>
          <w:tcPr>
            <w:tcW w:w="7720" w:type="dxa"/>
            <w:shd w:val="clear" w:color="auto" w:fill="auto"/>
            <w:tcMar>
              <w:left w:w="0" w:type="dxa"/>
            </w:tcMar>
          </w:tcPr>
          <w:p w14:paraId="0F703559" w14:textId="77777777" w:rsidR="00BB50C0" w:rsidRPr="00D232BB" w:rsidRDefault="00BB50C0" w:rsidP="00F57D57">
            <w:pPr>
              <w:spacing w:after="20" w:line="240" w:lineRule="auto"/>
              <w:jc w:val="left"/>
              <w:rPr>
                <w:rFonts w:cs="Arial"/>
                <w:bCs/>
              </w:rPr>
            </w:pPr>
            <w:r w:rsidRPr="00D232BB">
              <w:rPr>
                <w:b/>
              </w:rPr>
              <w:t xml:space="preserve">Graf č. 17  </w:t>
            </w:r>
            <w:r>
              <w:rPr>
                <w:rFonts w:cs="Arial"/>
                <w:b/>
                <w:bCs/>
              </w:rPr>
              <w:t>Vybrané výdaje státního rozpočtu v rámci 1. pololetí</w:t>
            </w:r>
            <w:r w:rsidRPr="002757DC">
              <w:rPr>
                <w:rFonts w:cs="Arial"/>
              </w:rPr>
              <w:t xml:space="preserve"> (v</w:t>
            </w:r>
            <w:r>
              <w:rPr>
                <w:rFonts w:cs="Arial"/>
              </w:rPr>
              <w:t> </w:t>
            </w:r>
            <w:r w:rsidRPr="002757DC">
              <w:rPr>
                <w:rFonts w:cs="Arial"/>
              </w:rPr>
              <w:t>mld. korun)</w:t>
            </w:r>
          </w:p>
        </w:tc>
      </w:tr>
      <w:tr w:rsidR="00BB50C0" w14:paraId="7F64E744" w14:textId="77777777" w:rsidTr="00F57D57">
        <w:tblPrEx>
          <w:tblCellMar>
            <w:left w:w="70" w:type="dxa"/>
            <w:right w:w="70" w:type="dxa"/>
          </w:tblCellMar>
        </w:tblPrEx>
        <w:trPr>
          <w:trHeight w:val="170"/>
        </w:trPr>
        <w:tc>
          <w:tcPr>
            <w:tcW w:w="1732" w:type="dxa"/>
            <w:vMerge/>
            <w:shd w:val="clear" w:color="auto" w:fill="auto"/>
          </w:tcPr>
          <w:p w14:paraId="511DC549" w14:textId="77777777" w:rsidR="00BB50C0" w:rsidRDefault="00BB50C0" w:rsidP="00F57D57">
            <w:pPr>
              <w:pStyle w:val="Marginlie"/>
            </w:pPr>
          </w:p>
        </w:tc>
        <w:tc>
          <w:tcPr>
            <w:tcW w:w="217" w:type="dxa"/>
            <w:vMerge/>
            <w:shd w:val="clear" w:color="auto" w:fill="auto"/>
          </w:tcPr>
          <w:p w14:paraId="7E2666E5" w14:textId="77777777" w:rsidR="00BB50C0" w:rsidRDefault="00BB50C0" w:rsidP="00F57D57">
            <w:pPr>
              <w:pStyle w:val="Textpoznpodarou"/>
              <w:jc w:val="both"/>
              <w:rPr>
                <w:spacing w:val="-4"/>
              </w:rPr>
            </w:pPr>
          </w:p>
        </w:tc>
        <w:tc>
          <w:tcPr>
            <w:tcW w:w="7720" w:type="dxa"/>
            <w:shd w:val="clear" w:color="auto" w:fill="auto"/>
          </w:tcPr>
          <w:p w14:paraId="2246562E" w14:textId="77777777" w:rsidR="00BB50C0" w:rsidRPr="0067514E" w:rsidRDefault="00BB50C0" w:rsidP="00F57D57">
            <w:pPr>
              <w:spacing w:after="0"/>
              <w:rPr>
                <w:spacing w:val="-6"/>
              </w:rPr>
            </w:pPr>
            <w:r>
              <w:rPr>
                <w:noProof/>
              </w:rPr>
              <w:drawing>
                <wp:inline distT="0" distB="0" distL="0" distR="0" wp14:anchorId="4E0D4CF4" wp14:editId="6F4E0CEC">
                  <wp:extent cx="4759876" cy="3401149"/>
                  <wp:effectExtent l="0" t="0" r="3175" b="889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BB50C0" w:rsidRPr="00343AC1" w14:paraId="3D5FC4E3" w14:textId="77777777" w:rsidTr="00F57D57">
        <w:trPr>
          <w:trHeight w:val="170"/>
        </w:trPr>
        <w:tc>
          <w:tcPr>
            <w:tcW w:w="1732" w:type="dxa"/>
            <w:vMerge/>
            <w:shd w:val="clear" w:color="auto" w:fill="auto"/>
            <w:tcMar>
              <w:left w:w="0" w:type="dxa"/>
            </w:tcMar>
          </w:tcPr>
          <w:p w14:paraId="5D09239F" w14:textId="77777777" w:rsidR="00BB50C0" w:rsidRDefault="00BB50C0" w:rsidP="00F57D57">
            <w:pPr>
              <w:pStyle w:val="Marginlie"/>
            </w:pPr>
          </w:p>
        </w:tc>
        <w:tc>
          <w:tcPr>
            <w:tcW w:w="217" w:type="dxa"/>
            <w:vMerge/>
            <w:shd w:val="clear" w:color="auto" w:fill="auto"/>
            <w:tcMar>
              <w:left w:w="0" w:type="dxa"/>
            </w:tcMar>
          </w:tcPr>
          <w:p w14:paraId="42A877C8" w14:textId="77777777" w:rsidR="00BB50C0" w:rsidRDefault="00BB50C0" w:rsidP="00F57D57">
            <w:pPr>
              <w:pStyle w:val="Textpoznpodarou"/>
              <w:jc w:val="both"/>
              <w:rPr>
                <w:spacing w:val="-4"/>
              </w:rPr>
            </w:pPr>
          </w:p>
        </w:tc>
        <w:tc>
          <w:tcPr>
            <w:tcW w:w="7720" w:type="dxa"/>
            <w:shd w:val="clear" w:color="auto" w:fill="auto"/>
            <w:tcMar>
              <w:left w:w="0" w:type="dxa"/>
            </w:tcMar>
          </w:tcPr>
          <w:p w14:paraId="54081882" w14:textId="77777777" w:rsidR="00BB50C0" w:rsidRPr="008F2BE2" w:rsidRDefault="00BB50C0" w:rsidP="00F57D57">
            <w:pPr>
              <w:pStyle w:val="Textpoznpodarou"/>
              <w:rPr>
                <w:spacing w:val="-4"/>
                <w:sz w:val="14"/>
                <w:szCs w:val="14"/>
              </w:rPr>
            </w:pPr>
            <w:r w:rsidRPr="008F2BE2">
              <w:rPr>
                <w:spacing w:val="-4"/>
                <w:sz w:val="14"/>
                <w:szCs w:val="14"/>
              </w:rPr>
              <w:t>*Pokrývají výdaje na platy v organizačních složkách státu. Nezahrnují například mzdové výdaje na regionální školství.</w:t>
            </w:r>
          </w:p>
          <w:p w14:paraId="55A11FCC" w14:textId="77777777" w:rsidR="00BB50C0" w:rsidRDefault="00BB50C0" w:rsidP="00F57D57">
            <w:pPr>
              <w:pStyle w:val="Textpoznpodarou"/>
              <w:tabs>
                <w:tab w:val="right" w:pos="7683"/>
              </w:tabs>
              <w:rPr>
                <w:spacing w:val="-6"/>
                <w:sz w:val="14"/>
                <w:szCs w:val="14"/>
              </w:rPr>
            </w:pPr>
            <w:r w:rsidRPr="008F2BE2">
              <w:rPr>
                <w:spacing w:val="-4"/>
                <w:sz w:val="14"/>
                <w:szCs w:val="14"/>
              </w:rPr>
              <w:t>**Zahrnuje i dávky pěstounské péče.</w:t>
            </w:r>
            <w:r>
              <w:rPr>
                <w:spacing w:val="-4"/>
                <w:sz w:val="14"/>
                <w:szCs w:val="14"/>
              </w:rPr>
              <w:t xml:space="preserve"> </w:t>
            </w:r>
            <w:r w:rsidRPr="008F2BE2">
              <w:rPr>
                <w:spacing w:val="-4"/>
                <w:sz w:val="14"/>
                <w:szCs w:val="14"/>
              </w:rPr>
              <w:t>***Zahrnují dávky pomoci v hmotné nouzi, dávky osobám se zdravotním postižením, příspěvek na péči dle zákona o soc. službách.</w:t>
            </w:r>
            <w:r>
              <w:rPr>
                <w:spacing w:val="-4"/>
                <w:sz w:val="14"/>
                <w:szCs w:val="14"/>
              </w:rPr>
              <w:t xml:space="preserve"> </w:t>
            </w:r>
            <w:r w:rsidRPr="008F2BE2">
              <w:rPr>
                <w:spacing w:val="-4"/>
                <w:sz w:val="14"/>
                <w:szCs w:val="14"/>
              </w:rPr>
              <w:t>****Obsahují zejména výdaje na nákup služeb, materiálu, energií či ostatních služeb (například výdaje na opravy a udržování).</w:t>
            </w:r>
            <w:r>
              <w:rPr>
                <w:spacing w:val="-4"/>
                <w:sz w:val="14"/>
                <w:szCs w:val="14"/>
              </w:rPr>
              <w:t xml:space="preserve"> </w:t>
            </w:r>
            <w:r w:rsidRPr="0067514E">
              <w:rPr>
                <w:spacing w:val="-6"/>
                <w:sz w:val="14"/>
                <w:szCs w:val="14"/>
              </w:rPr>
              <w:t>*****Odpovídá saldu rozpočtové kapitoly Státní dluh.</w:t>
            </w:r>
            <w:r>
              <w:rPr>
                <w:spacing w:val="-6"/>
                <w:sz w:val="14"/>
                <w:szCs w:val="14"/>
              </w:rPr>
              <w:tab/>
            </w:r>
          </w:p>
          <w:p w14:paraId="214DB685" w14:textId="77777777" w:rsidR="00BB50C0" w:rsidRPr="008F2BE2" w:rsidRDefault="00BB50C0" w:rsidP="00F57D57">
            <w:pPr>
              <w:pStyle w:val="Textpoznpodarou"/>
              <w:tabs>
                <w:tab w:val="right" w:pos="7683"/>
              </w:tabs>
              <w:spacing w:after="200"/>
              <w:rPr>
                <w:spacing w:val="-4"/>
                <w:sz w:val="14"/>
                <w:szCs w:val="14"/>
              </w:rPr>
            </w:pPr>
            <w:r w:rsidRPr="0067514E">
              <w:rPr>
                <w:spacing w:val="-6"/>
                <w:sz w:val="14"/>
                <w:szCs w:val="14"/>
              </w:rPr>
              <w:t>Zdroj: MF ČR, MPSV</w:t>
            </w:r>
          </w:p>
        </w:tc>
      </w:tr>
      <w:tr w:rsidR="00BB50C0" w:rsidRPr="00343AC1" w14:paraId="55B37388" w14:textId="77777777" w:rsidTr="00F57D57">
        <w:trPr>
          <w:trHeight w:val="170"/>
        </w:trPr>
        <w:tc>
          <w:tcPr>
            <w:tcW w:w="1732" w:type="dxa"/>
            <w:shd w:val="clear" w:color="auto" w:fill="auto"/>
            <w:tcMar>
              <w:left w:w="0" w:type="dxa"/>
            </w:tcMar>
          </w:tcPr>
          <w:p w14:paraId="1E1117A0" w14:textId="77777777" w:rsidR="00BB50C0" w:rsidRDefault="00BB50C0" w:rsidP="00F57D57">
            <w:pPr>
              <w:pStyle w:val="Marginlie"/>
            </w:pPr>
            <w:r>
              <w:t>Dynamický růst státního dluhu pokračoval. Za 1. pololetí ale vzrostl méně než ve stejném loňském období.</w:t>
            </w:r>
          </w:p>
          <w:p w14:paraId="10C422D4" w14:textId="77777777" w:rsidR="00BB50C0" w:rsidRDefault="00BB50C0" w:rsidP="00F57D57">
            <w:pPr>
              <w:pStyle w:val="Marginlie"/>
            </w:pPr>
          </w:p>
          <w:p w14:paraId="4F78E05A" w14:textId="77777777" w:rsidR="00BB50C0" w:rsidRDefault="00BB50C0" w:rsidP="00F57D57">
            <w:pPr>
              <w:pStyle w:val="Marginlie"/>
            </w:pPr>
          </w:p>
          <w:p w14:paraId="6B43C585" w14:textId="77777777" w:rsidR="00BB50C0" w:rsidRDefault="00BB50C0" w:rsidP="00F57D57">
            <w:pPr>
              <w:pStyle w:val="Marginlie"/>
            </w:pPr>
          </w:p>
          <w:p w14:paraId="21FD5D94" w14:textId="77777777" w:rsidR="00BB50C0" w:rsidRDefault="00BB50C0" w:rsidP="00F57D57">
            <w:pPr>
              <w:pStyle w:val="Marginlie"/>
            </w:pPr>
          </w:p>
          <w:p w14:paraId="0FFBBDBA" w14:textId="77777777" w:rsidR="00BB50C0" w:rsidRDefault="00BB50C0" w:rsidP="00F57D57">
            <w:pPr>
              <w:pStyle w:val="Marginlie"/>
            </w:pPr>
            <w:r>
              <w:t>Výdaje na obsluhu státního dluhu po příznivém vývoji v letech 2019 i 2020 opět rostly.</w:t>
            </w:r>
          </w:p>
        </w:tc>
        <w:tc>
          <w:tcPr>
            <w:tcW w:w="217" w:type="dxa"/>
            <w:shd w:val="clear" w:color="auto" w:fill="auto"/>
            <w:tcMar>
              <w:left w:w="0" w:type="dxa"/>
            </w:tcMar>
          </w:tcPr>
          <w:p w14:paraId="47AA3C92" w14:textId="77777777" w:rsidR="00BB50C0" w:rsidRDefault="00BB50C0" w:rsidP="00F57D57">
            <w:pPr>
              <w:pStyle w:val="Textpoznpodarou"/>
              <w:jc w:val="both"/>
              <w:rPr>
                <w:spacing w:val="-4"/>
              </w:rPr>
            </w:pPr>
          </w:p>
        </w:tc>
        <w:tc>
          <w:tcPr>
            <w:tcW w:w="7720" w:type="dxa"/>
            <w:shd w:val="clear" w:color="auto" w:fill="auto"/>
            <w:tcMar>
              <w:left w:w="0" w:type="dxa"/>
            </w:tcMar>
          </w:tcPr>
          <w:p w14:paraId="68E28920" w14:textId="77777777" w:rsidR="00BB50C0" w:rsidRPr="00794328" w:rsidRDefault="00BB50C0" w:rsidP="00F57D57">
            <w:pPr>
              <w:rPr>
                <w:color w:val="0D0D0D" w:themeColor="text1" w:themeTint="F2"/>
                <w:spacing w:val="-4"/>
              </w:rPr>
            </w:pPr>
            <w:r w:rsidRPr="00794328">
              <w:rPr>
                <w:color w:val="0D0D0D" w:themeColor="text1" w:themeTint="F2"/>
                <w:spacing w:val="-4"/>
              </w:rPr>
              <w:t>Silně rostoucí</w:t>
            </w:r>
            <w:r>
              <w:rPr>
                <w:color w:val="0D0D0D" w:themeColor="text1" w:themeTint="F2"/>
                <w:spacing w:val="-4"/>
              </w:rPr>
              <w:t xml:space="preserve"> potřeba financování vázaná na </w:t>
            </w:r>
            <w:r w:rsidRPr="00794328">
              <w:rPr>
                <w:color w:val="0D0D0D" w:themeColor="text1" w:themeTint="F2"/>
                <w:spacing w:val="-4"/>
              </w:rPr>
              <w:t>nutnos</w:t>
            </w:r>
            <w:r>
              <w:rPr>
                <w:color w:val="0D0D0D" w:themeColor="text1" w:themeTint="F2"/>
                <w:spacing w:val="-4"/>
              </w:rPr>
              <w:t xml:space="preserve">t pokrytí krizového schodku SR vyústila v akceleraci </w:t>
            </w:r>
            <w:r w:rsidRPr="00794328">
              <w:rPr>
                <w:color w:val="0D0D0D" w:themeColor="text1" w:themeTint="F2"/>
                <w:spacing w:val="-4"/>
              </w:rPr>
              <w:t>státního dluhu</w:t>
            </w:r>
            <w:r>
              <w:rPr>
                <w:color w:val="0D0D0D" w:themeColor="text1" w:themeTint="F2"/>
                <w:spacing w:val="-4"/>
              </w:rPr>
              <w:t>. Ten vystoupal na konci června na</w:t>
            </w:r>
            <w:r>
              <w:rPr>
                <w:spacing w:val="-4"/>
              </w:rPr>
              <w:t xml:space="preserve"> rekordních 2 416 mld. korun a meziročně posílil o osminu. Od počátku letošního roku se navýšil o</w:t>
            </w:r>
            <w:r w:rsidRPr="00794328">
              <w:rPr>
                <w:color w:val="0D0D0D" w:themeColor="text1" w:themeTint="F2"/>
                <w:spacing w:val="-4"/>
              </w:rPr>
              <w:t> </w:t>
            </w:r>
            <w:r>
              <w:rPr>
                <w:spacing w:val="-4"/>
              </w:rPr>
              <w:t>366,5</w:t>
            </w:r>
            <w:r w:rsidRPr="00794328">
              <w:rPr>
                <w:color w:val="0D0D0D" w:themeColor="text1" w:themeTint="F2"/>
                <w:spacing w:val="-4"/>
              </w:rPr>
              <w:t> </w:t>
            </w:r>
            <w:r>
              <w:rPr>
                <w:spacing w:val="-4"/>
              </w:rPr>
              <w:t>mld., což bylo ale méně než bezprecedentní skok ve shodném loňském období (+516,7 mld.). I v letošním vývoji se projevila tradiční silná emisní činnost v oblasti státních dluhopisů</w:t>
            </w:r>
            <w:r>
              <w:rPr>
                <w:rStyle w:val="Znakapoznpodarou"/>
                <w:spacing w:val="-4"/>
              </w:rPr>
              <w:footnoteReference w:id="88"/>
            </w:r>
            <w:r>
              <w:rPr>
                <w:spacing w:val="-4"/>
              </w:rPr>
              <w:t xml:space="preserve"> soustředěná primárně do první čtvrtiny roku, jež umožnila plně pokrýt letos plánované splátky dluhu. Vlivem splátek klesla korunová hodnota vnějšího dluhu na konci pololetí meziročně o více než čtvrtinu a na celkovém zadlužení se podílela jen 6,6 %. Čisté výdaje na obsluhu státního dluhu</w:t>
            </w:r>
            <w:r>
              <w:rPr>
                <w:rStyle w:val="Znakapoznpodarou"/>
                <w:spacing w:val="-4"/>
              </w:rPr>
              <w:footnoteReference w:id="89"/>
            </w:r>
            <w:r>
              <w:rPr>
                <w:spacing w:val="-4"/>
              </w:rPr>
              <w:t xml:space="preserve"> dosáhly v pololetí 18,6 mld. korun, meziročně skoro o polovinu více. Trend poklesu výdajů na státní dluh viditelný v letech 2019 i 2020 se zastavil. To souviselo s nárůstem </w:t>
            </w:r>
            <w:r w:rsidRPr="00603665">
              <w:rPr>
                <w:spacing w:val="-5"/>
              </w:rPr>
              <w:t>celkové zadluženosti i</w:t>
            </w:r>
            <w:r>
              <w:rPr>
                <w:spacing w:val="-5"/>
              </w:rPr>
              <w:t> </w:t>
            </w:r>
            <w:r w:rsidRPr="00603665">
              <w:rPr>
                <w:spacing w:val="-5"/>
              </w:rPr>
              <w:t>vyššími výnosy státních dluhopisů, patrnými již na konci loňského roku.</w:t>
            </w:r>
          </w:p>
        </w:tc>
      </w:tr>
      <w:tr w:rsidR="00BB50C0" w:rsidRPr="00343AC1" w14:paraId="1C09E693" w14:textId="77777777" w:rsidTr="00F57D57">
        <w:trPr>
          <w:trHeight w:val="170"/>
        </w:trPr>
        <w:tc>
          <w:tcPr>
            <w:tcW w:w="1732" w:type="dxa"/>
            <w:shd w:val="clear" w:color="auto" w:fill="auto"/>
            <w:tcMar>
              <w:left w:w="0" w:type="dxa"/>
            </w:tcMar>
          </w:tcPr>
          <w:p w14:paraId="6063F941" w14:textId="77777777" w:rsidR="00BB50C0" w:rsidRDefault="00BB50C0" w:rsidP="00F57D57">
            <w:pPr>
              <w:pStyle w:val="Marginlie"/>
            </w:pPr>
            <w:r>
              <w:t>Slabý růst příjmů i akcelerace výdajů vyústily v 1. čtvrtletí v rekordní schodek hospodaření sektoru vládních institucí.</w:t>
            </w:r>
          </w:p>
        </w:tc>
        <w:tc>
          <w:tcPr>
            <w:tcW w:w="217" w:type="dxa"/>
            <w:shd w:val="clear" w:color="auto" w:fill="auto"/>
            <w:tcMar>
              <w:left w:w="0" w:type="dxa"/>
            </w:tcMar>
          </w:tcPr>
          <w:p w14:paraId="765E0C13" w14:textId="77777777" w:rsidR="00BB50C0" w:rsidRDefault="00BB50C0" w:rsidP="00F57D57">
            <w:pPr>
              <w:pStyle w:val="Textpoznpodarou"/>
              <w:jc w:val="both"/>
              <w:rPr>
                <w:spacing w:val="-4"/>
              </w:rPr>
            </w:pPr>
          </w:p>
        </w:tc>
        <w:tc>
          <w:tcPr>
            <w:tcW w:w="7720" w:type="dxa"/>
            <w:shd w:val="clear" w:color="auto" w:fill="auto"/>
            <w:tcMar>
              <w:left w:w="0" w:type="dxa"/>
            </w:tcMar>
          </w:tcPr>
          <w:p w14:paraId="11023076" w14:textId="77777777" w:rsidR="00BB50C0" w:rsidRPr="00E65CA0" w:rsidRDefault="00BB50C0" w:rsidP="00F57D57">
            <w:pPr>
              <w:spacing w:after="200"/>
              <w:rPr>
                <w:spacing w:val="-4"/>
              </w:rPr>
            </w:pPr>
            <w:r w:rsidRPr="00E65CA0">
              <w:rPr>
                <w:rFonts w:cs="Arial"/>
                <w:color w:val="0D0D0D" w:themeColor="text1" w:themeTint="F2"/>
                <w:spacing w:val="-4"/>
              </w:rPr>
              <w:t>Sektor vládních institucí (VI) v ČR hospodařil v 1.</w:t>
            </w:r>
            <w:r>
              <w:rPr>
                <w:rFonts w:cs="Arial"/>
                <w:color w:val="0D0D0D" w:themeColor="text1" w:themeTint="F2"/>
                <w:spacing w:val="-4"/>
              </w:rPr>
              <w:t> čtvrtlet</w:t>
            </w:r>
            <w:r w:rsidRPr="00E65CA0">
              <w:rPr>
                <w:rFonts w:cs="Arial"/>
                <w:color w:val="0D0D0D" w:themeColor="text1" w:themeTint="F2"/>
                <w:spacing w:val="-4"/>
              </w:rPr>
              <w:t>í 2021</w:t>
            </w:r>
            <w:r w:rsidRPr="00E65CA0">
              <w:rPr>
                <w:rStyle w:val="Znakapoznpodarou"/>
                <w:color w:val="0D0D0D" w:themeColor="text1" w:themeTint="F2"/>
                <w:spacing w:val="-4"/>
              </w:rPr>
              <w:footnoteReference w:id="90"/>
            </w:r>
            <w:r w:rsidRPr="00E65CA0">
              <w:rPr>
                <w:rFonts w:cs="Arial"/>
                <w:color w:val="0D0D0D" w:themeColor="text1" w:themeTint="F2"/>
                <w:spacing w:val="-4"/>
              </w:rPr>
              <w:t xml:space="preserve"> se schodkem 136</w:t>
            </w:r>
            <w:r>
              <w:rPr>
                <w:rFonts w:cs="Arial"/>
                <w:color w:val="0D0D0D" w:themeColor="text1" w:themeTint="F2"/>
                <w:spacing w:val="-4"/>
              </w:rPr>
              <w:t>,3 mld. korun</w:t>
            </w:r>
            <w:r w:rsidRPr="007B2DF8">
              <w:rPr>
                <w:rFonts w:cs="Arial"/>
                <w:color w:val="0D0D0D" w:themeColor="text1" w:themeTint="F2"/>
                <w:spacing w:val="-4"/>
                <w:szCs w:val="20"/>
              </w:rPr>
              <w:t xml:space="preserve">. </w:t>
            </w:r>
            <w:r w:rsidRPr="007B2DF8">
              <w:rPr>
                <w:rFonts w:cs="Arial"/>
                <w:szCs w:val="20"/>
              </w:rPr>
              <w:t xml:space="preserve">Šlo o nejhlubší zaznamenaný deficit za 1. čtvrtletí a </w:t>
            </w:r>
            <w:r>
              <w:rPr>
                <w:rFonts w:cs="Arial"/>
                <w:szCs w:val="20"/>
              </w:rPr>
              <w:t>druhý nejhorší výsledek</w:t>
            </w:r>
            <w:r w:rsidRPr="007B2DF8">
              <w:rPr>
                <w:rFonts w:cs="Arial"/>
                <w:szCs w:val="20"/>
              </w:rPr>
              <w:t xml:space="preserve"> vůbec (po 4. čtvrtletí 2020)</w:t>
            </w:r>
            <w:r w:rsidRPr="007B2DF8">
              <w:rPr>
                <w:rFonts w:cs="Arial"/>
                <w:color w:val="0D0D0D" w:themeColor="text1" w:themeTint="F2"/>
                <w:spacing w:val="-4"/>
                <w:szCs w:val="20"/>
              </w:rPr>
              <w:t>. Slabý</w:t>
            </w:r>
            <w:r w:rsidRPr="00E65CA0">
              <w:rPr>
                <w:rFonts w:cs="Arial"/>
                <w:color w:val="0D0D0D" w:themeColor="text1" w:themeTint="F2"/>
                <w:spacing w:val="-4"/>
              </w:rPr>
              <w:t xml:space="preserve"> růst příjmů (+0,8</w:t>
            </w:r>
            <w:r>
              <w:rPr>
                <w:rFonts w:cs="Arial"/>
                <w:color w:val="0D0D0D" w:themeColor="text1" w:themeTint="F2"/>
                <w:spacing w:val="-4"/>
              </w:rPr>
              <w:t> %</w:t>
            </w:r>
            <w:r w:rsidRPr="00E65CA0">
              <w:rPr>
                <w:rFonts w:cs="Arial"/>
                <w:color w:val="0D0D0D" w:themeColor="text1" w:themeTint="F2"/>
                <w:spacing w:val="-4"/>
              </w:rPr>
              <w:t xml:space="preserve"> meziročně) byl výrazně ovlivněn poklesem přijatých daní z důchodů a</w:t>
            </w:r>
            <w:r>
              <w:rPr>
                <w:rFonts w:cs="Arial"/>
                <w:color w:val="0D0D0D" w:themeColor="text1" w:themeTint="F2"/>
                <w:spacing w:val="-4"/>
              </w:rPr>
              <w:t> bohatství</w:t>
            </w:r>
            <w:r w:rsidRPr="00E65CA0">
              <w:rPr>
                <w:rFonts w:cs="Arial"/>
                <w:color w:val="0D0D0D" w:themeColor="text1" w:themeTint="F2"/>
                <w:spacing w:val="-4"/>
              </w:rPr>
              <w:t>, zejména vlivem daňových změn</w:t>
            </w:r>
            <w:r>
              <w:rPr>
                <w:rFonts w:cs="Arial"/>
                <w:color w:val="0D0D0D" w:themeColor="text1" w:themeTint="F2"/>
                <w:spacing w:val="-4"/>
              </w:rPr>
              <w:t>.</w:t>
            </w:r>
            <w:r w:rsidRPr="00E65CA0">
              <w:rPr>
                <w:rFonts w:cs="Arial"/>
                <w:color w:val="0D0D0D" w:themeColor="text1" w:themeTint="F2"/>
                <w:spacing w:val="-4"/>
              </w:rPr>
              <w:t xml:space="preserve"> Růst výdajů akceleroval (+14,1</w:t>
            </w:r>
            <w:r>
              <w:rPr>
                <w:rFonts w:cs="Arial"/>
                <w:color w:val="0D0D0D" w:themeColor="text1" w:themeTint="F2"/>
                <w:spacing w:val="-4"/>
              </w:rPr>
              <w:t> %</w:t>
            </w:r>
            <w:r w:rsidRPr="00E65CA0">
              <w:rPr>
                <w:rFonts w:cs="Arial"/>
                <w:color w:val="0D0D0D" w:themeColor="text1" w:themeTint="F2"/>
                <w:spacing w:val="-4"/>
              </w:rPr>
              <w:t xml:space="preserve">), hlavně pod taktovkou sociálních dávek a naturálních transferů a také </w:t>
            </w:r>
            <w:r w:rsidRPr="00E65CA0">
              <w:rPr>
                <w:rFonts w:cs="Arial"/>
                <w:color w:val="0D0D0D" w:themeColor="text1" w:themeTint="F2"/>
                <w:spacing w:val="-4"/>
              </w:rPr>
              <w:lastRenderedPageBreak/>
              <w:t>silného přírůstku vyplacených dotací. Sezónně očištěné saldo hospodaření VI</w:t>
            </w:r>
            <w:r>
              <w:rPr>
                <w:rFonts w:cs="Arial"/>
                <w:color w:val="0D0D0D" w:themeColor="text1" w:themeTint="F2"/>
                <w:spacing w:val="-4"/>
              </w:rPr>
              <w:t xml:space="preserve"> </w:t>
            </w:r>
            <w:proofErr w:type="gramStart"/>
            <w:r w:rsidRPr="00E65CA0">
              <w:rPr>
                <w:rFonts w:cs="Arial"/>
                <w:color w:val="0D0D0D" w:themeColor="text1" w:themeTint="F2"/>
                <w:spacing w:val="-4"/>
              </w:rPr>
              <w:t>činilo</w:t>
            </w:r>
            <w:proofErr w:type="gramEnd"/>
            <w:r w:rsidRPr="00E65CA0">
              <w:rPr>
                <w:rFonts w:cs="Arial"/>
                <w:color w:val="0D0D0D" w:themeColor="text1" w:themeTint="F2"/>
                <w:spacing w:val="-4"/>
              </w:rPr>
              <w:t xml:space="preserve"> </w:t>
            </w:r>
            <w:r w:rsidRPr="00E65CA0">
              <w:rPr>
                <w:spacing w:val="-4"/>
              </w:rPr>
              <w:t>–</w:t>
            </w:r>
            <w:proofErr w:type="gramStart"/>
            <w:r w:rsidRPr="00E65CA0">
              <w:rPr>
                <w:rFonts w:cs="Arial"/>
                <w:color w:val="0D0D0D" w:themeColor="text1" w:themeTint="F2"/>
                <w:spacing w:val="-4"/>
              </w:rPr>
              <w:t>8,8</w:t>
            </w:r>
            <w:proofErr w:type="gramEnd"/>
            <w:r>
              <w:rPr>
                <w:rFonts w:cs="Arial"/>
                <w:color w:val="0D0D0D" w:themeColor="text1" w:themeTint="F2"/>
                <w:spacing w:val="-4"/>
              </w:rPr>
              <w:t> %</w:t>
            </w:r>
            <w:r w:rsidRPr="00E65CA0">
              <w:rPr>
                <w:rFonts w:cs="Arial"/>
                <w:color w:val="0D0D0D" w:themeColor="text1" w:themeTint="F2"/>
                <w:spacing w:val="-4"/>
              </w:rPr>
              <w:t xml:space="preserve"> HDP, což znamenalo zhoršení v meziročním (o</w:t>
            </w:r>
            <w:r>
              <w:rPr>
                <w:rFonts w:cs="Arial"/>
                <w:color w:val="0D0D0D" w:themeColor="text1" w:themeTint="F2"/>
                <w:spacing w:val="-4"/>
              </w:rPr>
              <w:t> 6,1 p. b.</w:t>
            </w:r>
            <w:r w:rsidRPr="00E65CA0">
              <w:rPr>
                <w:rFonts w:cs="Arial"/>
                <w:color w:val="0D0D0D" w:themeColor="text1" w:themeTint="F2"/>
                <w:spacing w:val="-4"/>
              </w:rPr>
              <w:t>), ale i</w:t>
            </w:r>
            <w:r>
              <w:rPr>
                <w:rFonts w:cs="Arial"/>
                <w:color w:val="0D0D0D" w:themeColor="text1" w:themeTint="F2"/>
                <w:spacing w:val="-4"/>
              </w:rPr>
              <w:t> </w:t>
            </w:r>
            <w:proofErr w:type="spellStart"/>
            <w:r w:rsidRPr="00E65CA0">
              <w:rPr>
                <w:rFonts w:cs="Arial"/>
                <w:color w:val="0D0D0D" w:themeColor="text1" w:themeTint="F2"/>
                <w:spacing w:val="-4"/>
              </w:rPr>
              <w:t>mezikvart</w:t>
            </w:r>
            <w:r>
              <w:rPr>
                <w:rFonts w:cs="Arial"/>
                <w:color w:val="0D0D0D" w:themeColor="text1" w:themeTint="F2"/>
                <w:spacing w:val="-4"/>
              </w:rPr>
              <w:t>álním</w:t>
            </w:r>
            <w:proofErr w:type="spellEnd"/>
            <w:r>
              <w:rPr>
                <w:rFonts w:cs="Arial"/>
                <w:color w:val="0D0D0D" w:themeColor="text1" w:themeTint="F2"/>
                <w:spacing w:val="-4"/>
              </w:rPr>
              <w:t xml:space="preserve"> vyjádření</w:t>
            </w:r>
            <w:r w:rsidRPr="00E65CA0">
              <w:rPr>
                <w:rFonts w:cs="Arial"/>
                <w:color w:val="0D0D0D" w:themeColor="text1" w:themeTint="F2"/>
                <w:spacing w:val="-4"/>
              </w:rPr>
              <w:t xml:space="preserve"> (</w:t>
            </w:r>
            <w:r>
              <w:rPr>
                <w:rFonts w:cs="Arial"/>
                <w:color w:val="0D0D0D" w:themeColor="text1" w:themeTint="F2"/>
                <w:spacing w:val="-4"/>
              </w:rPr>
              <w:t>o </w:t>
            </w:r>
            <w:r w:rsidRPr="00E65CA0">
              <w:rPr>
                <w:rFonts w:cs="Arial"/>
                <w:color w:val="0D0D0D" w:themeColor="text1" w:themeTint="F2"/>
                <w:spacing w:val="-4"/>
              </w:rPr>
              <w:t>0,7</w:t>
            </w:r>
            <w:r>
              <w:rPr>
                <w:rFonts w:cs="Arial"/>
                <w:color w:val="0D0D0D" w:themeColor="text1" w:themeTint="F2"/>
                <w:spacing w:val="-4"/>
              </w:rPr>
              <w:t> p. b.</w:t>
            </w:r>
            <w:r w:rsidRPr="00E65CA0">
              <w:rPr>
                <w:rFonts w:cs="Arial"/>
                <w:color w:val="0D0D0D" w:themeColor="text1" w:themeTint="F2"/>
                <w:spacing w:val="-4"/>
              </w:rPr>
              <w:t xml:space="preserve">). </w:t>
            </w:r>
            <w:r w:rsidRPr="00E65CA0">
              <w:rPr>
                <w:spacing w:val="-4"/>
              </w:rPr>
              <w:t>Nominální dluh VI dosáhl letos na konci 1.</w:t>
            </w:r>
            <w:r>
              <w:rPr>
                <w:spacing w:val="-4"/>
              </w:rPr>
              <w:t> čtvrtlet</w:t>
            </w:r>
            <w:r w:rsidRPr="00E65CA0">
              <w:rPr>
                <w:spacing w:val="-4"/>
              </w:rPr>
              <w:t>í 2</w:t>
            </w:r>
            <w:r>
              <w:rPr>
                <w:rFonts w:cs="Arial"/>
                <w:color w:val="0D0D0D" w:themeColor="text1" w:themeTint="F2"/>
                <w:spacing w:val="-4"/>
              </w:rPr>
              <w:t> </w:t>
            </w:r>
            <w:r w:rsidRPr="00E65CA0">
              <w:rPr>
                <w:spacing w:val="-4"/>
              </w:rPr>
              <w:t>519</w:t>
            </w:r>
            <w:r>
              <w:rPr>
                <w:spacing w:val="-4"/>
              </w:rPr>
              <w:t>,1 mld.</w:t>
            </w:r>
            <w:r w:rsidRPr="00E65CA0">
              <w:rPr>
                <w:spacing w:val="-4"/>
              </w:rPr>
              <w:t xml:space="preserve"> korun. Míra zadlužení meziročně vzrostla – z 32,4</w:t>
            </w:r>
            <w:r>
              <w:rPr>
                <w:spacing w:val="-4"/>
              </w:rPr>
              <w:t> %</w:t>
            </w:r>
            <w:r w:rsidRPr="00E65CA0">
              <w:rPr>
                <w:spacing w:val="-4"/>
              </w:rPr>
              <w:t xml:space="preserve"> na 44,1</w:t>
            </w:r>
            <w:r>
              <w:rPr>
                <w:spacing w:val="-4"/>
              </w:rPr>
              <w:t> %</w:t>
            </w:r>
            <w:r w:rsidRPr="00E65CA0">
              <w:rPr>
                <w:spacing w:val="-4"/>
              </w:rPr>
              <w:t xml:space="preserve"> HDP. Na rekordním růstu zadlužení se podepsal i</w:t>
            </w:r>
            <w:r>
              <w:rPr>
                <w:spacing w:val="-4"/>
              </w:rPr>
              <w:t> </w:t>
            </w:r>
            <w:r w:rsidRPr="00E65CA0">
              <w:rPr>
                <w:spacing w:val="-4"/>
              </w:rPr>
              <w:t>klesající nominální HDP, dominantně (takřka z </w:t>
            </w:r>
            <w:r>
              <w:rPr>
                <w:spacing w:val="-4"/>
              </w:rPr>
              <w:t>95</w:t>
            </w:r>
            <w:r w:rsidRPr="00E65CA0">
              <w:rPr>
                <w:rFonts w:cs="Arial"/>
                <w:color w:val="0D0D0D" w:themeColor="text1" w:themeTint="F2"/>
                <w:spacing w:val="-4"/>
              </w:rPr>
              <w:t> </w:t>
            </w:r>
            <w:r w:rsidRPr="00E65CA0">
              <w:rPr>
                <w:spacing w:val="-4"/>
              </w:rPr>
              <w:t>%) však odrážel akceleraci absolutní výše dluhu.</w:t>
            </w:r>
          </w:p>
        </w:tc>
      </w:tr>
      <w:tr w:rsidR="00BB50C0" w:rsidRPr="00343AC1" w14:paraId="53BBF896" w14:textId="77777777" w:rsidTr="00F57D57">
        <w:trPr>
          <w:trHeight w:val="170"/>
        </w:trPr>
        <w:tc>
          <w:tcPr>
            <w:tcW w:w="1732" w:type="dxa"/>
            <w:shd w:val="clear" w:color="auto" w:fill="auto"/>
            <w:tcMar>
              <w:left w:w="0" w:type="dxa"/>
            </w:tcMar>
          </w:tcPr>
          <w:p w14:paraId="42DF68B9" w14:textId="77777777" w:rsidR="00BB50C0" w:rsidRDefault="00BB50C0" w:rsidP="00F57D57">
            <w:pPr>
              <w:pStyle w:val="Marginlie"/>
            </w:pPr>
            <w:r>
              <w:lastRenderedPageBreak/>
              <w:t>Schodek hospodaření vládních institucí se oproti konci roku 2020 v EU mírně snížil, v Česku narostl.</w:t>
            </w:r>
          </w:p>
          <w:p w14:paraId="0FC15A73" w14:textId="77777777" w:rsidR="00BB50C0" w:rsidRDefault="00BB50C0" w:rsidP="00F57D57">
            <w:pPr>
              <w:pStyle w:val="Marginlie"/>
            </w:pPr>
          </w:p>
          <w:p w14:paraId="07B7AE12" w14:textId="77777777" w:rsidR="00BB50C0" w:rsidRDefault="00BB50C0" w:rsidP="00F57D57">
            <w:pPr>
              <w:pStyle w:val="Marginlie"/>
            </w:pPr>
          </w:p>
          <w:p w14:paraId="2C9D962C" w14:textId="77777777" w:rsidR="00BB50C0" w:rsidRDefault="00BB50C0" w:rsidP="00F57D57">
            <w:pPr>
              <w:pStyle w:val="Marginlie"/>
            </w:pPr>
          </w:p>
          <w:p w14:paraId="3496E137" w14:textId="77777777" w:rsidR="00BB50C0" w:rsidRDefault="00BB50C0" w:rsidP="00F57D57">
            <w:pPr>
              <w:pStyle w:val="Marginlie"/>
            </w:pPr>
          </w:p>
          <w:p w14:paraId="1B4ABC8C" w14:textId="77777777" w:rsidR="00BB50C0" w:rsidRDefault="00BB50C0" w:rsidP="00F57D57">
            <w:pPr>
              <w:pStyle w:val="Marginlie"/>
            </w:pPr>
          </w:p>
          <w:p w14:paraId="1D2FF7DD" w14:textId="77777777" w:rsidR="00BB50C0" w:rsidRDefault="00BB50C0" w:rsidP="00F57D57">
            <w:pPr>
              <w:pStyle w:val="Marginlie"/>
            </w:pPr>
            <w:r>
              <w:t xml:space="preserve">Míra zadlužení vzrostla oproti </w:t>
            </w:r>
            <w:proofErr w:type="spellStart"/>
            <w:r>
              <w:t>předpandemické</w:t>
            </w:r>
            <w:proofErr w:type="spellEnd"/>
            <w:r>
              <w:t xml:space="preserve"> úrovni nejvíce v zemích jižní Evropy. Růst v ČR byl v kontextu zemí s nižší úrovní zadlužení poměrně silný.</w:t>
            </w:r>
          </w:p>
        </w:tc>
        <w:tc>
          <w:tcPr>
            <w:tcW w:w="217" w:type="dxa"/>
            <w:shd w:val="clear" w:color="auto" w:fill="auto"/>
            <w:tcMar>
              <w:left w:w="0" w:type="dxa"/>
            </w:tcMar>
          </w:tcPr>
          <w:p w14:paraId="5444AB2E" w14:textId="77777777" w:rsidR="00BB50C0" w:rsidRDefault="00BB50C0" w:rsidP="00F57D57">
            <w:pPr>
              <w:pStyle w:val="Textpoznpodarou"/>
              <w:jc w:val="both"/>
              <w:rPr>
                <w:spacing w:val="-4"/>
              </w:rPr>
            </w:pPr>
          </w:p>
        </w:tc>
        <w:tc>
          <w:tcPr>
            <w:tcW w:w="7720" w:type="dxa"/>
            <w:shd w:val="clear" w:color="auto" w:fill="auto"/>
            <w:tcMar>
              <w:left w:w="0" w:type="dxa"/>
            </w:tcMar>
          </w:tcPr>
          <w:p w14:paraId="6967F201" w14:textId="77777777" w:rsidR="00BB50C0" w:rsidRPr="000D151F" w:rsidRDefault="00BB50C0" w:rsidP="00F57D57">
            <w:pPr>
              <w:spacing w:after="0"/>
              <w:rPr>
                <w:spacing w:val="-4"/>
              </w:rPr>
            </w:pPr>
            <w:r>
              <w:rPr>
                <w:spacing w:val="-4"/>
              </w:rPr>
              <w:t>Schodek hospodaření sektoru vládních institucí v zemích EU (po sezónním očištění) se po rekordním propadu v počáteční fázi pandemie (</w:t>
            </w:r>
            <w:proofErr w:type="gramStart"/>
            <w:r>
              <w:rPr>
                <w:spacing w:val="-4"/>
              </w:rPr>
              <w:t>na</w:t>
            </w:r>
            <w:proofErr w:type="gramEnd"/>
            <w:r>
              <w:rPr>
                <w:spacing w:val="-4"/>
              </w:rPr>
              <w:t xml:space="preserve"> </w:t>
            </w:r>
            <w:r w:rsidRPr="00E65CA0">
              <w:rPr>
                <w:spacing w:val="-4"/>
              </w:rPr>
              <w:t>–</w:t>
            </w:r>
            <w:proofErr w:type="gramStart"/>
            <w:r>
              <w:rPr>
                <w:spacing w:val="-4"/>
              </w:rPr>
              <w:t>11,8</w:t>
            </w:r>
            <w:proofErr w:type="gramEnd"/>
            <w:r>
              <w:rPr>
                <w:spacing w:val="-4"/>
              </w:rPr>
              <w:t xml:space="preserve"> % HDP ve 2. čtvrtletí 2020) částečně stabilizoval. V první čtvrtině letošního roku </w:t>
            </w:r>
            <w:proofErr w:type="gramStart"/>
            <w:r>
              <w:rPr>
                <w:spacing w:val="-4"/>
              </w:rPr>
              <w:t>činil</w:t>
            </w:r>
            <w:proofErr w:type="gramEnd"/>
            <w:r>
              <w:rPr>
                <w:spacing w:val="-4"/>
              </w:rPr>
              <w:t xml:space="preserve"> </w:t>
            </w:r>
            <w:r w:rsidRPr="00E65CA0">
              <w:rPr>
                <w:spacing w:val="-4"/>
              </w:rPr>
              <w:t>–</w:t>
            </w:r>
            <w:proofErr w:type="gramStart"/>
            <w:r>
              <w:rPr>
                <w:spacing w:val="-4"/>
              </w:rPr>
              <w:t>6,8</w:t>
            </w:r>
            <w:proofErr w:type="gramEnd"/>
            <w:r>
              <w:rPr>
                <w:spacing w:val="-4"/>
              </w:rPr>
              <w:t xml:space="preserve"> % HDP a na rozdíl od Česka doznal ve srovnání s posledním loňským čtvrtletím pozitivního posunu. Mezičtvrtletní prohloubení deficitu sice letos zaznamenaly např. i Polsko a Německo, výše jejich schodku byla ovšem ve srovnání s ČR </w:t>
            </w:r>
            <w:proofErr w:type="gramStart"/>
            <w:r>
              <w:rPr>
                <w:spacing w:val="-4"/>
              </w:rPr>
              <w:t>mírnější (</w:t>
            </w:r>
            <w:r w:rsidRPr="00E65CA0">
              <w:rPr>
                <w:spacing w:val="-4"/>
              </w:rPr>
              <w:t>–</w:t>
            </w:r>
            <w:r>
              <w:rPr>
                <w:spacing w:val="-4"/>
              </w:rPr>
              <w:t>2,6</w:t>
            </w:r>
            <w:proofErr w:type="gramEnd"/>
            <w:r>
              <w:rPr>
                <w:spacing w:val="-4"/>
              </w:rPr>
              <w:t xml:space="preserve"> %, resp. </w:t>
            </w:r>
            <w:r w:rsidRPr="00E65CA0">
              <w:rPr>
                <w:spacing w:val="-4"/>
              </w:rPr>
              <w:t>–</w:t>
            </w:r>
            <w:r>
              <w:rPr>
                <w:spacing w:val="-4"/>
              </w:rPr>
              <w:t xml:space="preserve">6,0 % HDP). Hluboké schodky (na úrovni ČR) sužovaly na počátku letošního roku také Španělsko, Francii, Maďarsko či Rumunsko. Naopak přebytek hospodaření vykázaly jen Dánsko a Lucembursko. Nepříznivý vývoj veřejných rozpočtů se logicky promítl v oblasti dluhu. Míra zadlužení VI v Unii vzrostla již na počátku loňského roku a po výrazné akceleraci ve 2. čtvrtletí (nad úroveň maxima z hospodářské recese 2013) pokračovala v mírnějším růstu až na 92,9 % HDP (v 1. čtvrtletí 2021). Oproti konci roku 2019 se letos zadlužení zvýšilo ve všech státech Unie, nejvíce v zemích jižního křídla eurozóny, které patřily v tomto ohledu k nejpostiženějším ještě před vzplanutím pandemie. </w:t>
            </w:r>
            <w:proofErr w:type="gramStart"/>
            <w:r>
              <w:rPr>
                <w:spacing w:val="-4"/>
              </w:rPr>
              <w:t>Ze</w:t>
            </w:r>
            <w:proofErr w:type="gramEnd"/>
            <w:r>
              <w:rPr>
                <w:spacing w:val="-4"/>
              </w:rPr>
              <w:t xml:space="preserve"> „středně zadlužených ekonomik“ zaznamenalo v tomto období nejméně příznivý vývoj Slovinsko (ze 65,6 % na 86,0 % HDP). Mezi státy plnícími maastrichtské dluhové kritérium si vedly nejhůře Malta (+17,0 p. b., na 59,0 % HDP) a Česko (+14,1 p. b.).</w:t>
            </w:r>
          </w:p>
        </w:tc>
      </w:tr>
    </w:tbl>
    <w:p w14:paraId="6D3C85BB" w14:textId="77777777" w:rsidR="002E1F8A" w:rsidRPr="000F45E7" w:rsidRDefault="002E1F8A" w:rsidP="002E1F8A">
      <w:pPr>
        <w:pStyle w:val="Nadpis11"/>
        <w:spacing w:after="0"/>
        <w:rPr>
          <w:b w:val="0"/>
          <w:sz w:val="2"/>
          <w:szCs w:val="2"/>
        </w:rPr>
      </w:pPr>
    </w:p>
    <w:p w14:paraId="45E33EB6" w14:textId="77777777" w:rsidR="00AB3BA7" w:rsidRPr="000F45E7" w:rsidRDefault="00AB3BA7" w:rsidP="00AB3BA7">
      <w:pPr>
        <w:pStyle w:val="Nadpis11"/>
        <w:spacing w:after="0"/>
        <w:rPr>
          <w:b w:val="0"/>
          <w:sz w:val="2"/>
          <w:szCs w:val="2"/>
        </w:rPr>
      </w:pPr>
    </w:p>
    <w:p w14:paraId="39E9959F" w14:textId="77777777" w:rsidR="000663F0" w:rsidRPr="00E42054" w:rsidRDefault="000663F0" w:rsidP="00AB3BA7">
      <w:pPr>
        <w:pStyle w:val="Nadpis11"/>
        <w:rPr>
          <w:b w:val="0"/>
          <w:sz w:val="2"/>
          <w:szCs w:val="2"/>
        </w:rPr>
      </w:pPr>
    </w:p>
    <w:sectPr w:rsidR="000663F0" w:rsidRPr="00E42054" w:rsidSect="00A03B10">
      <w:headerReference w:type="even" r:id="rId26"/>
      <w:headerReference w:type="default" r:id="rId27"/>
      <w:footerReference w:type="even" r:id="rId28"/>
      <w:footerReference w:type="default" r:id="rId29"/>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0415" w14:textId="77777777" w:rsidR="00F37362" w:rsidRDefault="00F37362" w:rsidP="00E71A58">
      <w:r>
        <w:separator/>
      </w:r>
    </w:p>
  </w:endnote>
  <w:endnote w:type="continuationSeparator" w:id="0">
    <w:p w14:paraId="7AF8F8D8" w14:textId="77777777" w:rsidR="00F37362" w:rsidRDefault="00F3736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2EF64748" w:rsidR="00C872AA" w:rsidRPr="00932443" w:rsidRDefault="00C872AA"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1D6175">
      <w:rPr>
        <w:szCs w:val="16"/>
      </w:rPr>
      <w:t>4</w:t>
    </w:r>
    <w:r w:rsidRPr="00932443">
      <w:rPr>
        <w:szCs w:val="16"/>
      </w:rPr>
      <w:fldChar w:fldCharType="end"/>
    </w:r>
    <w:r w:rsidRPr="00932443">
      <w:rPr>
        <w:szCs w:val="16"/>
      </w:rPr>
      <w:tab/>
    </w:r>
    <w:r>
      <w:rPr>
        <w:szCs w:val="16"/>
      </w:rPr>
      <w:t>1. pololetí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352EB294" w:rsidR="00C872AA" w:rsidRPr="00932443" w:rsidRDefault="00C872AA" w:rsidP="00FA6CB6">
    <w:pPr>
      <w:pStyle w:val="Zpat"/>
      <w:rPr>
        <w:szCs w:val="16"/>
      </w:rPr>
    </w:pPr>
    <w:r w:rsidRPr="00FA6CB6">
      <w:rPr>
        <w:szCs w:val="16"/>
      </w:rPr>
      <w:tab/>
    </w:r>
    <w:r>
      <w:rPr>
        <w:szCs w:val="16"/>
      </w:rPr>
      <w:t>1. pololetí 2021</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1D6175">
      <w:rPr>
        <w:rStyle w:val="ZpatChar"/>
        <w:szCs w:val="16"/>
      </w:rPr>
      <w:t>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CC36" w14:textId="77777777" w:rsidR="00F37362" w:rsidRDefault="00F37362" w:rsidP="00A21B4D">
      <w:pPr>
        <w:spacing w:after="0"/>
      </w:pPr>
      <w:r>
        <w:separator/>
      </w:r>
    </w:p>
  </w:footnote>
  <w:footnote w:type="continuationSeparator" w:id="0">
    <w:p w14:paraId="1FE2008E" w14:textId="77777777" w:rsidR="00F37362" w:rsidRDefault="00F37362" w:rsidP="00E71A58">
      <w:r>
        <w:continuationSeparator/>
      </w:r>
    </w:p>
  </w:footnote>
  <w:footnote w:id="1">
    <w:p w14:paraId="31257F75" w14:textId="77777777" w:rsidR="00C872AA" w:rsidRPr="00957140" w:rsidRDefault="00C872AA" w:rsidP="00783576">
      <w:pPr>
        <w:pStyle w:val="Textpoznpodarou"/>
        <w:rPr>
          <w:spacing w:val="-2"/>
          <w:sz w:val="16"/>
          <w:szCs w:val="16"/>
        </w:rPr>
      </w:pPr>
      <w:r w:rsidRPr="00957140">
        <w:rPr>
          <w:rStyle w:val="Znakapoznpodarou"/>
          <w:spacing w:val="-2"/>
          <w:sz w:val="16"/>
          <w:szCs w:val="16"/>
        </w:rPr>
        <w:footnoteRef/>
      </w:r>
      <w:r w:rsidRPr="00957140">
        <w:rPr>
          <w:spacing w:val="-2"/>
          <w:sz w:val="16"/>
          <w:szCs w:val="16"/>
        </w:rPr>
        <w:t xml:space="preserve"> Data o HDP, hrubé přidané hodnotě a jejich složkách jsou vyjádřena ve stálých cenách a v očištění o sezónní a kalendářní vlivy.</w:t>
      </w:r>
    </w:p>
  </w:footnote>
  <w:footnote w:id="2">
    <w:p w14:paraId="069782B9" w14:textId="77777777" w:rsidR="00C872AA" w:rsidRPr="00957140" w:rsidRDefault="00C872AA" w:rsidP="00783576">
      <w:pPr>
        <w:pStyle w:val="Textpoznpodarou"/>
        <w:rPr>
          <w:sz w:val="16"/>
          <w:szCs w:val="16"/>
        </w:rPr>
      </w:pPr>
      <w:r w:rsidRPr="00957140">
        <w:rPr>
          <w:rStyle w:val="Znakapoznpodarou"/>
          <w:sz w:val="16"/>
          <w:szCs w:val="16"/>
        </w:rPr>
        <w:footnoteRef/>
      </w:r>
      <w:r w:rsidRPr="00957140">
        <w:rPr>
          <w:sz w:val="16"/>
          <w:szCs w:val="16"/>
        </w:rPr>
        <w:t xml:space="preserve"> Podle metodiky čtvrtletních národních účtů (vývoz a dovoz v ocenění FOB/FOB).</w:t>
      </w:r>
    </w:p>
  </w:footnote>
  <w:footnote w:id="3">
    <w:p w14:paraId="7D7EB72A" w14:textId="77777777" w:rsidR="00C872AA" w:rsidRPr="00957140" w:rsidRDefault="00C872AA" w:rsidP="00783576">
      <w:pPr>
        <w:pStyle w:val="Textpoznpodarou"/>
        <w:jc w:val="both"/>
        <w:rPr>
          <w:sz w:val="16"/>
          <w:szCs w:val="16"/>
        </w:rPr>
      </w:pPr>
      <w:r w:rsidRPr="00957140">
        <w:rPr>
          <w:rStyle w:val="Znakapoznpodarou"/>
          <w:spacing w:val="-2"/>
          <w:sz w:val="16"/>
          <w:szCs w:val="16"/>
        </w:rPr>
        <w:footnoteRef/>
      </w:r>
      <w:r w:rsidRPr="00957140">
        <w:rPr>
          <w:spacing w:val="-2"/>
          <w:sz w:val="16"/>
          <w:szCs w:val="16"/>
        </w:rPr>
        <w:t xml:space="preserve"> Údaje o zaměstnanosti jsou uvedeny v pojetí národních účtů a očištěny o sezónní vlivy.</w:t>
      </w:r>
    </w:p>
  </w:footnote>
  <w:footnote w:id="4">
    <w:p w14:paraId="0145BCCC" w14:textId="77777777" w:rsidR="00C872AA" w:rsidRPr="000348AF" w:rsidRDefault="00C872AA" w:rsidP="0039398D">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 </w:t>
      </w:r>
      <w:r>
        <w:rPr>
          <w:sz w:val="16"/>
          <w:szCs w:val="16"/>
        </w:rPr>
        <w:t>31</w:t>
      </w:r>
      <w:r w:rsidRPr="000348AF">
        <w:rPr>
          <w:sz w:val="16"/>
          <w:szCs w:val="16"/>
        </w:rPr>
        <w:t>. </w:t>
      </w:r>
      <w:r>
        <w:rPr>
          <w:sz w:val="16"/>
          <w:szCs w:val="16"/>
        </w:rPr>
        <w:t>8</w:t>
      </w:r>
      <w:r w:rsidRPr="000348AF">
        <w:rPr>
          <w:sz w:val="16"/>
          <w:szCs w:val="16"/>
        </w:rPr>
        <w:t>. 2021.</w:t>
      </w:r>
    </w:p>
  </w:footnote>
  <w:footnote w:id="5">
    <w:p w14:paraId="6B689F5F" w14:textId="77777777" w:rsidR="00C872AA" w:rsidRPr="001E74E3" w:rsidRDefault="00C872AA" w:rsidP="0039398D">
      <w:pPr>
        <w:pStyle w:val="Textpoznpodarou"/>
        <w:rPr>
          <w:sz w:val="16"/>
          <w:szCs w:val="16"/>
        </w:rPr>
      </w:pPr>
      <w:r w:rsidRPr="001E74E3">
        <w:rPr>
          <w:rStyle w:val="Znakapoznpodarou"/>
          <w:sz w:val="16"/>
          <w:szCs w:val="16"/>
        </w:rPr>
        <w:footnoteRef/>
      </w:r>
      <w:r w:rsidRPr="001E74E3">
        <w:rPr>
          <w:sz w:val="16"/>
          <w:szCs w:val="16"/>
        </w:rPr>
        <w:t xml:space="preserve"> Data za Bulharsko, Irsko, Lucembursko a</w:t>
      </w:r>
      <w:r>
        <w:rPr>
          <w:sz w:val="16"/>
          <w:szCs w:val="16"/>
        </w:rPr>
        <w:t> </w:t>
      </w:r>
      <w:r w:rsidRPr="001E74E3">
        <w:rPr>
          <w:sz w:val="16"/>
          <w:szCs w:val="16"/>
        </w:rPr>
        <w:t>Řecko nebyla dostupná.</w:t>
      </w:r>
    </w:p>
  </w:footnote>
  <w:footnote w:id="6">
    <w:p w14:paraId="27B6E15F" w14:textId="77777777" w:rsidR="00C872AA" w:rsidRPr="001E74E3" w:rsidRDefault="00C872AA" w:rsidP="0039398D">
      <w:pPr>
        <w:pStyle w:val="Textpoznpodarou"/>
        <w:rPr>
          <w:sz w:val="16"/>
          <w:szCs w:val="16"/>
        </w:rPr>
      </w:pPr>
      <w:r w:rsidRPr="001E74E3">
        <w:rPr>
          <w:rStyle w:val="Znakapoznpodarou"/>
          <w:sz w:val="16"/>
          <w:szCs w:val="16"/>
        </w:rPr>
        <w:footnoteRef/>
      </w:r>
      <w:r w:rsidRPr="001E74E3">
        <w:rPr>
          <w:sz w:val="16"/>
          <w:szCs w:val="16"/>
        </w:rPr>
        <w:t xml:space="preserve"> Srovnání HDP v cenách roku 2015.</w:t>
      </w:r>
    </w:p>
  </w:footnote>
  <w:footnote w:id="7">
    <w:p w14:paraId="2DF0C112" w14:textId="77777777" w:rsidR="00C872AA" w:rsidRPr="005F75B1" w:rsidRDefault="00C872AA" w:rsidP="0039398D">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8">
    <w:p w14:paraId="082B94ED" w14:textId="77777777" w:rsidR="00C872AA" w:rsidRPr="00771972" w:rsidRDefault="00C872AA" w:rsidP="0039398D">
      <w:pPr>
        <w:pStyle w:val="Textpoznpodarou"/>
        <w:rPr>
          <w:sz w:val="16"/>
          <w:szCs w:val="16"/>
        </w:rPr>
      </w:pPr>
      <w:r w:rsidRPr="00771972">
        <w:rPr>
          <w:rStyle w:val="Znakapoznpodarou"/>
          <w:sz w:val="16"/>
          <w:szCs w:val="16"/>
        </w:rPr>
        <w:footnoteRef/>
      </w:r>
      <w:r w:rsidRPr="00771972">
        <w:rPr>
          <w:sz w:val="16"/>
          <w:szCs w:val="16"/>
        </w:rPr>
        <w:t xml:space="preserve"> Veřejná správa a</w:t>
      </w:r>
      <w:r>
        <w:rPr>
          <w:sz w:val="16"/>
          <w:szCs w:val="16"/>
        </w:rPr>
        <w:t> </w:t>
      </w:r>
      <w:r w:rsidRPr="00771972">
        <w:rPr>
          <w:sz w:val="16"/>
          <w:szCs w:val="16"/>
        </w:rPr>
        <w:t>obrana, vzdělávání, zdravotní a</w:t>
      </w:r>
      <w:r>
        <w:rPr>
          <w:sz w:val="16"/>
          <w:szCs w:val="16"/>
        </w:rPr>
        <w:t> </w:t>
      </w:r>
      <w:r w:rsidRPr="00771972">
        <w:rPr>
          <w:sz w:val="16"/>
          <w:szCs w:val="16"/>
        </w:rPr>
        <w:t>sociální péče.</w:t>
      </w:r>
    </w:p>
  </w:footnote>
  <w:footnote w:id="9">
    <w:p w14:paraId="0AFD0338" w14:textId="77777777" w:rsidR="00C872AA" w:rsidRPr="009C6EA8" w:rsidRDefault="00C872AA" w:rsidP="0039398D">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10">
    <w:p w14:paraId="27713AE3" w14:textId="77777777" w:rsidR="00C872AA" w:rsidRPr="00AA3676" w:rsidRDefault="00C872AA" w:rsidP="0039398D">
      <w:pPr>
        <w:pStyle w:val="Textpoznpodarou"/>
        <w:rPr>
          <w:sz w:val="16"/>
          <w:szCs w:val="16"/>
        </w:rPr>
      </w:pPr>
      <w:r w:rsidRPr="00AA3676">
        <w:rPr>
          <w:rStyle w:val="Znakapoznpodarou"/>
          <w:sz w:val="16"/>
          <w:szCs w:val="16"/>
        </w:rPr>
        <w:footnoteRef/>
      </w:r>
      <w:r w:rsidRPr="00AA3676">
        <w:rPr>
          <w:sz w:val="16"/>
          <w:szCs w:val="16"/>
        </w:rPr>
        <w:t xml:space="preserve"> </w:t>
      </w:r>
      <w:r>
        <w:rPr>
          <w:sz w:val="16"/>
          <w:szCs w:val="16"/>
        </w:rPr>
        <w:t>D</w:t>
      </w:r>
      <w:r w:rsidRPr="00AA3676">
        <w:rPr>
          <w:spacing w:val="-2"/>
          <w:sz w:val="16"/>
          <w:szCs w:val="16"/>
        </w:rPr>
        <w:t>o</w:t>
      </w:r>
      <w:r>
        <w:rPr>
          <w:spacing w:val="-2"/>
          <w:sz w:val="16"/>
          <w:szCs w:val="16"/>
        </w:rPr>
        <w:t xml:space="preserve"> střednědobé</w:t>
      </w:r>
      <w:r w:rsidRPr="00AA3676">
        <w:rPr>
          <w:spacing w:val="-2"/>
          <w:sz w:val="16"/>
          <w:szCs w:val="16"/>
        </w:rPr>
        <w:t xml:space="preserve"> kategorie spadá velká část omezeného maloobchodu</w:t>
      </w:r>
      <w:r>
        <w:rPr>
          <w:spacing w:val="-2"/>
          <w:sz w:val="16"/>
          <w:szCs w:val="16"/>
        </w:rPr>
        <w:t> </w:t>
      </w:r>
      <w:r w:rsidRPr="00AA3676">
        <w:rPr>
          <w:spacing w:val="-2"/>
          <w:sz w:val="16"/>
          <w:szCs w:val="16"/>
        </w:rPr>
        <w:t>– oděvy, rekreační a</w:t>
      </w:r>
      <w:r>
        <w:rPr>
          <w:spacing w:val="-2"/>
          <w:sz w:val="16"/>
          <w:szCs w:val="16"/>
        </w:rPr>
        <w:t> </w:t>
      </w:r>
      <w:r w:rsidRPr="00AA3676">
        <w:rPr>
          <w:spacing w:val="-2"/>
          <w:sz w:val="16"/>
          <w:szCs w:val="16"/>
        </w:rPr>
        <w:t>sportovní potřeby apod.</w:t>
      </w:r>
    </w:p>
  </w:footnote>
  <w:footnote w:id="11">
    <w:p w14:paraId="3DECCB24" w14:textId="77777777" w:rsidR="00C872AA" w:rsidRPr="00954992" w:rsidRDefault="00C872AA" w:rsidP="0039398D">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12">
    <w:p w14:paraId="4039F227" w14:textId="77777777" w:rsidR="00C872AA" w:rsidRPr="004831F6" w:rsidRDefault="00C872AA" w:rsidP="0039398D">
      <w:pPr>
        <w:pStyle w:val="Textpoznpodarou"/>
        <w:rPr>
          <w:sz w:val="16"/>
          <w:szCs w:val="16"/>
        </w:rPr>
      </w:pPr>
      <w:r w:rsidRPr="004831F6">
        <w:rPr>
          <w:rStyle w:val="Znakapoznpodarou"/>
          <w:sz w:val="16"/>
          <w:szCs w:val="16"/>
        </w:rPr>
        <w:footnoteRef/>
      </w:r>
      <w:r w:rsidRPr="004831F6">
        <w:rPr>
          <w:sz w:val="16"/>
          <w:szCs w:val="16"/>
        </w:rPr>
        <w:t xml:space="preserve"> Změna zásob (v</w:t>
      </w:r>
      <w:r>
        <w:rPr>
          <w:sz w:val="16"/>
          <w:szCs w:val="16"/>
        </w:rPr>
        <w:t> </w:t>
      </w:r>
      <w:r w:rsidRPr="004831F6">
        <w:rPr>
          <w:sz w:val="16"/>
          <w:szCs w:val="16"/>
        </w:rPr>
        <w:t>běžných cenách a</w:t>
      </w:r>
      <w:r>
        <w:rPr>
          <w:sz w:val="16"/>
          <w:szCs w:val="16"/>
        </w:rPr>
        <w:t> </w:t>
      </w:r>
      <w:r w:rsidRPr="004831F6">
        <w:rPr>
          <w:sz w:val="16"/>
          <w:szCs w:val="16"/>
        </w:rPr>
        <w:t>sezónně neočištěná) dosáhla ve 2.</w:t>
      </w:r>
      <w:r>
        <w:rPr>
          <w:sz w:val="16"/>
          <w:szCs w:val="16"/>
        </w:rPr>
        <w:t> čtvrtlet</w:t>
      </w:r>
      <w:r w:rsidRPr="004831F6">
        <w:rPr>
          <w:sz w:val="16"/>
          <w:szCs w:val="16"/>
        </w:rPr>
        <w:t>í +58,9</w:t>
      </w:r>
      <w:r>
        <w:rPr>
          <w:sz w:val="16"/>
          <w:szCs w:val="16"/>
        </w:rPr>
        <w:t> mld.</w:t>
      </w:r>
      <w:r w:rsidRPr="004831F6">
        <w:rPr>
          <w:sz w:val="16"/>
          <w:szCs w:val="16"/>
        </w:rPr>
        <w:t xml:space="preserve"> korun.</w:t>
      </w:r>
    </w:p>
  </w:footnote>
  <w:footnote w:id="13">
    <w:p w14:paraId="0A0BA65A" w14:textId="77777777" w:rsidR="00C872AA" w:rsidRPr="00167B30" w:rsidRDefault="00C872AA" w:rsidP="0039398D">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w:t>
      </w:r>
    </w:p>
  </w:footnote>
  <w:footnote w:id="14">
    <w:p w14:paraId="7BF9788C" w14:textId="77777777" w:rsidR="00ED1959" w:rsidRPr="00FB58F4" w:rsidRDefault="00ED1959" w:rsidP="00ED1959">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Údaje o</w:t>
      </w:r>
      <w:r>
        <w:rPr>
          <w:rFonts w:cs="Arial"/>
          <w:color w:val="0D0D0D" w:themeColor="text1" w:themeTint="F2"/>
          <w:spacing w:val="-2"/>
          <w:sz w:val="16"/>
          <w:szCs w:val="16"/>
        </w:rPr>
        <w:t> </w:t>
      </w:r>
      <w:r w:rsidRPr="00FB58F4">
        <w:rPr>
          <w:rFonts w:cs="Arial"/>
          <w:color w:val="0D0D0D" w:themeColor="text1" w:themeTint="F2"/>
          <w:spacing w:val="-2"/>
          <w:sz w:val="16"/>
          <w:szCs w:val="16"/>
        </w:rPr>
        <w:t>HPH jsou vyjádřeny ve stálých cenách a</w:t>
      </w:r>
      <w:r>
        <w:rPr>
          <w:rFonts w:cs="Arial"/>
          <w:color w:val="0D0D0D" w:themeColor="text1" w:themeTint="F2"/>
          <w:spacing w:val="-2"/>
          <w:sz w:val="16"/>
          <w:szCs w:val="16"/>
        </w:rPr>
        <w:t> </w:t>
      </w:r>
      <w:r w:rsidRPr="00FB58F4">
        <w:rPr>
          <w:rFonts w:cs="Arial"/>
          <w:color w:val="0D0D0D" w:themeColor="text1" w:themeTint="F2"/>
          <w:spacing w:val="-2"/>
          <w:sz w:val="16"/>
          <w:szCs w:val="16"/>
        </w:rPr>
        <w:t>v očištění o</w:t>
      </w:r>
      <w:r>
        <w:rPr>
          <w:rFonts w:cs="Arial"/>
          <w:color w:val="0D0D0D" w:themeColor="text1" w:themeTint="F2"/>
          <w:spacing w:val="-2"/>
          <w:sz w:val="16"/>
          <w:szCs w:val="16"/>
        </w:rPr>
        <w:t> </w:t>
      </w:r>
      <w:r w:rsidRPr="00FB58F4">
        <w:rPr>
          <w:rFonts w:cs="Arial"/>
          <w:color w:val="0D0D0D" w:themeColor="text1" w:themeTint="F2"/>
          <w:spacing w:val="-2"/>
          <w:sz w:val="16"/>
          <w:szCs w:val="16"/>
        </w:rPr>
        <w:t>sezónní a</w:t>
      </w:r>
      <w:r>
        <w:rPr>
          <w:rFonts w:cs="Arial"/>
          <w:color w:val="0D0D0D" w:themeColor="text1" w:themeTint="F2"/>
          <w:spacing w:val="-2"/>
          <w:sz w:val="16"/>
          <w:szCs w:val="16"/>
        </w:rPr>
        <w:t> </w:t>
      </w:r>
      <w:r w:rsidRPr="00FB58F4">
        <w:rPr>
          <w:rFonts w:cs="Arial"/>
          <w:color w:val="0D0D0D" w:themeColor="text1" w:themeTint="F2"/>
          <w:spacing w:val="-2"/>
          <w:sz w:val="16"/>
          <w:szCs w:val="16"/>
        </w:rPr>
        <w:t>kalendářní vlivy.</w:t>
      </w:r>
    </w:p>
  </w:footnote>
  <w:footnote w:id="15">
    <w:p w14:paraId="2C92995B" w14:textId="77777777" w:rsidR="00ED1959" w:rsidRPr="00C70024" w:rsidRDefault="00ED1959" w:rsidP="00ED1959">
      <w:pPr>
        <w:pStyle w:val="Textpoznpodarou"/>
        <w:rPr>
          <w:sz w:val="16"/>
          <w:szCs w:val="16"/>
        </w:rPr>
      </w:pPr>
      <w:r w:rsidRPr="00C70024">
        <w:rPr>
          <w:rStyle w:val="Znakapoznpodarou"/>
          <w:sz w:val="16"/>
          <w:szCs w:val="16"/>
        </w:rPr>
        <w:footnoteRef/>
      </w:r>
      <w:r w:rsidRPr="00C70024">
        <w:rPr>
          <w:sz w:val="16"/>
          <w:szCs w:val="16"/>
        </w:rPr>
        <w:t xml:space="preserve"> To platilo analogicky i</w:t>
      </w:r>
      <w:r>
        <w:rPr>
          <w:sz w:val="16"/>
          <w:szCs w:val="16"/>
        </w:rPr>
        <w:t> </w:t>
      </w:r>
      <w:r w:rsidRPr="00C70024">
        <w:rPr>
          <w:sz w:val="16"/>
          <w:szCs w:val="16"/>
        </w:rPr>
        <w:t xml:space="preserve">pro </w:t>
      </w:r>
      <w:proofErr w:type="gramStart"/>
      <w:r w:rsidRPr="00C70024">
        <w:rPr>
          <w:sz w:val="16"/>
          <w:szCs w:val="16"/>
        </w:rPr>
        <w:t>EU (</w:t>
      </w:r>
      <w:r>
        <w:rPr>
          <w:sz w:val="16"/>
          <w:szCs w:val="16"/>
        </w:rPr>
        <w:t>–</w:t>
      </w:r>
      <w:r w:rsidRPr="00C70024">
        <w:rPr>
          <w:sz w:val="16"/>
          <w:szCs w:val="16"/>
        </w:rPr>
        <w:t>2,2</w:t>
      </w:r>
      <w:proofErr w:type="gramEnd"/>
      <w:r>
        <w:rPr>
          <w:sz w:val="16"/>
          <w:szCs w:val="16"/>
        </w:rPr>
        <w:t> %</w:t>
      </w:r>
      <w:r w:rsidRPr="00C70024">
        <w:rPr>
          <w:sz w:val="16"/>
          <w:szCs w:val="16"/>
        </w:rPr>
        <w:t xml:space="preserve">), včetně všech jejích nejvýznamnějších ekonomik. </w:t>
      </w:r>
      <w:r>
        <w:rPr>
          <w:sz w:val="16"/>
          <w:szCs w:val="16"/>
        </w:rPr>
        <w:t>Naopak své předkrizové maximum z pohledu HPH již během dosavadní části letošního roku překonaly pobaltské státy, většina severských států, ale také např. Polsko, Maďarsko, Slovinsko či Rumunsko – tedy státy, v jejichž ekonomikách hrají služby vázané na cestovní ruch relativně menší roli.</w:t>
      </w:r>
    </w:p>
  </w:footnote>
  <w:footnote w:id="16">
    <w:p w14:paraId="0F1213B3" w14:textId="77777777" w:rsidR="00ED1959" w:rsidRPr="00DF11EC" w:rsidRDefault="00ED1959" w:rsidP="00ED1959">
      <w:pPr>
        <w:pStyle w:val="Textpoznpodarou"/>
        <w:rPr>
          <w:sz w:val="16"/>
          <w:szCs w:val="16"/>
        </w:rPr>
      </w:pPr>
      <w:r w:rsidRPr="00DF11EC">
        <w:rPr>
          <w:rStyle w:val="Znakapoznpodarou"/>
          <w:sz w:val="16"/>
          <w:szCs w:val="16"/>
        </w:rPr>
        <w:footnoteRef/>
      </w:r>
      <w:r>
        <w:rPr>
          <w:sz w:val="16"/>
          <w:szCs w:val="16"/>
        </w:rPr>
        <w:t xml:space="preserve"> Méně</w:t>
      </w:r>
      <w:r w:rsidRPr="00DF11EC">
        <w:rPr>
          <w:sz w:val="16"/>
          <w:szCs w:val="16"/>
        </w:rPr>
        <w:t xml:space="preserve"> růstová odvětví vytvářela v 1.</w:t>
      </w:r>
      <w:r>
        <w:rPr>
          <w:sz w:val="16"/>
          <w:szCs w:val="16"/>
        </w:rPr>
        <w:t> pololet</w:t>
      </w:r>
      <w:r w:rsidRPr="00DF11EC">
        <w:rPr>
          <w:sz w:val="16"/>
          <w:szCs w:val="16"/>
        </w:rPr>
        <w:t>í 2021 necelých 30</w:t>
      </w:r>
      <w:r>
        <w:rPr>
          <w:sz w:val="16"/>
          <w:szCs w:val="16"/>
        </w:rPr>
        <w:t> %</w:t>
      </w:r>
      <w:r w:rsidRPr="00DF11EC">
        <w:rPr>
          <w:sz w:val="16"/>
          <w:szCs w:val="16"/>
        </w:rPr>
        <w:t xml:space="preserve"> HPH národního hospodářství.</w:t>
      </w:r>
    </w:p>
  </w:footnote>
  <w:footnote w:id="17">
    <w:p w14:paraId="438A731F" w14:textId="77777777" w:rsidR="00ED1959" w:rsidRPr="00DF11EC" w:rsidRDefault="00ED1959" w:rsidP="00ED1959">
      <w:pPr>
        <w:pStyle w:val="Textpoznpodarou"/>
        <w:rPr>
          <w:sz w:val="16"/>
          <w:szCs w:val="16"/>
        </w:rPr>
      </w:pPr>
      <w:r w:rsidRPr="00DF11EC">
        <w:rPr>
          <w:rStyle w:val="Znakapoznpodarou"/>
          <w:sz w:val="16"/>
          <w:szCs w:val="16"/>
        </w:rPr>
        <w:footnoteRef/>
      </w:r>
      <w:r w:rsidRPr="00DF11EC">
        <w:rPr>
          <w:sz w:val="16"/>
          <w:szCs w:val="16"/>
        </w:rPr>
        <w:t xml:space="preserve"> Zahrnuj</w:t>
      </w:r>
      <w:r>
        <w:rPr>
          <w:sz w:val="16"/>
          <w:szCs w:val="16"/>
        </w:rPr>
        <w:t>í</w:t>
      </w:r>
      <w:r w:rsidRPr="00DF11EC">
        <w:rPr>
          <w:sz w:val="16"/>
          <w:szCs w:val="16"/>
        </w:rPr>
        <w:t xml:space="preserve"> veřejnou správu a</w:t>
      </w:r>
      <w:r>
        <w:rPr>
          <w:sz w:val="16"/>
          <w:szCs w:val="16"/>
        </w:rPr>
        <w:t> </w:t>
      </w:r>
      <w:r w:rsidRPr="00DF11EC">
        <w:rPr>
          <w:sz w:val="16"/>
          <w:szCs w:val="16"/>
        </w:rPr>
        <w:t>obranu, vzdělávání, zdravotní a</w:t>
      </w:r>
      <w:r>
        <w:rPr>
          <w:sz w:val="16"/>
          <w:szCs w:val="16"/>
        </w:rPr>
        <w:t> </w:t>
      </w:r>
      <w:r w:rsidRPr="00DF11EC">
        <w:rPr>
          <w:sz w:val="16"/>
          <w:szCs w:val="16"/>
        </w:rPr>
        <w:t>sociální péči.</w:t>
      </w:r>
    </w:p>
  </w:footnote>
  <w:footnote w:id="18">
    <w:p w14:paraId="316F55D6" w14:textId="77777777" w:rsidR="00ED1959" w:rsidRDefault="00ED1959" w:rsidP="00ED1959">
      <w:pPr>
        <w:pStyle w:val="Textpoznpodarou"/>
      </w:pPr>
      <w:r w:rsidRPr="00743B12">
        <w:rPr>
          <w:rStyle w:val="Znakapoznpodarou"/>
          <w:sz w:val="16"/>
          <w:szCs w:val="16"/>
        </w:rPr>
        <w:footnoteRef/>
      </w:r>
      <w:r w:rsidRPr="00743B12">
        <w:rPr>
          <w:sz w:val="16"/>
          <w:szCs w:val="16"/>
        </w:rPr>
        <w:t xml:space="preserve"> Údaje vycház</w:t>
      </w:r>
      <w:r>
        <w:rPr>
          <w:sz w:val="16"/>
          <w:szCs w:val="16"/>
        </w:rPr>
        <w:t>ej</w:t>
      </w:r>
      <w:r w:rsidRPr="00743B12">
        <w:rPr>
          <w:sz w:val="16"/>
          <w:szCs w:val="16"/>
        </w:rPr>
        <w:t>í z národních účtů a</w:t>
      </w:r>
      <w:r>
        <w:rPr>
          <w:sz w:val="16"/>
          <w:szCs w:val="16"/>
        </w:rPr>
        <w:t> </w:t>
      </w:r>
      <w:r w:rsidRPr="00743B12">
        <w:rPr>
          <w:sz w:val="16"/>
          <w:szCs w:val="16"/>
        </w:rPr>
        <w:t xml:space="preserve">jsou očištěny </w:t>
      </w:r>
      <w:r w:rsidRPr="00743B12">
        <w:rPr>
          <w:rFonts w:cs="Arial"/>
          <w:color w:val="0D0D0D" w:themeColor="text1" w:themeTint="F2"/>
          <w:spacing w:val="-2"/>
          <w:sz w:val="16"/>
          <w:szCs w:val="16"/>
        </w:rPr>
        <w:t>o sezónní</w:t>
      </w:r>
      <w:r w:rsidRPr="00FB58F4">
        <w:rPr>
          <w:rFonts w:cs="Arial"/>
          <w:color w:val="0D0D0D" w:themeColor="text1" w:themeTint="F2"/>
          <w:spacing w:val="-2"/>
          <w:sz w:val="16"/>
          <w:szCs w:val="16"/>
        </w:rPr>
        <w:t xml:space="preserve"> a</w:t>
      </w:r>
      <w:r>
        <w:rPr>
          <w:rFonts w:cs="Arial"/>
          <w:color w:val="0D0D0D" w:themeColor="text1" w:themeTint="F2"/>
          <w:spacing w:val="-2"/>
          <w:sz w:val="16"/>
          <w:szCs w:val="16"/>
        </w:rPr>
        <w:t> </w:t>
      </w:r>
      <w:r w:rsidRPr="00FB58F4">
        <w:rPr>
          <w:rFonts w:cs="Arial"/>
          <w:color w:val="0D0D0D" w:themeColor="text1" w:themeTint="F2"/>
          <w:spacing w:val="-2"/>
          <w:sz w:val="16"/>
          <w:szCs w:val="16"/>
        </w:rPr>
        <w:t>kalendářní vlivy.</w:t>
      </w:r>
    </w:p>
  </w:footnote>
  <w:footnote w:id="19">
    <w:p w14:paraId="173CC9F6" w14:textId="77777777" w:rsidR="00ED1959" w:rsidRDefault="00ED1959" w:rsidP="00ED1959">
      <w:pPr>
        <w:pStyle w:val="Textpoznpodarou"/>
      </w:pPr>
      <w:r w:rsidRPr="001F719B">
        <w:rPr>
          <w:rStyle w:val="Znakapoznpodarou"/>
          <w:sz w:val="16"/>
          <w:szCs w:val="16"/>
        </w:rPr>
        <w:footnoteRef/>
      </w:r>
      <w:r w:rsidRPr="001F719B">
        <w:rPr>
          <w:sz w:val="16"/>
          <w:szCs w:val="16"/>
        </w:rPr>
        <w:t xml:space="preserve"> Zahrnuje</w:t>
      </w:r>
      <w:r w:rsidRPr="003B5B59">
        <w:rPr>
          <w:sz w:val="16"/>
          <w:szCs w:val="16"/>
        </w:rPr>
        <w:t xml:space="preserve"> kulturní, zábavní a</w:t>
      </w:r>
      <w:r>
        <w:rPr>
          <w:sz w:val="16"/>
          <w:szCs w:val="16"/>
        </w:rPr>
        <w:t> </w:t>
      </w:r>
      <w:r w:rsidRPr="003B5B59">
        <w:rPr>
          <w:sz w:val="16"/>
          <w:szCs w:val="16"/>
        </w:rPr>
        <w:t>rekreační činnosti a</w:t>
      </w:r>
      <w:r>
        <w:rPr>
          <w:sz w:val="16"/>
          <w:szCs w:val="16"/>
        </w:rPr>
        <w:t> </w:t>
      </w:r>
      <w:r w:rsidRPr="003B5B59">
        <w:rPr>
          <w:sz w:val="16"/>
          <w:szCs w:val="16"/>
        </w:rPr>
        <w:t xml:space="preserve">dále zejména poskytování osobních služeb (např. kadeřnictví, kosmetické služby, </w:t>
      </w:r>
      <w:r>
        <w:rPr>
          <w:rFonts w:cs="Arial"/>
          <w:color w:val="0D0D0D" w:themeColor="text1" w:themeTint="F2"/>
          <w:spacing w:val="-2"/>
          <w:sz w:val="16"/>
          <w:szCs w:val="16"/>
        </w:rPr>
        <w:t xml:space="preserve">čisticí služby či </w:t>
      </w:r>
      <w:r w:rsidRPr="003B5B59">
        <w:rPr>
          <w:sz w:val="16"/>
          <w:szCs w:val="16"/>
        </w:rPr>
        <w:t>opravy výrobků pro osobní potřebu a převážně pro</w:t>
      </w:r>
      <w:r>
        <w:rPr>
          <w:sz w:val="16"/>
          <w:szCs w:val="16"/>
        </w:rPr>
        <w:t xml:space="preserve"> </w:t>
      </w:r>
      <w:r w:rsidRPr="003B5B59">
        <w:rPr>
          <w:sz w:val="16"/>
          <w:szCs w:val="16"/>
        </w:rPr>
        <w:t>domácnost).</w:t>
      </w:r>
    </w:p>
  </w:footnote>
  <w:footnote w:id="20">
    <w:p w14:paraId="121CA655" w14:textId="77777777" w:rsidR="00ED1959" w:rsidRPr="00CE71E4" w:rsidRDefault="00ED1959" w:rsidP="00ED1959">
      <w:pPr>
        <w:pStyle w:val="Textpoznpodarou"/>
        <w:jc w:val="both"/>
        <w:rPr>
          <w:rFonts w:cs="Arial"/>
          <w:color w:val="0D0D0D" w:themeColor="text1" w:themeTint="F2"/>
          <w:spacing w:val="-2"/>
          <w:sz w:val="16"/>
          <w:szCs w:val="16"/>
        </w:rPr>
      </w:pPr>
      <w:r w:rsidRPr="00CE71E4">
        <w:rPr>
          <w:rStyle w:val="Znakapoznpodarou"/>
          <w:rFonts w:cs="Arial"/>
          <w:color w:val="0D0D0D" w:themeColor="text1" w:themeTint="F2"/>
          <w:spacing w:val="-2"/>
          <w:sz w:val="16"/>
          <w:szCs w:val="16"/>
        </w:rPr>
        <w:footnoteRef/>
      </w:r>
      <w:r w:rsidRPr="00CE71E4">
        <w:rPr>
          <w:rFonts w:cs="Arial"/>
          <w:color w:val="0D0D0D" w:themeColor="text1" w:themeTint="F2"/>
          <w:spacing w:val="-2"/>
          <w:sz w:val="16"/>
          <w:szCs w:val="16"/>
        </w:rPr>
        <w:t xml:space="preserve"> Zahrnuje odvětví těžby a dobývání, zpracovatelského průmyslu a také energetiky (zde pojímané jako odvětví výroby a rozvodu elektřiny, plynu, tepla a klimatizovaného vzduchu). Všechna meziroční tempa produkce (na úrovni odvětvových sekcí i oddílů) jsou očištěna o kalendářní vlivy, mezičtvrtletní i meziměsíční tempa pak také o vliv sezónnosti.</w:t>
      </w:r>
    </w:p>
  </w:footnote>
  <w:footnote w:id="21">
    <w:p w14:paraId="7025B4B0" w14:textId="77777777" w:rsidR="00ED1959" w:rsidRPr="00EB7CEF" w:rsidRDefault="00ED1959" w:rsidP="00ED1959">
      <w:pPr>
        <w:pStyle w:val="Textpoznpodarou"/>
        <w:rPr>
          <w:sz w:val="16"/>
          <w:szCs w:val="16"/>
        </w:rPr>
      </w:pPr>
      <w:r w:rsidRPr="00EB7CEF">
        <w:rPr>
          <w:rStyle w:val="Znakapoznpodarou"/>
          <w:sz w:val="16"/>
          <w:szCs w:val="16"/>
        </w:rPr>
        <w:footnoteRef/>
      </w:r>
      <w:r w:rsidRPr="00EB7CEF">
        <w:rPr>
          <w:sz w:val="16"/>
          <w:szCs w:val="16"/>
        </w:rPr>
        <w:t xml:space="preserve"> Do Německa směřovalo ve 2.</w:t>
      </w:r>
      <w:r>
        <w:rPr>
          <w:sz w:val="16"/>
          <w:szCs w:val="16"/>
        </w:rPr>
        <w:t> čtvrtlet</w:t>
      </w:r>
      <w:r w:rsidRPr="00EB7CEF">
        <w:rPr>
          <w:sz w:val="16"/>
          <w:szCs w:val="16"/>
        </w:rPr>
        <w:t>í 30,8</w:t>
      </w:r>
      <w:r>
        <w:rPr>
          <w:sz w:val="16"/>
          <w:szCs w:val="16"/>
        </w:rPr>
        <w:t> %</w:t>
      </w:r>
      <w:r w:rsidRPr="00EB7CEF">
        <w:rPr>
          <w:sz w:val="16"/>
          <w:szCs w:val="16"/>
        </w:rPr>
        <w:t xml:space="preserve"> hodnoty celkového tuzemského exportu průmyslového zboží, do EU pak rovných 80</w:t>
      </w:r>
      <w:r>
        <w:rPr>
          <w:sz w:val="16"/>
          <w:szCs w:val="16"/>
        </w:rPr>
        <w:t> %</w:t>
      </w:r>
      <w:r w:rsidRPr="00EB7CEF">
        <w:rPr>
          <w:sz w:val="16"/>
          <w:szCs w:val="16"/>
        </w:rPr>
        <w:t>.</w:t>
      </w:r>
    </w:p>
  </w:footnote>
  <w:footnote w:id="22">
    <w:p w14:paraId="7191AB69" w14:textId="604A2F08" w:rsidR="00ED1959" w:rsidRPr="00C46BC0" w:rsidRDefault="00ED1959" w:rsidP="00ED1959">
      <w:pPr>
        <w:pStyle w:val="Textpoznpodarou"/>
        <w:rPr>
          <w:sz w:val="16"/>
          <w:szCs w:val="16"/>
        </w:rPr>
      </w:pPr>
      <w:r w:rsidRPr="00C46BC0">
        <w:rPr>
          <w:rStyle w:val="Znakapoznpodarou"/>
          <w:sz w:val="16"/>
          <w:szCs w:val="16"/>
        </w:rPr>
        <w:footnoteRef/>
      </w:r>
      <w:r w:rsidRPr="00C46BC0">
        <w:rPr>
          <w:sz w:val="16"/>
          <w:szCs w:val="16"/>
        </w:rPr>
        <w:t xml:space="preserve"> V samotném le</w:t>
      </w:r>
      <w:r w:rsidR="00A45858">
        <w:rPr>
          <w:sz w:val="16"/>
          <w:szCs w:val="16"/>
        </w:rPr>
        <w:t>tošním dubnu tak</w:t>
      </w:r>
      <w:r w:rsidR="00C12304">
        <w:rPr>
          <w:sz w:val="16"/>
          <w:szCs w:val="16"/>
        </w:rPr>
        <w:t xml:space="preserve"> produkce v celém průmyslu</w:t>
      </w:r>
      <w:r w:rsidRPr="00C46BC0">
        <w:rPr>
          <w:sz w:val="16"/>
          <w:szCs w:val="16"/>
        </w:rPr>
        <w:t xml:space="preserve"> </w:t>
      </w:r>
      <w:r w:rsidR="00A45858">
        <w:rPr>
          <w:sz w:val="16"/>
          <w:szCs w:val="16"/>
        </w:rPr>
        <w:t xml:space="preserve">meziročně vzrostla o </w:t>
      </w:r>
      <w:r w:rsidRPr="00C46BC0">
        <w:rPr>
          <w:sz w:val="16"/>
          <w:szCs w:val="16"/>
        </w:rPr>
        <w:t>54</w:t>
      </w:r>
      <w:r>
        <w:rPr>
          <w:sz w:val="16"/>
          <w:szCs w:val="16"/>
        </w:rPr>
        <w:t> %</w:t>
      </w:r>
      <w:r w:rsidRPr="00C46BC0">
        <w:rPr>
          <w:sz w:val="16"/>
          <w:szCs w:val="16"/>
        </w:rPr>
        <w:t>, z toho</w:t>
      </w:r>
      <w:r w:rsidR="00C12304">
        <w:rPr>
          <w:sz w:val="16"/>
          <w:szCs w:val="16"/>
        </w:rPr>
        <w:t xml:space="preserve"> ve výrobě motorových vozidel</w:t>
      </w:r>
      <w:r w:rsidRPr="00C46BC0">
        <w:rPr>
          <w:sz w:val="16"/>
          <w:szCs w:val="16"/>
        </w:rPr>
        <w:t xml:space="preserve"> 445</w:t>
      </w:r>
      <w:r>
        <w:rPr>
          <w:sz w:val="16"/>
          <w:szCs w:val="16"/>
        </w:rPr>
        <w:t> %</w:t>
      </w:r>
      <w:r w:rsidR="00C12304">
        <w:rPr>
          <w:sz w:val="16"/>
          <w:szCs w:val="16"/>
        </w:rPr>
        <w:t>.</w:t>
      </w:r>
    </w:p>
  </w:footnote>
  <w:footnote w:id="23">
    <w:p w14:paraId="7C69D580" w14:textId="77777777" w:rsidR="00ED1959" w:rsidRPr="005D3416" w:rsidRDefault="00ED1959" w:rsidP="00ED1959">
      <w:pPr>
        <w:pStyle w:val="Textpoznpodarou"/>
        <w:rPr>
          <w:sz w:val="16"/>
          <w:szCs w:val="16"/>
        </w:rPr>
      </w:pPr>
      <w:r w:rsidRPr="00CE71E4">
        <w:rPr>
          <w:rStyle w:val="Znakapoznpodarou"/>
          <w:spacing w:val="-2"/>
          <w:sz w:val="16"/>
          <w:szCs w:val="16"/>
        </w:rPr>
        <w:footnoteRef/>
      </w:r>
      <w:r>
        <w:rPr>
          <w:spacing w:val="-2"/>
          <w:sz w:val="16"/>
          <w:szCs w:val="16"/>
        </w:rPr>
        <w:t xml:space="preserve"> To</w:t>
      </w:r>
      <w:r w:rsidRPr="00CE71E4">
        <w:rPr>
          <w:spacing w:val="-2"/>
          <w:sz w:val="16"/>
          <w:szCs w:val="16"/>
        </w:rPr>
        <w:t xml:space="preserve"> se vlivem cyklického útlumu, kte</w:t>
      </w:r>
      <w:r>
        <w:rPr>
          <w:spacing w:val="-2"/>
          <w:sz w:val="16"/>
          <w:szCs w:val="16"/>
        </w:rPr>
        <w:t>rým tuzemský průmysl procházel již ve druhé polovině</w:t>
      </w:r>
      <w:r w:rsidRPr="00CE71E4">
        <w:rPr>
          <w:spacing w:val="-2"/>
          <w:sz w:val="16"/>
          <w:szCs w:val="16"/>
        </w:rPr>
        <w:t xml:space="preserve"> </w:t>
      </w:r>
      <w:r>
        <w:rPr>
          <w:spacing w:val="-2"/>
          <w:sz w:val="16"/>
          <w:szCs w:val="16"/>
        </w:rPr>
        <w:t>předloňského roku, nacházelo</w:t>
      </w:r>
      <w:r w:rsidRPr="00CE71E4">
        <w:rPr>
          <w:spacing w:val="-2"/>
          <w:sz w:val="16"/>
          <w:szCs w:val="16"/>
        </w:rPr>
        <w:t xml:space="preserve"> v květnu 2019. Ve srovnání s</w:t>
      </w:r>
      <w:r>
        <w:rPr>
          <w:spacing w:val="-2"/>
          <w:sz w:val="16"/>
          <w:szCs w:val="16"/>
        </w:rPr>
        <w:t> </w:t>
      </w:r>
      <w:r w:rsidRPr="00CE71E4">
        <w:rPr>
          <w:spacing w:val="-2"/>
          <w:sz w:val="16"/>
          <w:szCs w:val="16"/>
        </w:rPr>
        <w:t>touto úrovn</w:t>
      </w:r>
      <w:r>
        <w:rPr>
          <w:spacing w:val="-2"/>
          <w:sz w:val="16"/>
          <w:szCs w:val="16"/>
        </w:rPr>
        <w:t>í</w:t>
      </w:r>
      <w:r w:rsidRPr="00CE71E4">
        <w:rPr>
          <w:spacing w:val="-2"/>
          <w:sz w:val="16"/>
          <w:szCs w:val="16"/>
        </w:rPr>
        <w:t xml:space="preserve"> byl</w:t>
      </w:r>
      <w:r>
        <w:rPr>
          <w:spacing w:val="-2"/>
          <w:sz w:val="16"/>
          <w:szCs w:val="16"/>
        </w:rPr>
        <w:t>a produkce v červnu 2021 o 4,0 %</w:t>
      </w:r>
      <w:r w:rsidRPr="00CE71E4">
        <w:rPr>
          <w:spacing w:val="-2"/>
          <w:sz w:val="16"/>
          <w:szCs w:val="16"/>
        </w:rPr>
        <w:t xml:space="preserve"> nižší.</w:t>
      </w:r>
      <w:r>
        <w:rPr>
          <w:spacing w:val="-2"/>
          <w:sz w:val="16"/>
          <w:szCs w:val="16"/>
        </w:rPr>
        <w:t xml:space="preserve"> Protože příznivý vývoj průmyslu pokračoval i letos v červenci, snížil se tento odstup již jen na 2,0 %.</w:t>
      </w:r>
    </w:p>
  </w:footnote>
  <w:footnote w:id="24">
    <w:p w14:paraId="0330812C" w14:textId="77777777" w:rsidR="00ED1959" w:rsidRPr="00B324AF" w:rsidRDefault="00ED1959" w:rsidP="00ED1959">
      <w:pPr>
        <w:pStyle w:val="Textpoznpodarou"/>
        <w:rPr>
          <w:sz w:val="16"/>
          <w:szCs w:val="16"/>
        </w:rPr>
      </w:pPr>
      <w:r w:rsidRPr="00B324AF">
        <w:rPr>
          <w:rStyle w:val="Znakapoznpodarou"/>
          <w:sz w:val="16"/>
          <w:szCs w:val="16"/>
        </w:rPr>
        <w:footnoteRef/>
      </w:r>
      <w:r w:rsidRPr="00B324AF">
        <w:rPr>
          <w:sz w:val="16"/>
          <w:szCs w:val="16"/>
        </w:rPr>
        <w:t xml:space="preserve"> </w:t>
      </w:r>
      <w:r w:rsidRPr="00B324AF">
        <w:rPr>
          <w:rFonts w:cs="Arial"/>
          <w:sz w:val="16"/>
          <w:szCs w:val="16"/>
        </w:rPr>
        <w:t>Přitom už v předchozím kvartálu došlo k poklesu ve srovnání s velmi silným závěrem roku 2020.</w:t>
      </w:r>
    </w:p>
  </w:footnote>
  <w:footnote w:id="25">
    <w:p w14:paraId="76D81739" w14:textId="77777777" w:rsidR="00ED1959" w:rsidRPr="0017398B" w:rsidRDefault="00ED1959" w:rsidP="00ED1959">
      <w:pPr>
        <w:pStyle w:val="Textpoznpodarou"/>
        <w:rPr>
          <w:sz w:val="16"/>
          <w:szCs w:val="16"/>
        </w:rPr>
      </w:pPr>
      <w:r w:rsidRPr="0017398B">
        <w:rPr>
          <w:rStyle w:val="Znakapoznpodarou"/>
          <w:sz w:val="16"/>
          <w:szCs w:val="16"/>
        </w:rPr>
        <w:footnoteRef/>
      </w:r>
      <w:r w:rsidRPr="0017398B">
        <w:rPr>
          <w:sz w:val="16"/>
          <w:szCs w:val="16"/>
        </w:rPr>
        <w:t xml:space="preserve"> Za celý rok 2020 se produkce propadla o</w:t>
      </w:r>
      <w:r>
        <w:rPr>
          <w:sz w:val="16"/>
          <w:szCs w:val="16"/>
        </w:rPr>
        <w:t> </w:t>
      </w:r>
      <w:r w:rsidRPr="0017398B">
        <w:rPr>
          <w:sz w:val="16"/>
          <w:szCs w:val="16"/>
        </w:rPr>
        <w:t>šestinu</w:t>
      </w:r>
      <w:r>
        <w:rPr>
          <w:sz w:val="16"/>
          <w:szCs w:val="16"/>
        </w:rPr>
        <w:t>,</w:t>
      </w:r>
      <w:r w:rsidRPr="0017398B">
        <w:rPr>
          <w:sz w:val="16"/>
          <w:szCs w:val="16"/>
        </w:rPr>
        <w:t xml:space="preserve"> tedy </w:t>
      </w:r>
      <w:r>
        <w:rPr>
          <w:sz w:val="16"/>
          <w:szCs w:val="16"/>
        </w:rPr>
        <w:t>nejvíce v</w:t>
      </w:r>
      <w:r w:rsidRPr="0017398B">
        <w:rPr>
          <w:sz w:val="16"/>
          <w:szCs w:val="16"/>
        </w:rPr>
        <w:t>e srovnatelné řadě od roku 2000.</w:t>
      </w:r>
    </w:p>
  </w:footnote>
  <w:footnote w:id="26">
    <w:p w14:paraId="5AFFE649" w14:textId="77777777" w:rsidR="00ED1959" w:rsidRPr="007E52E6" w:rsidRDefault="00ED1959" w:rsidP="00ED1959">
      <w:pPr>
        <w:pStyle w:val="Textpoznpodarou"/>
        <w:rPr>
          <w:sz w:val="16"/>
          <w:szCs w:val="16"/>
        </w:rPr>
      </w:pPr>
      <w:r w:rsidRPr="007E52E6">
        <w:rPr>
          <w:rStyle w:val="Znakapoznpodarou"/>
          <w:sz w:val="16"/>
          <w:szCs w:val="16"/>
        </w:rPr>
        <w:footnoteRef/>
      </w:r>
      <w:r w:rsidRPr="007E52E6">
        <w:rPr>
          <w:sz w:val="16"/>
          <w:szCs w:val="16"/>
        </w:rPr>
        <w:t xml:space="preserve"> </w:t>
      </w:r>
      <w:r w:rsidRPr="007E52E6">
        <w:rPr>
          <w:color w:val="000000" w:themeColor="text1"/>
          <w:spacing w:val="-4"/>
          <w:sz w:val="16"/>
          <w:szCs w:val="16"/>
        </w:rPr>
        <w:t xml:space="preserve">Zahrnuje různorodé spektrum aktivit – výrobu lékařských </w:t>
      </w:r>
      <w:r>
        <w:rPr>
          <w:color w:val="000000" w:themeColor="text1"/>
          <w:spacing w:val="-4"/>
          <w:sz w:val="16"/>
          <w:szCs w:val="16"/>
        </w:rPr>
        <w:t>a </w:t>
      </w:r>
      <w:r w:rsidRPr="007E52E6">
        <w:rPr>
          <w:color w:val="000000" w:themeColor="text1"/>
          <w:spacing w:val="-4"/>
          <w:sz w:val="16"/>
          <w:szCs w:val="16"/>
        </w:rPr>
        <w:t xml:space="preserve">sportovních </w:t>
      </w:r>
      <w:r>
        <w:rPr>
          <w:color w:val="000000" w:themeColor="text1"/>
          <w:spacing w:val="-4"/>
          <w:sz w:val="16"/>
          <w:szCs w:val="16"/>
        </w:rPr>
        <w:t>potřeb,</w:t>
      </w:r>
      <w:r w:rsidRPr="007E52E6">
        <w:rPr>
          <w:color w:val="000000" w:themeColor="text1"/>
          <w:spacing w:val="-4"/>
          <w:sz w:val="16"/>
          <w:szCs w:val="16"/>
        </w:rPr>
        <w:t xml:space="preserve"> her a</w:t>
      </w:r>
      <w:r>
        <w:rPr>
          <w:color w:val="000000" w:themeColor="text1"/>
          <w:spacing w:val="-4"/>
          <w:sz w:val="16"/>
          <w:szCs w:val="16"/>
        </w:rPr>
        <w:t> </w:t>
      </w:r>
      <w:r w:rsidRPr="007E52E6">
        <w:rPr>
          <w:color w:val="000000" w:themeColor="text1"/>
          <w:spacing w:val="-4"/>
          <w:sz w:val="16"/>
          <w:szCs w:val="16"/>
        </w:rPr>
        <w:t>hraček, hudebních nástrojů i</w:t>
      </w:r>
      <w:r>
        <w:rPr>
          <w:color w:val="000000" w:themeColor="text1"/>
          <w:spacing w:val="-4"/>
          <w:sz w:val="16"/>
          <w:szCs w:val="16"/>
        </w:rPr>
        <w:t> </w:t>
      </w:r>
      <w:r w:rsidRPr="007E52E6">
        <w:rPr>
          <w:color w:val="000000" w:themeColor="text1"/>
          <w:spacing w:val="-4"/>
          <w:sz w:val="16"/>
          <w:szCs w:val="16"/>
        </w:rPr>
        <w:t>bižuterie.</w:t>
      </w:r>
    </w:p>
  </w:footnote>
  <w:footnote w:id="27">
    <w:p w14:paraId="263263C0" w14:textId="77777777" w:rsidR="00ED1959" w:rsidRPr="004670E0" w:rsidRDefault="00ED1959" w:rsidP="00ED1959">
      <w:pPr>
        <w:pStyle w:val="Textpoznpodarou"/>
        <w:rPr>
          <w:sz w:val="16"/>
          <w:szCs w:val="16"/>
        </w:rPr>
      </w:pPr>
      <w:r w:rsidRPr="004670E0">
        <w:rPr>
          <w:rStyle w:val="Znakapoznpodarou"/>
          <w:sz w:val="16"/>
          <w:szCs w:val="16"/>
        </w:rPr>
        <w:footnoteRef/>
      </w:r>
      <w:r>
        <w:rPr>
          <w:sz w:val="16"/>
          <w:szCs w:val="16"/>
        </w:rPr>
        <w:t xml:space="preserve"> </w:t>
      </w:r>
      <w:r>
        <w:rPr>
          <w:rFonts w:cs="Arial"/>
          <w:color w:val="0D0D0D" w:themeColor="text1" w:themeTint="F2"/>
          <w:spacing w:val="-2"/>
          <w:sz w:val="16"/>
          <w:szCs w:val="16"/>
        </w:rPr>
        <w:t>M</w:t>
      </w:r>
      <w:r w:rsidRPr="00CE71E4">
        <w:rPr>
          <w:rFonts w:cs="Arial"/>
          <w:color w:val="0D0D0D" w:themeColor="text1" w:themeTint="F2"/>
          <w:spacing w:val="-2"/>
          <w:sz w:val="16"/>
          <w:szCs w:val="16"/>
        </w:rPr>
        <w:t>eziroční tempa</w:t>
      </w:r>
      <w:r>
        <w:rPr>
          <w:rFonts w:cs="Arial"/>
          <w:color w:val="0D0D0D" w:themeColor="text1" w:themeTint="F2"/>
          <w:spacing w:val="-2"/>
          <w:sz w:val="16"/>
          <w:szCs w:val="16"/>
        </w:rPr>
        <w:t xml:space="preserve"> tržeb</w:t>
      </w:r>
      <w:r w:rsidRPr="00CE71E4">
        <w:rPr>
          <w:rFonts w:cs="Arial"/>
          <w:color w:val="0D0D0D" w:themeColor="text1" w:themeTint="F2"/>
          <w:spacing w:val="-2"/>
          <w:sz w:val="16"/>
          <w:szCs w:val="16"/>
        </w:rPr>
        <w:t xml:space="preserve"> jsou očištěna o kalendářní vli</w:t>
      </w:r>
      <w:r>
        <w:rPr>
          <w:rFonts w:cs="Arial"/>
          <w:color w:val="0D0D0D" w:themeColor="text1" w:themeTint="F2"/>
          <w:spacing w:val="-2"/>
          <w:sz w:val="16"/>
          <w:szCs w:val="16"/>
        </w:rPr>
        <w:t>vy, mezičtvrtletní</w:t>
      </w:r>
      <w:r w:rsidRPr="00CE71E4">
        <w:rPr>
          <w:rFonts w:cs="Arial"/>
          <w:color w:val="0D0D0D" w:themeColor="text1" w:themeTint="F2"/>
          <w:spacing w:val="-2"/>
          <w:sz w:val="16"/>
          <w:szCs w:val="16"/>
        </w:rPr>
        <w:t xml:space="preserve"> tempa pak také o vliv sezónnosti.</w:t>
      </w:r>
    </w:p>
  </w:footnote>
  <w:footnote w:id="28">
    <w:p w14:paraId="76297F6F" w14:textId="77777777" w:rsidR="00ED1959" w:rsidRPr="00BC724B" w:rsidRDefault="00ED1959" w:rsidP="00ED1959">
      <w:pPr>
        <w:pStyle w:val="Textpoznpodarou"/>
        <w:rPr>
          <w:sz w:val="16"/>
          <w:szCs w:val="16"/>
        </w:rPr>
      </w:pPr>
      <w:r w:rsidRPr="00BC724B">
        <w:rPr>
          <w:rStyle w:val="Znakapoznpodarou"/>
          <w:sz w:val="16"/>
          <w:szCs w:val="16"/>
        </w:rPr>
        <w:footnoteRef/>
      </w:r>
      <w:r w:rsidRPr="00BC724B">
        <w:rPr>
          <w:sz w:val="16"/>
          <w:szCs w:val="16"/>
        </w:rPr>
        <w:t xml:space="preserve"> Bylo to však zčásti ovlivněno méně příznivým vývojem zahraniční poptávky </w:t>
      </w:r>
      <w:r>
        <w:rPr>
          <w:sz w:val="16"/>
          <w:szCs w:val="16"/>
        </w:rPr>
        <w:t>v </w:t>
      </w:r>
      <w:r w:rsidRPr="00BC724B">
        <w:rPr>
          <w:sz w:val="16"/>
          <w:szCs w:val="16"/>
        </w:rPr>
        <w:t>období cyklického útlumu evropské ekonomiky na přelomu let 2019 a</w:t>
      </w:r>
      <w:r>
        <w:rPr>
          <w:sz w:val="16"/>
          <w:szCs w:val="16"/>
        </w:rPr>
        <w:t> </w:t>
      </w:r>
      <w:r w:rsidRPr="00BC724B">
        <w:rPr>
          <w:sz w:val="16"/>
          <w:szCs w:val="16"/>
        </w:rPr>
        <w:t>2020 a</w:t>
      </w:r>
      <w:r>
        <w:rPr>
          <w:sz w:val="16"/>
          <w:szCs w:val="16"/>
        </w:rPr>
        <w:t> </w:t>
      </w:r>
      <w:r w:rsidRPr="00BC724B">
        <w:rPr>
          <w:sz w:val="16"/>
          <w:szCs w:val="16"/>
        </w:rPr>
        <w:t>také během první pandemické vlny.</w:t>
      </w:r>
      <w:r>
        <w:rPr>
          <w:sz w:val="16"/>
          <w:szCs w:val="16"/>
        </w:rPr>
        <w:t xml:space="preserve"> </w:t>
      </w:r>
      <w:r w:rsidRPr="00BC724B">
        <w:rPr>
          <w:sz w:val="16"/>
          <w:szCs w:val="16"/>
        </w:rPr>
        <w:t>Ve dvouletém srovnání (s 2.</w:t>
      </w:r>
      <w:r>
        <w:rPr>
          <w:sz w:val="16"/>
          <w:szCs w:val="16"/>
        </w:rPr>
        <w:t> čtvrtlet</w:t>
      </w:r>
      <w:r w:rsidRPr="00BC724B">
        <w:rPr>
          <w:sz w:val="16"/>
          <w:szCs w:val="16"/>
        </w:rPr>
        <w:t>ím 2019) vzrostly v tuzemském průmyslu tržby z přímého vývozu o</w:t>
      </w:r>
      <w:r>
        <w:rPr>
          <w:sz w:val="16"/>
          <w:szCs w:val="16"/>
        </w:rPr>
        <w:t> </w:t>
      </w:r>
      <w:r w:rsidRPr="00BC724B">
        <w:rPr>
          <w:sz w:val="16"/>
          <w:szCs w:val="16"/>
        </w:rPr>
        <w:t>2,6</w:t>
      </w:r>
      <w:r>
        <w:rPr>
          <w:sz w:val="16"/>
          <w:szCs w:val="16"/>
        </w:rPr>
        <w:t> %</w:t>
      </w:r>
      <w:r w:rsidRPr="00BC724B">
        <w:rPr>
          <w:sz w:val="16"/>
          <w:szCs w:val="16"/>
        </w:rPr>
        <w:t>, domácí tržby o</w:t>
      </w:r>
      <w:r>
        <w:rPr>
          <w:sz w:val="16"/>
          <w:szCs w:val="16"/>
        </w:rPr>
        <w:t> </w:t>
      </w:r>
      <w:r w:rsidRPr="00BC724B">
        <w:rPr>
          <w:sz w:val="16"/>
          <w:szCs w:val="16"/>
        </w:rPr>
        <w:t>1,9</w:t>
      </w:r>
      <w:r>
        <w:rPr>
          <w:sz w:val="16"/>
          <w:szCs w:val="16"/>
        </w:rPr>
        <w:t> %</w:t>
      </w:r>
      <w:r w:rsidRPr="00BC724B">
        <w:rPr>
          <w:sz w:val="16"/>
          <w:szCs w:val="16"/>
        </w:rPr>
        <w:t>.</w:t>
      </w:r>
    </w:p>
  </w:footnote>
  <w:footnote w:id="29">
    <w:p w14:paraId="310AB87E" w14:textId="77777777" w:rsidR="00ED1959" w:rsidRPr="00FB58F4" w:rsidRDefault="00ED1959" w:rsidP="00ED1959">
      <w:pPr>
        <w:pStyle w:val="Textpoznpodarou"/>
        <w:jc w:val="both"/>
        <w:rPr>
          <w:rFonts w:cs="Arial"/>
          <w:color w:val="0D0D0D" w:themeColor="text1" w:themeTint="F2"/>
          <w:spacing w:val="-2"/>
          <w:sz w:val="16"/>
          <w:szCs w:val="16"/>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7A20EB">
        <w:rPr>
          <w:rFonts w:cs="Arial"/>
          <w:color w:val="0D0D0D" w:themeColor="text1" w:themeTint="F2"/>
          <w:sz w:val="16"/>
          <w:szCs w:val="16"/>
        </w:rPr>
        <w:t>Zjišťování zaká</w:t>
      </w:r>
      <w:r>
        <w:rPr>
          <w:rFonts w:cs="Arial"/>
          <w:color w:val="0D0D0D" w:themeColor="text1" w:themeTint="F2"/>
          <w:sz w:val="16"/>
          <w:szCs w:val="16"/>
        </w:rPr>
        <w:t xml:space="preserve">zek probíhá jen ve 12 zpracovatelských odvětvích </w:t>
      </w:r>
      <w:r w:rsidRPr="007A20EB">
        <w:rPr>
          <w:rFonts w:cs="Arial"/>
          <w:color w:val="0D0D0D" w:themeColor="text1" w:themeTint="F2"/>
          <w:sz w:val="16"/>
          <w:szCs w:val="16"/>
        </w:rPr>
        <w:t>vyrábějí</w:t>
      </w:r>
      <w:r>
        <w:rPr>
          <w:rFonts w:cs="Arial"/>
          <w:color w:val="0D0D0D" w:themeColor="text1" w:themeTint="F2"/>
          <w:sz w:val="16"/>
          <w:szCs w:val="16"/>
        </w:rPr>
        <w:t>cích</w:t>
      </w:r>
      <w:r w:rsidRPr="007A20EB">
        <w:rPr>
          <w:rFonts w:cs="Arial"/>
          <w:color w:val="0D0D0D" w:themeColor="text1" w:themeTint="F2"/>
          <w:sz w:val="16"/>
          <w:szCs w:val="16"/>
        </w:rPr>
        <w:t xml:space="preserve"> převážně na zakázku, s dlouhodobějším výrobním cyklem a s většími zásobami zakázek.</w:t>
      </w:r>
      <w:r>
        <w:rPr>
          <w:rFonts w:cs="Arial"/>
          <w:color w:val="0D0D0D" w:themeColor="text1" w:themeTint="F2"/>
          <w:sz w:val="16"/>
          <w:szCs w:val="16"/>
        </w:rPr>
        <w:t xml:space="preserve"> </w:t>
      </w:r>
      <w:r>
        <w:rPr>
          <w:rFonts w:cs="Arial"/>
          <w:color w:val="0D0D0D" w:themeColor="text1" w:themeTint="F2"/>
          <w:spacing w:val="-2"/>
          <w:sz w:val="16"/>
          <w:szCs w:val="16"/>
        </w:rPr>
        <w:t>M</w:t>
      </w:r>
      <w:r w:rsidRPr="00CE71E4">
        <w:rPr>
          <w:rFonts w:cs="Arial"/>
          <w:color w:val="0D0D0D" w:themeColor="text1" w:themeTint="F2"/>
          <w:spacing w:val="-2"/>
          <w:sz w:val="16"/>
          <w:szCs w:val="16"/>
        </w:rPr>
        <w:t>eziroční tempa</w:t>
      </w:r>
      <w:r>
        <w:rPr>
          <w:rFonts w:cs="Arial"/>
          <w:color w:val="0D0D0D" w:themeColor="text1" w:themeTint="F2"/>
          <w:spacing w:val="-2"/>
          <w:sz w:val="16"/>
          <w:szCs w:val="16"/>
        </w:rPr>
        <w:t xml:space="preserve"> zakázek</w:t>
      </w:r>
      <w:r w:rsidRPr="00CE71E4">
        <w:rPr>
          <w:rFonts w:cs="Arial"/>
          <w:color w:val="0D0D0D" w:themeColor="text1" w:themeTint="F2"/>
          <w:spacing w:val="-2"/>
          <w:sz w:val="16"/>
          <w:szCs w:val="16"/>
        </w:rPr>
        <w:t xml:space="preserve"> jsou očištěna o kalendářní vli</w:t>
      </w:r>
      <w:r>
        <w:rPr>
          <w:rFonts w:cs="Arial"/>
          <w:color w:val="0D0D0D" w:themeColor="text1" w:themeTint="F2"/>
          <w:spacing w:val="-2"/>
          <w:sz w:val="16"/>
          <w:szCs w:val="16"/>
        </w:rPr>
        <w:t>vy, mezičtvrtletní</w:t>
      </w:r>
      <w:r w:rsidRPr="00CE71E4">
        <w:rPr>
          <w:rFonts w:cs="Arial"/>
          <w:color w:val="0D0D0D" w:themeColor="text1" w:themeTint="F2"/>
          <w:spacing w:val="-2"/>
          <w:sz w:val="16"/>
          <w:szCs w:val="16"/>
        </w:rPr>
        <w:t xml:space="preserve"> </w:t>
      </w:r>
      <w:r>
        <w:rPr>
          <w:rFonts w:cs="Arial"/>
          <w:color w:val="0D0D0D" w:themeColor="text1" w:themeTint="F2"/>
          <w:spacing w:val="-2"/>
          <w:sz w:val="16"/>
          <w:szCs w:val="16"/>
        </w:rPr>
        <w:t>tempa</w:t>
      </w:r>
      <w:r w:rsidRPr="00CE71E4">
        <w:rPr>
          <w:rFonts w:cs="Arial"/>
          <w:color w:val="0D0D0D" w:themeColor="text1" w:themeTint="F2"/>
          <w:spacing w:val="-2"/>
          <w:sz w:val="16"/>
          <w:szCs w:val="16"/>
        </w:rPr>
        <w:t xml:space="preserve"> také o vliv sezónnosti.</w:t>
      </w:r>
    </w:p>
  </w:footnote>
  <w:footnote w:id="30">
    <w:p w14:paraId="0354744C" w14:textId="77777777" w:rsidR="00ED1959" w:rsidRPr="00263664" w:rsidRDefault="00ED1959" w:rsidP="00ED1959">
      <w:pPr>
        <w:pStyle w:val="Textpoznpodarou"/>
        <w:rPr>
          <w:sz w:val="16"/>
          <w:szCs w:val="16"/>
        </w:rPr>
      </w:pPr>
      <w:r w:rsidRPr="00263664">
        <w:rPr>
          <w:rStyle w:val="Znakapoznpodarou"/>
          <w:sz w:val="16"/>
          <w:szCs w:val="16"/>
        </w:rPr>
        <w:footnoteRef/>
      </w:r>
      <w:r w:rsidRPr="00263664">
        <w:rPr>
          <w:sz w:val="16"/>
          <w:szCs w:val="16"/>
        </w:rPr>
        <w:t xml:space="preserve"> Hodnotu zakázek z června 2019 převýšily o</w:t>
      </w:r>
      <w:r>
        <w:rPr>
          <w:sz w:val="16"/>
          <w:szCs w:val="16"/>
        </w:rPr>
        <w:t> </w:t>
      </w:r>
      <w:r w:rsidRPr="00263664">
        <w:rPr>
          <w:sz w:val="16"/>
          <w:szCs w:val="16"/>
        </w:rPr>
        <w:t>15</w:t>
      </w:r>
      <w:r>
        <w:rPr>
          <w:sz w:val="16"/>
          <w:szCs w:val="16"/>
        </w:rPr>
        <w:t> %</w:t>
      </w:r>
      <w:r w:rsidRPr="00263664">
        <w:rPr>
          <w:sz w:val="16"/>
          <w:szCs w:val="16"/>
        </w:rPr>
        <w:t>, v kladných hodnotách se držely</w:t>
      </w:r>
      <w:r>
        <w:rPr>
          <w:sz w:val="16"/>
          <w:szCs w:val="16"/>
        </w:rPr>
        <w:t xml:space="preserve"> i ve všech předchozích</w:t>
      </w:r>
      <w:r w:rsidRPr="00263664">
        <w:rPr>
          <w:sz w:val="16"/>
          <w:szCs w:val="16"/>
        </w:rPr>
        <w:t xml:space="preserve"> letošních měsících.</w:t>
      </w:r>
    </w:p>
  </w:footnote>
  <w:footnote w:id="31">
    <w:p w14:paraId="59FE35C4" w14:textId="77777777" w:rsidR="00ED1959" w:rsidRPr="000A1518" w:rsidRDefault="00ED1959" w:rsidP="00ED1959">
      <w:pPr>
        <w:pStyle w:val="Textpoznpodarou"/>
        <w:rPr>
          <w:sz w:val="16"/>
          <w:szCs w:val="16"/>
        </w:rPr>
      </w:pPr>
      <w:r w:rsidRPr="000A1518">
        <w:rPr>
          <w:rStyle w:val="Znakapoznpodarou"/>
          <w:sz w:val="16"/>
          <w:szCs w:val="16"/>
        </w:rPr>
        <w:footnoteRef/>
      </w:r>
      <w:r w:rsidRPr="000A1518">
        <w:rPr>
          <w:sz w:val="16"/>
          <w:szCs w:val="16"/>
        </w:rPr>
        <w:t xml:space="preserve"> P</w:t>
      </w:r>
      <w:r>
        <w:rPr>
          <w:sz w:val="16"/>
          <w:szCs w:val="16"/>
        </w:rPr>
        <w:t>odniky mohly uv</w:t>
      </w:r>
      <w:r w:rsidRPr="000A1518">
        <w:rPr>
          <w:sz w:val="16"/>
          <w:szCs w:val="16"/>
        </w:rPr>
        <w:t>ést více bariér současně.</w:t>
      </w:r>
    </w:p>
  </w:footnote>
  <w:footnote w:id="32">
    <w:p w14:paraId="086175DA" w14:textId="77777777" w:rsidR="00ED1959" w:rsidRPr="003F0F7D" w:rsidRDefault="00ED1959" w:rsidP="00ED1959">
      <w:pPr>
        <w:pStyle w:val="Textpoznpodarou"/>
        <w:rPr>
          <w:sz w:val="16"/>
          <w:szCs w:val="16"/>
        </w:rPr>
      </w:pPr>
      <w:r w:rsidRPr="003F0F7D">
        <w:rPr>
          <w:rStyle w:val="Znakapoznpodarou"/>
          <w:sz w:val="16"/>
          <w:szCs w:val="16"/>
        </w:rPr>
        <w:footnoteRef/>
      </w:r>
      <w:r w:rsidRPr="003F0F7D">
        <w:rPr>
          <w:sz w:val="16"/>
          <w:szCs w:val="16"/>
        </w:rPr>
        <w:t xml:space="preserve"> </w:t>
      </w:r>
      <w:r w:rsidRPr="003F0F7D">
        <w:rPr>
          <w:spacing w:val="-4"/>
          <w:sz w:val="16"/>
          <w:szCs w:val="16"/>
        </w:rPr>
        <w:t xml:space="preserve">Byť byl tento problém </w:t>
      </w:r>
      <w:r>
        <w:rPr>
          <w:spacing w:val="-4"/>
          <w:sz w:val="16"/>
          <w:szCs w:val="16"/>
        </w:rPr>
        <w:t xml:space="preserve">zdaleka </w:t>
      </w:r>
      <w:r w:rsidRPr="003F0F7D">
        <w:rPr>
          <w:spacing w:val="-4"/>
          <w:sz w:val="16"/>
          <w:szCs w:val="16"/>
        </w:rPr>
        <w:t>nejvíce patrný v automobilovém průmyslu</w:t>
      </w:r>
      <w:r>
        <w:rPr>
          <w:spacing w:val="-4"/>
          <w:sz w:val="16"/>
          <w:szCs w:val="16"/>
        </w:rPr>
        <w:t xml:space="preserve"> (96 %)</w:t>
      </w:r>
      <w:r w:rsidRPr="003F0F7D">
        <w:rPr>
          <w:spacing w:val="-4"/>
          <w:sz w:val="16"/>
          <w:szCs w:val="16"/>
        </w:rPr>
        <w:t xml:space="preserve"> a</w:t>
      </w:r>
      <w:r>
        <w:rPr>
          <w:spacing w:val="-4"/>
          <w:sz w:val="16"/>
          <w:szCs w:val="16"/>
        </w:rPr>
        <w:t> </w:t>
      </w:r>
      <w:r w:rsidRPr="003F0F7D">
        <w:rPr>
          <w:spacing w:val="-4"/>
          <w:sz w:val="16"/>
          <w:szCs w:val="16"/>
        </w:rPr>
        <w:t xml:space="preserve">navazujících oborech, nevyhýbal se ani kovovýrobě, </w:t>
      </w:r>
      <w:r>
        <w:rPr>
          <w:spacing w:val="-4"/>
          <w:sz w:val="16"/>
          <w:szCs w:val="16"/>
        </w:rPr>
        <w:t xml:space="preserve">hutnictví, strojírenství, elektrotechnice </w:t>
      </w:r>
      <w:r w:rsidRPr="003F0F7D">
        <w:rPr>
          <w:spacing w:val="-4"/>
          <w:sz w:val="16"/>
          <w:szCs w:val="16"/>
        </w:rPr>
        <w:t>či chemickému průmyslu.</w:t>
      </w:r>
    </w:p>
  </w:footnote>
  <w:footnote w:id="33">
    <w:p w14:paraId="1DF2E7EA" w14:textId="77777777" w:rsidR="00ED1959" w:rsidRPr="00DE17ED" w:rsidRDefault="00ED1959" w:rsidP="00ED1959">
      <w:pPr>
        <w:pStyle w:val="Textpoznpodarou"/>
        <w:rPr>
          <w:sz w:val="16"/>
          <w:szCs w:val="16"/>
        </w:rPr>
      </w:pPr>
      <w:r w:rsidRPr="00DE17ED">
        <w:rPr>
          <w:rStyle w:val="Znakapoznpodarou"/>
          <w:sz w:val="16"/>
          <w:szCs w:val="16"/>
        </w:rPr>
        <w:footnoteRef/>
      </w:r>
      <w:r w:rsidRPr="00DE17ED">
        <w:rPr>
          <w:sz w:val="16"/>
          <w:szCs w:val="16"/>
        </w:rPr>
        <w:t xml:space="preserve"> V některých vesměs menších oborech ale </w:t>
      </w:r>
      <w:r>
        <w:rPr>
          <w:sz w:val="16"/>
          <w:szCs w:val="16"/>
        </w:rPr>
        <w:t xml:space="preserve">slabá poptávka </w:t>
      </w:r>
      <w:r w:rsidRPr="00DE17ED">
        <w:rPr>
          <w:sz w:val="16"/>
          <w:szCs w:val="16"/>
        </w:rPr>
        <w:t xml:space="preserve">stále představovala nejvýznamnější limitující faktor rozvoje. </w:t>
      </w:r>
      <w:r>
        <w:rPr>
          <w:sz w:val="16"/>
          <w:szCs w:val="16"/>
        </w:rPr>
        <w:t>Jednalo se</w:t>
      </w:r>
      <w:r w:rsidRPr="00DE17ED">
        <w:rPr>
          <w:sz w:val="16"/>
          <w:szCs w:val="16"/>
        </w:rPr>
        <w:t xml:space="preserve"> </w:t>
      </w:r>
      <w:r>
        <w:rPr>
          <w:sz w:val="16"/>
          <w:szCs w:val="16"/>
        </w:rPr>
        <w:t>o</w:t>
      </w:r>
      <w:r w:rsidRPr="00263664">
        <w:rPr>
          <w:sz w:val="16"/>
          <w:szCs w:val="16"/>
        </w:rPr>
        <w:t> </w:t>
      </w:r>
      <w:r w:rsidRPr="00DE17ED">
        <w:rPr>
          <w:sz w:val="16"/>
          <w:szCs w:val="16"/>
        </w:rPr>
        <w:t>oděvnictví (90</w:t>
      </w:r>
      <w:r>
        <w:rPr>
          <w:sz w:val="16"/>
          <w:szCs w:val="16"/>
        </w:rPr>
        <w:t> %</w:t>
      </w:r>
      <w:r w:rsidRPr="00DE17ED">
        <w:rPr>
          <w:sz w:val="16"/>
          <w:szCs w:val="16"/>
        </w:rPr>
        <w:t>), výrobu nápojů (79</w:t>
      </w:r>
      <w:r>
        <w:rPr>
          <w:sz w:val="16"/>
          <w:szCs w:val="16"/>
        </w:rPr>
        <w:t> %</w:t>
      </w:r>
      <w:r w:rsidRPr="00DE17ED">
        <w:rPr>
          <w:sz w:val="16"/>
          <w:szCs w:val="16"/>
        </w:rPr>
        <w:t>), kožedělný průmysl (68</w:t>
      </w:r>
      <w:r>
        <w:rPr>
          <w:sz w:val="16"/>
          <w:szCs w:val="16"/>
        </w:rPr>
        <w:t> %</w:t>
      </w:r>
      <w:r w:rsidRPr="00DE17ED">
        <w:rPr>
          <w:sz w:val="16"/>
          <w:szCs w:val="16"/>
        </w:rPr>
        <w:t>), textilní a</w:t>
      </w:r>
      <w:r>
        <w:rPr>
          <w:sz w:val="16"/>
          <w:szCs w:val="16"/>
        </w:rPr>
        <w:t> </w:t>
      </w:r>
      <w:r w:rsidRPr="00DE17ED">
        <w:rPr>
          <w:sz w:val="16"/>
          <w:szCs w:val="16"/>
        </w:rPr>
        <w:t>tiskárenský průmysl (shodně 57</w:t>
      </w:r>
      <w:r>
        <w:rPr>
          <w:sz w:val="16"/>
          <w:szCs w:val="16"/>
        </w:rPr>
        <w:t> %</w:t>
      </w:r>
      <w:r w:rsidRPr="00DE17ED">
        <w:rPr>
          <w:sz w:val="16"/>
          <w:szCs w:val="16"/>
        </w:rPr>
        <w:t xml:space="preserve">), </w:t>
      </w:r>
      <w:r>
        <w:rPr>
          <w:sz w:val="16"/>
          <w:szCs w:val="16"/>
        </w:rPr>
        <w:t>výrobu</w:t>
      </w:r>
      <w:r w:rsidRPr="00DE17ED">
        <w:rPr>
          <w:sz w:val="16"/>
          <w:szCs w:val="16"/>
        </w:rPr>
        <w:t xml:space="preserve"> stavebních materiálů (53</w:t>
      </w:r>
      <w:r>
        <w:rPr>
          <w:sz w:val="16"/>
          <w:szCs w:val="16"/>
        </w:rPr>
        <w:t> %</w:t>
      </w:r>
      <w:r w:rsidRPr="00DE17ED">
        <w:rPr>
          <w:sz w:val="16"/>
          <w:szCs w:val="16"/>
        </w:rPr>
        <w:t>), farmacii (52</w:t>
      </w:r>
      <w:r>
        <w:rPr>
          <w:sz w:val="16"/>
          <w:szCs w:val="16"/>
        </w:rPr>
        <w:t> %</w:t>
      </w:r>
      <w:r w:rsidRPr="00DE17ED">
        <w:rPr>
          <w:sz w:val="16"/>
          <w:szCs w:val="16"/>
        </w:rPr>
        <w:t xml:space="preserve">), </w:t>
      </w:r>
      <w:r>
        <w:rPr>
          <w:sz w:val="16"/>
          <w:szCs w:val="16"/>
        </w:rPr>
        <w:t>výrobu počítačů, elektronických a optických přístrojů</w:t>
      </w:r>
      <w:r w:rsidRPr="00DE17ED">
        <w:rPr>
          <w:sz w:val="16"/>
          <w:szCs w:val="16"/>
        </w:rPr>
        <w:t xml:space="preserve"> (51</w:t>
      </w:r>
      <w:r>
        <w:rPr>
          <w:sz w:val="16"/>
          <w:szCs w:val="16"/>
        </w:rPr>
        <w:t> %</w:t>
      </w:r>
      <w:r w:rsidRPr="00DE17ED">
        <w:rPr>
          <w:sz w:val="16"/>
          <w:szCs w:val="16"/>
        </w:rPr>
        <w:t>) a</w:t>
      </w:r>
      <w:r>
        <w:rPr>
          <w:sz w:val="16"/>
          <w:szCs w:val="16"/>
        </w:rPr>
        <w:t> </w:t>
      </w:r>
      <w:r w:rsidRPr="00DE17ED">
        <w:rPr>
          <w:sz w:val="16"/>
          <w:szCs w:val="16"/>
        </w:rPr>
        <w:t>potravinářství (42</w:t>
      </w:r>
      <w:r>
        <w:rPr>
          <w:sz w:val="16"/>
          <w:szCs w:val="16"/>
        </w:rPr>
        <w:t> %</w:t>
      </w:r>
      <w:r w:rsidRPr="00DE17ED">
        <w:rPr>
          <w:sz w:val="16"/>
          <w:szCs w:val="16"/>
        </w:rPr>
        <w:t>).</w:t>
      </w:r>
    </w:p>
  </w:footnote>
  <w:footnote w:id="34">
    <w:p w14:paraId="0AB7CCEF" w14:textId="77777777" w:rsidR="00ED1959" w:rsidRPr="007A0D91" w:rsidRDefault="00ED1959" w:rsidP="00ED1959">
      <w:pPr>
        <w:pStyle w:val="Textpoznpodarou"/>
        <w:rPr>
          <w:sz w:val="16"/>
          <w:szCs w:val="16"/>
        </w:rPr>
      </w:pPr>
      <w:r w:rsidRPr="007A0D91">
        <w:rPr>
          <w:rStyle w:val="Znakapoznpodarou"/>
          <w:sz w:val="16"/>
          <w:szCs w:val="16"/>
        </w:rPr>
        <w:footnoteRef/>
      </w:r>
      <w:r w:rsidRPr="007A0D91">
        <w:rPr>
          <w:sz w:val="16"/>
          <w:szCs w:val="16"/>
        </w:rPr>
        <w:t xml:space="preserve"> Konkrétně v gumárenství a</w:t>
      </w:r>
      <w:r>
        <w:rPr>
          <w:sz w:val="16"/>
          <w:szCs w:val="16"/>
        </w:rPr>
        <w:t> </w:t>
      </w:r>
      <w:proofErr w:type="spellStart"/>
      <w:r w:rsidRPr="007A0D91">
        <w:rPr>
          <w:sz w:val="16"/>
          <w:szCs w:val="16"/>
        </w:rPr>
        <w:t>plastikářství</w:t>
      </w:r>
      <w:proofErr w:type="spellEnd"/>
      <w:r w:rsidRPr="007A0D91">
        <w:rPr>
          <w:sz w:val="16"/>
          <w:szCs w:val="16"/>
        </w:rPr>
        <w:t xml:space="preserve"> (64</w:t>
      </w:r>
      <w:r>
        <w:rPr>
          <w:sz w:val="16"/>
          <w:szCs w:val="16"/>
        </w:rPr>
        <w:t> %</w:t>
      </w:r>
      <w:r w:rsidRPr="007A0D91">
        <w:rPr>
          <w:sz w:val="16"/>
          <w:szCs w:val="16"/>
        </w:rPr>
        <w:t xml:space="preserve">), </w:t>
      </w:r>
      <w:r>
        <w:rPr>
          <w:sz w:val="16"/>
          <w:szCs w:val="16"/>
        </w:rPr>
        <w:t xml:space="preserve">výrobě ostatních dopravních prostředků (61 %), elektrotechnice (53 %), opravách strojů a zařízení (47 %), strojírenství i kovovýrobě (shodně 40 %), </w:t>
      </w:r>
      <w:r w:rsidRPr="007A0D91">
        <w:rPr>
          <w:sz w:val="16"/>
          <w:szCs w:val="16"/>
        </w:rPr>
        <w:t>papírenském průmyslu (31</w:t>
      </w:r>
      <w:r>
        <w:rPr>
          <w:sz w:val="16"/>
          <w:szCs w:val="16"/>
        </w:rPr>
        <w:t> %) a ostatním průmyslu (30 %).</w:t>
      </w:r>
    </w:p>
  </w:footnote>
  <w:footnote w:id="35">
    <w:p w14:paraId="483DA6E5" w14:textId="77777777" w:rsidR="00ED1959" w:rsidRPr="00C94BE8" w:rsidRDefault="00ED1959" w:rsidP="00ED1959">
      <w:pPr>
        <w:pStyle w:val="Textpoznpodarou"/>
        <w:jc w:val="both"/>
        <w:rPr>
          <w:spacing w:val="-2"/>
          <w:sz w:val="16"/>
          <w:szCs w:val="16"/>
        </w:rPr>
      </w:pPr>
      <w:r w:rsidRPr="00C94BE8">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Ú</w:t>
      </w:r>
      <w:r w:rsidRPr="00C94BE8">
        <w:rPr>
          <w:rFonts w:cs="Arial"/>
          <w:color w:val="0D0D0D" w:themeColor="text1" w:themeTint="F2"/>
          <w:spacing w:val="-2"/>
          <w:sz w:val="16"/>
          <w:szCs w:val="16"/>
        </w:rPr>
        <w:t xml:space="preserve">daje o stavební produkci </w:t>
      </w:r>
      <w:r>
        <w:rPr>
          <w:rFonts w:cs="Arial"/>
          <w:color w:val="0D0D0D" w:themeColor="text1" w:themeTint="F2"/>
          <w:spacing w:val="-2"/>
          <w:sz w:val="16"/>
          <w:szCs w:val="16"/>
        </w:rPr>
        <w:t xml:space="preserve">jsou ve stálých cenách, meziroční tempa </w:t>
      </w:r>
      <w:r w:rsidRPr="00C94BE8">
        <w:rPr>
          <w:rFonts w:cs="Arial"/>
          <w:color w:val="0D0D0D" w:themeColor="text1" w:themeTint="F2"/>
          <w:spacing w:val="-2"/>
          <w:sz w:val="16"/>
          <w:szCs w:val="16"/>
        </w:rPr>
        <w:t>jsou očištěn</w:t>
      </w:r>
      <w:r>
        <w:rPr>
          <w:rFonts w:cs="Arial"/>
          <w:color w:val="0D0D0D" w:themeColor="text1" w:themeTint="F2"/>
          <w:spacing w:val="-2"/>
          <w:sz w:val="16"/>
          <w:szCs w:val="16"/>
        </w:rPr>
        <w:t>a</w:t>
      </w:r>
      <w:r w:rsidRPr="00C94BE8">
        <w:rPr>
          <w:rFonts w:cs="Arial"/>
          <w:color w:val="0D0D0D" w:themeColor="text1" w:themeTint="F2"/>
          <w:spacing w:val="-2"/>
          <w:sz w:val="16"/>
          <w:szCs w:val="16"/>
        </w:rPr>
        <w:t xml:space="preserve"> o kalendá</w:t>
      </w:r>
      <w:r>
        <w:rPr>
          <w:rFonts w:cs="Arial"/>
          <w:color w:val="0D0D0D" w:themeColor="text1" w:themeTint="F2"/>
          <w:spacing w:val="-2"/>
          <w:sz w:val="16"/>
          <w:szCs w:val="16"/>
        </w:rPr>
        <w:t>řní vlivy, mezičtvrtletní též</w:t>
      </w:r>
      <w:r w:rsidRPr="00C94BE8">
        <w:rPr>
          <w:rFonts w:cs="Arial"/>
          <w:color w:val="0D0D0D" w:themeColor="text1" w:themeTint="F2"/>
          <w:spacing w:val="-2"/>
          <w:sz w:val="16"/>
          <w:szCs w:val="16"/>
        </w:rPr>
        <w:t xml:space="preserve"> o vliv sezónnosti.</w:t>
      </w:r>
    </w:p>
  </w:footnote>
  <w:footnote w:id="36">
    <w:p w14:paraId="00387045" w14:textId="77777777" w:rsidR="00ED1959" w:rsidRPr="0042470E" w:rsidRDefault="00ED1959" w:rsidP="00ED1959">
      <w:pPr>
        <w:pStyle w:val="Textpoznpodarou"/>
        <w:rPr>
          <w:sz w:val="16"/>
          <w:szCs w:val="16"/>
        </w:rPr>
      </w:pPr>
      <w:r w:rsidRPr="0042470E">
        <w:rPr>
          <w:rStyle w:val="Znakapoznpodarou"/>
          <w:sz w:val="16"/>
          <w:szCs w:val="16"/>
        </w:rPr>
        <w:footnoteRef/>
      </w:r>
      <w:r w:rsidRPr="0042470E">
        <w:rPr>
          <w:sz w:val="16"/>
          <w:szCs w:val="16"/>
        </w:rPr>
        <w:t xml:space="preserve"> Poněkud rozpačitý letošní vývoj stavebnictví podpořily i</w:t>
      </w:r>
      <w:r>
        <w:rPr>
          <w:sz w:val="16"/>
          <w:szCs w:val="16"/>
        </w:rPr>
        <w:t> </w:t>
      </w:r>
      <w:r w:rsidRPr="0042470E">
        <w:rPr>
          <w:sz w:val="16"/>
          <w:szCs w:val="16"/>
        </w:rPr>
        <w:t>aktuální červencové údaje. Dle nich stavební produkce meziměsíčně klesla o</w:t>
      </w:r>
      <w:r>
        <w:rPr>
          <w:sz w:val="16"/>
          <w:szCs w:val="16"/>
        </w:rPr>
        <w:t> </w:t>
      </w:r>
      <w:r w:rsidRPr="0042470E">
        <w:rPr>
          <w:sz w:val="16"/>
          <w:szCs w:val="16"/>
        </w:rPr>
        <w:t>2,6</w:t>
      </w:r>
      <w:r>
        <w:rPr>
          <w:sz w:val="16"/>
          <w:szCs w:val="16"/>
        </w:rPr>
        <w:t> %</w:t>
      </w:r>
      <w:r w:rsidRPr="0042470E">
        <w:rPr>
          <w:sz w:val="16"/>
          <w:szCs w:val="16"/>
        </w:rPr>
        <w:t xml:space="preserve"> (při nižším výkonu v obou jeho hlavních segmentech). </w:t>
      </w:r>
      <w:r>
        <w:rPr>
          <w:sz w:val="16"/>
          <w:szCs w:val="16"/>
        </w:rPr>
        <w:t>Ve srovnání s nižší loňskou základnou stavebnictví pouze stagnovalo a oproti 2. čtvrtletí 2019 byla jeho produkce nižší o celou desetinu.</w:t>
      </w:r>
    </w:p>
  </w:footnote>
  <w:footnote w:id="37">
    <w:p w14:paraId="1037A8B6" w14:textId="77777777" w:rsidR="00ED1959" w:rsidRPr="00DE38E6" w:rsidRDefault="00ED1959" w:rsidP="00ED1959">
      <w:pPr>
        <w:spacing w:after="0" w:line="240" w:lineRule="auto"/>
      </w:pPr>
      <w:r w:rsidRPr="004A26AF">
        <w:rPr>
          <w:rStyle w:val="Znakapoznpodarou"/>
          <w:color w:val="0D0D0D" w:themeColor="text1" w:themeTint="F2"/>
          <w:sz w:val="16"/>
          <w:szCs w:val="16"/>
        </w:rPr>
        <w:footnoteRef/>
      </w:r>
      <w:r>
        <w:rPr>
          <w:color w:val="0D0D0D" w:themeColor="text1" w:themeTint="F2"/>
          <w:sz w:val="16"/>
          <w:szCs w:val="16"/>
        </w:rPr>
        <w:t xml:space="preserve"> </w:t>
      </w:r>
      <w:r w:rsidRPr="004A26AF">
        <w:rPr>
          <w:color w:val="0D0D0D" w:themeColor="text1" w:themeTint="F2"/>
          <w:sz w:val="16"/>
          <w:szCs w:val="16"/>
        </w:rPr>
        <w:t>Bez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w:t>
      </w:r>
      <w:r>
        <w:rPr>
          <w:color w:val="0D0D0D" w:themeColor="text1" w:themeTint="F2"/>
          <w:sz w:val="16"/>
          <w:szCs w:val="16"/>
        </w:rPr>
        <w:t> </w:t>
      </w:r>
      <w:r w:rsidRPr="004A26AF">
        <w:rPr>
          <w:color w:val="0D0D0D" w:themeColor="text1" w:themeTint="F2"/>
          <w:sz w:val="16"/>
          <w:szCs w:val="16"/>
        </w:rPr>
        <w:t>kal</w:t>
      </w:r>
      <w:r>
        <w:rPr>
          <w:color w:val="0D0D0D" w:themeColor="text1" w:themeTint="F2"/>
          <w:sz w:val="16"/>
          <w:szCs w:val="16"/>
        </w:rPr>
        <w:t>endářní vlivy, mezičtvrtletní i meziměsíční jsou očištěny o sezónní vlivy (včetně vlivu počtu pracovních dnů)</w:t>
      </w:r>
      <w:r w:rsidRPr="004A26AF">
        <w:rPr>
          <w:color w:val="0D0D0D" w:themeColor="text1" w:themeTint="F2"/>
          <w:sz w:val="16"/>
          <w:szCs w:val="16"/>
        </w:rPr>
        <w:t>.</w:t>
      </w:r>
    </w:p>
  </w:footnote>
  <w:footnote w:id="38">
    <w:p w14:paraId="425016F3" w14:textId="77777777" w:rsidR="00ED1959" w:rsidRPr="00C02D23" w:rsidRDefault="00ED1959" w:rsidP="00ED1959">
      <w:pPr>
        <w:pStyle w:val="Textpoznpodarou"/>
        <w:rPr>
          <w:sz w:val="16"/>
          <w:szCs w:val="16"/>
        </w:rPr>
      </w:pPr>
      <w:r w:rsidRPr="00C02D23">
        <w:rPr>
          <w:rStyle w:val="Znakapoznpodarou"/>
          <w:sz w:val="16"/>
          <w:szCs w:val="16"/>
        </w:rPr>
        <w:footnoteRef/>
      </w:r>
      <w:r w:rsidRPr="00C02D23">
        <w:rPr>
          <w:sz w:val="16"/>
          <w:szCs w:val="16"/>
        </w:rPr>
        <w:t xml:space="preserve"> Počet přenocování tuzemských hostů v hromadných ubytovacích zařízeních v ČR propadl ve výše uvedeném dvouletém období </w:t>
      </w:r>
      <w:r>
        <w:rPr>
          <w:sz w:val="16"/>
          <w:szCs w:val="16"/>
        </w:rPr>
        <w:t>o</w:t>
      </w:r>
      <w:r>
        <w:rPr>
          <w:color w:val="0D0D0D" w:themeColor="text1" w:themeTint="F2"/>
          <w:sz w:val="16"/>
          <w:szCs w:val="16"/>
        </w:rPr>
        <w:t> </w:t>
      </w:r>
      <w:r>
        <w:rPr>
          <w:sz w:val="16"/>
          <w:szCs w:val="16"/>
        </w:rPr>
        <w:t>47</w:t>
      </w:r>
      <w:r>
        <w:rPr>
          <w:color w:val="0D0D0D" w:themeColor="text1" w:themeTint="F2"/>
          <w:sz w:val="16"/>
          <w:szCs w:val="16"/>
        </w:rPr>
        <w:t> </w:t>
      </w:r>
      <w:r w:rsidRPr="00C02D23">
        <w:rPr>
          <w:sz w:val="16"/>
          <w:szCs w:val="16"/>
        </w:rPr>
        <w:t>%, u</w:t>
      </w:r>
      <w:r>
        <w:rPr>
          <w:sz w:val="16"/>
          <w:szCs w:val="16"/>
        </w:rPr>
        <w:t> </w:t>
      </w:r>
      <w:r w:rsidRPr="00C02D23">
        <w:rPr>
          <w:sz w:val="16"/>
          <w:szCs w:val="16"/>
        </w:rPr>
        <w:t>zahraničních hostů dokonce o</w:t>
      </w:r>
      <w:r>
        <w:rPr>
          <w:sz w:val="16"/>
          <w:szCs w:val="16"/>
        </w:rPr>
        <w:t> </w:t>
      </w:r>
      <w:r w:rsidRPr="00C02D23">
        <w:rPr>
          <w:sz w:val="16"/>
          <w:szCs w:val="16"/>
        </w:rPr>
        <w:t>92</w:t>
      </w:r>
      <w:r>
        <w:rPr>
          <w:sz w:val="16"/>
          <w:szCs w:val="16"/>
        </w:rPr>
        <w:t> %</w:t>
      </w:r>
      <w:r w:rsidRPr="00C02D23">
        <w:rPr>
          <w:sz w:val="16"/>
          <w:szCs w:val="16"/>
        </w:rPr>
        <w:t>.</w:t>
      </w:r>
    </w:p>
  </w:footnote>
  <w:footnote w:id="39">
    <w:p w14:paraId="06D33FBE" w14:textId="26B1F199" w:rsidR="00BF35C9" w:rsidRPr="00BF35C9" w:rsidRDefault="00BF35C9">
      <w:pPr>
        <w:pStyle w:val="Textpoznpodarou"/>
        <w:rPr>
          <w:sz w:val="16"/>
          <w:szCs w:val="16"/>
        </w:rPr>
      </w:pPr>
      <w:r w:rsidRPr="00BF35C9">
        <w:rPr>
          <w:rStyle w:val="Znakapoznpodarou"/>
          <w:sz w:val="16"/>
          <w:szCs w:val="16"/>
        </w:rPr>
        <w:footnoteRef/>
      </w:r>
      <w:r w:rsidRPr="00BF35C9">
        <w:rPr>
          <w:sz w:val="16"/>
          <w:szCs w:val="16"/>
        </w:rPr>
        <w:t xml:space="preserve"> Údaje za tento oddíl služeb nejsou sezónně očištěny.</w:t>
      </w:r>
    </w:p>
  </w:footnote>
  <w:footnote w:id="40">
    <w:p w14:paraId="158D3F67" w14:textId="5B2B232D" w:rsidR="00ED1959" w:rsidRPr="000305E0" w:rsidRDefault="00ED1959" w:rsidP="00ED1959">
      <w:pPr>
        <w:pStyle w:val="Textpoznpodarou"/>
        <w:rPr>
          <w:sz w:val="16"/>
          <w:szCs w:val="16"/>
        </w:rPr>
      </w:pPr>
      <w:r w:rsidRPr="000305E0">
        <w:rPr>
          <w:rStyle w:val="Znakapoznpodarou"/>
          <w:sz w:val="16"/>
          <w:szCs w:val="16"/>
        </w:rPr>
        <w:footnoteRef/>
      </w:r>
      <w:r w:rsidRPr="000305E0">
        <w:rPr>
          <w:sz w:val="16"/>
          <w:szCs w:val="16"/>
        </w:rPr>
        <w:t xml:space="preserve"> V 1</w:t>
      </w:r>
      <w:r>
        <w:rPr>
          <w:sz w:val="16"/>
          <w:szCs w:val="16"/>
        </w:rPr>
        <w:t>. </w:t>
      </w:r>
      <w:r w:rsidRPr="000305E0">
        <w:rPr>
          <w:sz w:val="16"/>
          <w:szCs w:val="16"/>
        </w:rPr>
        <w:t>letošním pololetí zavítalo do tuzemských kin pouze 464</w:t>
      </w:r>
      <w:r>
        <w:rPr>
          <w:sz w:val="16"/>
          <w:szCs w:val="16"/>
        </w:rPr>
        <w:t> tis.</w:t>
      </w:r>
      <w:r w:rsidRPr="000305E0">
        <w:rPr>
          <w:sz w:val="16"/>
          <w:szCs w:val="16"/>
        </w:rPr>
        <w:t xml:space="preserve"> návšt</w:t>
      </w:r>
      <w:r>
        <w:rPr>
          <w:sz w:val="16"/>
          <w:szCs w:val="16"/>
        </w:rPr>
        <w:t>ěvníků</w:t>
      </w:r>
      <w:r w:rsidRPr="000305E0">
        <w:rPr>
          <w:sz w:val="16"/>
          <w:szCs w:val="16"/>
        </w:rPr>
        <w:t xml:space="preserve"> (s</w:t>
      </w:r>
      <w:r>
        <w:rPr>
          <w:sz w:val="16"/>
          <w:szCs w:val="16"/>
        </w:rPr>
        <w:t> </w:t>
      </w:r>
      <w:r w:rsidRPr="000305E0">
        <w:rPr>
          <w:sz w:val="16"/>
          <w:szCs w:val="16"/>
        </w:rPr>
        <w:t>výjimkou června byla činnost kin prakticky paralyzována)</w:t>
      </w:r>
      <w:r>
        <w:rPr>
          <w:sz w:val="16"/>
          <w:szCs w:val="16"/>
        </w:rPr>
        <w:t xml:space="preserve">, o rok dříve 3,8 mil. (kina byla uzavřena mezi 13. březnem a 10. květnem), a v první půli </w:t>
      </w:r>
      <w:proofErr w:type="spellStart"/>
      <w:r>
        <w:rPr>
          <w:sz w:val="16"/>
          <w:szCs w:val="16"/>
        </w:rPr>
        <w:t>n</w:t>
      </w:r>
      <w:r w:rsidR="00BF35C9">
        <w:rPr>
          <w:sz w:val="16"/>
          <w:szCs w:val="16"/>
        </w:rPr>
        <w:t>ávštěvnicky</w:t>
      </w:r>
      <w:proofErr w:type="spellEnd"/>
      <w:r w:rsidR="00BF35C9">
        <w:rPr>
          <w:sz w:val="16"/>
          <w:szCs w:val="16"/>
        </w:rPr>
        <w:t xml:space="preserve"> rekordního roku 2019</w:t>
      </w:r>
      <w:r>
        <w:rPr>
          <w:sz w:val="16"/>
          <w:szCs w:val="16"/>
        </w:rPr>
        <w:t xml:space="preserve"> dokonce 8,8 mil. osob.</w:t>
      </w:r>
    </w:p>
  </w:footnote>
  <w:footnote w:id="41">
    <w:p w14:paraId="66C61746" w14:textId="77777777" w:rsidR="00ED1959" w:rsidRPr="00C75B60" w:rsidRDefault="00ED1959" w:rsidP="00ED1959">
      <w:pPr>
        <w:pStyle w:val="Textpoznpodarou"/>
        <w:rPr>
          <w:sz w:val="16"/>
          <w:szCs w:val="16"/>
        </w:rPr>
      </w:pPr>
      <w:r w:rsidRPr="00C75B60">
        <w:rPr>
          <w:rStyle w:val="Znakapoznpodarou"/>
          <w:sz w:val="16"/>
          <w:szCs w:val="16"/>
        </w:rPr>
        <w:footnoteRef/>
      </w:r>
      <w:r w:rsidRPr="00C75B60">
        <w:rPr>
          <w:sz w:val="16"/>
          <w:szCs w:val="16"/>
        </w:rPr>
        <w:t xml:space="preserve"> </w:t>
      </w:r>
      <w:r w:rsidRPr="00C75B60">
        <w:rPr>
          <w:rFonts w:cs="Arial"/>
          <w:color w:val="0D0D0D" w:themeColor="text1" w:themeTint="F2"/>
          <w:spacing w:val="-4"/>
          <w:sz w:val="16"/>
          <w:szCs w:val="16"/>
        </w:rPr>
        <w:t>Vedle vlivu rozvolňování působil na nákup</w:t>
      </w:r>
      <w:r>
        <w:rPr>
          <w:rFonts w:cs="Arial"/>
          <w:color w:val="0D0D0D" w:themeColor="text1" w:themeTint="F2"/>
          <w:spacing w:val="-4"/>
          <w:sz w:val="16"/>
          <w:szCs w:val="16"/>
        </w:rPr>
        <w:t>ní</w:t>
      </w:r>
      <w:r w:rsidRPr="00C75B60">
        <w:rPr>
          <w:rFonts w:cs="Arial"/>
          <w:color w:val="0D0D0D" w:themeColor="text1" w:themeTint="F2"/>
          <w:spacing w:val="-4"/>
          <w:sz w:val="16"/>
          <w:szCs w:val="16"/>
        </w:rPr>
        <w:t xml:space="preserve"> apetit lidí </w:t>
      </w:r>
      <w:r>
        <w:rPr>
          <w:rFonts w:cs="Arial"/>
          <w:color w:val="0D0D0D" w:themeColor="text1" w:themeTint="F2"/>
          <w:spacing w:val="-4"/>
          <w:sz w:val="16"/>
          <w:szCs w:val="16"/>
        </w:rPr>
        <w:t>i solidní růst objemu</w:t>
      </w:r>
      <w:r w:rsidRPr="00C75B60">
        <w:rPr>
          <w:rFonts w:cs="Arial"/>
          <w:color w:val="0D0D0D" w:themeColor="text1" w:themeTint="F2"/>
          <w:spacing w:val="-4"/>
          <w:sz w:val="16"/>
          <w:szCs w:val="16"/>
        </w:rPr>
        <w:t xml:space="preserve"> vyplacených mezd v ekonomice a</w:t>
      </w:r>
      <w:r>
        <w:rPr>
          <w:rFonts w:cs="Arial"/>
          <w:color w:val="0D0D0D" w:themeColor="text1" w:themeTint="F2"/>
          <w:spacing w:val="-4"/>
          <w:sz w:val="16"/>
          <w:szCs w:val="16"/>
        </w:rPr>
        <w:t> s </w:t>
      </w:r>
      <w:r w:rsidRPr="00C75B60">
        <w:rPr>
          <w:rFonts w:cs="Arial"/>
          <w:color w:val="0D0D0D" w:themeColor="text1" w:themeTint="F2"/>
          <w:spacing w:val="-4"/>
          <w:sz w:val="16"/>
          <w:szCs w:val="16"/>
        </w:rPr>
        <w:t>tím související vyšší koupěschopnost domácností (podpořená i</w:t>
      </w:r>
      <w:r>
        <w:rPr>
          <w:rFonts w:cs="Arial"/>
          <w:color w:val="0D0D0D" w:themeColor="text1" w:themeTint="F2"/>
          <w:spacing w:val="-4"/>
          <w:sz w:val="16"/>
          <w:szCs w:val="16"/>
        </w:rPr>
        <w:t> </w:t>
      </w:r>
      <w:r w:rsidRPr="00C75B60">
        <w:rPr>
          <w:rFonts w:cs="Arial"/>
          <w:color w:val="0D0D0D" w:themeColor="text1" w:themeTint="F2"/>
          <w:spacing w:val="-4"/>
          <w:sz w:val="16"/>
          <w:szCs w:val="16"/>
        </w:rPr>
        <w:t>nižším zdaněním</w:t>
      </w:r>
      <w:r>
        <w:rPr>
          <w:rFonts w:cs="Arial"/>
          <w:color w:val="0D0D0D" w:themeColor="text1" w:themeTint="F2"/>
          <w:spacing w:val="-4"/>
          <w:sz w:val="16"/>
          <w:szCs w:val="16"/>
        </w:rPr>
        <w:t xml:space="preserve"> výdělků). Spotřebitelská důvěra</w:t>
      </w:r>
      <w:r w:rsidRPr="00C75B60">
        <w:rPr>
          <w:rFonts w:cs="Arial"/>
          <w:color w:val="0D0D0D" w:themeColor="text1" w:themeTint="F2"/>
          <w:spacing w:val="-4"/>
          <w:sz w:val="16"/>
          <w:szCs w:val="16"/>
        </w:rPr>
        <w:t xml:space="preserve"> byla v červnu nejvyšší za </w:t>
      </w:r>
      <w:r>
        <w:rPr>
          <w:rFonts w:cs="Arial"/>
          <w:color w:val="0D0D0D" w:themeColor="text1" w:themeTint="F2"/>
          <w:spacing w:val="-4"/>
          <w:sz w:val="16"/>
          <w:szCs w:val="16"/>
        </w:rPr>
        <w:t xml:space="preserve">poslední </w:t>
      </w:r>
      <w:r w:rsidRPr="00C75B60">
        <w:rPr>
          <w:rFonts w:cs="Arial"/>
          <w:color w:val="0D0D0D" w:themeColor="text1" w:themeTint="F2"/>
          <w:spacing w:val="-4"/>
          <w:sz w:val="16"/>
          <w:szCs w:val="16"/>
        </w:rPr>
        <w:t>rok a</w:t>
      </w:r>
      <w:r>
        <w:rPr>
          <w:rFonts w:cs="Arial"/>
          <w:color w:val="0D0D0D" w:themeColor="text1" w:themeTint="F2"/>
          <w:spacing w:val="-4"/>
          <w:sz w:val="16"/>
          <w:szCs w:val="16"/>
        </w:rPr>
        <w:t> </w:t>
      </w:r>
      <w:r w:rsidRPr="00C75B60">
        <w:rPr>
          <w:rFonts w:cs="Arial"/>
          <w:color w:val="0D0D0D" w:themeColor="text1" w:themeTint="F2"/>
          <w:spacing w:val="-4"/>
          <w:sz w:val="16"/>
          <w:szCs w:val="16"/>
        </w:rPr>
        <w:t>půl. Proti rychlejší realizaci odložené spotřeby mohly ale působit sílící obavy lidí z růstu cen, které měly oporu i</w:t>
      </w:r>
      <w:r>
        <w:rPr>
          <w:rFonts w:cs="Arial"/>
          <w:color w:val="0D0D0D" w:themeColor="text1" w:themeTint="F2"/>
          <w:spacing w:val="-4"/>
          <w:sz w:val="16"/>
          <w:szCs w:val="16"/>
        </w:rPr>
        <w:t> v </w:t>
      </w:r>
      <w:r w:rsidRPr="00C75B60">
        <w:rPr>
          <w:rFonts w:cs="Arial"/>
          <w:color w:val="0D0D0D" w:themeColor="text1" w:themeTint="F2"/>
          <w:spacing w:val="-4"/>
          <w:sz w:val="16"/>
          <w:szCs w:val="16"/>
        </w:rPr>
        <w:t>reálném vývoji ekonomiky.</w:t>
      </w:r>
    </w:p>
  </w:footnote>
  <w:footnote w:id="42">
    <w:p w14:paraId="5877D5DC" w14:textId="77777777" w:rsidR="00ED1959" w:rsidRDefault="00ED1959" w:rsidP="00ED1959">
      <w:pPr>
        <w:spacing w:after="0" w:line="240" w:lineRule="auto"/>
      </w:pPr>
      <w:r w:rsidRPr="000F615E">
        <w:rPr>
          <w:rStyle w:val="Znakapoznpodarou"/>
          <w:color w:val="0D0D0D" w:themeColor="text1" w:themeTint="F2"/>
          <w:sz w:val="16"/>
          <w:szCs w:val="16"/>
        </w:rPr>
        <w:footnoteRef/>
      </w:r>
      <w:r w:rsidRPr="000F615E">
        <w:rPr>
          <w:color w:val="0D0D0D" w:themeColor="text1" w:themeTint="F2"/>
          <w:sz w:val="16"/>
          <w:szCs w:val="16"/>
        </w:rPr>
        <w:t xml:space="preserve"> Všechna meziroční tempa tržeb za maloobchod jsou uvedena ve stálých cenách a očištěna o kalendářní vlivy, mezičtvrtletní tempa jsou očištěna o sezónní vlivy (včetně vlivu počtu pracovních dnů).</w:t>
      </w:r>
      <w:r>
        <w:rPr>
          <w:color w:val="0D0D0D" w:themeColor="text1" w:themeTint="F2"/>
          <w:sz w:val="16"/>
          <w:szCs w:val="16"/>
        </w:rPr>
        <w:t xml:space="preserve"> Maloobchod zahrnuje odvětví CZ-NACE 47.</w:t>
      </w:r>
    </w:p>
  </w:footnote>
  <w:footnote w:id="43">
    <w:p w14:paraId="08543550" w14:textId="77777777" w:rsidR="00ED1959" w:rsidRPr="00E951AB" w:rsidRDefault="00ED1959" w:rsidP="00ED1959">
      <w:pPr>
        <w:pStyle w:val="Textpoznpodarou"/>
        <w:rPr>
          <w:sz w:val="16"/>
          <w:szCs w:val="16"/>
        </w:rPr>
      </w:pPr>
      <w:r w:rsidRPr="00E951AB">
        <w:rPr>
          <w:rStyle w:val="Znakapoznpodarou"/>
          <w:sz w:val="16"/>
          <w:szCs w:val="16"/>
        </w:rPr>
        <w:footnoteRef/>
      </w:r>
      <w:r w:rsidRPr="00E951AB">
        <w:rPr>
          <w:sz w:val="16"/>
          <w:szCs w:val="16"/>
        </w:rPr>
        <w:t xml:space="preserve"> Ve srovnání s</w:t>
      </w:r>
      <w:r>
        <w:rPr>
          <w:sz w:val="16"/>
          <w:szCs w:val="16"/>
        </w:rPr>
        <w:t> </w:t>
      </w:r>
      <w:r w:rsidRPr="00E951AB">
        <w:rPr>
          <w:sz w:val="16"/>
          <w:szCs w:val="16"/>
        </w:rPr>
        <w:t>„nevychýleným“ 2.</w:t>
      </w:r>
      <w:r>
        <w:rPr>
          <w:sz w:val="16"/>
          <w:szCs w:val="16"/>
        </w:rPr>
        <w:t> čtvrtlet</w:t>
      </w:r>
      <w:r w:rsidRPr="00E951AB">
        <w:rPr>
          <w:sz w:val="16"/>
          <w:szCs w:val="16"/>
        </w:rPr>
        <w:t>ím 2019 byly letos tržby vyšší o</w:t>
      </w:r>
      <w:r>
        <w:rPr>
          <w:sz w:val="16"/>
          <w:szCs w:val="16"/>
        </w:rPr>
        <w:t> </w:t>
      </w:r>
      <w:r w:rsidRPr="00E951AB">
        <w:rPr>
          <w:sz w:val="16"/>
          <w:szCs w:val="16"/>
        </w:rPr>
        <w:t>rovná 4</w:t>
      </w:r>
      <w:r>
        <w:rPr>
          <w:sz w:val="16"/>
          <w:szCs w:val="16"/>
        </w:rPr>
        <w:t> %</w:t>
      </w:r>
      <w:r w:rsidRPr="00E951AB">
        <w:rPr>
          <w:sz w:val="16"/>
          <w:szCs w:val="16"/>
        </w:rPr>
        <w:t>. Maloobchod tak letos ve 2.</w:t>
      </w:r>
      <w:r>
        <w:rPr>
          <w:sz w:val="16"/>
          <w:szCs w:val="16"/>
        </w:rPr>
        <w:t> čtvrtlet</w:t>
      </w:r>
      <w:r w:rsidRPr="00E951AB">
        <w:rPr>
          <w:sz w:val="16"/>
          <w:szCs w:val="16"/>
        </w:rPr>
        <w:t>í do značné míry navázal na tempa z</w:t>
      </w:r>
      <w:r>
        <w:rPr>
          <w:sz w:val="16"/>
          <w:szCs w:val="16"/>
        </w:rPr>
        <w:t xml:space="preserve"> éry </w:t>
      </w:r>
      <w:r w:rsidRPr="00E951AB">
        <w:rPr>
          <w:sz w:val="16"/>
          <w:szCs w:val="16"/>
        </w:rPr>
        <w:t>končícího konju</w:t>
      </w:r>
      <w:r>
        <w:rPr>
          <w:sz w:val="16"/>
          <w:szCs w:val="16"/>
        </w:rPr>
        <w:t>n</w:t>
      </w:r>
      <w:r w:rsidRPr="00E951AB">
        <w:rPr>
          <w:sz w:val="16"/>
          <w:szCs w:val="16"/>
        </w:rPr>
        <w:t>kturního období (za celý rok 2018 +5,0</w:t>
      </w:r>
      <w:r>
        <w:rPr>
          <w:sz w:val="16"/>
          <w:szCs w:val="16"/>
        </w:rPr>
        <w:t> %</w:t>
      </w:r>
      <w:r w:rsidRPr="00E951AB">
        <w:rPr>
          <w:sz w:val="16"/>
          <w:szCs w:val="16"/>
        </w:rPr>
        <w:t>, 2019 +4,8</w:t>
      </w:r>
      <w:r>
        <w:rPr>
          <w:sz w:val="16"/>
          <w:szCs w:val="16"/>
        </w:rPr>
        <w:t> %</w:t>
      </w:r>
      <w:r w:rsidRPr="00E951AB">
        <w:rPr>
          <w:sz w:val="16"/>
          <w:szCs w:val="16"/>
        </w:rPr>
        <w:t>).</w:t>
      </w:r>
    </w:p>
  </w:footnote>
  <w:footnote w:id="44">
    <w:p w14:paraId="218DF01E" w14:textId="77777777" w:rsidR="00C872AA" w:rsidRPr="00531C2B" w:rsidRDefault="00C872AA" w:rsidP="008E51EB">
      <w:pPr>
        <w:pStyle w:val="Textpoznpodarou"/>
        <w:rPr>
          <w:sz w:val="16"/>
          <w:szCs w:val="16"/>
        </w:rPr>
      </w:pPr>
      <w:r w:rsidRPr="00531C2B">
        <w:rPr>
          <w:rStyle w:val="Znakapoznpodarou"/>
          <w:sz w:val="16"/>
          <w:szCs w:val="16"/>
        </w:rPr>
        <w:footnoteRef/>
      </w:r>
      <w:r w:rsidRPr="00531C2B">
        <w:rPr>
          <w:sz w:val="16"/>
          <w:szCs w:val="16"/>
        </w:rPr>
        <w:t xml:space="preserve"> Přebytek ve 2.</w:t>
      </w:r>
      <w:r>
        <w:rPr>
          <w:sz w:val="16"/>
          <w:szCs w:val="16"/>
        </w:rPr>
        <w:t> čtvrtlet</w:t>
      </w:r>
      <w:r w:rsidRPr="00531C2B">
        <w:rPr>
          <w:sz w:val="16"/>
          <w:szCs w:val="16"/>
        </w:rPr>
        <w:t>í byl v posledních letech buď nejvyšším, nebo druhým nejvyšším za celý rok.</w:t>
      </w:r>
    </w:p>
  </w:footnote>
  <w:footnote w:id="45">
    <w:p w14:paraId="5D416F43" w14:textId="77777777" w:rsidR="00C872AA" w:rsidRPr="007F1653" w:rsidRDefault="00C872AA" w:rsidP="00E32778">
      <w:pPr>
        <w:pStyle w:val="Textpoznpodarou"/>
        <w:rPr>
          <w:sz w:val="16"/>
          <w:szCs w:val="16"/>
        </w:rPr>
      </w:pPr>
      <w:r w:rsidRPr="007F1653">
        <w:rPr>
          <w:rStyle w:val="Znakapoznpodarou"/>
          <w:sz w:val="16"/>
          <w:szCs w:val="16"/>
        </w:rPr>
        <w:footnoteRef/>
      </w:r>
      <w:r w:rsidRPr="007F1653">
        <w:rPr>
          <w:sz w:val="16"/>
          <w:szCs w:val="16"/>
        </w:rPr>
        <w:t xml:space="preserve"> Vlivem propadu poptávky i</w:t>
      </w:r>
      <w:r>
        <w:rPr>
          <w:sz w:val="16"/>
          <w:szCs w:val="16"/>
        </w:rPr>
        <w:t> </w:t>
      </w:r>
      <w:r w:rsidRPr="007F1653">
        <w:rPr>
          <w:sz w:val="16"/>
          <w:szCs w:val="16"/>
        </w:rPr>
        <w:t xml:space="preserve">zhroucení kartelových dohod klesla </w:t>
      </w:r>
      <w:proofErr w:type="gramStart"/>
      <w:r>
        <w:rPr>
          <w:sz w:val="16"/>
          <w:szCs w:val="16"/>
        </w:rPr>
        <w:t>p</w:t>
      </w:r>
      <w:r w:rsidRPr="0022386D">
        <w:rPr>
          <w:sz w:val="16"/>
          <w:szCs w:val="16"/>
        </w:rPr>
        <w:t>odle U.S</w:t>
      </w:r>
      <w:r>
        <w:rPr>
          <w:sz w:val="16"/>
          <w:szCs w:val="16"/>
        </w:rPr>
        <w:t>.</w:t>
      </w:r>
      <w:proofErr w:type="gramEnd"/>
      <w:r>
        <w:rPr>
          <w:sz w:val="16"/>
          <w:szCs w:val="16"/>
        </w:rPr>
        <w:t> </w:t>
      </w:r>
      <w:proofErr w:type="spellStart"/>
      <w:r w:rsidRPr="0022386D">
        <w:rPr>
          <w:sz w:val="16"/>
          <w:szCs w:val="16"/>
        </w:rPr>
        <w:t>Energy</w:t>
      </w:r>
      <w:proofErr w:type="spellEnd"/>
      <w:r w:rsidRPr="0022386D">
        <w:rPr>
          <w:sz w:val="16"/>
          <w:szCs w:val="16"/>
        </w:rPr>
        <w:t xml:space="preserve"> </w:t>
      </w:r>
      <w:proofErr w:type="spellStart"/>
      <w:r w:rsidRPr="0022386D">
        <w:rPr>
          <w:sz w:val="16"/>
          <w:szCs w:val="16"/>
        </w:rPr>
        <w:t>Information</w:t>
      </w:r>
      <w:proofErr w:type="spellEnd"/>
      <w:r w:rsidRPr="0022386D">
        <w:rPr>
          <w:sz w:val="16"/>
          <w:szCs w:val="16"/>
        </w:rPr>
        <w:t xml:space="preserve"> </w:t>
      </w:r>
      <w:proofErr w:type="spellStart"/>
      <w:r w:rsidRPr="0022386D">
        <w:rPr>
          <w:sz w:val="16"/>
          <w:szCs w:val="16"/>
        </w:rPr>
        <w:t>Administration</w:t>
      </w:r>
      <w:proofErr w:type="spellEnd"/>
      <w:r w:rsidRPr="0022386D">
        <w:rPr>
          <w:sz w:val="16"/>
          <w:szCs w:val="16"/>
        </w:rPr>
        <w:t xml:space="preserve"> </w:t>
      </w:r>
      <w:r w:rsidRPr="007F1653">
        <w:rPr>
          <w:sz w:val="16"/>
          <w:szCs w:val="16"/>
        </w:rPr>
        <w:t>průměrná cena barelu ropy BRENT v dubnu na 18,38</w:t>
      </w:r>
      <w:r>
        <w:rPr>
          <w:sz w:val="16"/>
          <w:szCs w:val="16"/>
        </w:rPr>
        <w:t> </w:t>
      </w:r>
      <w:r w:rsidRPr="007F1653">
        <w:rPr>
          <w:sz w:val="16"/>
          <w:szCs w:val="16"/>
        </w:rPr>
        <w:t>dolaru a</w:t>
      </w:r>
      <w:r>
        <w:rPr>
          <w:sz w:val="16"/>
          <w:szCs w:val="16"/>
        </w:rPr>
        <w:t> </w:t>
      </w:r>
      <w:r w:rsidRPr="007F1653">
        <w:rPr>
          <w:sz w:val="16"/>
          <w:szCs w:val="16"/>
        </w:rPr>
        <w:t>v květnu na 29,38</w:t>
      </w:r>
      <w:r>
        <w:rPr>
          <w:sz w:val="16"/>
          <w:szCs w:val="16"/>
        </w:rPr>
        <w:t> </w:t>
      </w:r>
      <w:r w:rsidRPr="007F1653">
        <w:rPr>
          <w:sz w:val="16"/>
          <w:szCs w:val="16"/>
        </w:rPr>
        <w:t>dolaru.</w:t>
      </w:r>
      <w:r>
        <w:rPr>
          <w:sz w:val="16"/>
          <w:szCs w:val="16"/>
        </w:rPr>
        <w:t xml:space="preserve"> Letos byly tedy ceny i více než dvojnásobné (64,81, 68,53 a 73,16 dolaru v dubnu, květnu a červnu).</w:t>
      </w:r>
    </w:p>
  </w:footnote>
  <w:footnote w:id="46">
    <w:p w14:paraId="3256384E" w14:textId="77777777" w:rsidR="00C872AA" w:rsidRPr="003E58F7" w:rsidRDefault="00C872AA" w:rsidP="00E32778">
      <w:pPr>
        <w:pStyle w:val="Textpoznpodarou"/>
        <w:rPr>
          <w:sz w:val="16"/>
          <w:szCs w:val="16"/>
        </w:rPr>
      </w:pPr>
      <w:r w:rsidRPr="003E58F7">
        <w:rPr>
          <w:rStyle w:val="Znakapoznpodarou"/>
          <w:sz w:val="16"/>
          <w:szCs w:val="16"/>
        </w:rPr>
        <w:footnoteRef/>
      </w:r>
      <w:r w:rsidRPr="003E58F7">
        <w:rPr>
          <w:sz w:val="16"/>
          <w:szCs w:val="16"/>
        </w:rPr>
        <w:t xml:space="preserve"> Individuální data</w:t>
      </w:r>
    </w:p>
  </w:footnote>
  <w:footnote w:id="47">
    <w:p w14:paraId="30BACF72" w14:textId="77777777" w:rsidR="00C872AA" w:rsidRPr="00C11C5A" w:rsidRDefault="00C872AA" w:rsidP="00E32778">
      <w:pPr>
        <w:pStyle w:val="Textpoznpodarou"/>
        <w:rPr>
          <w:sz w:val="16"/>
          <w:szCs w:val="16"/>
        </w:rPr>
      </w:pPr>
      <w:r w:rsidRPr="00C11C5A">
        <w:rPr>
          <w:rStyle w:val="Znakapoznpodarou"/>
          <w:sz w:val="16"/>
          <w:szCs w:val="16"/>
        </w:rPr>
        <w:footnoteRef/>
      </w:r>
      <w:r w:rsidRPr="00C11C5A">
        <w:rPr>
          <w:sz w:val="16"/>
          <w:szCs w:val="16"/>
        </w:rPr>
        <w:t xml:space="preserve"> Ve 2.</w:t>
      </w:r>
      <w:r>
        <w:rPr>
          <w:sz w:val="16"/>
          <w:szCs w:val="16"/>
        </w:rPr>
        <w:t> čtvrtlet</w:t>
      </w:r>
      <w:r w:rsidRPr="00C11C5A">
        <w:rPr>
          <w:sz w:val="16"/>
          <w:szCs w:val="16"/>
        </w:rPr>
        <w:t>í 2020 průměrný kurz koruny vůči euru dosáhl 27,054</w:t>
      </w:r>
      <w:r>
        <w:rPr>
          <w:sz w:val="16"/>
          <w:szCs w:val="16"/>
        </w:rPr>
        <w:t> </w:t>
      </w:r>
      <w:r w:rsidRPr="00C11C5A">
        <w:rPr>
          <w:sz w:val="16"/>
          <w:szCs w:val="16"/>
        </w:rPr>
        <w:t>CZK/EUR. Letos to bylo 25,638</w:t>
      </w:r>
      <w:r>
        <w:rPr>
          <w:sz w:val="16"/>
          <w:szCs w:val="16"/>
        </w:rPr>
        <w:t> </w:t>
      </w:r>
      <w:r w:rsidRPr="00C11C5A">
        <w:rPr>
          <w:sz w:val="16"/>
          <w:szCs w:val="16"/>
        </w:rPr>
        <w:t xml:space="preserve">CZK/EUR. Ještě </w:t>
      </w:r>
      <w:r>
        <w:rPr>
          <w:sz w:val="16"/>
          <w:szCs w:val="16"/>
        </w:rPr>
        <w:t>výraznější</w:t>
      </w:r>
      <w:r w:rsidRPr="00C11C5A">
        <w:rPr>
          <w:sz w:val="16"/>
          <w:szCs w:val="16"/>
        </w:rPr>
        <w:t xml:space="preserve"> bylo posílení kurzu vůči dolaru. Loni průměr ve 2.</w:t>
      </w:r>
      <w:r>
        <w:rPr>
          <w:sz w:val="16"/>
          <w:szCs w:val="16"/>
        </w:rPr>
        <w:t> čtvrtlet</w:t>
      </w:r>
      <w:r w:rsidRPr="00C11C5A">
        <w:rPr>
          <w:sz w:val="16"/>
          <w:szCs w:val="16"/>
        </w:rPr>
        <w:t>í činil 24,569</w:t>
      </w:r>
      <w:r>
        <w:rPr>
          <w:sz w:val="16"/>
          <w:szCs w:val="16"/>
        </w:rPr>
        <w:t> </w:t>
      </w:r>
      <w:r w:rsidRPr="00C11C5A">
        <w:rPr>
          <w:sz w:val="16"/>
          <w:szCs w:val="16"/>
        </w:rPr>
        <w:t>CZK/USD, letos 21,265</w:t>
      </w:r>
      <w:r>
        <w:rPr>
          <w:sz w:val="16"/>
          <w:szCs w:val="16"/>
        </w:rPr>
        <w:t> </w:t>
      </w:r>
      <w:r w:rsidRPr="00C11C5A">
        <w:rPr>
          <w:sz w:val="16"/>
          <w:szCs w:val="16"/>
        </w:rPr>
        <w:t>CZK/EUR.</w:t>
      </w:r>
    </w:p>
  </w:footnote>
  <w:footnote w:id="48">
    <w:p w14:paraId="09B50A5B" w14:textId="77777777" w:rsidR="00C872AA" w:rsidRPr="00940B11" w:rsidRDefault="00C872AA" w:rsidP="00E32778">
      <w:pPr>
        <w:pStyle w:val="Textpoznpodarou"/>
        <w:rPr>
          <w:sz w:val="16"/>
          <w:szCs w:val="16"/>
        </w:rPr>
      </w:pPr>
      <w:r w:rsidRPr="00940B11">
        <w:rPr>
          <w:rStyle w:val="Znakapoznpodarou"/>
          <w:sz w:val="16"/>
          <w:szCs w:val="16"/>
        </w:rPr>
        <w:footnoteRef/>
      </w:r>
      <w:r w:rsidRPr="00940B11">
        <w:rPr>
          <w:sz w:val="16"/>
          <w:szCs w:val="16"/>
        </w:rPr>
        <w:t xml:space="preserve"> SITC</w:t>
      </w:r>
      <w:r>
        <w:rPr>
          <w:sz w:val="16"/>
          <w:szCs w:val="16"/>
        </w:rPr>
        <w:t> </w:t>
      </w:r>
      <w:r w:rsidRPr="00940B11">
        <w:rPr>
          <w:sz w:val="16"/>
          <w:szCs w:val="16"/>
        </w:rPr>
        <w:t>2</w:t>
      </w:r>
      <w:r>
        <w:rPr>
          <w:sz w:val="16"/>
          <w:szCs w:val="16"/>
        </w:rPr>
        <w:t> </w:t>
      </w:r>
      <w:r w:rsidRPr="00940B11">
        <w:rPr>
          <w:sz w:val="16"/>
          <w:szCs w:val="16"/>
        </w:rPr>
        <w:t>– suroviny nepoživatelné s výjimkou paliv</w:t>
      </w:r>
    </w:p>
  </w:footnote>
  <w:footnote w:id="49">
    <w:p w14:paraId="015AF28B" w14:textId="77777777" w:rsidR="00C872AA" w:rsidRPr="00940B11" w:rsidRDefault="00C872AA" w:rsidP="00E32778">
      <w:pPr>
        <w:pStyle w:val="Textpoznpodarou"/>
        <w:rPr>
          <w:sz w:val="16"/>
          <w:szCs w:val="16"/>
        </w:rPr>
      </w:pPr>
      <w:r w:rsidRPr="00940B11">
        <w:rPr>
          <w:rStyle w:val="Znakapoznpodarou"/>
          <w:sz w:val="16"/>
          <w:szCs w:val="16"/>
        </w:rPr>
        <w:footnoteRef/>
      </w:r>
      <w:r w:rsidRPr="00940B11">
        <w:rPr>
          <w:sz w:val="16"/>
          <w:szCs w:val="16"/>
        </w:rPr>
        <w:t xml:space="preserve"> SITC</w:t>
      </w:r>
      <w:r>
        <w:rPr>
          <w:sz w:val="16"/>
          <w:szCs w:val="16"/>
        </w:rPr>
        <w:t> </w:t>
      </w:r>
      <w:r w:rsidRPr="00940B11">
        <w:rPr>
          <w:sz w:val="16"/>
          <w:szCs w:val="16"/>
        </w:rPr>
        <w:t>6</w:t>
      </w:r>
      <w:r>
        <w:rPr>
          <w:sz w:val="16"/>
          <w:szCs w:val="16"/>
        </w:rPr>
        <w:t> </w:t>
      </w:r>
      <w:r w:rsidRPr="00940B11">
        <w:rPr>
          <w:sz w:val="16"/>
          <w:szCs w:val="16"/>
        </w:rPr>
        <w:t>– tržní výrobky tříděné hlavně podle materiálu</w:t>
      </w:r>
    </w:p>
  </w:footnote>
  <w:footnote w:id="50">
    <w:p w14:paraId="19177BCA" w14:textId="77777777" w:rsidR="0070658E" w:rsidRPr="003A1DD6" w:rsidRDefault="0070658E" w:rsidP="0070658E">
      <w:pPr>
        <w:pStyle w:val="Textpoznpodarou"/>
        <w:jc w:val="both"/>
        <w:rPr>
          <w:spacing w:val="-2"/>
          <w:sz w:val="16"/>
          <w:szCs w:val="16"/>
        </w:rPr>
      </w:pPr>
      <w:r w:rsidRPr="00CD5EBC">
        <w:rPr>
          <w:rStyle w:val="Znakapoznpodarou"/>
          <w:spacing w:val="-2"/>
          <w:sz w:val="16"/>
          <w:szCs w:val="16"/>
        </w:rPr>
        <w:footnoteRef/>
      </w:r>
      <w:r>
        <w:rPr>
          <w:spacing w:val="-2"/>
          <w:sz w:val="16"/>
          <w:szCs w:val="16"/>
        </w:rPr>
        <w:t xml:space="preserve"> </w:t>
      </w:r>
      <w:r w:rsidRPr="00CD5EBC">
        <w:rPr>
          <w:spacing w:val="-2"/>
          <w:sz w:val="16"/>
          <w:szCs w:val="16"/>
        </w:rPr>
        <w:t>Není-li uvedeno jinak, jsou údaje o zaměstnanosti v této kapitole vyjádřeny v pojetí národních účtů po očištění o sezónní vlivy.</w:t>
      </w:r>
    </w:p>
  </w:footnote>
  <w:footnote w:id="51">
    <w:p w14:paraId="34F4BE30" w14:textId="77777777" w:rsidR="0070658E" w:rsidRPr="001C0D8B" w:rsidRDefault="0070658E" w:rsidP="0070658E">
      <w:pPr>
        <w:pStyle w:val="Textpoznpodarou"/>
        <w:rPr>
          <w:sz w:val="16"/>
          <w:szCs w:val="16"/>
        </w:rPr>
      </w:pPr>
      <w:r w:rsidRPr="001C0D8B">
        <w:rPr>
          <w:rStyle w:val="Znakapoznpodarou"/>
          <w:sz w:val="16"/>
          <w:szCs w:val="16"/>
        </w:rPr>
        <w:footnoteRef/>
      </w:r>
      <w:r w:rsidRPr="001C0D8B">
        <w:rPr>
          <w:sz w:val="16"/>
          <w:szCs w:val="16"/>
        </w:rPr>
        <w:t xml:space="preserve"> Ve srovnání s dosud rekordní výš</w:t>
      </w:r>
      <w:r>
        <w:rPr>
          <w:sz w:val="16"/>
          <w:szCs w:val="16"/>
        </w:rPr>
        <w:t>í</w:t>
      </w:r>
      <w:r w:rsidRPr="001C0D8B">
        <w:rPr>
          <w:sz w:val="16"/>
          <w:szCs w:val="16"/>
        </w:rPr>
        <w:t xml:space="preserve"> zaměstnanosti </w:t>
      </w:r>
      <w:r>
        <w:rPr>
          <w:sz w:val="16"/>
          <w:szCs w:val="16"/>
        </w:rPr>
        <w:t>z </w:t>
      </w:r>
      <w:r w:rsidRPr="001C0D8B">
        <w:rPr>
          <w:sz w:val="16"/>
          <w:szCs w:val="16"/>
        </w:rPr>
        <w:t>2.</w:t>
      </w:r>
      <w:r>
        <w:rPr>
          <w:sz w:val="16"/>
          <w:szCs w:val="16"/>
        </w:rPr>
        <w:t> čtvrtlet</w:t>
      </w:r>
      <w:r w:rsidRPr="001C0D8B">
        <w:rPr>
          <w:sz w:val="16"/>
          <w:szCs w:val="16"/>
        </w:rPr>
        <w:t>í 2019 (5,45</w:t>
      </w:r>
      <w:r>
        <w:rPr>
          <w:sz w:val="16"/>
          <w:szCs w:val="16"/>
        </w:rPr>
        <w:t> mil.</w:t>
      </w:r>
      <w:r w:rsidRPr="001C0D8B">
        <w:rPr>
          <w:sz w:val="16"/>
          <w:szCs w:val="16"/>
        </w:rPr>
        <w:t xml:space="preserve"> osob) to však </w:t>
      </w:r>
      <w:r>
        <w:rPr>
          <w:sz w:val="16"/>
          <w:szCs w:val="16"/>
        </w:rPr>
        <w:t xml:space="preserve">bylo </w:t>
      </w:r>
      <w:r w:rsidRPr="001C0D8B">
        <w:rPr>
          <w:sz w:val="16"/>
          <w:szCs w:val="16"/>
        </w:rPr>
        <w:t>stále o</w:t>
      </w:r>
      <w:r>
        <w:rPr>
          <w:sz w:val="16"/>
          <w:szCs w:val="16"/>
        </w:rPr>
        <w:t> </w:t>
      </w:r>
      <w:r w:rsidRPr="001C0D8B">
        <w:rPr>
          <w:sz w:val="16"/>
          <w:szCs w:val="16"/>
        </w:rPr>
        <w:t>téměř 2</w:t>
      </w:r>
      <w:r>
        <w:rPr>
          <w:sz w:val="16"/>
          <w:szCs w:val="16"/>
        </w:rPr>
        <w:t> %</w:t>
      </w:r>
      <w:r w:rsidRPr="001C0D8B">
        <w:rPr>
          <w:sz w:val="16"/>
          <w:szCs w:val="16"/>
        </w:rPr>
        <w:t xml:space="preserve"> méně. </w:t>
      </w:r>
      <w:r>
        <w:rPr>
          <w:sz w:val="16"/>
          <w:szCs w:val="16"/>
        </w:rPr>
        <w:t>Nejhlubší dvouletý pokles držely mezi hlavními odvětvími zpracovatelský průmysl (5,2 %) a uskupení o</w:t>
      </w:r>
      <w:r w:rsidRPr="001C0D8B">
        <w:rPr>
          <w:sz w:val="16"/>
          <w:szCs w:val="16"/>
        </w:rPr>
        <w:t>bchod, doprava, ubytování a</w:t>
      </w:r>
      <w:r>
        <w:rPr>
          <w:sz w:val="16"/>
          <w:szCs w:val="16"/>
        </w:rPr>
        <w:t> </w:t>
      </w:r>
      <w:r w:rsidRPr="001C0D8B">
        <w:rPr>
          <w:sz w:val="16"/>
          <w:szCs w:val="16"/>
        </w:rPr>
        <w:t>pohostinství</w:t>
      </w:r>
      <w:r>
        <w:rPr>
          <w:sz w:val="16"/>
          <w:szCs w:val="16"/>
        </w:rPr>
        <w:t xml:space="preserve"> (6,2 %). Naopak pracovníků v i</w:t>
      </w:r>
      <w:r w:rsidRPr="001C0D8B">
        <w:rPr>
          <w:sz w:val="16"/>
          <w:szCs w:val="16"/>
        </w:rPr>
        <w:t>nformační</w:t>
      </w:r>
      <w:r>
        <w:rPr>
          <w:sz w:val="16"/>
          <w:szCs w:val="16"/>
        </w:rPr>
        <w:t>ch</w:t>
      </w:r>
      <w:r w:rsidRPr="001C0D8B">
        <w:rPr>
          <w:sz w:val="16"/>
          <w:szCs w:val="16"/>
        </w:rPr>
        <w:t xml:space="preserve"> a</w:t>
      </w:r>
      <w:r>
        <w:rPr>
          <w:sz w:val="16"/>
          <w:szCs w:val="16"/>
        </w:rPr>
        <w:t> </w:t>
      </w:r>
      <w:r w:rsidRPr="001C0D8B">
        <w:rPr>
          <w:sz w:val="16"/>
          <w:szCs w:val="16"/>
        </w:rPr>
        <w:t>komunikační</w:t>
      </w:r>
      <w:r>
        <w:rPr>
          <w:sz w:val="16"/>
          <w:szCs w:val="16"/>
        </w:rPr>
        <w:t xml:space="preserve">ch činnostech oproti </w:t>
      </w:r>
      <w:proofErr w:type="spellStart"/>
      <w:r>
        <w:rPr>
          <w:sz w:val="16"/>
          <w:szCs w:val="16"/>
        </w:rPr>
        <w:t>předpandemické</w:t>
      </w:r>
      <w:proofErr w:type="spellEnd"/>
      <w:r>
        <w:rPr>
          <w:sz w:val="16"/>
          <w:szCs w:val="16"/>
        </w:rPr>
        <w:t xml:space="preserve"> úrovni o více než desetinu přibylo.</w:t>
      </w:r>
    </w:p>
  </w:footnote>
  <w:footnote w:id="52">
    <w:p w14:paraId="2C31198F" w14:textId="77777777" w:rsidR="0070658E" w:rsidRPr="003A1DD6" w:rsidRDefault="0070658E" w:rsidP="0070658E">
      <w:pPr>
        <w:pStyle w:val="Textpoznpodarou"/>
        <w:rPr>
          <w:spacing w:val="-2"/>
          <w:sz w:val="16"/>
          <w:szCs w:val="16"/>
        </w:rPr>
      </w:pPr>
      <w:r w:rsidRPr="003A1DD6">
        <w:rPr>
          <w:rStyle w:val="Znakapoznpodarou"/>
          <w:spacing w:val="-2"/>
          <w:sz w:val="16"/>
          <w:szCs w:val="16"/>
        </w:rPr>
        <w:footnoteRef/>
      </w:r>
      <w:r w:rsidRPr="003A1DD6">
        <w:rPr>
          <w:spacing w:val="-2"/>
          <w:sz w:val="16"/>
          <w:szCs w:val="16"/>
        </w:rPr>
        <w:t xml:space="preserve"> Průměrný týdenní počet odpracovaných hodin v hlavním zaměstnání byl</w:t>
      </w:r>
      <w:r>
        <w:rPr>
          <w:spacing w:val="-2"/>
          <w:sz w:val="16"/>
          <w:szCs w:val="16"/>
        </w:rPr>
        <w:t xml:space="preserve"> </w:t>
      </w:r>
      <w:r w:rsidRPr="003A1DD6">
        <w:rPr>
          <w:spacing w:val="-2"/>
          <w:sz w:val="16"/>
          <w:szCs w:val="16"/>
        </w:rPr>
        <w:t>letos v</w:t>
      </w:r>
      <w:r>
        <w:rPr>
          <w:spacing w:val="-2"/>
          <w:sz w:val="16"/>
          <w:szCs w:val="16"/>
        </w:rPr>
        <w:t> </w:t>
      </w:r>
      <w:r w:rsidRPr="003A1DD6">
        <w:rPr>
          <w:spacing w:val="-2"/>
          <w:sz w:val="16"/>
          <w:szCs w:val="16"/>
        </w:rPr>
        <w:t>červnu</w:t>
      </w:r>
      <w:r>
        <w:rPr>
          <w:spacing w:val="-2"/>
          <w:sz w:val="16"/>
          <w:szCs w:val="16"/>
        </w:rPr>
        <w:t xml:space="preserve"> dle údajů Výběrového šetření pracovních sil</w:t>
      </w:r>
      <w:r w:rsidRPr="003A1DD6">
        <w:rPr>
          <w:spacing w:val="-2"/>
          <w:sz w:val="16"/>
          <w:szCs w:val="16"/>
        </w:rPr>
        <w:t xml:space="preserve"> u</w:t>
      </w:r>
      <w:r>
        <w:rPr>
          <w:spacing w:val="-2"/>
          <w:sz w:val="16"/>
          <w:szCs w:val="16"/>
        </w:rPr>
        <w:t> </w:t>
      </w:r>
      <w:r w:rsidRPr="003A1DD6">
        <w:rPr>
          <w:spacing w:val="-2"/>
          <w:sz w:val="16"/>
          <w:szCs w:val="16"/>
        </w:rPr>
        <w:t>podnikatelů i</w:t>
      </w:r>
      <w:r>
        <w:rPr>
          <w:spacing w:val="-2"/>
          <w:sz w:val="16"/>
          <w:szCs w:val="16"/>
        </w:rPr>
        <w:t> </w:t>
      </w:r>
      <w:r w:rsidRPr="003A1DD6">
        <w:rPr>
          <w:spacing w:val="-2"/>
          <w:sz w:val="16"/>
          <w:szCs w:val="16"/>
        </w:rPr>
        <w:t>zaměstnanců sice shodně meziročně o 1</w:t>
      </w:r>
      <w:r>
        <w:rPr>
          <w:spacing w:val="-2"/>
          <w:sz w:val="16"/>
          <w:szCs w:val="16"/>
        </w:rPr>
        <w:t> %</w:t>
      </w:r>
      <w:r w:rsidRPr="003A1DD6">
        <w:rPr>
          <w:spacing w:val="-2"/>
          <w:sz w:val="16"/>
          <w:szCs w:val="16"/>
        </w:rPr>
        <w:t xml:space="preserve"> vyšší, ve srovnání s červnem 2019 ale odpracovali podnikatelé o</w:t>
      </w:r>
      <w:r>
        <w:rPr>
          <w:spacing w:val="-2"/>
          <w:sz w:val="16"/>
          <w:szCs w:val="16"/>
        </w:rPr>
        <w:t> </w:t>
      </w:r>
      <w:r w:rsidRPr="003A1DD6">
        <w:rPr>
          <w:spacing w:val="-2"/>
          <w:sz w:val="16"/>
          <w:szCs w:val="16"/>
        </w:rPr>
        <w:t>5</w:t>
      </w:r>
      <w:r>
        <w:rPr>
          <w:spacing w:val="-2"/>
          <w:sz w:val="16"/>
          <w:szCs w:val="16"/>
        </w:rPr>
        <w:t> %</w:t>
      </w:r>
      <w:r w:rsidRPr="003A1DD6">
        <w:rPr>
          <w:spacing w:val="-2"/>
          <w:sz w:val="16"/>
          <w:szCs w:val="16"/>
        </w:rPr>
        <w:t xml:space="preserve"> méně, zatímco u</w:t>
      </w:r>
      <w:r>
        <w:rPr>
          <w:spacing w:val="-2"/>
          <w:sz w:val="16"/>
          <w:szCs w:val="16"/>
        </w:rPr>
        <w:t> </w:t>
      </w:r>
      <w:r w:rsidRPr="003A1DD6">
        <w:rPr>
          <w:spacing w:val="-2"/>
          <w:sz w:val="16"/>
          <w:szCs w:val="16"/>
        </w:rPr>
        <w:t>zaměstnanců se čas strávený v hlavním zaměstnání prakticky nezměnil.</w:t>
      </w:r>
    </w:p>
  </w:footnote>
  <w:footnote w:id="53">
    <w:p w14:paraId="72AE442C" w14:textId="77777777" w:rsidR="0070658E" w:rsidRPr="003A1DD6" w:rsidRDefault="0070658E" w:rsidP="0070658E">
      <w:pPr>
        <w:pStyle w:val="Textpoznpodarou"/>
        <w:rPr>
          <w:spacing w:val="-2"/>
          <w:sz w:val="16"/>
          <w:szCs w:val="16"/>
        </w:rPr>
      </w:pPr>
      <w:r w:rsidRPr="003A1DD6">
        <w:rPr>
          <w:rStyle w:val="Znakapoznpodarou"/>
          <w:spacing w:val="-2"/>
          <w:sz w:val="16"/>
          <w:szCs w:val="16"/>
        </w:rPr>
        <w:footnoteRef/>
      </w:r>
      <w:r w:rsidRPr="003A1DD6">
        <w:rPr>
          <w:spacing w:val="-2"/>
          <w:sz w:val="16"/>
          <w:szCs w:val="16"/>
        </w:rPr>
        <w:t xml:space="preserve"> Počet registrovaných pracovníků z Ukrajiny se tak zvýšil </w:t>
      </w:r>
      <w:proofErr w:type="gramStart"/>
      <w:r w:rsidRPr="003A1DD6">
        <w:rPr>
          <w:spacing w:val="-2"/>
          <w:sz w:val="16"/>
          <w:szCs w:val="16"/>
        </w:rPr>
        <w:t>ze</w:t>
      </w:r>
      <w:proofErr w:type="gramEnd"/>
      <w:r w:rsidRPr="003A1DD6">
        <w:rPr>
          <w:spacing w:val="-2"/>
          <w:sz w:val="16"/>
          <w:szCs w:val="16"/>
        </w:rPr>
        <w:t xml:space="preserve"> 133,1</w:t>
      </w:r>
      <w:r>
        <w:rPr>
          <w:spacing w:val="-2"/>
          <w:sz w:val="16"/>
          <w:szCs w:val="16"/>
        </w:rPr>
        <w:t> tis.</w:t>
      </w:r>
      <w:r w:rsidRPr="003A1DD6">
        <w:rPr>
          <w:spacing w:val="-2"/>
          <w:sz w:val="16"/>
          <w:szCs w:val="16"/>
        </w:rPr>
        <w:t xml:space="preserve"> na 191,6</w:t>
      </w:r>
      <w:r>
        <w:rPr>
          <w:spacing w:val="-2"/>
          <w:sz w:val="16"/>
          <w:szCs w:val="16"/>
        </w:rPr>
        <w:t> tis.</w:t>
      </w:r>
      <w:r w:rsidRPr="003A1DD6">
        <w:rPr>
          <w:spacing w:val="-2"/>
          <w:sz w:val="16"/>
          <w:szCs w:val="16"/>
        </w:rPr>
        <w:t>, především díky vyššímu počtu osob s povolením k zaměstn</w:t>
      </w:r>
      <w:r>
        <w:rPr>
          <w:spacing w:val="-2"/>
          <w:sz w:val="16"/>
          <w:szCs w:val="16"/>
        </w:rPr>
        <w:t>á</w:t>
      </w:r>
      <w:r w:rsidRPr="003A1DD6">
        <w:rPr>
          <w:spacing w:val="-2"/>
          <w:sz w:val="16"/>
          <w:szCs w:val="16"/>
        </w:rPr>
        <w:t>ní (+43,7</w:t>
      </w:r>
      <w:r>
        <w:rPr>
          <w:spacing w:val="-2"/>
          <w:sz w:val="16"/>
          <w:szCs w:val="16"/>
        </w:rPr>
        <w:t> tis.</w:t>
      </w:r>
      <w:r w:rsidRPr="003A1DD6">
        <w:rPr>
          <w:spacing w:val="-2"/>
          <w:sz w:val="16"/>
          <w:szCs w:val="16"/>
        </w:rPr>
        <w:t>) a</w:t>
      </w:r>
      <w:r>
        <w:rPr>
          <w:spacing w:val="-2"/>
          <w:sz w:val="16"/>
          <w:szCs w:val="16"/>
        </w:rPr>
        <w:t> </w:t>
      </w:r>
      <w:r w:rsidRPr="003A1DD6">
        <w:rPr>
          <w:spacing w:val="-2"/>
          <w:sz w:val="16"/>
          <w:szCs w:val="16"/>
        </w:rPr>
        <w:t>držitelů zaměstnaneckých karet (+10,7</w:t>
      </w:r>
      <w:r>
        <w:rPr>
          <w:spacing w:val="-2"/>
          <w:sz w:val="16"/>
          <w:szCs w:val="16"/>
        </w:rPr>
        <w:t> tis.</w:t>
      </w:r>
      <w:r w:rsidRPr="003A1DD6">
        <w:rPr>
          <w:spacing w:val="-2"/>
          <w:sz w:val="16"/>
          <w:szCs w:val="16"/>
        </w:rPr>
        <w:t>). Nejvýznamnější zaměstnaneckou skupin</w:t>
      </w:r>
      <w:r>
        <w:rPr>
          <w:spacing w:val="-2"/>
          <w:sz w:val="16"/>
          <w:szCs w:val="16"/>
        </w:rPr>
        <w:t>o</w:t>
      </w:r>
      <w:r w:rsidRPr="003A1DD6">
        <w:rPr>
          <w:spacing w:val="-2"/>
          <w:sz w:val="16"/>
          <w:szCs w:val="16"/>
        </w:rPr>
        <w:t>u cizinců v Česku ale stále zůstávají Slováci (204,5</w:t>
      </w:r>
      <w:r>
        <w:rPr>
          <w:spacing w:val="-2"/>
          <w:sz w:val="16"/>
          <w:szCs w:val="16"/>
        </w:rPr>
        <w:t> tis.</w:t>
      </w:r>
      <w:r w:rsidRPr="003A1DD6">
        <w:rPr>
          <w:spacing w:val="-2"/>
          <w:sz w:val="16"/>
          <w:szCs w:val="16"/>
        </w:rPr>
        <w:t>), a</w:t>
      </w:r>
      <w:r>
        <w:rPr>
          <w:spacing w:val="-2"/>
          <w:sz w:val="16"/>
          <w:szCs w:val="16"/>
        </w:rPr>
        <w:t> </w:t>
      </w:r>
      <w:r w:rsidRPr="003A1DD6">
        <w:rPr>
          <w:spacing w:val="-2"/>
          <w:sz w:val="16"/>
          <w:szCs w:val="16"/>
        </w:rPr>
        <w:t>to navzdory faktu, že jich oproti loňskému červnu přibylo jen mírně přes 5</w:t>
      </w:r>
      <w:r>
        <w:rPr>
          <w:spacing w:val="-2"/>
          <w:sz w:val="16"/>
          <w:szCs w:val="16"/>
        </w:rPr>
        <w:t> tisíc.</w:t>
      </w:r>
    </w:p>
  </w:footnote>
  <w:footnote w:id="54">
    <w:p w14:paraId="227A3D8A" w14:textId="77777777" w:rsidR="0070658E" w:rsidRPr="00A87505" w:rsidRDefault="0070658E" w:rsidP="0070658E">
      <w:pPr>
        <w:pStyle w:val="Textpoznpodarou"/>
        <w:rPr>
          <w:sz w:val="16"/>
          <w:szCs w:val="16"/>
        </w:rPr>
      </w:pPr>
      <w:r w:rsidRPr="00A87505">
        <w:rPr>
          <w:rStyle w:val="Znakapoznpodarou"/>
          <w:sz w:val="16"/>
          <w:szCs w:val="16"/>
        </w:rPr>
        <w:footnoteRef/>
      </w:r>
      <w:r w:rsidRPr="00A87505">
        <w:rPr>
          <w:sz w:val="16"/>
          <w:szCs w:val="16"/>
        </w:rPr>
        <w:t xml:space="preserve"> Celé uskupení táhly dolů hlavně obory těsně spjaté s cestovním ruchem. Naopak zaměstnanců v samotném obchodu dle údajů podnikových statistik oproti 2.</w:t>
      </w:r>
      <w:r>
        <w:rPr>
          <w:sz w:val="16"/>
          <w:szCs w:val="16"/>
        </w:rPr>
        <w:t> čtvrtlet</w:t>
      </w:r>
      <w:r w:rsidRPr="00A87505">
        <w:rPr>
          <w:sz w:val="16"/>
          <w:szCs w:val="16"/>
        </w:rPr>
        <w:t>í 2020 o</w:t>
      </w:r>
      <w:r>
        <w:rPr>
          <w:sz w:val="16"/>
          <w:szCs w:val="16"/>
        </w:rPr>
        <w:t> </w:t>
      </w:r>
      <w:r w:rsidRPr="00A87505">
        <w:rPr>
          <w:sz w:val="16"/>
          <w:szCs w:val="16"/>
        </w:rPr>
        <w:t>1,5</w:t>
      </w:r>
      <w:r>
        <w:rPr>
          <w:sz w:val="16"/>
          <w:szCs w:val="16"/>
        </w:rPr>
        <w:t> %</w:t>
      </w:r>
      <w:r w:rsidRPr="00A87505">
        <w:rPr>
          <w:sz w:val="16"/>
          <w:szCs w:val="16"/>
        </w:rPr>
        <w:t xml:space="preserve"> přibylo.</w:t>
      </w:r>
    </w:p>
  </w:footnote>
  <w:footnote w:id="55">
    <w:p w14:paraId="4697A86E" w14:textId="77777777" w:rsidR="0070658E" w:rsidRPr="003A1DD6" w:rsidRDefault="0070658E" w:rsidP="0070658E">
      <w:pPr>
        <w:pStyle w:val="Textpoznpodarou"/>
        <w:rPr>
          <w:sz w:val="16"/>
          <w:szCs w:val="16"/>
        </w:rPr>
      </w:pPr>
      <w:r w:rsidRPr="003A1DD6">
        <w:rPr>
          <w:rStyle w:val="Znakapoznpodarou"/>
          <w:sz w:val="16"/>
          <w:szCs w:val="16"/>
        </w:rPr>
        <w:footnoteRef/>
      </w:r>
      <w:r w:rsidRPr="003A1DD6">
        <w:rPr>
          <w:sz w:val="16"/>
          <w:szCs w:val="16"/>
        </w:rPr>
        <w:t xml:space="preserve"> </w:t>
      </w:r>
      <w:r w:rsidRPr="003A1DD6">
        <w:rPr>
          <w:spacing w:val="-3"/>
          <w:sz w:val="16"/>
          <w:szCs w:val="16"/>
        </w:rPr>
        <w:t xml:space="preserve">Na počátku července 2021 zmínila nedostatek pracovníků jako jeden z hlavních limitujících faktorů více než čtvrtina průmyslových podniků. Nejpalčivěji se projevoval v gumárenství, </w:t>
      </w:r>
      <w:proofErr w:type="spellStart"/>
      <w:r w:rsidRPr="003A1DD6">
        <w:rPr>
          <w:spacing w:val="-3"/>
          <w:sz w:val="16"/>
          <w:szCs w:val="16"/>
        </w:rPr>
        <w:t>plastikářství</w:t>
      </w:r>
      <w:proofErr w:type="spellEnd"/>
      <w:r w:rsidRPr="003A1DD6">
        <w:rPr>
          <w:spacing w:val="-3"/>
          <w:sz w:val="16"/>
          <w:szCs w:val="16"/>
        </w:rPr>
        <w:t>, elektrotechnice, strojírenství, výrobě dopravních prostředků (mimo automobilový průmysl), výrobě stavebních materiálů a</w:t>
      </w:r>
      <w:r>
        <w:rPr>
          <w:spacing w:val="-3"/>
          <w:sz w:val="16"/>
          <w:szCs w:val="16"/>
        </w:rPr>
        <w:t> </w:t>
      </w:r>
      <w:r w:rsidRPr="003A1DD6">
        <w:rPr>
          <w:spacing w:val="-3"/>
          <w:sz w:val="16"/>
          <w:szCs w:val="16"/>
        </w:rPr>
        <w:t>též v některých malých oborech s nižší mzdovou úrovní (textilní a</w:t>
      </w:r>
      <w:r>
        <w:rPr>
          <w:spacing w:val="-3"/>
          <w:sz w:val="16"/>
          <w:szCs w:val="16"/>
        </w:rPr>
        <w:t> </w:t>
      </w:r>
      <w:r w:rsidRPr="003A1DD6">
        <w:rPr>
          <w:spacing w:val="-3"/>
          <w:sz w:val="16"/>
          <w:szCs w:val="16"/>
        </w:rPr>
        <w:t>kožedělný průmysl).</w:t>
      </w:r>
    </w:p>
  </w:footnote>
  <w:footnote w:id="56">
    <w:p w14:paraId="432560DF" w14:textId="77777777" w:rsidR="0070658E" w:rsidRPr="004E68B1" w:rsidRDefault="0070658E" w:rsidP="0070658E">
      <w:pPr>
        <w:pStyle w:val="Textpoznpodarou"/>
        <w:jc w:val="both"/>
        <w:rPr>
          <w:spacing w:val="-3"/>
          <w:sz w:val="16"/>
          <w:szCs w:val="16"/>
        </w:rPr>
      </w:pPr>
      <w:r w:rsidRPr="004E68B1">
        <w:rPr>
          <w:rStyle w:val="Znakapoznpodarou"/>
          <w:spacing w:val="-3"/>
          <w:sz w:val="16"/>
          <w:szCs w:val="16"/>
        </w:rPr>
        <w:footnoteRef/>
      </w:r>
      <w:r>
        <w:rPr>
          <w:spacing w:val="-3"/>
          <w:sz w:val="16"/>
          <w:szCs w:val="16"/>
        </w:rPr>
        <w:t xml:space="preserve"> Není-li uvedeno jinak, vycházejí v</w:t>
      </w:r>
      <w:r w:rsidRPr="004E68B1">
        <w:rPr>
          <w:spacing w:val="-3"/>
          <w:sz w:val="16"/>
          <w:szCs w:val="16"/>
        </w:rPr>
        <w:t>šechny údaje o </w:t>
      </w:r>
      <w:r>
        <w:rPr>
          <w:spacing w:val="-3"/>
          <w:sz w:val="16"/>
          <w:szCs w:val="16"/>
        </w:rPr>
        <w:t xml:space="preserve">mírách </w:t>
      </w:r>
      <w:r w:rsidRPr="004E68B1">
        <w:rPr>
          <w:spacing w:val="-3"/>
          <w:sz w:val="16"/>
          <w:szCs w:val="16"/>
        </w:rPr>
        <w:t>nezaměstnanosti z</w:t>
      </w:r>
      <w:r>
        <w:rPr>
          <w:spacing w:val="-3"/>
          <w:sz w:val="16"/>
          <w:szCs w:val="16"/>
        </w:rPr>
        <w:t> VŠPS a jsou očištěny o sezónní vlivy.</w:t>
      </w:r>
    </w:p>
  </w:footnote>
  <w:footnote w:id="57">
    <w:p w14:paraId="0C022DD8" w14:textId="77777777" w:rsidR="0070658E" w:rsidRPr="00230562" w:rsidRDefault="0070658E" w:rsidP="0070658E">
      <w:pPr>
        <w:pStyle w:val="Textpoznpodarou"/>
        <w:rPr>
          <w:sz w:val="16"/>
          <w:szCs w:val="16"/>
        </w:rPr>
      </w:pPr>
      <w:r w:rsidRPr="00C420DC">
        <w:rPr>
          <w:rStyle w:val="Znakapoznpodarou"/>
          <w:color w:val="0D0D0D" w:themeColor="text1" w:themeTint="F2"/>
          <w:sz w:val="16"/>
          <w:szCs w:val="16"/>
        </w:rPr>
        <w:footnoteRef/>
      </w:r>
      <w:r w:rsidRPr="00C420DC">
        <w:rPr>
          <w:color w:val="0D0D0D" w:themeColor="text1" w:themeTint="F2"/>
          <w:sz w:val="16"/>
          <w:szCs w:val="16"/>
        </w:rPr>
        <w:t xml:space="preserve"> To řadilo Česko do čela států</w:t>
      </w:r>
      <w:r>
        <w:rPr>
          <w:color w:val="0D0D0D" w:themeColor="text1" w:themeTint="F2"/>
          <w:sz w:val="16"/>
          <w:szCs w:val="16"/>
        </w:rPr>
        <w:t xml:space="preserve"> EU s nejnižší nezaměstnaností. Nižší</w:t>
      </w:r>
      <w:r w:rsidRPr="00C420DC">
        <w:rPr>
          <w:color w:val="0D0D0D" w:themeColor="text1" w:themeTint="F2"/>
          <w:sz w:val="16"/>
          <w:szCs w:val="16"/>
        </w:rPr>
        <w:t xml:space="preserve"> než v tuzemsku </w:t>
      </w:r>
      <w:r>
        <w:rPr>
          <w:color w:val="0D0D0D" w:themeColor="text1" w:themeTint="F2"/>
          <w:sz w:val="16"/>
          <w:szCs w:val="16"/>
        </w:rPr>
        <w:t xml:space="preserve">byla </w:t>
      </w:r>
      <w:r w:rsidRPr="00C420DC">
        <w:rPr>
          <w:color w:val="0D0D0D" w:themeColor="text1" w:themeTint="F2"/>
          <w:sz w:val="16"/>
          <w:szCs w:val="16"/>
        </w:rPr>
        <w:t>pouze u</w:t>
      </w:r>
      <w:r>
        <w:rPr>
          <w:color w:val="0D0D0D" w:themeColor="text1" w:themeTint="F2"/>
          <w:sz w:val="16"/>
          <w:szCs w:val="16"/>
        </w:rPr>
        <w:t> </w:t>
      </w:r>
      <w:r w:rsidRPr="00C420DC">
        <w:rPr>
          <w:color w:val="0D0D0D" w:themeColor="text1" w:themeTint="F2"/>
          <w:sz w:val="16"/>
          <w:szCs w:val="16"/>
        </w:rPr>
        <w:t>žen v</w:t>
      </w:r>
      <w:r>
        <w:rPr>
          <w:color w:val="0D0D0D" w:themeColor="text1" w:themeTint="F2"/>
          <w:sz w:val="16"/>
          <w:szCs w:val="16"/>
        </w:rPr>
        <w:t> </w:t>
      </w:r>
      <w:r w:rsidRPr="00C420DC">
        <w:rPr>
          <w:color w:val="0D0D0D" w:themeColor="text1" w:themeTint="F2"/>
          <w:sz w:val="16"/>
          <w:szCs w:val="16"/>
        </w:rPr>
        <w:t>Německu</w:t>
      </w:r>
      <w:r>
        <w:rPr>
          <w:color w:val="0D0D0D" w:themeColor="text1" w:themeTint="F2"/>
          <w:sz w:val="16"/>
          <w:szCs w:val="16"/>
        </w:rPr>
        <w:t xml:space="preserve"> a Nizozemsku</w:t>
      </w:r>
      <w:r w:rsidRPr="00C420DC">
        <w:rPr>
          <w:color w:val="0D0D0D" w:themeColor="text1" w:themeTint="F2"/>
          <w:sz w:val="16"/>
          <w:szCs w:val="16"/>
        </w:rPr>
        <w:t xml:space="preserve"> (</w:t>
      </w:r>
      <w:r w:rsidRPr="00FB4D22">
        <w:rPr>
          <w:color w:val="0D0D0D" w:themeColor="text1" w:themeTint="F2"/>
          <w:sz w:val="16"/>
          <w:szCs w:val="16"/>
        </w:rPr>
        <w:t>shodně 3,3</w:t>
      </w:r>
      <w:r>
        <w:rPr>
          <w:color w:val="0D0D0D" w:themeColor="text1" w:themeTint="F2"/>
          <w:sz w:val="16"/>
          <w:szCs w:val="16"/>
        </w:rPr>
        <w:t> %</w:t>
      </w:r>
      <w:r w:rsidRPr="00FB4D22">
        <w:rPr>
          <w:color w:val="0D0D0D" w:themeColor="text1" w:themeTint="F2"/>
          <w:sz w:val="16"/>
          <w:szCs w:val="16"/>
        </w:rPr>
        <w:t>, v</w:t>
      </w:r>
      <w:r>
        <w:rPr>
          <w:color w:val="0D0D0D" w:themeColor="text1" w:themeTint="F2"/>
          <w:sz w:val="16"/>
          <w:szCs w:val="16"/>
        </w:rPr>
        <w:t> </w:t>
      </w:r>
      <w:r w:rsidRPr="00FB4D22">
        <w:rPr>
          <w:color w:val="0D0D0D" w:themeColor="text1" w:themeTint="F2"/>
          <w:sz w:val="16"/>
          <w:szCs w:val="16"/>
        </w:rPr>
        <w:t>širší věkové skupině 15</w:t>
      </w:r>
      <w:r>
        <w:rPr>
          <w:color w:val="0D0D0D" w:themeColor="text1" w:themeTint="F2"/>
          <w:sz w:val="16"/>
          <w:szCs w:val="16"/>
        </w:rPr>
        <w:t> </w:t>
      </w:r>
      <w:r w:rsidRPr="00FB4D22">
        <w:rPr>
          <w:color w:val="0D0D0D" w:themeColor="text1" w:themeTint="F2"/>
          <w:sz w:val="16"/>
          <w:szCs w:val="16"/>
        </w:rPr>
        <w:t>až 74</w:t>
      </w:r>
      <w:r>
        <w:rPr>
          <w:color w:val="0D0D0D" w:themeColor="text1" w:themeTint="F2"/>
          <w:sz w:val="16"/>
          <w:szCs w:val="16"/>
        </w:rPr>
        <w:t> </w:t>
      </w:r>
      <w:r w:rsidRPr="00FB4D22">
        <w:rPr>
          <w:color w:val="0D0D0D" w:themeColor="text1" w:themeTint="F2"/>
          <w:sz w:val="16"/>
          <w:szCs w:val="16"/>
        </w:rPr>
        <w:t>let). V celé Unii činila míra nezaměstnanosti u</w:t>
      </w:r>
      <w:r>
        <w:rPr>
          <w:color w:val="0D0D0D" w:themeColor="text1" w:themeTint="F2"/>
          <w:sz w:val="16"/>
          <w:szCs w:val="16"/>
        </w:rPr>
        <w:t> </w:t>
      </w:r>
      <w:r w:rsidRPr="00FB4D22">
        <w:rPr>
          <w:color w:val="0D0D0D" w:themeColor="text1" w:themeTint="F2"/>
          <w:sz w:val="16"/>
          <w:szCs w:val="16"/>
        </w:rPr>
        <w:t>žen 7,5</w:t>
      </w:r>
      <w:r>
        <w:rPr>
          <w:color w:val="0D0D0D" w:themeColor="text1" w:themeTint="F2"/>
          <w:sz w:val="16"/>
          <w:szCs w:val="16"/>
        </w:rPr>
        <w:t> %</w:t>
      </w:r>
      <w:r w:rsidRPr="00FB4D22">
        <w:rPr>
          <w:color w:val="0D0D0D" w:themeColor="text1" w:themeTint="F2"/>
          <w:sz w:val="16"/>
          <w:szCs w:val="16"/>
        </w:rPr>
        <w:t>, u</w:t>
      </w:r>
      <w:r>
        <w:rPr>
          <w:color w:val="0D0D0D" w:themeColor="text1" w:themeTint="F2"/>
          <w:sz w:val="16"/>
          <w:szCs w:val="16"/>
        </w:rPr>
        <w:t> </w:t>
      </w:r>
      <w:r w:rsidRPr="00FB4D22">
        <w:rPr>
          <w:color w:val="0D0D0D" w:themeColor="text1" w:themeTint="F2"/>
          <w:sz w:val="16"/>
          <w:szCs w:val="16"/>
        </w:rPr>
        <w:t>mužů 6,7</w:t>
      </w:r>
      <w:r>
        <w:rPr>
          <w:color w:val="0D0D0D" w:themeColor="text1" w:themeTint="F2"/>
          <w:sz w:val="16"/>
          <w:szCs w:val="16"/>
        </w:rPr>
        <w:t> %</w:t>
      </w:r>
      <w:r w:rsidRPr="00FB4D22">
        <w:rPr>
          <w:color w:val="0D0D0D" w:themeColor="text1" w:themeTint="F2"/>
          <w:sz w:val="16"/>
          <w:szCs w:val="16"/>
        </w:rPr>
        <w:t>. Během května a</w:t>
      </w:r>
      <w:r>
        <w:rPr>
          <w:color w:val="0D0D0D" w:themeColor="text1" w:themeTint="F2"/>
          <w:sz w:val="16"/>
          <w:szCs w:val="16"/>
        </w:rPr>
        <w:t> </w:t>
      </w:r>
      <w:r w:rsidRPr="00FB4D22">
        <w:rPr>
          <w:color w:val="0D0D0D" w:themeColor="text1" w:themeTint="F2"/>
          <w:sz w:val="16"/>
          <w:szCs w:val="16"/>
        </w:rPr>
        <w:t xml:space="preserve">června v souvislosti </w:t>
      </w:r>
      <w:r>
        <w:rPr>
          <w:color w:val="0D0D0D" w:themeColor="text1" w:themeTint="F2"/>
          <w:sz w:val="16"/>
          <w:szCs w:val="16"/>
        </w:rPr>
        <w:t>s </w:t>
      </w:r>
      <w:r w:rsidRPr="00FB4D22">
        <w:rPr>
          <w:spacing w:val="-4"/>
          <w:sz w:val="16"/>
          <w:szCs w:val="16"/>
        </w:rPr>
        <w:t xml:space="preserve">postupným uvolňováním </w:t>
      </w:r>
      <w:proofErr w:type="spellStart"/>
      <w:r w:rsidRPr="00FB4D22">
        <w:rPr>
          <w:spacing w:val="-4"/>
          <w:sz w:val="16"/>
          <w:szCs w:val="16"/>
        </w:rPr>
        <w:t>protipandemických</w:t>
      </w:r>
      <w:proofErr w:type="spellEnd"/>
      <w:r w:rsidRPr="00FB4D22">
        <w:rPr>
          <w:spacing w:val="-4"/>
          <w:sz w:val="16"/>
          <w:szCs w:val="16"/>
        </w:rPr>
        <w:t xml:space="preserve"> opatření a</w:t>
      </w:r>
      <w:r>
        <w:rPr>
          <w:spacing w:val="-4"/>
          <w:sz w:val="16"/>
          <w:szCs w:val="16"/>
        </w:rPr>
        <w:t> </w:t>
      </w:r>
      <w:r w:rsidRPr="00FB4D22">
        <w:rPr>
          <w:spacing w:val="-4"/>
          <w:sz w:val="16"/>
          <w:szCs w:val="16"/>
        </w:rPr>
        <w:t xml:space="preserve">celkovým oživením ekonomické aktivity </w:t>
      </w:r>
      <w:r w:rsidRPr="00FB4D22">
        <w:rPr>
          <w:color w:val="0D0D0D" w:themeColor="text1" w:themeTint="F2"/>
          <w:sz w:val="16"/>
          <w:szCs w:val="16"/>
        </w:rPr>
        <w:t>nezaměstnanost ve většině států Unie meziměsíčně klesla.</w:t>
      </w:r>
    </w:p>
  </w:footnote>
  <w:footnote w:id="58">
    <w:p w14:paraId="4AA58159" w14:textId="77777777" w:rsidR="0070658E" w:rsidRPr="00E81E7C" w:rsidRDefault="0070658E" w:rsidP="0070658E">
      <w:pPr>
        <w:pStyle w:val="Textpoznpodarou"/>
        <w:rPr>
          <w:sz w:val="16"/>
          <w:szCs w:val="16"/>
        </w:rPr>
      </w:pPr>
      <w:r w:rsidRPr="00E81E7C">
        <w:rPr>
          <w:rStyle w:val="Znakapoznpodarou"/>
          <w:sz w:val="16"/>
          <w:szCs w:val="16"/>
        </w:rPr>
        <w:footnoteRef/>
      </w:r>
      <w:r w:rsidRPr="00E81E7C">
        <w:rPr>
          <w:sz w:val="16"/>
          <w:szCs w:val="16"/>
        </w:rPr>
        <w:t xml:space="preserve"> </w:t>
      </w:r>
      <w:r>
        <w:rPr>
          <w:sz w:val="16"/>
          <w:szCs w:val="16"/>
        </w:rPr>
        <w:t>Např. p</w:t>
      </w:r>
      <w:r w:rsidRPr="00E81E7C">
        <w:rPr>
          <w:sz w:val="16"/>
          <w:szCs w:val="16"/>
        </w:rPr>
        <w:t>rogram Antivirus byl ke konci května 2021 fakticky ukončen. V červnu dobíhal v omezeném reži</w:t>
      </w:r>
      <w:r>
        <w:rPr>
          <w:sz w:val="16"/>
          <w:szCs w:val="16"/>
        </w:rPr>
        <w:t>mu,</w:t>
      </w:r>
      <w:r w:rsidRPr="00E81E7C">
        <w:rPr>
          <w:sz w:val="16"/>
          <w:szCs w:val="16"/>
        </w:rPr>
        <w:t xml:space="preserve"> </w:t>
      </w:r>
      <w:r>
        <w:rPr>
          <w:sz w:val="16"/>
          <w:szCs w:val="16"/>
        </w:rPr>
        <w:t>v němž p</w:t>
      </w:r>
      <w:r w:rsidRPr="00E81E7C">
        <w:rPr>
          <w:sz w:val="16"/>
          <w:szCs w:val="16"/>
        </w:rPr>
        <w:t xml:space="preserve">říspěvek zaměstnavatelům na kompenzaci mzdových nákladů </w:t>
      </w:r>
      <w:r>
        <w:rPr>
          <w:sz w:val="16"/>
          <w:szCs w:val="16"/>
        </w:rPr>
        <w:t>byl</w:t>
      </w:r>
      <w:r w:rsidRPr="00E81E7C">
        <w:rPr>
          <w:sz w:val="16"/>
          <w:szCs w:val="16"/>
        </w:rPr>
        <w:t xml:space="preserve"> poskytnut jen z důvodu nařízení karantény nebo izolace zaměstnance.</w:t>
      </w:r>
      <w:r>
        <w:rPr>
          <w:sz w:val="16"/>
          <w:szCs w:val="16"/>
        </w:rPr>
        <w:t xml:space="preserve"> Rovněž čerpání ošetřovného (při péči o dítě z důvodu mimořádného uzavření škol) mělo během 2. čtvrtletí sestupnou tendenci.</w:t>
      </w:r>
    </w:p>
  </w:footnote>
  <w:footnote w:id="59">
    <w:p w14:paraId="4A6010EB" w14:textId="77777777" w:rsidR="0070658E" w:rsidRPr="00041ABB" w:rsidRDefault="0070658E" w:rsidP="0070658E">
      <w:pPr>
        <w:pStyle w:val="Textpoznpodarou"/>
        <w:rPr>
          <w:sz w:val="16"/>
          <w:szCs w:val="16"/>
        </w:rPr>
      </w:pPr>
      <w:r w:rsidRPr="00041ABB">
        <w:rPr>
          <w:rStyle w:val="Znakapoznpodarou"/>
          <w:sz w:val="16"/>
          <w:szCs w:val="16"/>
        </w:rPr>
        <w:footnoteRef/>
      </w:r>
      <w:r w:rsidRPr="00041ABB">
        <w:rPr>
          <w:sz w:val="16"/>
          <w:szCs w:val="16"/>
        </w:rPr>
        <w:t xml:space="preserve"> Zatímco v 1.</w:t>
      </w:r>
      <w:r>
        <w:rPr>
          <w:sz w:val="16"/>
          <w:szCs w:val="16"/>
        </w:rPr>
        <w:t> čtvrtlet</w:t>
      </w:r>
      <w:r w:rsidRPr="00041ABB">
        <w:rPr>
          <w:sz w:val="16"/>
          <w:szCs w:val="16"/>
        </w:rPr>
        <w:t>í 2019 pracovalo na zkrácené úvazky 12,3 % žen ve věku 15 a</w:t>
      </w:r>
      <w:r>
        <w:rPr>
          <w:sz w:val="16"/>
          <w:szCs w:val="16"/>
        </w:rPr>
        <w:t> </w:t>
      </w:r>
      <w:r w:rsidRPr="00041ABB">
        <w:rPr>
          <w:sz w:val="16"/>
          <w:szCs w:val="16"/>
        </w:rPr>
        <w:t>více let, o</w:t>
      </w:r>
      <w:r>
        <w:rPr>
          <w:sz w:val="16"/>
          <w:szCs w:val="16"/>
        </w:rPr>
        <w:t> </w:t>
      </w:r>
      <w:r w:rsidRPr="00041ABB">
        <w:rPr>
          <w:sz w:val="16"/>
          <w:szCs w:val="16"/>
        </w:rPr>
        <w:t>dva roky později jen 10,8</w:t>
      </w:r>
      <w:r>
        <w:rPr>
          <w:sz w:val="16"/>
          <w:szCs w:val="16"/>
        </w:rPr>
        <w:t> %</w:t>
      </w:r>
      <w:r w:rsidRPr="00041ABB">
        <w:rPr>
          <w:sz w:val="16"/>
          <w:szCs w:val="16"/>
        </w:rPr>
        <w:t xml:space="preserve">. Mezi ženami ve skupině </w:t>
      </w:r>
      <w:r>
        <w:rPr>
          <w:sz w:val="16"/>
          <w:szCs w:val="16"/>
        </w:rPr>
        <w:t xml:space="preserve">15 až 29 let byl </w:t>
      </w:r>
      <w:r w:rsidRPr="00041ABB">
        <w:rPr>
          <w:sz w:val="16"/>
          <w:szCs w:val="16"/>
        </w:rPr>
        <w:t xml:space="preserve">v tomto období </w:t>
      </w:r>
      <w:r>
        <w:rPr>
          <w:sz w:val="16"/>
          <w:szCs w:val="16"/>
        </w:rPr>
        <w:t xml:space="preserve">pokles </w:t>
      </w:r>
      <w:r w:rsidRPr="00041ABB">
        <w:rPr>
          <w:sz w:val="16"/>
          <w:szCs w:val="16"/>
        </w:rPr>
        <w:t>ještě viditelnější (z</w:t>
      </w:r>
      <w:r>
        <w:rPr>
          <w:sz w:val="16"/>
          <w:szCs w:val="16"/>
        </w:rPr>
        <w:t> </w:t>
      </w:r>
      <w:r w:rsidRPr="00041ABB">
        <w:rPr>
          <w:sz w:val="16"/>
          <w:szCs w:val="16"/>
        </w:rPr>
        <w:t>15,0</w:t>
      </w:r>
      <w:r>
        <w:rPr>
          <w:sz w:val="16"/>
          <w:szCs w:val="16"/>
        </w:rPr>
        <w:t xml:space="preserve"> </w:t>
      </w:r>
      <w:r w:rsidRPr="00041ABB">
        <w:rPr>
          <w:sz w:val="16"/>
          <w:szCs w:val="16"/>
        </w:rPr>
        <w:t>na 11,0</w:t>
      </w:r>
      <w:r>
        <w:rPr>
          <w:sz w:val="16"/>
          <w:szCs w:val="16"/>
        </w:rPr>
        <w:t> %</w:t>
      </w:r>
      <w:r w:rsidRPr="00041ABB">
        <w:rPr>
          <w:sz w:val="16"/>
          <w:szCs w:val="16"/>
        </w:rPr>
        <w:t>).</w:t>
      </w:r>
    </w:p>
  </w:footnote>
  <w:footnote w:id="60">
    <w:p w14:paraId="6275DC30" w14:textId="77777777" w:rsidR="00866074" w:rsidRPr="00131F99" w:rsidRDefault="00866074" w:rsidP="0070658E">
      <w:pPr>
        <w:pStyle w:val="Textpoznpodarou"/>
        <w:rPr>
          <w:sz w:val="16"/>
          <w:szCs w:val="16"/>
        </w:rPr>
      </w:pPr>
      <w:r w:rsidRPr="00131F99">
        <w:rPr>
          <w:rStyle w:val="Znakapoznpodarou"/>
          <w:sz w:val="16"/>
          <w:szCs w:val="16"/>
        </w:rPr>
        <w:footnoteRef/>
      </w:r>
      <w:r w:rsidRPr="00131F99">
        <w:rPr>
          <w:sz w:val="16"/>
          <w:szCs w:val="16"/>
        </w:rPr>
        <w:t xml:space="preserve"> </w:t>
      </w:r>
      <w:r>
        <w:rPr>
          <w:sz w:val="16"/>
          <w:szCs w:val="16"/>
        </w:rPr>
        <w:t>Přírůstek byl tažen zejména Prahou (+22 tis.) a Středočeským krajem (+9 tis.), naopak za poslední dva roky místa nejvíce ztrácely Plzeňský a Pardubický kraj (oba shodně o 6 tis.) a v menší míře též většina moravských krajů.</w:t>
      </w:r>
    </w:p>
  </w:footnote>
  <w:footnote w:id="61">
    <w:p w14:paraId="5E8D0EF4" w14:textId="77777777" w:rsidR="00866074" w:rsidRPr="00F403D6" w:rsidRDefault="00866074" w:rsidP="0070658E">
      <w:pPr>
        <w:pStyle w:val="Textpoznpodarou"/>
        <w:rPr>
          <w:sz w:val="16"/>
          <w:szCs w:val="16"/>
        </w:rPr>
      </w:pPr>
      <w:r w:rsidRPr="00F403D6">
        <w:rPr>
          <w:rStyle w:val="Znakapoznpodarou"/>
          <w:sz w:val="16"/>
          <w:szCs w:val="16"/>
        </w:rPr>
        <w:footnoteRef/>
      </w:r>
      <w:r w:rsidRPr="00F403D6">
        <w:rPr>
          <w:sz w:val="16"/>
          <w:szCs w:val="16"/>
        </w:rPr>
        <w:t xml:space="preserve"> Na konci 2.</w:t>
      </w:r>
      <w:r>
        <w:rPr>
          <w:sz w:val="16"/>
          <w:szCs w:val="16"/>
        </w:rPr>
        <w:t> čtvrtlet</w:t>
      </w:r>
      <w:r w:rsidRPr="00F403D6">
        <w:rPr>
          <w:sz w:val="16"/>
          <w:szCs w:val="16"/>
        </w:rPr>
        <w:t>í 2021 bylo 43</w:t>
      </w:r>
      <w:r>
        <w:rPr>
          <w:sz w:val="16"/>
          <w:szCs w:val="16"/>
        </w:rPr>
        <w:t> %</w:t>
      </w:r>
      <w:r w:rsidRPr="00F403D6">
        <w:rPr>
          <w:sz w:val="16"/>
          <w:szCs w:val="16"/>
        </w:rPr>
        <w:t xml:space="preserve"> všech nabízených míst </w:t>
      </w:r>
      <w:r>
        <w:rPr>
          <w:sz w:val="16"/>
          <w:szCs w:val="16"/>
        </w:rPr>
        <w:t xml:space="preserve">v ČR </w:t>
      </w:r>
      <w:r w:rsidRPr="00F403D6">
        <w:rPr>
          <w:sz w:val="16"/>
          <w:szCs w:val="16"/>
        </w:rPr>
        <w:t>neobsazeno déle než šest měsíců</w:t>
      </w:r>
      <w:r>
        <w:rPr>
          <w:sz w:val="16"/>
          <w:szCs w:val="16"/>
        </w:rPr>
        <w:t xml:space="preserve"> (nejvíce ve Středočeském a Královéhradeckém kraji, nejméně v Praze)</w:t>
      </w:r>
      <w:r w:rsidRPr="00F403D6">
        <w:rPr>
          <w:sz w:val="16"/>
          <w:szCs w:val="16"/>
        </w:rPr>
        <w:t>. Na přelomu let 2019 a</w:t>
      </w:r>
      <w:r>
        <w:rPr>
          <w:sz w:val="16"/>
          <w:szCs w:val="16"/>
        </w:rPr>
        <w:t> </w:t>
      </w:r>
      <w:r w:rsidRPr="00F403D6">
        <w:rPr>
          <w:sz w:val="16"/>
          <w:szCs w:val="16"/>
        </w:rPr>
        <w:t>2020 šlo dokonce o</w:t>
      </w:r>
      <w:r>
        <w:rPr>
          <w:sz w:val="16"/>
          <w:szCs w:val="16"/>
        </w:rPr>
        <w:t> </w:t>
      </w:r>
      <w:r w:rsidRPr="00F403D6">
        <w:rPr>
          <w:sz w:val="16"/>
          <w:szCs w:val="16"/>
        </w:rPr>
        <w:t>téměř polovinu míst.</w:t>
      </w:r>
    </w:p>
  </w:footnote>
  <w:footnote w:id="62">
    <w:p w14:paraId="64838799" w14:textId="77777777" w:rsidR="00866074" w:rsidRPr="00E8783D" w:rsidRDefault="00866074" w:rsidP="0070658E">
      <w:pPr>
        <w:pStyle w:val="Textpoznpodarou"/>
        <w:rPr>
          <w:spacing w:val="-2"/>
          <w:sz w:val="16"/>
          <w:szCs w:val="16"/>
        </w:rPr>
      </w:pPr>
      <w:r w:rsidRPr="00E8783D">
        <w:rPr>
          <w:rStyle w:val="Znakapoznpodarou"/>
          <w:spacing w:val="-2"/>
          <w:sz w:val="16"/>
          <w:szCs w:val="16"/>
        </w:rPr>
        <w:footnoteRef/>
      </w:r>
      <w:r w:rsidRPr="00E8783D">
        <w:rPr>
          <w:spacing w:val="-2"/>
          <w:sz w:val="16"/>
          <w:szCs w:val="16"/>
        </w:rPr>
        <w:t xml:space="preserve"> Výrazněji nižší zastoupení těchto míst vykazovaly jen Moravskoslezský </w:t>
      </w:r>
      <w:r>
        <w:rPr>
          <w:spacing w:val="-2"/>
          <w:sz w:val="16"/>
          <w:szCs w:val="16"/>
        </w:rPr>
        <w:t>a </w:t>
      </w:r>
      <w:r w:rsidRPr="00E8783D">
        <w:rPr>
          <w:spacing w:val="-2"/>
          <w:sz w:val="16"/>
          <w:szCs w:val="16"/>
        </w:rPr>
        <w:t>Olomouck</w:t>
      </w:r>
      <w:r>
        <w:rPr>
          <w:spacing w:val="-2"/>
          <w:sz w:val="16"/>
          <w:szCs w:val="16"/>
        </w:rPr>
        <w:t>ý</w:t>
      </w:r>
      <w:r w:rsidRPr="00E8783D">
        <w:rPr>
          <w:spacing w:val="-2"/>
          <w:sz w:val="16"/>
          <w:szCs w:val="16"/>
        </w:rPr>
        <w:t xml:space="preserve"> kraj (shodně 54</w:t>
      </w:r>
      <w:r>
        <w:rPr>
          <w:spacing w:val="-2"/>
          <w:sz w:val="16"/>
          <w:szCs w:val="16"/>
        </w:rPr>
        <w:t> %</w:t>
      </w:r>
      <w:r w:rsidRPr="00E8783D">
        <w:rPr>
          <w:spacing w:val="-2"/>
          <w:sz w:val="16"/>
          <w:szCs w:val="16"/>
        </w:rPr>
        <w:t>) a</w:t>
      </w:r>
      <w:r>
        <w:rPr>
          <w:spacing w:val="-2"/>
          <w:sz w:val="16"/>
          <w:szCs w:val="16"/>
        </w:rPr>
        <w:t> </w:t>
      </w:r>
      <w:r w:rsidRPr="00E8783D">
        <w:rPr>
          <w:spacing w:val="-2"/>
          <w:sz w:val="16"/>
          <w:szCs w:val="16"/>
        </w:rPr>
        <w:t>také Karlovarský kraj (63</w:t>
      </w:r>
      <w:r>
        <w:rPr>
          <w:spacing w:val="-2"/>
          <w:sz w:val="16"/>
          <w:szCs w:val="16"/>
        </w:rPr>
        <w:t> %</w:t>
      </w:r>
      <w:r w:rsidRPr="00E8783D">
        <w:rPr>
          <w:spacing w:val="-2"/>
          <w:sz w:val="16"/>
          <w:szCs w:val="16"/>
        </w:rPr>
        <w:t>).</w:t>
      </w:r>
    </w:p>
  </w:footnote>
  <w:footnote w:id="63">
    <w:p w14:paraId="24F5D412" w14:textId="77777777" w:rsidR="00866074" w:rsidRPr="00BA7014" w:rsidRDefault="00866074" w:rsidP="0070658E">
      <w:pPr>
        <w:pStyle w:val="Textpoznpodarou"/>
        <w:rPr>
          <w:sz w:val="16"/>
          <w:szCs w:val="16"/>
        </w:rPr>
      </w:pPr>
      <w:r w:rsidRPr="00BA7014">
        <w:rPr>
          <w:rStyle w:val="Znakapoznpodarou"/>
          <w:sz w:val="16"/>
          <w:szCs w:val="16"/>
        </w:rPr>
        <w:footnoteRef/>
      </w:r>
      <w:r w:rsidRPr="00BA7014">
        <w:rPr>
          <w:sz w:val="16"/>
          <w:szCs w:val="16"/>
        </w:rPr>
        <w:t xml:space="preserve"> Meziročně vzrostla nejvíce nabídka míst v kategorii obsluha strojů a</w:t>
      </w:r>
      <w:r>
        <w:rPr>
          <w:sz w:val="16"/>
          <w:szCs w:val="16"/>
        </w:rPr>
        <w:t> </w:t>
      </w:r>
      <w:r w:rsidRPr="00BA7014">
        <w:rPr>
          <w:sz w:val="16"/>
          <w:szCs w:val="16"/>
        </w:rPr>
        <w:t>zařízení, montéři (+14,5</w:t>
      </w:r>
      <w:r>
        <w:rPr>
          <w:sz w:val="16"/>
          <w:szCs w:val="16"/>
        </w:rPr>
        <w:t> tis.</w:t>
      </w:r>
      <w:r w:rsidRPr="00BA7014">
        <w:rPr>
          <w:sz w:val="16"/>
          <w:szCs w:val="16"/>
        </w:rPr>
        <w:t>, na 115,2</w:t>
      </w:r>
      <w:r>
        <w:rPr>
          <w:sz w:val="16"/>
          <w:szCs w:val="16"/>
        </w:rPr>
        <w:t> </w:t>
      </w:r>
      <w:r w:rsidRPr="00BA7014">
        <w:rPr>
          <w:sz w:val="16"/>
          <w:szCs w:val="16"/>
        </w:rPr>
        <w:t>tis</w:t>
      </w:r>
      <w:r>
        <w:rPr>
          <w:sz w:val="16"/>
          <w:szCs w:val="16"/>
        </w:rPr>
        <w:t>.</w:t>
      </w:r>
      <w:r w:rsidRPr="00BA7014">
        <w:rPr>
          <w:sz w:val="16"/>
          <w:szCs w:val="16"/>
        </w:rPr>
        <w:t>), oproti červenci 2019 pak u</w:t>
      </w:r>
      <w:r>
        <w:rPr>
          <w:sz w:val="16"/>
          <w:szCs w:val="16"/>
        </w:rPr>
        <w:t> </w:t>
      </w:r>
      <w:r w:rsidRPr="00BA7014">
        <w:rPr>
          <w:sz w:val="16"/>
          <w:szCs w:val="16"/>
        </w:rPr>
        <w:t>řemeslníků a</w:t>
      </w:r>
      <w:r>
        <w:rPr>
          <w:sz w:val="16"/>
          <w:szCs w:val="16"/>
        </w:rPr>
        <w:t> </w:t>
      </w:r>
      <w:r w:rsidRPr="00BA7014">
        <w:rPr>
          <w:sz w:val="16"/>
          <w:szCs w:val="16"/>
        </w:rPr>
        <w:t>opravářů (o</w:t>
      </w:r>
      <w:r>
        <w:rPr>
          <w:sz w:val="16"/>
          <w:szCs w:val="16"/>
        </w:rPr>
        <w:t> </w:t>
      </w:r>
      <w:r w:rsidRPr="00BA7014">
        <w:rPr>
          <w:sz w:val="16"/>
          <w:szCs w:val="16"/>
        </w:rPr>
        <w:t>5,2</w:t>
      </w:r>
      <w:r>
        <w:rPr>
          <w:sz w:val="16"/>
          <w:szCs w:val="16"/>
        </w:rPr>
        <w:t> tis.</w:t>
      </w:r>
      <w:r w:rsidRPr="00BA7014">
        <w:rPr>
          <w:sz w:val="16"/>
          <w:szCs w:val="16"/>
        </w:rPr>
        <w:t>, na 75,0</w:t>
      </w:r>
      <w:r>
        <w:rPr>
          <w:sz w:val="16"/>
          <w:szCs w:val="16"/>
        </w:rPr>
        <w:t> tis.</w:t>
      </w:r>
      <w:r w:rsidRPr="00BA7014">
        <w:rPr>
          <w:sz w:val="16"/>
          <w:szCs w:val="16"/>
        </w:rPr>
        <w:t>).</w:t>
      </w:r>
    </w:p>
  </w:footnote>
  <w:footnote w:id="64">
    <w:p w14:paraId="05D58811" w14:textId="77777777" w:rsidR="00866074" w:rsidRPr="00B27FB0" w:rsidRDefault="00866074" w:rsidP="0070658E">
      <w:pPr>
        <w:pStyle w:val="Textpoznpodarou"/>
        <w:rPr>
          <w:spacing w:val="-2"/>
          <w:sz w:val="16"/>
          <w:szCs w:val="16"/>
        </w:rPr>
      </w:pPr>
      <w:r w:rsidRPr="00B27FB0">
        <w:rPr>
          <w:rStyle w:val="Znakapoznpodarou"/>
          <w:spacing w:val="-2"/>
          <w:sz w:val="16"/>
          <w:szCs w:val="16"/>
        </w:rPr>
        <w:footnoteRef/>
      </w:r>
      <w:r w:rsidRPr="00B27FB0">
        <w:rPr>
          <w:spacing w:val="-2"/>
          <w:sz w:val="16"/>
          <w:szCs w:val="16"/>
        </w:rPr>
        <w:t xml:space="preserve"> V</w:t>
      </w:r>
      <w:r>
        <w:rPr>
          <w:spacing w:val="-2"/>
          <w:sz w:val="16"/>
          <w:szCs w:val="16"/>
        </w:rPr>
        <w:t> </w:t>
      </w:r>
      <w:r w:rsidRPr="00B27FB0">
        <w:rPr>
          <w:spacing w:val="-2"/>
          <w:sz w:val="16"/>
          <w:szCs w:val="16"/>
        </w:rPr>
        <w:t>okrese Karviná připadalo letos na 1</w:t>
      </w:r>
      <w:r>
        <w:rPr>
          <w:spacing w:val="-2"/>
          <w:sz w:val="16"/>
          <w:szCs w:val="16"/>
        </w:rPr>
        <w:t> </w:t>
      </w:r>
      <w:r w:rsidRPr="00B27FB0">
        <w:rPr>
          <w:spacing w:val="-2"/>
          <w:sz w:val="16"/>
          <w:szCs w:val="16"/>
        </w:rPr>
        <w:t xml:space="preserve">volné místo více než </w:t>
      </w:r>
      <w:r>
        <w:rPr>
          <w:spacing w:val="-2"/>
          <w:sz w:val="16"/>
          <w:szCs w:val="16"/>
        </w:rPr>
        <w:t>10 </w:t>
      </w:r>
      <w:r w:rsidRPr="00B27FB0">
        <w:rPr>
          <w:spacing w:val="-2"/>
          <w:sz w:val="16"/>
          <w:szCs w:val="16"/>
        </w:rPr>
        <w:t>uchazečů. Vyšší přetlak zde byl naposledy v první polovině roku 2017.</w:t>
      </w:r>
    </w:p>
  </w:footnote>
  <w:footnote w:id="65">
    <w:p w14:paraId="6BD19943" w14:textId="77777777" w:rsidR="00866074" w:rsidRPr="00BA6FA1" w:rsidRDefault="00866074" w:rsidP="0070658E">
      <w:pPr>
        <w:pStyle w:val="Textpoznpodarou"/>
        <w:rPr>
          <w:spacing w:val="-2"/>
          <w:sz w:val="16"/>
          <w:szCs w:val="16"/>
        </w:rPr>
      </w:pPr>
      <w:r w:rsidRPr="00BA6FA1">
        <w:rPr>
          <w:rStyle w:val="Znakapoznpodarou"/>
          <w:spacing w:val="-2"/>
          <w:sz w:val="16"/>
          <w:szCs w:val="16"/>
        </w:rPr>
        <w:footnoteRef/>
      </w:r>
      <w:r w:rsidRPr="00BA6FA1">
        <w:rPr>
          <w:spacing w:val="-2"/>
          <w:sz w:val="16"/>
          <w:szCs w:val="16"/>
        </w:rPr>
        <w:t xml:space="preserve"> Za celý rok 2020 se počet neaktivních navýšil o</w:t>
      </w:r>
      <w:r>
        <w:rPr>
          <w:spacing w:val="-2"/>
          <w:sz w:val="16"/>
          <w:szCs w:val="16"/>
        </w:rPr>
        <w:t> </w:t>
      </w:r>
      <w:r w:rsidRPr="00BA6FA1">
        <w:rPr>
          <w:spacing w:val="-2"/>
          <w:sz w:val="16"/>
          <w:szCs w:val="16"/>
        </w:rPr>
        <w:t>1,7</w:t>
      </w:r>
      <w:r>
        <w:rPr>
          <w:spacing w:val="-2"/>
          <w:sz w:val="16"/>
          <w:szCs w:val="16"/>
        </w:rPr>
        <w:t> %</w:t>
      </w:r>
      <w:r w:rsidRPr="00BA6FA1">
        <w:rPr>
          <w:spacing w:val="-2"/>
          <w:sz w:val="16"/>
          <w:szCs w:val="16"/>
        </w:rPr>
        <w:t xml:space="preserve"> (podobným tempem pro muže i</w:t>
      </w:r>
      <w:r>
        <w:rPr>
          <w:spacing w:val="-2"/>
          <w:sz w:val="16"/>
          <w:szCs w:val="16"/>
        </w:rPr>
        <w:t> </w:t>
      </w:r>
      <w:r w:rsidRPr="00BA6FA1">
        <w:rPr>
          <w:spacing w:val="-2"/>
          <w:sz w:val="16"/>
          <w:szCs w:val="16"/>
        </w:rPr>
        <w:t>ženy), což bylo nejvíce za posledních dvanáct let.</w:t>
      </w:r>
    </w:p>
  </w:footnote>
  <w:footnote w:id="66">
    <w:p w14:paraId="62F19C2B" w14:textId="77777777" w:rsidR="00866074" w:rsidRPr="00410EF0" w:rsidRDefault="00866074" w:rsidP="0070658E">
      <w:pPr>
        <w:pStyle w:val="Textpoznpodarou"/>
        <w:rPr>
          <w:sz w:val="16"/>
          <w:szCs w:val="16"/>
        </w:rPr>
      </w:pPr>
      <w:r w:rsidRPr="00410EF0">
        <w:rPr>
          <w:rStyle w:val="Znakapoznpodarou"/>
          <w:sz w:val="16"/>
          <w:szCs w:val="16"/>
        </w:rPr>
        <w:footnoteRef/>
      </w:r>
      <w:r w:rsidRPr="00410EF0">
        <w:rPr>
          <w:sz w:val="16"/>
          <w:szCs w:val="16"/>
        </w:rPr>
        <w:t xml:space="preserve"> Nejpozději do dvou týdn</w:t>
      </w:r>
      <w:r>
        <w:rPr>
          <w:sz w:val="16"/>
          <w:szCs w:val="16"/>
        </w:rPr>
        <w:t>ů</w:t>
      </w:r>
      <w:r w:rsidRPr="00410EF0">
        <w:rPr>
          <w:sz w:val="16"/>
          <w:szCs w:val="16"/>
        </w:rPr>
        <w:t xml:space="preserve"> byla ale schopna do práce nastoupit pouze necelá polovina z nich.</w:t>
      </w:r>
    </w:p>
  </w:footnote>
  <w:footnote w:id="67">
    <w:p w14:paraId="6A010F23" w14:textId="77777777" w:rsidR="00866074" w:rsidRPr="00186827" w:rsidRDefault="00866074" w:rsidP="0070658E">
      <w:pPr>
        <w:pStyle w:val="Textpoznpodarou"/>
        <w:rPr>
          <w:sz w:val="16"/>
          <w:szCs w:val="16"/>
        </w:rPr>
      </w:pPr>
      <w:r w:rsidRPr="00186827">
        <w:rPr>
          <w:rStyle w:val="Znakapoznpodarou"/>
          <w:sz w:val="16"/>
          <w:szCs w:val="16"/>
        </w:rPr>
        <w:footnoteRef/>
      </w:r>
      <w:r w:rsidRPr="00186827">
        <w:rPr>
          <w:sz w:val="16"/>
          <w:szCs w:val="16"/>
        </w:rPr>
        <w:t xml:space="preserve"> </w:t>
      </w:r>
      <w:r>
        <w:rPr>
          <w:sz w:val="16"/>
          <w:szCs w:val="16"/>
        </w:rPr>
        <w:t>Níže uvedené ú</w:t>
      </w:r>
      <w:r w:rsidRPr="00186827">
        <w:rPr>
          <w:sz w:val="16"/>
          <w:szCs w:val="16"/>
        </w:rPr>
        <w:t xml:space="preserve">daje </w:t>
      </w:r>
      <w:r>
        <w:rPr>
          <w:sz w:val="16"/>
          <w:szCs w:val="16"/>
        </w:rPr>
        <w:t xml:space="preserve">o odpracované době </w:t>
      </w:r>
      <w:r w:rsidRPr="00186827">
        <w:rPr>
          <w:sz w:val="16"/>
          <w:szCs w:val="16"/>
        </w:rPr>
        <w:t>vycház</w:t>
      </w:r>
      <w:r>
        <w:rPr>
          <w:sz w:val="16"/>
          <w:szCs w:val="16"/>
        </w:rPr>
        <w:t>ej</w:t>
      </w:r>
      <w:r w:rsidRPr="00186827">
        <w:rPr>
          <w:sz w:val="16"/>
          <w:szCs w:val="16"/>
        </w:rPr>
        <w:t>í z národních účtů a</w:t>
      </w:r>
      <w:r>
        <w:rPr>
          <w:sz w:val="16"/>
          <w:szCs w:val="16"/>
        </w:rPr>
        <w:t> </w:t>
      </w:r>
      <w:r w:rsidRPr="00186827">
        <w:rPr>
          <w:sz w:val="16"/>
          <w:szCs w:val="16"/>
        </w:rPr>
        <w:t xml:space="preserve">jsou očištěny </w:t>
      </w:r>
      <w:r w:rsidRPr="00186827">
        <w:rPr>
          <w:rFonts w:cs="Arial"/>
          <w:color w:val="0D0D0D" w:themeColor="text1" w:themeTint="F2"/>
          <w:spacing w:val="-2"/>
          <w:sz w:val="16"/>
          <w:szCs w:val="16"/>
        </w:rPr>
        <w:t>o sezónní a kalendářní vlivy.</w:t>
      </w:r>
    </w:p>
  </w:footnote>
  <w:footnote w:id="68">
    <w:p w14:paraId="45AE92AC" w14:textId="77777777" w:rsidR="00866074" w:rsidRPr="00376E4D" w:rsidRDefault="00866074" w:rsidP="0070658E">
      <w:pPr>
        <w:pStyle w:val="Textpoznpodarou"/>
        <w:rPr>
          <w:sz w:val="16"/>
          <w:szCs w:val="16"/>
        </w:rPr>
      </w:pPr>
      <w:r w:rsidRPr="00376E4D">
        <w:rPr>
          <w:rStyle w:val="Znakapoznpodarou"/>
          <w:sz w:val="16"/>
          <w:szCs w:val="16"/>
        </w:rPr>
        <w:footnoteRef/>
      </w:r>
      <w:r w:rsidRPr="00376E4D">
        <w:rPr>
          <w:sz w:val="16"/>
          <w:szCs w:val="16"/>
        </w:rPr>
        <w:t xml:space="preserve"> Ve srovnání se 2.</w:t>
      </w:r>
      <w:r>
        <w:rPr>
          <w:sz w:val="16"/>
          <w:szCs w:val="16"/>
        </w:rPr>
        <w:t> čtvrtlet</w:t>
      </w:r>
      <w:r w:rsidRPr="00376E4D">
        <w:rPr>
          <w:sz w:val="16"/>
          <w:szCs w:val="16"/>
        </w:rPr>
        <w:t xml:space="preserve">ím 2019 </w:t>
      </w:r>
      <w:r>
        <w:rPr>
          <w:sz w:val="16"/>
          <w:szCs w:val="16"/>
        </w:rPr>
        <w:t>činil růst průměrných mezd v ubytování, stravování a pohostinství jen 0,9 %. Ani ne poloviční tempo oproti celé ekonomice (10,7 %) vykázaly zpracovatelský průmysl či doprava a skladování.</w:t>
      </w:r>
    </w:p>
  </w:footnote>
  <w:footnote w:id="69">
    <w:p w14:paraId="553DABF9" w14:textId="77777777" w:rsidR="00C872AA" w:rsidRDefault="00C872AA" w:rsidP="00A9532C">
      <w:pPr>
        <w:pStyle w:val="Textpoznpodarou"/>
        <w:rPr>
          <w:sz w:val="16"/>
          <w:szCs w:val="16"/>
        </w:rPr>
      </w:pPr>
      <w:r>
        <w:rPr>
          <w:rStyle w:val="Znakapoznpodarou"/>
          <w:sz w:val="16"/>
          <w:szCs w:val="16"/>
        </w:rPr>
        <w:footnoteRef/>
      </w:r>
      <w:r>
        <w:rPr>
          <w:sz w:val="16"/>
          <w:szCs w:val="16"/>
        </w:rPr>
        <w:t xml:space="preserve"> Není</w:t>
      </w:r>
      <w:r>
        <w:rPr>
          <w:sz w:val="16"/>
          <w:szCs w:val="16"/>
        </w:rPr>
        <w:noBreakHyphen/>
        <w:t>li uvedeno jinak, je zdrojem údajů v této kapitole databáze ARAD České národní banky. Hodnoty směnných kurzů jsou rovněž převzaty od ČNB.</w:t>
      </w:r>
    </w:p>
  </w:footnote>
  <w:footnote w:id="70">
    <w:p w14:paraId="39FB40FB" w14:textId="77777777" w:rsidR="00C872AA" w:rsidRDefault="00C872AA" w:rsidP="00A9532C">
      <w:pPr>
        <w:pStyle w:val="Textpoznpodarou"/>
      </w:pPr>
      <w:r w:rsidRPr="00316B66">
        <w:rPr>
          <w:rStyle w:val="Znakapoznpodarou"/>
          <w:sz w:val="16"/>
        </w:rPr>
        <w:footnoteRef/>
      </w:r>
      <w:r>
        <w:t xml:space="preserve"> </w:t>
      </w:r>
      <w:r>
        <w:rPr>
          <w:sz w:val="16"/>
          <w:szCs w:val="16"/>
        </w:rPr>
        <w:t xml:space="preserve">Možnost </w:t>
      </w:r>
      <w:r w:rsidRPr="00316B66">
        <w:rPr>
          <w:sz w:val="16"/>
          <w:szCs w:val="16"/>
        </w:rPr>
        <w:t>odklad</w:t>
      </w:r>
      <w:r>
        <w:rPr>
          <w:sz w:val="16"/>
          <w:szCs w:val="16"/>
        </w:rPr>
        <w:t>u</w:t>
      </w:r>
      <w:r w:rsidRPr="00316B66">
        <w:rPr>
          <w:sz w:val="16"/>
          <w:szCs w:val="16"/>
        </w:rPr>
        <w:t xml:space="preserve"> splátek.</w:t>
      </w:r>
    </w:p>
  </w:footnote>
  <w:footnote w:id="71">
    <w:p w14:paraId="76F8A8A2" w14:textId="77777777" w:rsidR="00C872AA" w:rsidRPr="004A27B5" w:rsidRDefault="00C872AA" w:rsidP="00BB50C0">
      <w:pPr>
        <w:pStyle w:val="Textpoznpodarou"/>
        <w:jc w:val="both"/>
        <w:rPr>
          <w:spacing w:val="-3"/>
          <w:sz w:val="16"/>
          <w:szCs w:val="16"/>
        </w:rPr>
      </w:pPr>
      <w:r w:rsidRPr="004A27B5">
        <w:rPr>
          <w:rStyle w:val="Znakapoznpodarou"/>
          <w:spacing w:val="-3"/>
          <w:sz w:val="16"/>
          <w:szCs w:val="16"/>
        </w:rPr>
        <w:footnoteRef/>
      </w:r>
      <w:r w:rsidRPr="004A27B5">
        <w:rPr>
          <w:spacing w:val="-3"/>
          <w:sz w:val="16"/>
          <w:szCs w:val="16"/>
        </w:rPr>
        <w:t xml:space="preserve"> </w:t>
      </w:r>
      <w:r w:rsidRPr="004A27B5">
        <w:rPr>
          <w:color w:val="0D0D0D" w:themeColor="text1" w:themeTint="F2"/>
          <w:spacing w:val="-3"/>
          <w:sz w:val="16"/>
          <w:szCs w:val="16"/>
        </w:rPr>
        <w:t xml:space="preserve">Pokud není uvedeno jinak, vycházejí všechny údaje týkající se státního rozpočtu </w:t>
      </w:r>
      <w:r w:rsidRPr="004A27B5">
        <w:rPr>
          <w:rFonts w:cs="Arial"/>
          <w:color w:val="0D0D0D" w:themeColor="text1" w:themeTint="F2"/>
          <w:spacing w:val="-3"/>
          <w:sz w:val="16"/>
          <w:szCs w:val="16"/>
        </w:rPr>
        <w:t>z dat Ministerstva financí o pokladním plnění.</w:t>
      </w:r>
    </w:p>
  </w:footnote>
  <w:footnote w:id="72">
    <w:p w14:paraId="3C6A4BAF" w14:textId="77777777" w:rsidR="00C872AA" w:rsidRPr="004A27B5" w:rsidRDefault="00C872AA" w:rsidP="00BB50C0">
      <w:pPr>
        <w:pStyle w:val="Textpoznpodarou"/>
        <w:rPr>
          <w:spacing w:val="-2"/>
          <w:sz w:val="16"/>
          <w:szCs w:val="16"/>
        </w:rPr>
      </w:pPr>
      <w:r w:rsidRPr="004A27B5">
        <w:rPr>
          <w:rStyle w:val="Znakapoznpodarou"/>
          <w:spacing w:val="-2"/>
          <w:sz w:val="16"/>
          <w:szCs w:val="16"/>
        </w:rPr>
        <w:footnoteRef/>
      </w:r>
      <w:r w:rsidRPr="004A27B5">
        <w:rPr>
          <w:spacing w:val="-2"/>
          <w:sz w:val="16"/>
          <w:szCs w:val="16"/>
        </w:rPr>
        <w:t xml:space="preserve"> Na sdílených daní</w:t>
      </w:r>
      <w:r>
        <w:rPr>
          <w:spacing w:val="-2"/>
          <w:sz w:val="16"/>
          <w:szCs w:val="16"/>
        </w:rPr>
        <w:t>ch</w:t>
      </w:r>
      <w:r w:rsidRPr="004A27B5">
        <w:rPr>
          <w:spacing w:val="-2"/>
          <w:sz w:val="16"/>
          <w:szCs w:val="16"/>
        </w:rPr>
        <w:t xml:space="preserve"> (DPH, da</w:t>
      </w:r>
      <w:r>
        <w:rPr>
          <w:spacing w:val="-2"/>
          <w:sz w:val="16"/>
          <w:szCs w:val="16"/>
        </w:rPr>
        <w:t>ň</w:t>
      </w:r>
      <w:r w:rsidRPr="004A27B5">
        <w:rPr>
          <w:spacing w:val="-2"/>
          <w:sz w:val="16"/>
          <w:szCs w:val="16"/>
        </w:rPr>
        <w:t xml:space="preserve"> z příjmu) tak inkasoval SR v 1</w:t>
      </w:r>
      <w:r>
        <w:rPr>
          <w:spacing w:val="-2"/>
          <w:sz w:val="16"/>
          <w:szCs w:val="16"/>
        </w:rPr>
        <w:t>. letošním pololet</w:t>
      </w:r>
      <w:r w:rsidRPr="004A27B5">
        <w:rPr>
          <w:spacing w:val="-2"/>
          <w:sz w:val="16"/>
          <w:szCs w:val="16"/>
        </w:rPr>
        <w:t>í o</w:t>
      </w:r>
      <w:r>
        <w:rPr>
          <w:spacing w:val="-2"/>
          <w:sz w:val="16"/>
          <w:szCs w:val="16"/>
        </w:rPr>
        <w:t> 12,4 mld.</w:t>
      </w:r>
      <w:r w:rsidRPr="004A27B5">
        <w:rPr>
          <w:spacing w:val="-2"/>
          <w:sz w:val="16"/>
          <w:szCs w:val="16"/>
        </w:rPr>
        <w:t xml:space="preserve"> korun méně.</w:t>
      </w:r>
    </w:p>
  </w:footnote>
  <w:footnote w:id="73">
    <w:p w14:paraId="54E643BA" w14:textId="77777777" w:rsidR="00C872AA" w:rsidRPr="006E4C3F" w:rsidRDefault="00C872AA" w:rsidP="00BB50C0">
      <w:pPr>
        <w:pStyle w:val="Textpoznpodarou"/>
        <w:rPr>
          <w:sz w:val="16"/>
          <w:szCs w:val="16"/>
        </w:rPr>
      </w:pPr>
      <w:r w:rsidRPr="006E4C3F">
        <w:rPr>
          <w:rStyle w:val="Znakapoznpodarou"/>
          <w:sz w:val="16"/>
          <w:szCs w:val="16"/>
        </w:rPr>
        <w:footnoteRef/>
      </w:r>
      <w:r>
        <w:rPr>
          <w:sz w:val="16"/>
          <w:szCs w:val="16"/>
        </w:rPr>
        <w:t xml:space="preserve"> Za výší z 1. pololetí 2019 </w:t>
      </w:r>
      <w:r w:rsidRPr="006E4C3F">
        <w:rPr>
          <w:sz w:val="16"/>
          <w:szCs w:val="16"/>
        </w:rPr>
        <w:t>letošní příjmy SR o</w:t>
      </w:r>
      <w:r>
        <w:rPr>
          <w:sz w:val="16"/>
          <w:szCs w:val="16"/>
        </w:rPr>
        <w:t> </w:t>
      </w:r>
      <w:r w:rsidRPr="006E4C3F">
        <w:rPr>
          <w:sz w:val="16"/>
          <w:szCs w:val="16"/>
        </w:rPr>
        <w:t>4,2</w:t>
      </w:r>
      <w:r>
        <w:rPr>
          <w:sz w:val="16"/>
          <w:szCs w:val="16"/>
        </w:rPr>
        <w:t> %</w:t>
      </w:r>
      <w:r w:rsidRPr="006E4C3F">
        <w:rPr>
          <w:sz w:val="16"/>
          <w:szCs w:val="16"/>
        </w:rPr>
        <w:t xml:space="preserve"> zaostávaly.</w:t>
      </w:r>
    </w:p>
  </w:footnote>
  <w:footnote w:id="74">
    <w:p w14:paraId="20C11788" w14:textId="77777777" w:rsidR="00C872AA" w:rsidRPr="004A27B5" w:rsidRDefault="00C872AA" w:rsidP="00BB50C0">
      <w:pPr>
        <w:pStyle w:val="Textpoznpodarou"/>
        <w:rPr>
          <w:spacing w:val="-3"/>
          <w:sz w:val="16"/>
          <w:szCs w:val="16"/>
        </w:rPr>
      </w:pPr>
      <w:r w:rsidRPr="004A27B5">
        <w:rPr>
          <w:rStyle w:val="Znakapoznpodarou"/>
          <w:spacing w:val="-3"/>
          <w:sz w:val="16"/>
          <w:szCs w:val="16"/>
        </w:rPr>
        <w:footnoteRef/>
      </w:r>
      <w:r w:rsidRPr="004A27B5">
        <w:rPr>
          <w:spacing w:val="-3"/>
          <w:sz w:val="16"/>
          <w:szCs w:val="16"/>
        </w:rPr>
        <w:t xml:space="preserve"> </w:t>
      </w:r>
      <w:r>
        <w:rPr>
          <w:spacing w:val="-3"/>
          <w:sz w:val="16"/>
          <w:szCs w:val="16"/>
        </w:rPr>
        <w:t xml:space="preserve">Tato diskrepance byla </w:t>
      </w:r>
      <w:r w:rsidRPr="004A27B5">
        <w:rPr>
          <w:spacing w:val="-3"/>
          <w:sz w:val="16"/>
          <w:szCs w:val="16"/>
        </w:rPr>
        <w:t>čá</w:t>
      </w:r>
      <w:r>
        <w:rPr>
          <w:spacing w:val="-3"/>
          <w:sz w:val="16"/>
          <w:szCs w:val="16"/>
        </w:rPr>
        <w:t>stečně kompenzována mimořádnými letošními</w:t>
      </w:r>
      <w:r w:rsidRPr="004A27B5">
        <w:rPr>
          <w:spacing w:val="-3"/>
          <w:sz w:val="16"/>
          <w:szCs w:val="16"/>
        </w:rPr>
        <w:t xml:space="preserve"> výnosy z a</w:t>
      </w:r>
      <w:r>
        <w:rPr>
          <w:spacing w:val="-3"/>
          <w:sz w:val="16"/>
          <w:szCs w:val="16"/>
        </w:rPr>
        <w:t>u</w:t>
      </w:r>
      <w:r w:rsidRPr="004A27B5">
        <w:rPr>
          <w:spacing w:val="-3"/>
          <w:sz w:val="16"/>
          <w:szCs w:val="16"/>
        </w:rPr>
        <w:t>kce kmitočtů (+5,6</w:t>
      </w:r>
      <w:r>
        <w:rPr>
          <w:spacing w:val="-3"/>
          <w:sz w:val="16"/>
          <w:szCs w:val="16"/>
        </w:rPr>
        <w:t> mld.</w:t>
      </w:r>
      <w:r w:rsidRPr="004A27B5">
        <w:rPr>
          <w:spacing w:val="-3"/>
          <w:sz w:val="16"/>
          <w:szCs w:val="16"/>
        </w:rPr>
        <w:t>).</w:t>
      </w:r>
    </w:p>
  </w:footnote>
  <w:footnote w:id="75">
    <w:p w14:paraId="2AB07188" w14:textId="77777777" w:rsidR="00C872AA" w:rsidRPr="00277984" w:rsidRDefault="00C872AA" w:rsidP="00BB50C0">
      <w:pPr>
        <w:pStyle w:val="Textpoznpodarou"/>
        <w:rPr>
          <w:sz w:val="16"/>
          <w:szCs w:val="16"/>
        </w:rPr>
      </w:pPr>
      <w:r w:rsidRPr="00277984">
        <w:rPr>
          <w:rStyle w:val="Znakapoznpodarou"/>
          <w:sz w:val="16"/>
          <w:szCs w:val="16"/>
        </w:rPr>
        <w:footnoteRef/>
      </w:r>
      <w:r w:rsidRPr="00277984">
        <w:rPr>
          <w:sz w:val="16"/>
          <w:szCs w:val="16"/>
        </w:rPr>
        <w:t xml:space="preserve"> Nižší sazba na stravovací a</w:t>
      </w:r>
      <w:r>
        <w:rPr>
          <w:sz w:val="16"/>
          <w:szCs w:val="16"/>
        </w:rPr>
        <w:t> </w:t>
      </w:r>
      <w:r w:rsidRPr="00277984">
        <w:rPr>
          <w:sz w:val="16"/>
          <w:szCs w:val="16"/>
        </w:rPr>
        <w:t>další služby byla zavedena loni od května a</w:t>
      </w:r>
      <w:r>
        <w:rPr>
          <w:sz w:val="16"/>
          <w:szCs w:val="16"/>
        </w:rPr>
        <w:t> </w:t>
      </w:r>
      <w:r w:rsidRPr="00277984">
        <w:rPr>
          <w:sz w:val="16"/>
          <w:szCs w:val="16"/>
        </w:rPr>
        <w:t xml:space="preserve">července. Letošní inkaso DPH </w:t>
      </w:r>
      <w:r>
        <w:rPr>
          <w:sz w:val="16"/>
          <w:szCs w:val="16"/>
        </w:rPr>
        <w:t>bylo mírně tlumeno i dočasným</w:t>
      </w:r>
      <w:r w:rsidRPr="00277984">
        <w:rPr>
          <w:sz w:val="16"/>
          <w:szCs w:val="16"/>
        </w:rPr>
        <w:t xml:space="preserve"> prominutí</w:t>
      </w:r>
      <w:r>
        <w:rPr>
          <w:sz w:val="16"/>
          <w:szCs w:val="16"/>
        </w:rPr>
        <w:t>m</w:t>
      </w:r>
      <w:r w:rsidRPr="00277984">
        <w:rPr>
          <w:sz w:val="16"/>
          <w:szCs w:val="16"/>
        </w:rPr>
        <w:t xml:space="preserve"> daně u</w:t>
      </w:r>
      <w:r>
        <w:rPr>
          <w:sz w:val="16"/>
          <w:szCs w:val="16"/>
        </w:rPr>
        <w:t> </w:t>
      </w:r>
      <w:r w:rsidRPr="00277984">
        <w:rPr>
          <w:sz w:val="16"/>
          <w:szCs w:val="16"/>
        </w:rPr>
        <w:t>ochranných pomůcek (</w:t>
      </w:r>
      <w:r>
        <w:rPr>
          <w:sz w:val="16"/>
          <w:szCs w:val="16"/>
        </w:rPr>
        <w:t>např. respirátorů) a u testů i </w:t>
      </w:r>
      <w:r w:rsidRPr="00277984">
        <w:rPr>
          <w:sz w:val="16"/>
          <w:szCs w:val="16"/>
        </w:rPr>
        <w:t xml:space="preserve">vakcín souvisejících s epidemií </w:t>
      </w:r>
      <w:r>
        <w:rPr>
          <w:sz w:val="16"/>
          <w:szCs w:val="16"/>
        </w:rPr>
        <w:t>c</w:t>
      </w:r>
      <w:r w:rsidRPr="00277984">
        <w:rPr>
          <w:sz w:val="16"/>
          <w:szCs w:val="16"/>
        </w:rPr>
        <w:t>ovid</w:t>
      </w:r>
      <w:r>
        <w:rPr>
          <w:sz w:val="16"/>
          <w:szCs w:val="16"/>
        </w:rPr>
        <w:t>u</w:t>
      </w:r>
      <w:r w:rsidRPr="00277984">
        <w:rPr>
          <w:sz w:val="16"/>
          <w:szCs w:val="16"/>
        </w:rPr>
        <w:t>-19.</w:t>
      </w:r>
    </w:p>
  </w:footnote>
  <w:footnote w:id="76">
    <w:p w14:paraId="4E003FED" w14:textId="77777777" w:rsidR="00C872AA" w:rsidRPr="005F4CA2" w:rsidRDefault="00C872AA" w:rsidP="00BB50C0">
      <w:pPr>
        <w:pStyle w:val="Textpoznpodarou"/>
        <w:rPr>
          <w:sz w:val="16"/>
          <w:szCs w:val="16"/>
        </w:rPr>
      </w:pPr>
      <w:r w:rsidRPr="005F4CA2">
        <w:rPr>
          <w:rStyle w:val="Znakapoznpodarou"/>
          <w:sz w:val="16"/>
          <w:szCs w:val="16"/>
        </w:rPr>
        <w:footnoteRef/>
      </w:r>
      <w:r w:rsidRPr="005F4CA2">
        <w:rPr>
          <w:sz w:val="16"/>
          <w:szCs w:val="16"/>
        </w:rPr>
        <w:t xml:space="preserve"> Pokles sazby o</w:t>
      </w:r>
      <w:r>
        <w:rPr>
          <w:sz w:val="16"/>
          <w:szCs w:val="16"/>
        </w:rPr>
        <w:t> </w:t>
      </w:r>
      <w:r w:rsidRPr="005F4CA2">
        <w:rPr>
          <w:sz w:val="16"/>
          <w:szCs w:val="16"/>
        </w:rPr>
        <w:t>1</w:t>
      </w:r>
      <w:r>
        <w:rPr>
          <w:sz w:val="16"/>
          <w:szCs w:val="16"/>
        </w:rPr>
        <w:t> </w:t>
      </w:r>
      <w:r w:rsidRPr="005F4CA2">
        <w:rPr>
          <w:sz w:val="16"/>
          <w:szCs w:val="16"/>
        </w:rPr>
        <w:t>korunu se začal vlivem časového zpoždění letos ve výběru daně negativně projevovat až v březnu. Dle odhadů MF vedl za 1.</w:t>
      </w:r>
      <w:r>
        <w:rPr>
          <w:sz w:val="16"/>
          <w:szCs w:val="16"/>
        </w:rPr>
        <w:t> pololet</w:t>
      </w:r>
      <w:r w:rsidRPr="005F4CA2">
        <w:rPr>
          <w:sz w:val="16"/>
          <w:szCs w:val="16"/>
        </w:rPr>
        <w:t xml:space="preserve">í </w:t>
      </w:r>
      <w:r>
        <w:rPr>
          <w:sz w:val="16"/>
          <w:szCs w:val="16"/>
        </w:rPr>
        <w:t>ke snížení</w:t>
      </w:r>
      <w:r w:rsidRPr="005F4CA2">
        <w:rPr>
          <w:sz w:val="16"/>
          <w:szCs w:val="16"/>
        </w:rPr>
        <w:t xml:space="preserve"> inkasa </w:t>
      </w:r>
      <w:r>
        <w:rPr>
          <w:sz w:val="16"/>
          <w:szCs w:val="16"/>
        </w:rPr>
        <w:t xml:space="preserve">této daně na úrovni </w:t>
      </w:r>
      <w:r w:rsidRPr="005F4CA2">
        <w:rPr>
          <w:sz w:val="16"/>
          <w:szCs w:val="16"/>
        </w:rPr>
        <w:t>SR o</w:t>
      </w:r>
      <w:r>
        <w:rPr>
          <w:sz w:val="16"/>
          <w:szCs w:val="16"/>
        </w:rPr>
        <w:t> </w:t>
      </w:r>
      <w:r w:rsidRPr="005F4CA2">
        <w:rPr>
          <w:sz w:val="16"/>
          <w:szCs w:val="16"/>
        </w:rPr>
        <w:t>1,9</w:t>
      </w:r>
      <w:r>
        <w:rPr>
          <w:sz w:val="16"/>
          <w:szCs w:val="16"/>
        </w:rPr>
        <w:t> mld.</w:t>
      </w:r>
      <w:r w:rsidRPr="005F4CA2">
        <w:rPr>
          <w:sz w:val="16"/>
          <w:szCs w:val="16"/>
        </w:rPr>
        <w:t xml:space="preserve"> korun.</w:t>
      </w:r>
    </w:p>
  </w:footnote>
  <w:footnote w:id="77">
    <w:p w14:paraId="7AA158E9" w14:textId="77777777" w:rsidR="00C872AA" w:rsidRPr="004A27B5" w:rsidRDefault="00C872AA" w:rsidP="00BB50C0">
      <w:pPr>
        <w:pStyle w:val="Textpoznpodarou"/>
        <w:rPr>
          <w:spacing w:val="-2"/>
          <w:sz w:val="16"/>
          <w:szCs w:val="16"/>
        </w:rPr>
      </w:pPr>
      <w:r w:rsidRPr="004A27B5">
        <w:rPr>
          <w:rStyle w:val="Znakapoznpodarou"/>
          <w:spacing w:val="-2"/>
          <w:sz w:val="16"/>
          <w:szCs w:val="16"/>
        </w:rPr>
        <w:footnoteRef/>
      </w:r>
      <w:r w:rsidRPr="004A27B5">
        <w:rPr>
          <w:spacing w:val="-2"/>
          <w:sz w:val="16"/>
          <w:szCs w:val="16"/>
        </w:rPr>
        <w:t xml:space="preserve"> Dle odhadů MF vedl v 1.</w:t>
      </w:r>
      <w:r>
        <w:rPr>
          <w:spacing w:val="-2"/>
          <w:sz w:val="16"/>
          <w:szCs w:val="16"/>
        </w:rPr>
        <w:t> pololet</w:t>
      </w:r>
      <w:r w:rsidRPr="004A27B5">
        <w:rPr>
          <w:spacing w:val="-2"/>
          <w:sz w:val="16"/>
          <w:szCs w:val="16"/>
        </w:rPr>
        <w:t>í 2021 tento faktor k poklesu příjmů korporátní daně do</w:t>
      </w:r>
      <w:r>
        <w:rPr>
          <w:spacing w:val="-2"/>
          <w:sz w:val="16"/>
          <w:szCs w:val="16"/>
        </w:rPr>
        <w:t> </w:t>
      </w:r>
      <w:r w:rsidRPr="004A27B5">
        <w:rPr>
          <w:spacing w:val="-2"/>
          <w:sz w:val="16"/>
          <w:szCs w:val="16"/>
        </w:rPr>
        <w:t>SR o</w:t>
      </w:r>
      <w:r>
        <w:rPr>
          <w:spacing w:val="-2"/>
          <w:sz w:val="16"/>
          <w:szCs w:val="16"/>
        </w:rPr>
        <w:t> 6,4 mld. korun.</w:t>
      </w:r>
    </w:p>
  </w:footnote>
  <w:footnote w:id="78">
    <w:p w14:paraId="1ADCDF7A" w14:textId="77777777" w:rsidR="00C872AA" w:rsidRPr="004A27B5" w:rsidRDefault="00C872AA" w:rsidP="00BB50C0">
      <w:pPr>
        <w:pStyle w:val="Textpoznpodarou"/>
        <w:rPr>
          <w:spacing w:val="-2"/>
          <w:sz w:val="16"/>
          <w:szCs w:val="16"/>
        </w:rPr>
      </w:pPr>
      <w:r w:rsidRPr="004A27B5">
        <w:rPr>
          <w:rStyle w:val="Znakapoznpodarou"/>
          <w:spacing w:val="-2"/>
          <w:sz w:val="16"/>
          <w:szCs w:val="16"/>
        </w:rPr>
        <w:footnoteRef/>
      </w:r>
      <w:r w:rsidRPr="004A27B5">
        <w:rPr>
          <w:spacing w:val="-2"/>
          <w:sz w:val="16"/>
          <w:szCs w:val="16"/>
        </w:rPr>
        <w:t xml:space="preserve"> Po zrušení </w:t>
      </w:r>
      <w:proofErr w:type="spellStart"/>
      <w:r w:rsidRPr="004A27B5">
        <w:rPr>
          <w:spacing w:val="-2"/>
          <w:sz w:val="16"/>
          <w:szCs w:val="16"/>
        </w:rPr>
        <w:t>superhrubé</w:t>
      </w:r>
      <w:proofErr w:type="spellEnd"/>
      <w:r w:rsidRPr="004A27B5">
        <w:rPr>
          <w:spacing w:val="-2"/>
          <w:sz w:val="16"/>
          <w:szCs w:val="16"/>
        </w:rPr>
        <w:t xml:space="preserve"> mzdy byla od 1</w:t>
      </w:r>
      <w:r>
        <w:rPr>
          <w:spacing w:val="-2"/>
          <w:sz w:val="16"/>
          <w:szCs w:val="16"/>
        </w:rPr>
        <w:t>. </w:t>
      </w:r>
      <w:r w:rsidRPr="004A27B5">
        <w:rPr>
          <w:spacing w:val="-2"/>
          <w:sz w:val="16"/>
          <w:szCs w:val="16"/>
        </w:rPr>
        <w:t>ledna 2021 zavedena základní daňová sazba 15</w:t>
      </w:r>
      <w:r>
        <w:rPr>
          <w:spacing w:val="-2"/>
          <w:sz w:val="16"/>
          <w:szCs w:val="16"/>
        </w:rPr>
        <w:t> %</w:t>
      </w:r>
      <w:r w:rsidRPr="004A27B5">
        <w:rPr>
          <w:spacing w:val="-2"/>
          <w:sz w:val="16"/>
          <w:szCs w:val="16"/>
        </w:rPr>
        <w:t xml:space="preserve"> (a</w:t>
      </w:r>
      <w:r>
        <w:rPr>
          <w:spacing w:val="-2"/>
          <w:sz w:val="16"/>
          <w:szCs w:val="16"/>
        </w:rPr>
        <w:t> </w:t>
      </w:r>
      <w:r w:rsidRPr="004A27B5">
        <w:rPr>
          <w:spacing w:val="-2"/>
          <w:sz w:val="16"/>
          <w:szCs w:val="16"/>
        </w:rPr>
        <w:t>doplňková 23</w:t>
      </w:r>
      <w:r>
        <w:rPr>
          <w:spacing w:val="-2"/>
          <w:sz w:val="16"/>
          <w:szCs w:val="16"/>
        </w:rPr>
        <w:t> %</w:t>
      </w:r>
      <w:r w:rsidRPr="004A27B5">
        <w:rPr>
          <w:spacing w:val="-2"/>
          <w:sz w:val="16"/>
          <w:szCs w:val="16"/>
        </w:rPr>
        <w:t>) a</w:t>
      </w:r>
      <w:r>
        <w:rPr>
          <w:spacing w:val="-2"/>
          <w:sz w:val="16"/>
          <w:szCs w:val="16"/>
        </w:rPr>
        <w:t> </w:t>
      </w:r>
      <w:r w:rsidRPr="004A27B5">
        <w:rPr>
          <w:spacing w:val="-2"/>
          <w:sz w:val="16"/>
          <w:szCs w:val="16"/>
        </w:rPr>
        <w:t>navýšena roční daňová sleva na poplatníka (+3</w:t>
      </w:r>
      <w:r>
        <w:rPr>
          <w:spacing w:val="-2"/>
          <w:sz w:val="16"/>
          <w:szCs w:val="16"/>
        </w:rPr>
        <w:t> tis.</w:t>
      </w:r>
      <w:r w:rsidRPr="004A27B5">
        <w:rPr>
          <w:spacing w:val="-2"/>
          <w:sz w:val="16"/>
          <w:szCs w:val="16"/>
        </w:rPr>
        <w:t xml:space="preserve"> korun). Tyto změny by měly dle odhadů MF letos připravit veřejné rozpočty na výše uvedené dani </w:t>
      </w:r>
      <w:r>
        <w:rPr>
          <w:spacing w:val="-2"/>
          <w:sz w:val="16"/>
          <w:szCs w:val="16"/>
        </w:rPr>
        <w:t xml:space="preserve">až </w:t>
      </w:r>
      <w:r w:rsidRPr="004A27B5">
        <w:rPr>
          <w:spacing w:val="-2"/>
          <w:sz w:val="16"/>
          <w:szCs w:val="16"/>
        </w:rPr>
        <w:t>o</w:t>
      </w:r>
      <w:r>
        <w:rPr>
          <w:spacing w:val="-2"/>
          <w:sz w:val="16"/>
          <w:szCs w:val="16"/>
        </w:rPr>
        <w:t> </w:t>
      </w:r>
      <w:r w:rsidRPr="004A27B5">
        <w:rPr>
          <w:spacing w:val="-2"/>
          <w:sz w:val="16"/>
          <w:szCs w:val="16"/>
        </w:rPr>
        <w:t>90</w:t>
      </w:r>
      <w:r>
        <w:rPr>
          <w:spacing w:val="-2"/>
          <w:sz w:val="16"/>
          <w:szCs w:val="16"/>
        </w:rPr>
        <w:t> mld. korun. Z</w:t>
      </w:r>
      <w:r w:rsidRPr="004A27B5">
        <w:rPr>
          <w:spacing w:val="-2"/>
          <w:sz w:val="16"/>
          <w:szCs w:val="16"/>
        </w:rPr>
        <w:t>a 1.</w:t>
      </w:r>
      <w:r>
        <w:rPr>
          <w:spacing w:val="-2"/>
          <w:sz w:val="16"/>
          <w:szCs w:val="16"/>
        </w:rPr>
        <w:t> pololetí</w:t>
      </w:r>
      <w:r w:rsidRPr="004A27B5">
        <w:rPr>
          <w:spacing w:val="-2"/>
          <w:sz w:val="16"/>
          <w:szCs w:val="16"/>
        </w:rPr>
        <w:t xml:space="preserve"> 2021 kleslo celostátní inkaso DPFO ze závislé činnosti o</w:t>
      </w:r>
      <w:r>
        <w:rPr>
          <w:spacing w:val="-2"/>
          <w:sz w:val="16"/>
          <w:szCs w:val="16"/>
        </w:rPr>
        <w:t> 27,8 mld.</w:t>
      </w:r>
      <w:r w:rsidRPr="004A27B5">
        <w:rPr>
          <w:spacing w:val="-2"/>
          <w:sz w:val="16"/>
          <w:szCs w:val="16"/>
        </w:rPr>
        <w:t xml:space="preserve"> korun.</w:t>
      </w:r>
    </w:p>
  </w:footnote>
  <w:footnote w:id="79">
    <w:p w14:paraId="2676167A" w14:textId="77777777" w:rsidR="00C872AA" w:rsidRPr="00813E8A" w:rsidRDefault="00C872AA" w:rsidP="00BB50C0">
      <w:pPr>
        <w:pStyle w:val="Textpoznpodarou"/>
        <w:jc w:val="both"/>
        <w:rPr>
          <w:color w:val="0D0D0D" w:themeColor="text1" w:themeTint="F2"/>
          <w:spacing w:val="-4"/>
          <w:sz w:val="16"/>
          <w:szCs w:val="16"/>
        </w:rPr>
      </w:pPr>
      <w:r w:rsidRPr="00813E8A">
        <w:rPr>
          <w:rStyle w:val="Znakapoznpodarou"/>
          <w:spacing w:val="-4"/>
          <w:sz w:val="16"/>
          <w:szCs w:val="16"/>
        </w:rPr>
        <w:footnoteRef/>
      </w:r>
      <w:r>
        <w:rPr>
          <w:spacing w:val="-4"/>
          <w:sz w:val="16"/>
          <w:szCs w:val="16"/>
        </w:rPr>
        <w:t xml:space="preserve"> Šlo</w:t>
      </w:r>
      <w:r>
        <w:rPr>
          <w:color w:val="0D0D0D" w:themeColor="text1" w:themeTint="F2"/>
          <w:spacing w:val="-4"/>
          <w:sz w:val="16"/>
          <w:szCs w:val="16"/>
        </w:rPr>
        <w:t xml:space="preserve"> zejména</w:t>
      </w:r>
      <w:r w:rsidRPr="00813E8A">
        <w:rPr>
          <w:color w:val="0D0D0D" w:themeColor="text1" w:themeTint="F2"/>
          <w:spacing w:val="-4"/>
          <w:sz w:val="16"/>
          <w:szCs w:val="16"/>
        </w:rPr>
        <w:t xml:space="preserve"> </w:t>
      </w:r>
      <w:r>
        <w:rPr>
          <w:color w:val="0D0D0D" w:themeColor="text1" w:themeTint="F2"/>
          <w:spacing w:val="-4"/>
          <w:sz w:val="16"/>
          <w:szCs w:val="16"/>
        </w:rPr>
        <w:t>o </w:t>
      </w:r>
      <w:r w:rsidRPr="00813E8A">
        <w:rPr>
          <w:color w:val="0D0D0D" w:themeColor="text1" w:themeTint="F2"/>
          <w:spacing w:val="-4"/>
          <w:sz w:val="16"/>
          <w:szCs w:val="16"/>
        </w:rPr>
        <w:t>náhradu části mezd a</w:t>
      </w:r>
      <w:r>
        <w:rPr>
          <w:color w:val="0D0D0D" w:themeColor="text1" w:themeTint="F2"/>
          <w:spacing w:val="-4"/>
          <w:sz w:val="16"/>
          <w:szCs w:val="16"/>
        </w:rPr>
        <w:t> </w:t>
      </w:r>
      <w:r w:rsidRPr="00813E8A">
        <w:rPr>
          <w:color w:val="0D0D0D" w:themeColor="text1" w:themeTint="F2"/>
          <w:spacing w:val="-4"/>
          <w:sz w:val="16"/>
          <w:szCs w:val="16"/>
        </w:rPr>
        <w:t>povinných odvodů v rámci programu Antivirus A, A+ a</w:t>
      </w:r>
      <w:r>
        <w:rPr>
          <w:color w:val="0D0D0D" w:themeColor="text1" w:themeTint="F2"/>
          <w:spacing w:val="-4"/>
          <w:sz w:val="16"/>
          <w:szCs w:val="16"/>
        </w:rPr>
        <w:t> </w:t>
      </w:r>
      <w:r w:rsidRPr="00813E8A">
        <w:rPr>
          <w:color w:val="0D0D0D" w:themeColor="text1" w:themeTint="F2"/>
          <w:spacing w:val="-4"/>
          <w:sz w:val="16"/>
          <w:szCs w:val="16"/>
        </w:rPr>
        <w:t>B</w:t>
      </w:r>
      <w:r>
        <w:rPr>
          <w:color w:val="0D0D0D" w:themeColor="text1" w:themeTint="F2"/>
          <w:spacing w:val="-4"/>
          <w:sz w:val="16"/>
          <w:szCs w:val="16"/>
        </w:rPr>
        <w:t xml:space="preserve"> (v 1. pololetí 2021 vyplaceno ze SR 24,0</w:t>
      </w:r>
      <w:r w:rsidRPr="00813E8A">
        <w:rPr>
          <w:color w:val="0D0D0D" w:themeColor="text1" w:themeTint="F2"/>
          <w:spacing w:val="-4"/>
          <w:sz w:val="16"/>
          <w:szCs w:val="16"/>
        </w:rPr>
        <w:t> mld.</w:t>
      </w:r>
      <w:r>
        <w:rPr>
          <w:color w:val="0D0D0D" w:themeColor="text1" w:themeTint="F2"/>
          <w:spacing w:val="-4"/>
          <w:sz w:val="16"/>
          <w:szCs w:val="16"/>
        </w:rPr>
        <w:t xml:space="preserve"> korun</w:t>
      </w:r>
      <w:r w:rsidRPr="00813E8A">
        <w:rPr>
          <w:color w:val="0D0D0D" w:themeColor="text1" w:themeTint="F2"/>
          <w:spacing w:val="-4"/>
          <w:sz w:val="16"/>
          <w:szCs w:val="16"/>
        </w:rPr>
        <w:t>), speciální programy na přímou podporu zasažených sektorů ekonomiky, např. v oblasti pohostinství, cestovního ruchu, kultury, vzdělávání, sportu, zemědělství a</w:t>
      </w:r>
      <w:r>
        <w:rPr>
          <w:color w:val="0D0D0D" w:themeColor="text1" w:themeTint="F2"/>
          <w:spacing w:val="-4"/>
          <w:sz w:val="16"/>
          <w:szCs w:val="16"/>
        </w:rPr>
        <w:t> </w:t>
      </w:r>
      <w:r w:rsidRPr="00813E8A">
        <w:rPr>
          <w:color w:val="0D0D0D" w:themeColor="text1" w:themeTint="F2"/>
          <w:spacing w:val="-4"/>
          <w:sz w:val="16"/>
          <w:szCs w:val="16"/>
        </w:rPr>
        <w:t>potravinářství (v</w:t>
      </w:r>
      <w:r>
        <w:rPr>
          <w:color w:val="0D0D0D" w:themeColor="text1" w:themeTint="F2"/>
          <w:spacing w:val="-4"/>
          <w:sz w:val="16"/>
          <w:szCs w:val="16"/>
        </w:rPr>
        <w:t>četně programů</w:t>
      </w:r>
      <w:r w:rsidRPr="00813E8A">
        <w:rPr>
          <w:color w:val="0D0D0D" w:themeColor="text1" w:themeTint="F2"/>
          <w:spacing w:val="-4"/>
          <w:sz w:val="16"/>
          <w:szCs w:val="16"/>
        </w:rPr>
        <w:t xml:space="preserve"> CO</w:t>
      </w:r>
      <w:r>
        <w:rPr>
          <w:color w:val="0D0D0D" w:themeColor="text1" w:themeTint="F2"/>
          <w:spacing w:val="-4"/>
          <w:sz w:val="16"/>
          <w:szCs w:val="16"/>
        </w:rPr>
        <w:t xml:space="preserve">VID Nájemné, </w:t>
      </w:r>
      <w:r w:rsidRPr="00813E8A">
        <w:rPr>
          <w:color w:val="0D0D0D" w:themeColor="text1" w:themeTint="F2"/>
          <w:spacing w:val="-4"/>
          <w:sz w:val="16"/>
          <w:szCs w:val="16"/>
        </w:rPr>
        <w:t>CO</w:t>
      </w:r>
      <w:r>
        <w:rPr>
          <w:color w:val="0D0D0D" w:themeColor="text1" w:themeTint="F2"/>
          <w:spacing w:val="-4"/>
          <w:sz w:val="16"/>
          <w:szCs w:val="16"/>
        </w:rPr>
        <w:t>VID</w:t>
      </w:r>
      <w:r w:rsidRPr="009263AE">
        <w:rPr>
          <w:color w:val="0D0D0D" w:themeColor="text1" w:themeTint="F2"/>
          <w:spacing w:val="-4"/>
          <w:sz w:val="16"/>
          <w:szCs w:val="16"/>
        </w:rPr>
        <w:t xml:space="preserve"> Nepokryté náklady</w:t>
      </w:r>
      <w:r>
        <w:rPr>
          <w:color w:val="0D0D0D" w:themeColor="text1" w:themeTint="F2"/>
          <w:spacing w:val="-4"/>
          <w:sz w:val="16"/>
          <w:szCs w:val="16"/>
        </w:rPr>
        <w:t>) v celkové výši 27,1 mld., </w:t>
      </w:r>
      <w:r w:rsidRPr="00813E8A">
        <w:rPr>
          <w:color w:val="0D0D0D" w:themeColor="text1" w:themeTint="F2"/>
          <w:spacing w:val="-4"/>
          <w:sz w:val="16"/>
          <w:szCs w:val="16"/>
        </w:rPr>
        <w:t>dále o</w:t>
      </w:r>
      <w:r>
        <w:rPr>
          <w:color w:val="0D0D0D" w:themeColor="text1" w:themeTint="F2"/>
          <w:spacing w:val="-4"/>
          <w:sz w:val="16"/>
          <w:szCs w:val="16"/>
        </w:rPr>
        <w:t> </w:t>
      </w:r>
      <w:r w:rsidRPr="00813E8A">
        <w:rPr>
          <w:color w:val="0D0D0D" w:themeColor="text1" w:themeTint="F2"/>
          <w:spacing w:val="-4"/>
          <w:sz w:val="16"/>
          <w:szCs w:val="16"/>
        </w:rPr>
        <w:t>vyšší výdaje ve zdravotnictví, zejména zvýšení platby státu za tzv.</w:t>
      </w:r>
      <w:r>
        <w:rPr>
          <w:color w:val="0D0D0D" w:themeColor="text1" w:themeTint="F2"/>
          <w:spacing w:val="-4"/>
          <w:sz w:val="16"/>
          <w:szCs w:val="16"/>
        </w:rPr>
        <w:t> státního pojištěnce (25,1 mld.</w:t>
      </w:r>
      <w:r w:rsidRPr="00813E8A">
        <w:rPr>
          <w:color w:val="0D0D0D" w:themeColor="text1" w:themeTint="F2"/>
          <w:spacing w:val="-4"/>
          <w:sz w:val="16"/>
          <w:szCs w:val="16"/>
        </w:rPr>
        <w:t>)</w:t>
      </w:r>
      <w:r>
        <w:rPr>
          <w:color w:val="0D0D0D" w:themeColor="text1" w:themeTint="F2"/>
          <w:spacing w:val="-4"/>
          <w:sz w:val="16"/>
          <w:szCs w:val="16"/>
        </w:rPr>
        <w:t>, z</w:t>
      </w:r>
      <w:r w:rsidRPr="009263AE">
        <w:rPr>
          <w:color w:val="0D0D0D" w:themeColor="text1" w:themeTint="F2"/>
          <w:spacing w:val="-4"/>
          <w:sz w:val="16"/>
          <w:szCs w:val="16"/>
        </w:rPr>
        <w:t>výšené osobní náklady pracovníků ve zdravotnictví a</w:t>
      </w:r>
      <w:r>
        <w:rPr>
          <w:color w:val="0D0D0D" w:themeColor="text1" w:themeTint="F2"/>
          <w:spacing w:val="-4"/>
          <w:sz w:val="16"/>
          <w:szCs w:val="16"/>
        </w:rPr>
        <w:t> </w:t>
      </w:r>
      <w:r w:rsidRPr="009263AE">
        <w:rPr>
          <w:color w:val="0D0D0D" w:themeColor="text1" w:themeTint="F2"/>
          <w:spacing w:val="-4"/>
          <w:sz w:val="16"/>
          <w:szCs w:val="16"/>
        </w:rPr>
        <w:t>sociálních službách</w:t>
      </w:r>
      <w:r>
        <w:rPr>
          <w:color w:val="0D0D0D" w:themeColor="text1" w:themeTint="F2"/>
          <w:spacing w:val="-4"/>
          <w:sz w:val="16"/>
          <w:szCs w:val="16"/>
        </w:rPr>
        <w:t xml:space="preserve"> (16,3 mld.),</w:t>
      </w:r>
      <w:r w:rsidRPr="00813E8A">
        <w:rPr>
          <w:color w:val="0D0D0D" w:themeColor="text1" w:themeTint="F2"/>
          <w:spacing w:val="-4"/>
          <w:sz w:val="16"/>
          <w:szCs w:val="16"/>
        </w:rPr>
        <w:t xml:space="preserve"> n</w:t>
      </w:r>
      <w:r>
        <w:rPr>
          <w:color w:val="0D0D0D" w:themeColor="text1" w:themeTint="F2"/>
          <w:spacing w:val="-4"/>
          <w:sz w:val="16"/>
          <w:szCs w:val="16"/>
        </w:rPr>
        <w:t>ákupy ochranných prostředků (3,1 mld.) a konečně i zvýšené výdaje na některé sociální dávky – ošetřovné,</w:t>
      </w:r>
      <w:r w:rsidRPr="002B0A36">
        <w:t xml:space="preserve"> </w:t>
      </w:r>
      <w:r>
        <w:rPr>
          <w:color w:val="0D0D0D" w:themeColor="text1" w:themeTint="F2"/>
          <w:spacing w:val="-4"/>
          <w:sz w:val="16"/>
          <w:szCs w:val="16"/>
        </w:rPr>
        <w:t>m</w:t>
      </w:r>
      <w:r w:rsidRPr="002B0A36">
        <w:rPr>
          <w:color w:val="0D0D0D" w:themeColor="text1" w:themeTint="F2"/>
          <w:spacing w:val="-4"/>
          <w:sz w:val="16"/>
          <w:szCs w:val="16"/>
        </w:rPr>
        <w:t>imořádný příspě</w:t>
      </w:r>
      <w:r>
        <w:rPr>
          <w:color w:val="0D0D0D" w:themeColor="text1" w:themeTint="F2"/>
          <w:spacing w:val="-4"/>
          <w:sz w:val="16"/>
          <w:szCs w:val="16"/>
        </w:rPr>
        <w:t xml:space="preserve">vek pro zaměstnance v karanténě či </w:t>
      </w:r>
      <w:r w:rsidRPr="002B0A36">
        <w:rPr>
          <w:color w:val="0D0D0D" w:themeColor="text1" w:themeTint="F2"/>
          <w:spacing w:val="-4"/>
          <w:sz w:val="16"/>
          <w:szCs w:val="16"/>
        </w:rPr>
        <w:t>izolaci</w:t>
      </w:r>
      <w:r>
        <w:rPr>
          <w:color w:val="0D0D0D" w:themeColor="text1" w:themeTint="F2"/>
          <w:spacing w:val="-4"/>
          <w:sz w:val="16"/>
          <w:szCs w:val="16"/>
        </w:rPr>
        <w:t xml:space="preserve"> (5,1 mld.).</w:t>
      </w:r>
      <w:r w:rsidRPr="00813E8A">
        <w:rPr>
          <w:color w:val="0D0D0D" w:themeColor="text1" w:themeTint="F2"/>
          <w:spacing w:val="-4"/>
          <w:sz w:val="16"/>
          <w:szCs w:val="16"/>
        </w:rPr>
        <w:t xml:space="preserve"> </w:t>
      </w:r>
      <w:r>
        <w:rPr>
          <w:color w:val="0D0D0D" w:themeColor="text1" w:themeTint="F2"/>
          <w:spacing w:val="-4"/>
          <w:sz w:val="16"/>
          <w:szCs w:val="16"/>
        </w:rPr>
        <w:t>Většina z výše uvedených výdajů ve srovnání s 1. pololetím 2020 významně narostla, výjimkou byly ošetřovné, nákupy ochranných pomůcek a oddlužení nemocnic.</w:t>
      </w:r>
    </w:p>
  </w:footnote>
  <w:footnote w:id="80">
    <w:p w14:paraId="1B4900EB" w14:textId="77777777" w:rsidR="00C872AA" w:rsidRPr="00813E8A" w:rsidRDefault="00C872AA" w:rsidP="00BB50C0">
      <w:pPr>
        <w:pStyle w:val="Textpoznpodarou"/>
        <w:rPr>
          <w:spacing w:val="-2"/>
          <w:sz w:val="16"/>
          <w:szCs w:val="16"/>
        </w:rPr>
      </w:pPr>
      <w:r w:rsidRPr="00813E8A">
        <w:rPr>
          <w:rStyle w:val="Znakapoznpodarou"/>
          <w:spacing w:val="-2"/>
          <w:sz w:val="16"/>
          <w:szCs w:val="16"/>
        </w:rPr>
        <w:footnoteRef/>
      </w:r>
      <w:r w:rsidRPr="00813E8A">
        <w:rPr>
          <w:spacing w:val="-2"/>
          <w:sz w:val="16"/>
          <w:szCs w:val="16"/>
        </w:rPr>
        <w:t xml:space="preserve"> Odráží schválený </w:t>
      </w:r>
      <w:r>
        <w:rPr>
          <w:spacing w:val="-2"/>
          <w:sz w:val="16"/>
          <w:szCs w:val="16"/>
        </w:rPr>
        <w:t xml:space="preserve">letošní </w:t>
      </w:r>
      <w:r w:rsidRPr="00813E8A">
        <w:rPr>
          <w:spacing w:val="-2"/>
          <w:sz w:val="16"/>
          <w:szCs w:val="16"/>
        </w:rPr>
        <w:t>meziroční nárůst u</w:t>
      </w:r>
      <w:r>
        <w:rPr>
          <w:spacing w:val="-2"/>
          <w:sz w:val="16"/>
          <w:szCs w:val="16"/>
        </w:rPr>
        <w:t> </w:t>
      </w:r>
      <w:r w:rsidRPr="00813E8A">
        <w:rPr>
          <w:spacing w:val="-2"/>
          <w:sz w:val="16"/>
          <w:szCs w:val="16"/>
        </w:rPr>
        <w:t>pedagogických i</w:t>
      </w:r>
      <w:r>
        <w:rPr>
          <w:spacing w:val="-2"/>
          <w:sz w:val="16"/>
          <w:szCs w:val="16"/>
        </w:rPr>
        <w:t> </w:t>
      </w:r>
      <w:r w:rsidRPr="00813E8A">
        <w:rPr>
          <w:spacing w:val="-2"/>
          <w:sz w:val="16"/>
          <w:szCs w:val="16"/>
        </w:rPr>
        <w:t>nepedagogických pracovníků (o</w:t>
      </w:r>
      <w:r>
        <w:rPr>
          <w:spacing w:val="-2"/>
          <w:sz w:val="16"/>
          <w:szCs w:val="16"/>
        </w:rPr>
        <w:t> </w:t>
      </w:r>
      <w:r w:rsidRPr="00813E8A">
        <w:rPr>
          <w:spacing w:val="-2"/>
          <w:sz w:val="16"/>
          <w:szCs w:val="16"/>
        </w:rPr>
        <w:t>9</w:t>
      </w:r>
      <w:r>
        <w:rPr>
          <w:spacing w:val="-2"/>
          <w:sz w:val="16"/>
          <w:szCs w:val="16"/>
        </w:rPr>
        <w:t> %</w:t>
      </w:r>
      <w:r w:rsidRPr="00813E8A">
        <w:rPr>
          <w:spacing w:val="-2"/>
          <w:sz w:val="16"/>
          <w:szCs w:val="16"/>
        </w:rPr>
        <w:t>, resp. 4,3</w:t>
      </w:r>
      <w:r>
        <w:rPr>
          <w:spacing w:val="-2"/>
          <w:sz w:val="16"/>
          <w:szCs w:val="16"/>
        </w:rPr>
        <w:t> %</w:t>
      </w:r>
      <w:r w:rsidRPr="00813E8A">
        <w:rPr>
          <w:spacing w:val="-2"/>
          <w:sz w:val="16"/>
          <w:szCs w:val="16"/>
        </w:rPr>
        <w:t>).</w:t>
      </w:r>
    </w:p>
  </w:footnote>
  <w:footnote w:id="81">
    <w:p w14:paraId="5AB4EC7E" w14:textId="77777777" w:rsidR="00C872AA" w:rsidRPr="00D671AC" w:rsidRDefault="00C872AA" w:rsidP="00BB50C0">
      <w:pPr>
        <w:pStyle w:val="Textpoznpodarou"/>
        <w:rPr>
          <w:sz w:val="16"/>
          <w:szCs w:val="16"/>
        </w:rPr>
      </w:pPr>
      <w:r w:rsidRPr="00813E8A">
        <w:rPr>
          <w:rStyle w:val="Znakapoznpodarou"/>
          <w:spacing w:val="-2"/>
          <w:sz w:val="16"/>
          <w:szCs w:val="16"/>
        </w:rPr>
        <w:footnoteRef/>
      </w:r>
      <w:r w:rsidRPr="00813E8A">
        <w:rPr>
          <w:spacing w:val="-2"/>
          <w:sz w:val="16"/>
          <w:szCs w:val="16"/>
        </w:rPr>
        <w:t xml:space="preserve"> Nezahrnuje výdaje na obsluhu státního dluhu.</w:t>
      </w:r>
    </w:p>
  </w:footnote>
  <w:footnote w:id="82">
    <w:p w14:paraId="69E195A8" w14:textId="77777777" w:rsidR="00C872AA" w:rsidRPr="00FA3B92" w:rsidRDefault="00C872AA" w:rsidP="00BB50C0">
      <w:pPr>
        <w:pStyle w:val="Textpoznpodarou"/>
        <w:rPr>
          <w:sz w:val="16"/>
          <w:szCs w:val="16"/>
        </w:rPr>
      </w:pPr>
      <w:r w:rsidRPr="00FA3B92">
        <w:rPr>
          <w:rStyle w:val="Znakapoznpodarou"/>
          <w:sz w:val="16"/>
          <w:szCs w:val="16"/>
        </w:rPr>
        <w:footnoteRef/>
      </w:r>
      <w:r w:rsidRPr="00FA3B92">
        <w:rPr>
          <w:sz w:val="16"/>
          <w:szCs w:val="16"/>
        </w:rPr>
        <w:t xml:space="preserve"> </w:t>
      </w:r>
      <w:r w:rsidRPr="00FA3B92">
        <w:rPr>
          <w:spacing w:val="-5"/>
          <w:sz w:val="16"/>
          <w:szCs w:val="16"/>
        </w:rPr>
        <w:t>Podíl sociálních dávek na všech výdajích SR se v rámci 1.</w:t>
      </w:r>
      <w:r>
        <w:rPr>
          <w:spacing w:val="-5"/>
          <w:sz w:val="16"/>
          <w:szCs w:val="16"/>
        </w:rPr>
        <w:t> pololetí snižoval počtvrté v řadě (na 36,0 %, minimum v desetileté srovnatelné řadě).</w:t>
      </w:r>
    </w:p>
  </w:footnote>
  <w:footnote w:id="83">
    <w:p w14:paraId="0E373FDA" w14:textId="77777777" w:rsidR="00C872AA" w:rsidRPr="00BB50C0" w:rsidRDefault="00C872AA" w:rsidP="00BB50C0">
      <w:pPr>
        <w:pStyle w:val="Textpoznpodarou"/>
        <w:rPr>
          <w:spacing w:val="-4"/>
          <w:sz w:val="16"/>
          <w:szCs w:val="16"/>
        </w:rPr>
      </w:pPr>
      <w:r w:rsidRPr="00BB50C0">
        <w:rPr>
          <w:rStyle w:val="Znakapoznpodarou"/>
          <w:spacing w:val="-4"/>
          <w:sz w:val="16"/>
          <w:szCs w:val="16"/>
        </w:rPr>
        <w:footnoteRef/>
      </w:r>
      <w:r w:rsidRPr="00BB50C0">
        <w:rPr>
          <w:spacing w:val="-4"/>
          <w:sz w:val="16"/>
          <w:szCs w:val="16"/>
        </w:rPr>
        <w:t xml:space="preserve"> Na nedůchodové dávky putovalo ze SR 84,2 mld. korun. Proti </w:t>
      </w:r>
      <w:proofErr w:type="spellStart"/>
      <w:r w:rsidRPr="00BB50C0">
        <w:rPr>
          <w:spacing w:val="-4"/>
          <w:sz w:val="16"/>
          <w:szCs w:val="16"/>
        </w:rPr>
        <w:t>předpandemické</w:t>
      </w:r>
      <w:proofErr w:type="spellEnd"/>
      <w:r w:rsidRPr="00BB50C0">
        <w:rPr>
          <w:spacing w:val="-4"/>
          <w:sz w:val="16"/>
          <w:szCs w:val="16"/>
        </w:rPr>
        <w:t xml:space="preserve"> úrovni (1. pololetí 2019) to</w:t>
      </w:r>
      <w:r w:rsidRPr="00BB50C0">
        <w:rPr>
          <w:rFonts w:cs="Arial"/>
          <w:color w:val="000000" w:themeColor="text1"/>
          <w:spacing w:val="-4"/>
          <w:sz w:val="16"/>
          <w:szCs w:val="16"/>
        </w:rPr>
        <w:t xml:space="preserve"> ale </w:t>
      </w:r>
      <w:r w:rsidRPr="00BB50C0">
        <w:rPr>
          <w:spacing w:val="-4"/>
          <w:sz w:val="16"/>
          <w:szCs w:val="16"/>
        </w:rPr>
        <w:t>bylo o 19,4 mld. korun více.</w:t>
      </w:r>
    </w:p>
  </w:footnote>
  <w:footnote w:id="84">
    <w:p w14:paraId="78993E4C" w14:textId="77777777" w:rsidR="00C872AA" w:rsidRPr="007C28F4" w:rsidRDefault="00C872AA" w:rsidP="00BB50C0">
      <w:pPr>
        <w:pStyle w:val="Textpoznpodarou"/>
        <w:rPr>
          <w:sz w:val="16"/>
          <w:szCs w:val="16"/>
        </w:rPr>
      </w:pPr>
      <w:r w:rsidRPr="007C28F4">
        <w:rPr>
          <w:rStyle w:val="Znakapoznpodarou"/>
          <w:sz w:val="16"/>
          <w:szCs w:val="16"/>
        </w:rPr>
        <w:footnoteRef/>
      </w:r>
      <w:r w:rsidRPr="007C28F4">
        <w:rPr>
          <w:sz w:val="16"/>
          <w:szCs w:val="16"/>
        </w:rPr>
        <w:t xml:space="preserve"> </w:t>
      </w:r>
      <w:r w:rsidRPr="007C28F4">
        <w:rPr>
          <w:spacing w:val="-6"/>
          <w:sz w:val="16"/>
          <w:szCs w:val="16"/>
        </w:rPr>
        <w:t>Ty přitom byly v letech 2015 až 2020 hlavním tahounem růstu nedůchodových dávek.</w:t>
      </w:r>
    </w:p>
  </w:footnote>
  <w:footnote w:id="85">
    <w:p w14:paraId="29F7DAFA" w14:textId="77777777" w:rsidR="00C872AA" w:rsidRPr="008643BE" w:rsidRDefault="00C872AA" w:rsidP="00BB50C0">
      <w:pPr>
        <w:pStyle w:val="Textpoznpodarou"/>
        <w:rPr>
          <w:sz w:val="16"/>
          <w:szCs w:val="16"/>
        </w:rPr>
      </w:pPr>
      <w:r w:rsidRPr="008643BE">
        <w:rPr>
          <w:rStyle w:val="Znakapoznpodarou"/>
          <w:sz w:val="16"/>
          <w:szCs w:val="16"/>
        </w:rPr>
        <w:footnoteRef/>
      </w:r>
      <w:r w:rsidRPr="008643BE">
        <w:rPr>
          <w:sz w:val="16"/>
          <w:szCs w:val="16"/>
        </w:rPr>
        <w:t xml:space="preserve"> Čerpání dávek předtím naposledy </w:t>
      </w:r>
      <w:r>
        <w:rPr>
          <w:sz w:val="16"/>
          <w:szCs w:val="16"/>
        </w:rPr>
        <w:t xml:space="preserve">meziročně </w:t>
      </w:r>
      <w:r w:rsidRPr="008643BE">
        <w:rPr>
          <w:sz w:val="16"/>
          <w:szCs w:val="16"/>
        </w:rPr>
        <w:t>kleslo v srpnu 2018. Až do loňského nástupu pandemie</w:t>
      </w:r>
      <w:r>
        <w:rPr>
          <w:sz w:val="16"/>
          <w:szCs w:val="16"/>
        </w:rPr>
        <w:t xml:space="preserve"> však nebyl jejich růst</w:t>
      </w:r>
      <w:r w:rsidRPr="008643BE">
        <w:rPr>
          <w:sz w:val="16"/>
          <w:szCs w:val="16"/>
        </w:rPr>
        <w:t xml:space="preserve"> doprovázen významnějším navýšením míry nezaměstnanosti</w:t>
      </w:r>
      <w:r>
        <w:rPr>
          <w:sz w:val="16"/>
          <w:szCs w:val="16"/>
        </w:rPr>
        <w:t>,</w:t>
      </w:r>
      <w:r w:rsidRPr="008643BE">
        <w:rPr>
          <w:sz w:val="16"/>
          <w:szCs w:val="16"/>
        </w:rPr>
        <w:t xml:space="preserve"> a</w:t>
      </w:r>
      <w:r>
        <w:rPr>
          <w:sz w:val="16"/>
          <w:szCs w:val="16"/>
        </w:rPr>
        <w:t> </w:t>
      </w:r>
      <w:r w:rsidRPr="008643BE">
        <w:rPr>
          <w:sz w:val="16"/>
          <w:szCs w:val="16"/>
        </w:rPr>
        <w:t xml:space="preserve">odrážel tak primárně </w:t>
      </w:r>
      <w:r>
        <w:rPr>
          <w:sz w:val="16"/>
          <w:szCs w:val="16"/>
        </w:rPr>
        <w:t xml:space="preserve">posilování průměrné mzdy </w:t>
      </w:r>
      <w:r w:rsidRPr="008643BE">
        <w:rPr>
          <w:sz w:val="16"/>
          <w:szCs w:val="16"/>
        </w:rPr>
        <w:t>v ekonomice.</w:t>
      </w:r>
    </w:p>
  </w:footnote>
  <w:footnote w:id="86">
    <w:p w14:paraId="24987BEB" w14:textId="77777777" w:rsidR="00C872AA" w:rsidRPr="00813E8A" w:rsidRDefault="00C872AA" w:rsidP="00BB50C0">
      <w:pPr>
        <w:pStyle w:val="Textpoznpodarou"/>
        <w:rPr>
          <w:spacing w:val="-4"/>
          <w:sz w:val="16"/>
          <w:szCs w:val="16"/>
        </w:rPr>
      </w:pPr>
      <w:r w:rsidRPr="00813E8A">
        <w:rPr>
          <w:rStyle w:val="Znakapoznpodarou"/>
          <w:spacing w:val="-4"/>
          <w:sz w:val="16"/>
          <w:szCs w:val="16"/>
        </w:rPr>
        <w:footnoteRef/>
      </w:r>
      <w:r w:rsidRPr="00813E8A">
        <w:rPr>
          <w:spacing w:val="-4"/>
          <w:sz w:val="16"/>
          <w:szCs w:val="16"/>
        </w:rPr>
        <w:t xml:space="preserve"> Objem vybraného pojistného </w:t>
      </w:r>
      <w:r>
        <w:rPr>
          <w:spacing w:val="-4"/>
          <w:sz w:val="16"/>
          <w:szCs w:val="16"/>
        </w:rPr>
        <w:t>byl v 1. loňském pololetí</w:t>
      </w:r>
      <w:r w:rsidRPr="00813E8A">
        <w:rPr>
          <w:spacing w:val="-4"/>
          <w:sz w:val="16"/>
          <w:szCs w:val="16"/>
        </w:rPr>
        <w:t xml:space="preserve"> negativně poznamenán zrušením minimálních záloh pro osoby samostatně výdělečně činné a</w:t>
      </w:r>
      <w:r>
        <w:rPr>
          <w:spacing w:val="-4"/>
          <w:sz w:val="16"/>
          <w:szCs w:val="16"/>
        </w:rPr>
        <w:t> </w:t>
      </w:r>
      <w:r w:rsidRPr="00813E8A">
        <w:rPr>
          <w:spacing w:val="-4"/>
          <w:sz w:val="16"/>
          <w:szCs w:val="16"/>
        </w:rPr>
        <w:t>též prominutím pojistného placeného zaměstnavatelem (program Antivirus</w:t>
      </w:r>
      <w:r>
        <w:rPr>
          <w:spacing w:val="-4"/>
          <w:sz w:val="16"/>
          <w:szCs w:val="16"/>
        </w:rPr>
        <w:t> </w:t>
      </w:r>
      <w:r w:rsidRPr="00813E8A">
        <w:rPr>
          <w:spacing w:val="-4"/>
          <w:sz w:val="16"/>
          <w:szCs w:val="16"/>
        </w:rPr>
        <w:t>C).</w:t>
      </w:r>
    </w:p>
  </w:footnote>
  <w:footnote w:id="87">
    <w:p w14:paraId="08D6AAB6" w14:textId="77777777" w:rsidR="00C872AA" w:rsidRPr="00EC2E06" w:rsidRDefault="00C872AA" w:rsidP="00BB50C0">
      <w:pPr>
        <w:pStyle w:val="Textpoznpodarou"/>
        <w:jc w:val="both"/>
        <w:rPr>
          <w:spacing w:val="-4"/>
        </w:rPr>
      </w:pPr>
      <w:r w:rsidRPr="00EC2E06">
        <w:rPr>
          <w:rStyle w:val="Znakapoznpodarou"/>
          <w:spacing w:val="-4"/>
          <w:sz w:val="16"/>
          <w:szCs w:val="16"/>
        </w:rPr>
        <w:footnoteRef/>
      </w:r>
      <w:r w:rsidRPr="00EC2E06">
        <w:rPr>
          <w:spacing w:val="-4"/>
          <w:sz w:val="16"/>
          <w:szCs w:val="16"/>
        </w:rPr>
        <w:t xml:space="preserve"> Je vyjádřeno </w:t>
      </w:r>
      <w:r w:rsidRPr="00EC2E06">
        <w:rPr>
          <w:rFonts w:cs="Arial"/>
          <w:color w:val="000000" w:themeColor="text1"/>
          <w:spacing w:val="-4"/>
          <w:sz w:val="16"/>
          <w:szCs w:val="16"/>
        </w:rPr>
        <w:t xml:space="preserve">rozdílem mezi příjmy a výdaji na důchody ze SR. Ve výdajích nejsou zahrnuty náklady na správu systému důchodového </w:t>
      </w:r>
      <w:r w:rsidRPr="00EC2E06">
        <w:rPr>
          <w:rFonts w:cs="Arial"/>
          <w:color w:val="0D0D0D" w:themeColor="text1" w:themeTint="F2"/>
          <w:spacing w:val="-4"/>
          <w:sz w:val="16"/>
          <w:szCs w:val="16"/>
        </w:rPr>
        <w:t>pojištění.</w:t>
      </w:r>
    </w:p>
  </w:footnote>
  <w:footnote w:id="88">
    <w:p w14:paraId="2E5FAE68" w14:textId="77777777" w:rsidR="00C872AA" w:rsidRPr="00717B30" w:rsidRDefault="00C872AA" w:rsidP="00BB50C0">
      <w:pPr>
        <w:pStyle w:val="Textpoznpodarou"/>
        <w:rPr>
          <w:sz w:val="16"/>
          <w:szCs w:val="16"/>
        </w:rPr>
      </w:pPr>
      <w:r w:rsidRPr="007E5ABB">
        <w:rPr>
          <w:rStyle w:val="Znakapoznpodarou"/>
          <w:sz w:val="16"/>
          <w:szCs w:val="16"/>
        </w:rPr>
        <w:footnoteRef/>
      </w:r>
      <w:r w:rsidRPr="007E5ABB">
        <w:rPr>
          <w:sz w:val="16"/>
          <w:szCs w:val="16"/>
        </w:rPr>
        <w:t xml:space="preserve"> V 1.</w:t>
      </w:r>
      <w:r>
        <w:rPr>
          <w:sz w:val="16"/>
          <w:szCs w:val="16"/>
        </w:rPr>
        <w:t> pololet</w:t>
      </w:r>
      <w:r w:rsidRPr="007E5ABB">
        <w:rPr>
          <w:sz w:val="16"/>
          <w:szCs w:val="16"/>
        </w:rPr>
        <w:t>í byly na domácím finančním trhu vydány státní dluhopisy za 390,8</w:t>
      </w:r>
      <w:r>
        <w:rPr>
          <w:sz w:val="16"/>
          <w:szCs w:val="16"/>
        </w:rPr>
        <w:t> mld.</w:t>
      </w:r>
      <w:r w:rsidRPr="007E5ABB">
        <w:rPr>
          <w:sz w:val="16"/>
          <w:szCs w:val="16"/>
        </w:rPr>
        <w:t xml:space="preserve"> korun při průměrném ročním výnosu 1,3 % a době splatnosti 8 let. </w:t>
      </w:r>
      <w:r w:rsidRPr="007E5ABB">
        <w:rPr>
          <w:spacing w:val="-4"/>
          <w:sz w:val="16"/>
          <w:szCs w:val="16"/>
        </w:rPr>
        <w:t>Dluhopisy nejvíce poptávaly domácí banky a</w:t>
      </w:r>
      <w:r>
        <w:rPr>
          <w:spacing w:val="-4"/>
          <w:sz w:val="16"/>
          <w:szCs w:val="16"/>
        </w:rPr>
        <w:t> </w:t>
      </w:r>
      <w:r w:rsidRPr="007E5ABB">
        <w:rPr>
          <w:spacing w:val="-4"/>
          <w:sz w:val="16"/>
          <w:szCs w:val="16"/>
        </w:rPr>
        <w:t>ostatní finanční instituce v</w:t>
      </w:r>
      <w:r>
        <w:rPr>
          <w:spacing w:val="-4"/>
          <w:sz w:val="16"/>
          <w:szCs w:val="16"/>
        </w:rPr>
        <w:t> </w:t>
      </w:r>
      <w:r w:rsidRPr="007E5ABB">
        <w:rPr>
          <w:spacing w:val="-4"/>
          <w:sz w:val="16"/>
          <w:szCs w:val="16"/>
        </w:rPr>
        <w:t>tuzemsku, které tak na konci června 2021 držely již 64 % z celkových domácích státních dluhopisů. Na nerezidenty připadalo 32 %, meziročně o 3 </w:t>
      </w:r>
      <w:proofErr w:type="gramStart"/>
      <w:r w:rsidRPr="007E5ABB">
        <w:rPr>
          <w:spacing w:val="-4"/>
          <w:sz w:val="16"/>
          <w:szCs w:val="16"/>
        </w:rPr>
        <w:t>p. b. a</w:t>
      </w:r>
      <w:r>
        <w:rPr>
          <w:spacing w:val="-4"/>
          <w:sz w:val="16"/>
          <w:szCs w:val="16"/>
        </w:rPr>
        <w:t> </w:t>
      </w:r>
      <w:r w:rsidRPr="007E5ABB">
        <w:rPr>
          <w:spacing w:val="-4"/>
          <w:sz w:val="16"/>
          <w:szCs w:val="16"/>
        </w:rPr>
        <w:t>za</w:t>
      </w:r>
      <w:proofErr w:type="gramEnd"/>
      <w:r w:rsidRPr="007E5ABB">
        <w:rPr>
          <w:spacing w:val="-4"/>
          <w:sz w:val="16"/>
          <w:szCs w:val="16"/>
        </w:rPr>
        <w:t xml:space="preserve"> dva roky dokonce o</w:t>
      </w:r>
      <w:r>
        <w:rPr>
          <w:spacing w:val="-4"/>
          <w:sz w:val="16"/>
          <w:szCs w:val="16"/>
        </w:rPr>
        <w:t> </w:t>
      </w:r>
      <w:r w:rsidRPr="007E5ABB">
        <w:rPr>
          <w:spacing w:val="-4"/>
          <w:sz w:val="16"/>
          <w:szCs w:val="16"/>
        </w:rPr>
        <w:t>10</w:t>
      </w:r>
      <w:r>
        <w:rPr>
          <w:spacing w:val="-4"/>
          <w:sz w:val="16"/>
          <w:szCs w:val="16"/>
        </w:rPr>
        <w:t> p. b.</w:t>
      </w:r>
      <w:r w:rsidRPr="007E5ABB">
        <w:rPr>
          <w:spacing w:val="-4"/>
          <w:sz w:val="16"/>
          <w:szCs w:val="16"/>
        </w:rPr>
        <w:t xml:space="preserve"> méně. Z dalších letos uplatněných dluhových nástrojů nelze opomenout úvěry od Evropské komise (52,3 mld. korun) </w:t>
      </w:r>
      <w:r>
        <w:rPr>
          <w:spacing w:val="-4"/>
          <w:sz w:val="16"/>
          <w:szCs w:val="16"/>
        </w:rPr>
        <w:t>na pomoc ke</w:t>
      </w:r>
      <w:r w:rsidRPr="007E5ABB">
        <w:rPr>
          <w:sz w:val="16"/>
          <w:szCs w:val="16"/>
        </w:rPr>
        <w:t xml:space="preserve"> zmírnění rizik nezaměstnanosti vlivem rozšíření pandemie covidu-19. V</w:t>
      </w:r>
      <w:r w:rsidRPr="007E5ABB">
        <w:rPr>
          <w:spacing w:val="-4"/>
          <w:sz w:val="16"/>
          <w:szCs w:val="16"/>
        </w:rPr>
        <w:t>zrostla i</w:t>
      </w:r>
      <w:r>
        <w:rPr>
          <w:spacing w:val="-4"/>
          <w:sz w:val="16"/>
          <w:szCs w:val="16"/>
        </w:rPr>
        <w:t> </w:t>
      </w:r>
      <w:r w:rsidRPr="007E5ABB">
        <w:rPr>
          <w:spacing w:val="-4"/>
          <w:sz w:val="16"/>
          <w:szCs w:val="16"/>
        </w:rPr>
        <w:t>role krátkodobých zápůjček a</w:t>
      </w:r>
      <w:r>
        <w:rPr>
          <w:spacing w:val="-4"/>
          <w:sz w:val="16"/>
          <w:szCs w:val="16"/>
        </w:rPr>
        <w:t> </w:t>
      </w:r>
      <w:r w:rsidRPr="007E5ABB">
        <w:rPr>
          <w:spacing w:val="-4"/>
          <w:sz w:val="16"/>
          <w:szCs w:val="16"/>
        </w:rPr>
        <w:t>úvěrů k</w:t>
      </w:r>
      <w:r>
        <w:rPr>
          <w:spacing w:val="-4"/>
          <w:sz w:val="16"/>
          <w:szCs w:val="16"/>
        </w:rPr>
        <w:t> </w:t>
      </w:r>
      <w:r w:rsidRPr="007E5ABB">
        <w:rPr>
          <w:spacing w:val="-4"/>
          <w:sz w:val="16"/>
          <w:szCs w:val="16"/>
        </w:rPr>
        <w:t>posílení likvidity státní pokladny</w:t>
      </w:r>
      <w:r w:rsidRPr="00FC5FB7">
        <w:rPr>
          <w:spacing w:val="-4"/>
          <w:sz w:val="16"/>
          <w:szCs w:val="16"/>
        </w:rPr>
        <w:t>.</w:t>
      </w:r>
    </w:p>
  </w:footnote>
  <w:footnote w:id="89">
    <w:p w14:paraId="27B29EA7" w14:textId="77777777" w:rsidR="00C872AA" w:rsidRPr="007D08A9" w:rsidRDefault="00C872AA" w:rsidP="00BB50C0">
      <w:pPr>
        <w:pStyle w:val="Textpoznpodarou"/>
        <w:rPr>
          <w:sz w:val="16"/>
          <w:szCs w:val="16"/>
        </w:rPr>
      </w:pPr>
      <w:r w:rsidRPr="007D08A9">
        <w:rPr>
          <w:rStyle w:val="Znakapoznpodarou"/>
          <w:sz w:val="16"/>
          <w:szCs w:val="16"/>
        </w:rPr>
        <w:footnoteRef/>
      </w:r>
      <w:r w:rsidRPr="007D08A9">
        <w:rPr>
          <w:sz w:val="16"/>
          <w:szCs w:val="16"/>
        </w:rPr>
        <w:t xml:space="preserve"> Odpovídá saldu rozpočtové kapitoly Státní dluh.</w:t>
      </w:r>
    </w:p>
  </w:footnote>
  <w:footnote w:id="90">
    <w:p w14:paraId="0A7D4277" w14:textId="77777777" w:rsidR="00C872AA" w:rsidRPr="00603665" w:rsidRDefault="00C872AA" w:rsidP="00BB50C0">
      <w:pPr>
        <w:pStyle w:val="Textpoznpodarou"/>
        <w:rPr>
          <w:sz w:val="16"/>
          <w:szCs w:val="16"/>
        </w:rPr>
      </w:pPr>
      <w:r w:rsidRPr="008C2F4A">
        <w:rPr>
          <w:rStyle w:val="Znakapoznpodarou"/>
          <w:sz w:val="16"/>
          <w:szCs w:val="16"/>
        </w:rPr>
        <w:footnoteRef/>
      </w:r>
      <w:r w:rsidRPr="008C2F4A">
        <w:rPr>
          <w:sz w:val="16"/>
          <w:szCs w:val="16"/>
        </w:rPr>
        <w:t xml:space="preserve"> </w:t>
      </w:r>
      <w:r>
        <w:rPr>
          <w:sz w:val="16"/>
          <w:szCs w:val="16"/>
        </w:rPr>
        <w:t>Údaje o hospodaření vládních institucí za 2. čtvrtletí 2021 zveřejní ČSÚ 1. října 2021. Detailnější zhodnocení vývoje za 1. čtvrtletí je obsaženo v publikaci Analýza sektorových účtů:</w:t>
      </w:r>
      <w:r w:rsidRPr="00603665">
        <w:t xml:space="preserve"> </w:t>
      </w:r>
      <w:hyperlink r:id="rId1" w:history="1">
        <w:r w:rsidRPr="003B540A">
          <w:rPr>
            <w:rStyle w:val="Hypertextovodkaz"/>
            <w:sz w:val="16"/>
            <w:szCs w:val="16"/>
          </w:rPr>
          <w:t>https://www.czso.cz/csu/czso/cri/analyza-ctvrtletnich-sektorovych-uctu-1-ctvrtleti-2021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C872AA" w:rsidRDefault="00C872AA" w:rsidP="00937AE2">
    <w:pPr>
      <w:pStyle w:val="Zhlav"/>
    </w:pPr>
    <w:r>
      <w:t>Vývoj ekonomiky České republiky</w:t>
    </w:r>
  </w:p>
  <w:p w14:paraId="3E881AB3" w14:textId="77777777" w:rsidR="00C872AA" w:rsidRPr="006F5416" w:rsidRDefault="00C872AA"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C872AA" w:rsidRDefault="00C872AA" w:rsidP="00937AE2">
    <w:pPr>
      <w:pStyle w:val="Zhlav"/>
    </w:pPr>
    <w:r>
      <w:t>Vývoj ekonomiky České republiky</w:t>
    </w:r>
  </w:p>
  <w:p w14:paraId="57266714" w14:textId="77777777" w:rsidR="00C872AA" w:rsidRPr="006F5416" w:rsidRDefault="00C872AA"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75795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70A"/>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29B7"/>
    <w:rsid w:val="0001387D"/>
    <w:rsid w:val="00014ED0"/>
    <w:rsid w:val="00016420"/>
    <w:rsid w:val="00016BDB"/>
    <w:rsid w:val="00017B01"/>
    <w:rsid w:val="000205D1"/>
    <w:rsid w:val="00020F22"/>
    <w:rsid w:val="0002195D"/>
    <w:rsid w:val="00021F9B"/>
    <w:rsid w:val="000228AE"/>
    <w:rsid w:val="000233D1"/>
    <w:rsid w:val="000234D6"/>
    <w:rsid w:val="00023D29"/>
    <w:rsid w:val="00024348"/>
    <w:rsid w:val="00026389"/>
    <w:rsid w:val="0002669F"/>
    <w:rsid w:val="000279E5"/>
    <w:rsid w:val="000305E0"/>
    <w:rsid w:val="00031AE0"/>
    <w:rsid w:val="00031BB2"/>
    <w:rsid w:val="000322EF"/>
    <w:rsid w:val="00033FCD"/>
    <w:rsid w:val="000348AF"/>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033F"/>
    <w:rsid w:val="000610E1"/>
    <w:rsid w:val="000616AD"/>
    <w:rsid w:val="000622A6"/>
    <w:rsid w:val="00062EC5"/>
    <w:rsid w:val="00062F22"/>
    <w:rsid w:val="00063975"/>
    <w:rsid w:val="00063CEA"/>
    <w:rsid w:val="0006444D"/>
    <w:rsid w:val="000645FC"/>
    <w:rsid w:val="0006533F"/>
    <w:rsid w:val="00065348"/>
    <w:rsid w:val="0006551C"/>
    <w:rsid w:val="00065A75"/>
    <w:rsid w:val="000663F0"/>
    <w:rsid w:val="00066558"/>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D94"/>
    <w:rsid w:val="000A7377"/>
    <w:rsid w:val="000A74A4"/>
    <w:rsid w:val="000A775A"/>
    <w:rsid w:val="000A7FF4"/>
    <w:rsid w:val="000B03CC"/>
    <w:rsid w:val="000B4212"/>
    <w:rsid w:val="000B67B7"/>
    <w:rsid w:val="000C0CA6"/>
    <w:rsid w:val="000C0EA8"/>
    <w:rsid w:val="000C13A2"/>
    <w:rsid w:val="000C21E7"/>
    <w:rsid w:val="000C23EC"/>
    <w:rsid w:val="000C290E"/>
    <w:rsid w:val="000C30C3"/>
    <w:rsid w:val="000C3408"/>
    <w:rsid w:val="000C35AB"/>
    <w:rsid w:val="000C3F7B"/>
    <w:rsid w:val="000C4769"/>
    <w:rsid w:val="000C4D56"/>
    <w:rsid w:val="000C5DFA"/>
    <w:rsid w:val="000C6AFD"/>
    <w:rsid w:val="000C6C90"/>
    <w:rsid w:val="000C72B7"/>
    <w:rsid w:val="000D0A26"/>
    <w:rsid w:val="000D2196"/>
    <w:rsid w:val="000D3058"/>
    <w:rsid w:val="000D310A"/>
    <w:rsid w:val="000D3EF4"/>
    <w:rsid w:val="000D4DC0"/>
    <w:rsid w:val="000D55BA"/>
    <w:rsid w:val="000D5637"/>
    <w:rsid w:val="000D5A03"/>
    <w:rsid w:val="000D5ED3"/>
    <w:rsid w:val="000D6F4E"/>
    <w:rsid w:val="000D73BB"/>
    <w:rsid w:val="000E0E96"/>
    <w:rsid w:val="000E298B"/>
    <w:rsid w:val="000E2C7D"/>
    <w:rsid w:val="000E3E56"/>
    <w:rsid w:val="000E440D"/>
    <w:rsid w:val="000E4AC5"/>
    <w:rsid w:val="000E6253"/>
    <w:rsid w:val="000E6AC4"/>
    <w:rsid w:val="000E6E4D"/>
    <w:rsid w:val="000E6FBD"/>
    <w:rsid w:val="000E6FCB"/>
    <w:rsid w:val="000F090B"/>
    <w:rsid w:val="000F3F3B"/>
    <w:rsid w:val="000F4721"/>
    <w:rsid w:val="000F47E8"/>
    <w:rsid w:val="000F70E4"/>
    <w:rsid w:val="000F76EA"/>
    <w:rsid w:val="00100A8B"/>
    <w:rsid w:val="00100F5C"/>
    <w:rsid w:val="00101CDA"/>
    <w:rsid w:val="00102037"/>
    <w:rsid w:val="00103DCB"/>
    <w:rsid w:val="00104C4C"/>
    <w:rsid w:val="00105015"/>
    <w:rsid w:val="001055D2"/>
    <w:rsid w:val="001057C2"/>
    <w:rsid w:val="0011038E"/>
    <w:rsid w:val="001125EF"/>
    <w:rsid w:val="00112CAB"/>
    <w:rsid w:val="0011440C"/>
    <w:rsid w:val="00114C33"/>
    <w:rsid w:val="00116D3F"/>
    <w:rsid w:val="00117474"/>
    <w:rsid w:val="00117623"/>
    <w:rsid w:val="00117FEA"/>
    <w:rsid w:val="001200CF"/>
    <w:rsid w:val="001208E3"/>
    <w:rsid w:val="00121609"/>
    <w:rsid w:val="0012192F"/>
    <w:rsid w:val="00122994"/>
    <w:rsid w:val="00123204"/>
    <w:rsid w:val="00124B46"/>
    <w:rsid w:val="001257E0"/>
    <w:rsid w:val="00125D69"/>
    <w:rsid w:val="0012799C"/>
    <w:rsid w:val="00127BC2"/>
    <w:rsid w:val="00127E15"/>
    <w:rsid w:val="00130ADC"/>
    <w:rsid w:val="00130D9F"/>
    <w:rsid w:val="00132C4D"/>
    <w:rsid w:val="00133FC1"/>
    <w:rsid w:val="00134659"/>
    <w:rsid w:val="00136A6F"/>
    <w:rsid w:val="001405FA"/>
    <w:rsid w:val="00140D1A"/>
    <w:rsid w:val="00141184"/>
    <w:rsid w:val="00141315"/>
    <w:rsid w:val="00141AA0"/>
    <w:rsid w:val="001425C3"/>
    <w:rsid w:val="0014262D"/>
    <w:rsid w:val="00142B29"/>
    <w:rsid w:val="00144588"/>
    <w:rsid w:val="001447DD"/>
    <w:rsid w:val="00145358"/>
    <w:rsid w:val="001459BC"/>
    <w:rsid w:val="00152C86"/>
    <w:rsid w:val="00152F4F"/>
    <w:rsid w:val="001544A1"/>
    <w:rsid w:val="001553B8"/>
    <w:rsid w:val="001554C2"/>
    <w:rsid w:val="001571C0"/>
    <w:rsid w:val="0015753D"/>
    <w:rsid w:val="00157CC9"/>
    <w:rsid w:val="00160C21"/>
    <w:rsid w:val="001612F4"/>
    <w:rsid w:val="00161553"/>
    <w:rsid w:val="0016216F"/>
    <w:rsid w:val="0016256B"/>
    <w:rsid w:val="00162F81"/>
    <w:rsid w:val="00163793"/>
    <w:rsid w:val="00164CA1"/>
    <w:rsid w:val="00165313"/>
    <w:rsid w:val="00167485"/>
    <w:rsid w:val="001679F5"/>
    <w:rsid w:val="00167B92"/>
    <w:rsid w:val="00167CB9"/>
    <w:rsid w:val="00167DD8"/>
    <w:rsid w:val="001705AD"/>
    <w:rsid w:val="001706D6"/>
    <w:rsid w:val="001714F2"/>
    <w:rsid w:val="00171FEA"/>
    <w:rsid w:val="00173622"/>
    <w:rsid w:val="00175B9F"/>
    <w:rsid w:val="001762F4"/>
    <w:rsid w:val="00181029"/>
    <w:rsid w:val="00181BBC"/>
    <w:rsid w:val="0018385F"/>
    <w:rsid w:val="00183BC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97D0E"/>
    <w:rsid w:val="001A0487"/>
    <w:rsid w:val="001A0675"/>
    <w:rsid w:val="001A0A37"/>
    <w:rsid w:val="001A1F68"/>
    <w:rsid w:val="001A21FA"/>
    <w:rsid w:val="001A4D7C"/>
    <w:rsid w:val="001A4EF0"/>
    <w:rsid w:val="001A552F"/>
    <w:rsid w:val="001A70B1"/>
    <w:rsid w:val="001B0738"/>
    <w:rsid w:val="001B1235"/>
    <w:rsid w:val="001B2CA9"/>
    <w:rsid w:val="001B3110"/>
    <w:rsid w:val="001B3E38"/>
    <w:rsid w:val="001B40F5"/>
    <w:rsid w:val="001B4729"/>
    <w:rsid w:val="001B4F0E"/>
    <w:rsid w:val="001B5F40"/>
    <w:rsid w:val="001B6310"/>
    <w:rsid w:val="001B6C09"/>
    <w:rsid w:val="001B6E12"/>
    <w:rsid w:val="001C05CD"/>
    <w:rsid w:val="001C082B"/>
    <w:rsid w:val="001C0F17"/>
    <w:rsid w:val="001C1B24"/>
    <w:rsid w:val="001C1B66"/>
    <w:rsid w:val="001C31A2"/>
    <w:rsid w:val="001C351D"/>
    <w:rsid w:val="001C4B8F"/>
    <w:rsid w:val="001C4BB8"/>
    <w:rsid w:val="001C4FD0"/>
    <w:rsid w:val="001C5E46"/>
    <w:rsid w:val="001C6B3B"/>
    <w:rsid w:val="001C7A26"/>
    <w:rsid w:val="001C7E3F"/>
    <w:rsid w:val="001D0EF1"/>
    <w:rsid w:val="001D22C2"/>
    <w:rsid w:val="001D2C99"/>
    <w:rsid w:val="001D452E"/>
    <w:rsid w:val="001D54C1"/>
    <w:rsid w:val="001D556E"/>
    <w:rsid w:val="001D5DF2"/>
    <w:rsid w:val="001D6175"/>
    <w:rsid w:val="001D68B2"/>
    <w:rsid w:val="001D7EFD"/>
    <w:rsid w:val="001D7F60"/>
    <w:rsid w:val="001E085B"/>
    <w:rsid w:val="001E149B"/>
    <w:rsid w:val="001E15CB"/>
    <w:rsid w:val="001E3306"/>
    <w:rsid w:val="001E504C"/>
    <w:rsid w:val="001E5A17"/>
    <w:rsid w:val="001E74C5"/>
    <w:rsid w:val="001F1236"/>
    <w:rsid w:val="001F2F90"/>
    <w:rsid w:val="001F4597"/>
    <w:rsid w:val="001F4826"/>
    <w:rsid w:val="001F59C8"/>
    <w:rsid w:val="001F6CD3"/>
    <w:rsid w:val="001F75DA"/>
    <w:rsid w:val="001F7CE0"/>
    <w:rsid w:val="00200085"/>
    <w:rsid w:val="00203332"/>
    <w:rsid w:val="00203CD5"/>
    <w:rsid w:val="00203D8F"/>
    <w:rsid w:val="00203DA4"/>
    <w:rsid w:val="00204EA6"/>
    <w:rsid w:val="00205186"/>
    <w:rsid w:val="00206516"/>
    <w:rsid w:val="002070CF"/>
    <w:rsid w:val="002071D5"/>
    <w:rsid w:val="002111E5"/>
    <w:rsid w:val="0021149E"/>
    <w:rsid w:val="002118B9"/>
    <w:rsid w:val="00213691"/>
    <w:rsid w:val="002142C0"/>
    <w:rsid w:val="00217C5B"/>
    <w:rsid w:val="00220A43"/>
    <w:rsid w:val="0022139E"/>
    <w:rsid w:val="00222729"/>
    <w:rsid w:val="0022287B"/>
    <w:rsid w:val="002228DB"/>
    <w:rsid w:val="00223185"/>
    <w:rsid w:val="00223264"/>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05FE"/>
    <w:rsid w:val="0026120E"/>
    <w:rsid w:val="002617EE"/>
    <w:rsid w:val="00262582"/>
    <w:rsid w:val="0026291D"/>
    <w:rsid w:val="00262CF3"/>
    <w:rsid w:val="00264309"/>
    <w:rsid w:val="00264992"/>
    <w:rsid w:val="00264B4F"/>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E4C"/>
    <w:rsid w:val="002E4EA7"/>
    <w:rsid w:val="002E5846"/>
    <w:rsid w:val="002E792B"/>
    <w:rsid w:val="002E7AEB"/>
    <w:rsid w:val="002E7B79"/>
    <w:rsid w:val="002F1B09"/>
    <w:rsid w:val="002F1D56"/>
    <w:rsid w:val="002F1DCB"/>
    <w:rsid w:val="002F1DE4"/>
    <w:rsid w:val="002F333D"/>
    <w:rsid w:val="002F351A"/>
    <w:rsid w:val="002F46D6"/>
    <w:rsid w:val="002F498A"/>
    <w:rsid w:val="002F4AD8"/>
    <w:rsid w:val="002F5285"/>
    <w:rsid w:val="002F5820"/>
    <w:rsid w:val="002F64BB"/>
    <w:rsid w:val="002F7D9B"/>
    <w:rsid w:val="00300C31"/>
    <w:rsid w:val="003017EC"/>
    <w:rsid w:val="00302165"/>
    <w:rsid w:val="00303BB4"/>
    <w:rsid w:val="00304771"/>
    <w:rsid w:val="003052D4"/>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47E1"/>
    <w:rsid w:val="00324B59"/>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4F89"/>
    <w:rsid w:val="0035506D"/>
    <w:rsid w:val="0036077F"/>
    <w:rsid w:val="00360C86"/>
    <w:rsid w:val="00360F7A"/>
    <w:rsid w:val="00360FBC"/>
    <w:rsid w:val="00361537"/>
    <w:rsid w:val="00361FB7"/>
    <w:rsid w:val="0036242A"/>
    <w:rsid w:val="00362C23"/>
    <w:rsid w:val="00362DCA"/>
    <w:rsid w:val="00362E90"/>
    <w:rsid w:val="00364FA0"/>
    <w:rsid w:val="003657F3"/>
    <w:rsid w:val="00365844"/>
    <w:rsid w:val="0036624C"/>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6739"/>
    <w:rsid w:val="003978B1"/>
    <w:rsid w:val="003A04F6"/>
    <w:rsid w:val="003A0837"/>
    <w:rsid w:val="003A2B4D"/>
    <w:rsid w:val="003A2D12"/>
    <w:rsid w:val="003A2EBA"/>
    <w:rsid w:val="003A45E3"/>
    <w:rsid w:val="003A46B8"/>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B50"/>
    <w:rsid w:val="003C0B07"/>
    <w:rsid w:val="003C2CE7"/>
    <w:rsid w:val="003C2DB8"/>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E6F84"/>
    <w:rsid w:val="003F313C"/>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23623"/>
    <w:rsid w:val="0042470E"/>
    <w:rsid w:val="00430C96"/>
    <w:rsid w:val="0043174F"/>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86C"/>
    <w:rsid w:val="00457953"/>
    <w:rsid w:val="004604D8"/>
    <w:rsid w:val="00460656"/>
    <w:rsid w:val="00460FB3"/>
    <w:rsid w:val="00463D3C"/>
    <w:rsid w:val="00464851"/>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BAE"/>
    <w:rsid w:val="00480D7F"/>
    <w:rsid w:val="0048139F"/>
    <w:rsid w:val="00481E40"/>
    <w:rsid w:val="00482405"/>
    <w:rsid w:val="004826A7"/>
    <w:rsid w:val="0048368C"/>
    <w:rsid w:val="0048372F"/>
    <w:rsid w:val="00483A0C"/>
    <w:rsid w:val="004841CC"/>
    <w:rsid w:val="00484ECE"/>
    <w:rsid w:val="00485E82"/>
    <w:rsid w:val="00486132"/>
    <w:rsid w:val="0048686D"/>
    <w:rsid w:val="00486A4D"/>
    <w:rsid w:val="004915C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2AB"/>
    <w:rsid w:val="004A5494"/>
    <w:rsid w:val="004A5D4E"/>
    <w:rsid w:val="004A61C5"/>
    <w:rsid w:val="004A62A0"/>
    <w:rsid w:val="004A77DF"/>
    <w:rsid w:val="004B1417"/>
    <w:rsid w:val="004B305C"/>
    <w:rsid w:val="004B31B8"/>
    <w:rsid w:val="004B339A"/>
    <w:rsid w:val="004B4C83"/>
    <w:rsid w:val="004B55B7"/>
    <w:rsid w:val="004B5BFA"/>
    <w:rsid w:val="004B619E"/>
    <w:rsid w:val="004B6468"/>
    <w:rsid w:val="004B6EF8"/>
    <w:rsid w:val="004B7125"/>
    <w:rsid w:val="004B756A"/>
    <w:rsid w:val="004B7FB1"/>
    <w:rsid w:val="004C0B3F"/>
    <w:rsid w:val="004C0F87"/>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425"/>
    <w:rsid w:val="00522E01"/>
    <w:rsid w:val="0052337A"/>
    <w:rsid w:val="00524385"/>
    <w:rsid w:val="005246BE"/>
    <w:rsid w:val="00525137"/>
    <w:rsid w:val="005251DD"/>
    <w:rsid w:val="0052762C"/>
    <w:rsid w:val="0053012B"/>
    <w:rsid w:val="005301A6"/>
    <w:rsid w:val="00530A68"/>
    <w:rsid w:val="00530AD4"/>
    <w:rsid w:val="0053129F"/>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3A3"/>
    <w:rsid w:val="005455F6"/>
    <w:rsid w:val="0054582F"/>
    <w:rsid w:val="00546FC7"/>
    <w:rsid w:val="005500F9"/>
    <w:rsid w:val="00550160"/>
    <w:rsid w:val="005519E2"/>
    <w:rsid w:val="005523A8"/>
    <w:rsid w:val="00552F2C"/>
    <w:rsid w:val="00553A25"/>
    <w:rsid w:val="005547EB"/>
    <w:rsid w:val="00554863"/>
    <w:rsid w:val="005555E0"/>
    <w:rsid w:val="0055599F"/>
    <w:rsid w:val="00556D68"/>
    <w:rsid w:val="0055707B"/>
    <w:rsid w:val="005570D6"/>
    <w:rsid w:val="00557E0E"/>
    <w:rsid w:val="00557E45"/>
    <w:rsid w:val="00560C41"/>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63"/>
    <w:rsid w:val="005A0948"/>
    <w:rsid w:val="005A0A03"/>
    <w:rsid w:val="005A10F2"/>
    <w:rsid w:val="005A16C0"/>
    <w:rsid w:val="005A21E0"/>
    <w:rsid w:val="005A28FF"/>
    <w:rsid w:val="005A2C09"/>
    <w:rsid w:val="005A3778"/>
    <w:rsid w:val="005A37B0"/>
    <w:rsid w:val="005A3DF8"/>
    <w:rsid w:val="005A5549"/>
    <w:rsid w:val="005A566A"/>
    <w:rsid w:val="005A7CF8"/>
    <w:rsid w:val="005B0EDA"/>
    <w:rsid w:val="005B121D"/>
    <w:rsid w:val="005B26B0"/>
    <w:rsid w:val="005B41C9"/>
    <w:rsid w:val="005B44E6"/>
    <w:rsid w:val="005B4853"/>
    <w:rsid w:val="005B6CA1"/>
    <w:rsid w:val="005B770C"/>
    <w:rsid w:val="005C06ED"/>
    <w:rsid w:val="005C0CE1"/>
    <w:rsid w:val="005C11B8"/>
    <w:rsid w:val="005C216C"/>
    <w:rsid w:val="005C2609"/>
    <w:rsid w:val="005C2B30"/>
    <w:rsid w:val="005C412B"/>
    <w:rsid w:val="005C43EC"/>
    <w:rsid w:val="005C45DD"/>
    <w:rsid w:val="005C4704"/>
    <w:rsid w:val="005C4CB1"/>
    <w:rsid w:val="005D3F06"/>
    <w:rsid w:val="005D4B73"/>
    <w:rsid w:val="005D5645"/>
    <w:rsid w:val="005D5802"/>
    <w:rsid w:val="005D5AA9"/>
    <w:rsid w:val="005D66E6"/>
    <w:rsid w:val="005D7119"/>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ADE"/>
    <w:rsid w:val="00601EEF"/>
    <w:rsid w:val="0060255A"/>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6B3"/>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982"/>
    <w:rsid w:val="00665BA4"/>
    <w:rsid w:val="00666BF3"/>
    <w:rsid w:val="00667856"/>
    <w:rsid w:val="00667AF2"/>
    <w:rsid w:val="00670489"/>
    <w:rsid w:val="006710C9"/>
    <w:rsid w:val="00671D85"/>
    <w:rsid w:val="00672586"/>
    <w:rsid w:val="006741CD"/>
    <w:rsid w:val="00674D89"/>
    <w:rsid w:val="0067514E"/>
    <w:rsid w:val="00675E37"/>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114"/>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11F5"/>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EF1"/>
    <w:rsid w:val="00781A91"/>
    <w:rsid w:val="00781AD3"/>
    <w:rsid w:val="00781F36"/>
    <w:rsid w:val="0078357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4B0"/>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B74AA"/>
    <w:rsid w:val="007C10BD"/>
    <w:rsid w:val="007C162D"/>
    <w:rsid w:val="007C1F0C"/>
    <w:rsid w:val="007C1FFB"/>
    <w:rsid w:val="007C2D94"/>
    <w:rsid w:val="007C4A6B"/>
    <w:rsid w:val="007C5F92"/>
    <w:rsid w:val="007C6227"/>
    <w:rsid w:val="007C6BBD"/>
    <w:rsid w:val="007C6D89"/>
    <w:rsid w:val="007C6F5E"/>
    <w:rsid w:val="007D0382"/>
    <w:rsid w:val="007D14FE"/>
    <w:rsid w:val="007D1A1F"/>
    <w:rsid w:val="007D213B"/>
    <w:rsid w:val="007D2E18"/>
    <w:rsid w:val="007D40DF"/>
    <w:rsid w:val="007D42E5"/>
    <w:rsid w:val="007D4458"/>
    <w:rsid w:val="007D6AF9"/>
    <w:rsid w:val="007E0535"/>
    <w:rsid w:val="007E07F2"/>
    <w:rsid w:val="007E0D4A"/>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4BA6"/>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20A8"/>
    <w:rsid w:val="00852217"/>
    <w:rsid w:val="00853282"/>
    <w:rsid w:val="0085334C"/>
    <w:rsid w:val="00854291"/>
    <w:rsid w:val="00855408"/>
    <w:rsid w:val="00855D03"/>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ECD"/>
    <w:rsid w:val="0087347C"/>
    <w:rsid w:val="008734E7"/>
    <w:rsid w:val="0087368D"/>
    <w:rsid w:val="008740CC"/>
    <w:rsid w:val="0087442A"/>
    <w:rsid w:val="00874FE8"/>
    <w:rsid w:val="00875A32"/>
    <w:rsid w:val="00876086"/>
    <w:rsid w:val="00876651"/>
    <w:rsid w:val="00876E83"/>
    <w:rsid w:val="008772BC"/>
    <w:rsid w:val="00880A0E"/>
    <w:rsid w:val="008817FE"/>
    <w:rsid w:val="00881CD7"/>
    <w:rsid w:val="00882911"/>
    <w:rsid w:val="00882F6E"/>
    <w:rsid w:val="00883202"/>
    <w:rsid w:val="00884E02"/>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5324"/>
    <w:rsid w:val="008B5C99"/>
    <w:rsid w:val="008B6106"/>
    <w:rsid w:val="008B7C02"/>
    <w:rsid w:val="008B7D2B"/>
    <w:rsid w:val="008B7EF9"/>
    <w:rsid w:val="008C0049"/>
    <w:rsid w:val="008C0314"/>
    <w:rsid w:val="008C0E88"/>
    <w:rsid w:val="008C1717"/>
    <w:rsid w:val="008C17F0"/>
    <w:rsid w:val="008C3B05"/>
    <w:rsid w:val="008C4B50"/>
    <w:rsid w:val="008C5A37"/>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E0001"/>
    <w:rsid w:val="008E292B"/>
    <w:rsid w:val="008E2C57"/>
    <w:rsid w:val="008E31FF"/>
    <w:rsid w:val="008E3287"/>
    <w:rsid w:val="008E38E4"/>
    <w:rsid w:val="008E51EB"/>
    <w:rsid w:val="008E6DCB"/>
    <w:rsid w:val="008E6F06"/>
    <w:rsid w:val="008E7000"/>
    <w:rsid w:val="008E7B8E"/>
    <w:rsid w:val="008E7FC9"/>
    <w:rsid w:val="008F0107"/>
    <w:rsid w:val="008F029B"/>
    <w:rsid w:val="008F0589"/>
    <w:rsid w:val="008F2A5D"/>
    <w:rsid w:val="008F2BC7"/>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476D"/>
    <w:rsid w:val="00915D07"/>
    <w:rsid w:val="009162AE"/>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05E"/>
    <w:rsid w:val="00933F4A"/>
    <w:rsid w:val="009341F1"/>
    <w:rsid w:val="00934FF2"/>
    <w:rsid w:val="009358D7"/>
    <w:rsid w:val="00935BD4"/>
    <w:rsid w:val="00935DFE"/>
    <w:rsid w:val="00935F70"/>
    <w:rsid w:val="0093648B"/>
    <w:rsid w:val="009373B2"/>
    <w:rsid w:val="00937AE2"/>
    <w:rsid w:val="0094061F"/>
    <w:rsid w:val="00940F0F"/>
    <w:rsid w:val="00941912"/>
    <w:rsid w:val="0094416B"/>
    <w:rsid w:val="0094427A"/>
    <w:rsid w:val="00944C7C"/>
    <w:rsid w:val="00945245"/>
    <w:rsid w:val="00945523"/>
    <w:rsid w:val="00950921"/>
    <w:rsid w:val="00951D68"/>
    <w:rsid w:val="00951E5B"/>
    <w:rsid w:val="00952050"/>
    <w:rsid w:val="00952315"/>
    <w:rsid w:val="009523D9"/>
    <w:rsid w:val="00952B7B"/>
    <w:rsid w:val="0095357B"/>
    <w:rsid w:val="009538B3"/>
    <w:rsid w:val="00954F39"/>
    <w:rsid w:val="009555F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BB3"/>
    <w:rsid w:val="00992CF3"/>
    <w:rsid w:val="00993194"/>
    <w:rsid w:val="0099321E"/>
    <w:rsid w:val="00994171"/>
    <w:rsid w:val="00994868"/>
    <w:rsid w:val="00994976"/>
    <w:rsid w:val="00994D28"/>
    <w:rsid w:val="00994F2C"/>
    <w:rsid w:val="00995720"/>
    <w:rsid w:val="009957CC"/>
    <w:rsid w:val="009968D6"/>
    <w:rsid w:val="00997953"/>
    <w:rsid w:val="00997D55"/>
    <w:rsid w:val="009A0BFF"/>
    <w:rsid w:val="009A10A0"/>
    <w:rsid w:val="009A1CAB"/>
    <w:rsid w:val="009A2359"/>
    <w:rsid w:val="009A24F1"/>
    <w:rsid w:val="009A27E0"/>
    <w:rsid w:val="009A4D57"/>
    <w:rsid w:val="009A51A5"/>
    <w:rsid w:val="009A60D1"/>
    <w:rsid w:val="009A6225"/>
    <w:rsid w:val="009A64F5"/>
    <w:rsid w:val="009B00D2"/>
    <w:rsid w:val="009B05B3"/>
    <w:rsid w:val="009B0CAF"/>
    <w:rsid w:val="009B1324"/>
    <w:rsid w:val="009B2558"/>
    <w:rsid w:val="009B284F"/>
    <w:rsid w:val="009B3764"/>
    <w:rsid w:val="009B3840"/>
    <w:rsid w:val="009B52AC"/>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2CF"/>
    <w:rsid w:val="009F4982"/>
    <w:rsid w:val="009F4CA7"/>
    <w:rsid w:val="009F4F6A"/>
    <w:rsid w:val="009F55BA"/>
    <w:rsid w:val="009F7D36"/>
    <w:rsid w:val="009F7D61"/>
    <w:rsid w:val="00A00E71"/>
    <w:rsid w:val="00A0306F"/>
    <w:rsid w:val="00A03511"/>
    <w:rsid w:val="00A03B10"/>
    <w:rsid w:val="00A03E2E"/>
    <w:rsid w:val="00A04616"/>
    <w:rsid w:val="00A04717"/>
    <w:rsid w:val="00A05D8F"/>
    <w:rsid w:val="00A05EE4"/>
    <w:rsid w:val="00A06F99"/>
    <w:rsid w:val="00A1053B"/>
    <w:rsid w:val="00A10D66"/>
    <w:rsid w:val="00A113A4"/>
    <w:rsid w:val="00A14114"/>
    <w:rsid w:val="00A16413"/>
    <w:rsid w:val="00A16545"/>
    <w:rsid w:val="00A16A1A"/>
    <w:rsid w:val="00A16AED"/>
    <w:rsid w:val="00A16BD3"/>
    <w:rsid w:val="00A16C37"/>
    <w:rsid w:val="00A16E1D"/>
    <w:rsid w:val="00A171D5"/>
    <w:rsid w:val="00A17A15"/>
    <w:rsid w:val="00A17A37"/>
    <w:rsid w:val="00A17D5B"/>
    <w:rsid w:val="00A2016A"/>
    <w:rsid w:val="00A201E1"/>
    <w:rsid w:val="00A20FE1"/>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3EEB"/>
    <w:rsid w:val="00A35900"/>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81652"/>
    <w:rsid w:val="00A82BF0"/>
    <w:rsid w:val="00A82C91"/>
    <w:rsid w:val="00A83150"/>
    <w:rsid w:val="00A83398"/>
    <w:rsid w:val="00A83D6E"/>
    <w:rsid w:val="00A83FD5"/>
    <w:rsid w:val="00A8521A"/>
    <w:rsid w:val="00A857C0"/>
    <w:rsid w:val="00A85ACB"/>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417E"/>
    <w:rsid w:val="00AE6414"/>
    <w:rsid w:val="00AE7269"/>
    <w:rsid w:val="00AE797C"/>
    <w:rsid w:val="00AE7CE7"/>
    <w:rsid w:val="00AE7FAB"/>
    <w:rsid w:val="00AF0DE4"/>
    <w:rsid w:val="00AF12A0"/>
    <w:rsid w:val="00AF1E87"/>
    <w:rsid w:val="00AF436B"/>
    <w:rsid w:val="00AF5179"/>
    <w:rsid w:val="00AF5CC2"/>
    <w:rsid w:val="00AF6776"/>
    <w:rsid w:val="00AF6F98"/>
    <w:rsid w:val="00AF7277"/>
    <w:rsid w:val="00B00550"/>
    <w:rsid w:val="00B00913"/>
    <w:rsid w:val="00B01593"/>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3108D"/>
    <w:rsid w:val="00B32DDB"/>
    <w:rsid w:val="00B32F57"/>
    <w:rsid w:val="00B3345C"/>
    <w:rsid w:val="00B34528"/>
    <w:rsid w:val="00B34CC9"/>
    <w:rsid w:val="00B34CDA"/>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A97"/>
    <w:rsid w:val="00B55F5E"/>
    <w:rsid w:val="00B5601B"/>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77E34"/>
    <w:rsid w:val="00B80D89"/>
    <w:rsid w:val="00B80EC6"/>
    <w:rsid w:val="00B81288"/>
    <w:rsid w:val="00B81D70"/>
    <w:rsid w:val="00B833B9"/>
    <w:rsid w:val="00B83AAF"/>
    <w:rsid w:val="00B83E07"/>
    <w:rsid w:val="00B84CF6"/>
    <w:rsid w:val="00B85016"/>
    <w:rsid w:val="00B8561A"/>
    <w:rsid w:val="00B86628"/>
    <w:rsid w:val="00B86643"/>
    <w:rsid w:val="00B868F7"/>
    <w:rsid w:val="00B90131"/>
    <w:rsid w:val="00B92951"/>
    <w:rsid w:val="00B92D1D"/>
    <w:rsid w:val="00B92D7E"/>
    <w:rsid w:val="00B930CE"/>
    <w:rsid w:val="00B938C5"/>
    <w:rsid w:val="00B940A8"/>
    <w:rsid w:val="00B9554A"/>
    <w:rsid w:val="00B95940"/>
    <w:rsid w:val="00B95ACA"/>
    <w:rsid w:val="00B96D74"/>
    <w:rsid w:val="00B9720E"/>
    <w:rsid w:val="00B97ACC"/>
    <w:rsid w:val="00B97FE2"/>
    <w:rsid w:val="00BA0E0B"/>
    <w:rsid w:val="00BA201A"/>
    <w:rsid w:val="00BA21DF"/>
    <w:rsid w:val="00BA361D"/>
    <w:rsid w:val="00BA3787"/>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25BB"/>
    <w:rsid w:val="00BD2AF8"/>
    <w:rsid w:val="00BD366B"/>
    <w:rsid w:val="00BD3C09"/>
    <w:rsid w:val="00BD410B"/>
    <w:rsid w:val="00BD4A73"/>
    <w:rsid w:val="00BD4EF4"/>
    <w:rsid w:val="00BD6659"/>
    <w:rsid w:val="00BD6C75"/>
    <w:rsid w:val="00BD6D50"/>
    <w:rsid w:val="00BD73D2"/>
    <w:rsid w:val="00BE0AD1"/>
    <w:rsid w:val="00BE0EF9"/>
    <w:rsid w:val="00BE10A1"/>
    <w:rsid w:val="00BE18B9"/>
    <w:rsid w:val="00BE190A"/>
    <w:rsid w:val="00BE2495"/>
    <w:rsid w:val="00BE24DD"/>
    <w:rsid w:val="00BE386D"/>
    <w:rsid w:val="00BE4DA9"/>
    <w:rsid w:val="00BE54BF"/>
    <w:rsid w:val="00BE557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7FC"/>
    <w:rsid w:val="00C006D6"/>
    <w:rsid w:val="00C00BD7"/>
    <w:rsid w:val="00C01410"/>
    <w:rsid w:val="00C02D23"/>
    <w:rsid w:val="00C03D4D"/>
    <w:rsid w:val="00C044F4"/>
    <w:rsid w:val="00C04B78"/>
    <w:rsid w:val="00C052AA"/>
    <w:rsid w:val="00C06EE3"/>
    <w:rsid w:val="00C07279"/>
    <w:rsid w:val="00C07749"/>
    <w:rsid w:val="00C07C67"/>
    <w:rsid w:val="00C11244"/>
    <w:rsid w:val="00C11D48"/>
    <w:rsid w:val="00C12304"/>
    <w:rsid w:val="00C12316"/>
    <w:rsid w:val="00C1246C"/>
    <w:rsid w:val="00C1493E"/>
    <w:rsid w:val="00C15DBD"/>
    <w:rsid w:val="00C161C5"/>
    <w:rsid w:val="00C172F7"/>
    <w:rsid w:val="00C2010D"/>
    <w:rsid w:val="00C20CB5"/>
    <w:rsid w:val="00C21430"/>
    <w:rsid w:val="00C216DF"/>
    <w:rsid w:val="00C21E61"/>
    <w:rsid w:val="00C21F94"/>
    <w:rsid w:val="00C224BD"/>
    <w:rsid w:val="00C234DB"/>
    <w:rsid w:val="00C23C5C"/>
    <w:rsid w:val="00C2479A"/>
    <w:rsid w:val="00C24903"/>
    <w:rsid w:val="00C2590D"/>
    <w:rsid w:val="00C25D9C"/>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72AA"/>
    <w:rsid w:val="00C90CF4"/>
    <w:rsid w:val="00C91C20"/>
    <w:rsid w:val="00C922DE"/>
    <w:rsid w:val="00C92843"/>
    <w:rsid w:val="00C92EB6"/>
    <w:rsid w:val="00C93389"/>
    <w:rsid w:val="00C948E6"/>
    <w:rsid w:val="00C94CDD"/>
    <w:rsid w:val="00C97588"/>
    <w:rsid w:val="00CA0346"/>
    <w:rsid w:val="00CA0DA1"/>
    <w:rsid w:val="00CA1BD6"/>
    <w:rsid w:val="00CA37FF"/>
    <w:rsid w:val="00CA423A"/>
    <w:rsid w:val="00CA47BC"/>
    <w:rsid w:val="00CA5EAD"/>
    <w:rsid w:val="00CA6AB4"/>
    <w:rsid w:val="00CA7255"/>
    <w:rsid w:val="00CB1BEE"/>
    <w:rsid w:val="00CB2351"/>
    <w:rsid w:val="00CB4022"/>
    <w:rsid w:val="00CB4930"/>
    <w:rsid w:val="00CB4BA9"/>
    <w:rsid w:val="00CB4C63"/>
    <w:rsid w:val="00CB5A48"/>
    <w:rsid w:val="00CB5E10"/>
    <w:rsid w:val="00CB613B"/>
    <w:rsid w:val="00CB6152"/>
    <w:rsid w:val="00CB64E1"/>
    <w:rsid w:val="00CB6E4D"/>
    <w:rsid w:val="00CC009B"/>
    <w:rsid w:val="00CC0834"/>
    <w:rsid w:val="00CC0AEA"/>
    <w:rsid w:val="00CC20FE"/>
    <w:rsid w:val="00CC225C"/>
    <w:rsid w:val="00CC2E7D"/>
    <w:rsid w:val="00CC5BE8"/>
    <w:rsid w:val="00CC612B"/>
    <w:rsid w:val="00CC655F"/>
    <w:rsid w:val="00CC66F9"/>
    <w:rsid w:val="00CC6C2A"/>
    <w:rsid w:val="00CC6FE5"/>
    <w:rsid w:val="00CC7458"/>
    <w:rsid w:val="00CC76BD"/>
    <w:rsid w:val="00CC7A87"/>
    <w:rsid w:val="00CD0D6B"/>
    <w:rsid w:val="00CD1060"/>
    <w:rsid w:val="00CD10A5"/>
    <w:rsid w:val="00CD1129"/>
    <w:rsid w:val="00CD1A80"/>
    <w:rsid w:val="00CD1CB5"/>
    <w:rsid w:val="00CD2076"/>
    <w:rsid w:val="00CD24CE"/>
    <w:rsid w:val="00CD29B5"/>
    <w:rsid w:val="00CD2B78"/>
    <w:rsid w:val="00CD3FAB"/>
    <w:rsid w:val="00CD5456"/>
    <w:rsid w:val="00CD5C3E"/>
    <w:rsid w:val="00CD5C57"/>
    <w:rsid w:val="00CD6331"/>
    <w:rsid w:val="00CE14BE"/>
    <w:rsid w:val="00CE17A4"/>
    <w:rsid w:val="00CE1BA9"/>
    <w:rsid w:val="00CE2D8F"/>
    <w:rsid w:val="00CE3532"/>
    <w:rsid w:val="00CE3E48"/>
    <w:rsid w:val="00CE46C0"/>
    <w:rsid w:val="00CE47B8"/>
    <w:rsid w:val="00CE54FD"/>
    <w:rsid w:val="00CE62FA"/>
    <w:rsid w:val="00CE670B"/>
    <w:rsid w:val="00CE6833"/>
    <w:rsid w:val="00CF020B"/>
    <w:rsid w:val="00CF15BF"/>
    <w:rsid w:val="00CF2E4D"/>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4C5B"/>
    <w:rsid w:val="00D15FED"/>
    <w:rsid w:val="00D16712"/>
    <w:rsid w:val="00D214EF"/>
    <w:rsid w:val="00D215B0"/>
    <w:rsid w:val="00D21D6D"/>
    <w:rsid w:val="00D21D83"/>
    <w:rsid w:val="00D22A47"/>
    <w:rsid w:val="00D235B7"/>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55D4"/>
    <w:rsid w:val="00D66223"/>
    <w:rsid w:val="00D667B8"/>
    <w:rsid w:val="00D67D55"/>
    <w:rsid w:val="00D70289"/>
    <w:rsid w:val="00D70822"/>
    <w:rsid w:val="00D72076"/>
    <w:rsid w:val="00D721B4"/>
    <w:rsid w:val="00D726A9"/>
    <w:rsid w:val="00D72DBA"/>
    <w:rsid w:val="00D743E0"/>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5302"/>
    <w:rsid w:val="00D95889"/>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17D0"/>
    <w:rsid w:val="00DC1E5D"/>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450F"/>
    <w:rsid w:val="00DE5CA6"/>
    <w:rsid w:val="00DE7AC8"/>
    <w:rsid w:val="00DF0830"/>
    <w:rsid w:val="00DF2C5D"/>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1EF0"/>
    <w:rsid w:val="00E53470"/>
    <w:rsid w:val="00E5368D"/>
    <w:rsid w:val="00E539F6"/>
    <w:rsid w:val="00E54698"/>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C5F"/>
    <w:rsid w:val="00E71A58"/>
    <w:rsid w:val="00E728D7"/>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87CE2"/>
    <w:rsid w:val="00E90CA8"/>
    <w:rsid w:val="00E911C6"/>
    <w:rsid w:val="00E930A1"/>
    <w:rsid w:val="00E93820"/>
    <w:rsid w:val="00E94A86"/>
    <w:rsid w:val="00E951AB"/>
    <w:rsid w:val="00E953F6"/>
    <w:rsid w:val="00E96143"/>
    <w:rsid w:val="00E96833"/>
    <w:rsid w:val="00E97506"/>
    <w:rsid w:val="00E97BB5"/>
    <w:rsid w:val="00E97F14"/>
    <w:rsid w:val="00EA0C68"/>
    <w:rsid w:val="00EA0E39"/>
    <w:rsid w:val="00EA1D0E"/>
    <w:rsid w:val="00EA2072"/>
    <w:rsid w:val="00EA2841"/>
    <w:rsid w:val="00EA32BC"/>
    <w:rsid w:val="00EA35A7"/>
    <w:rsid w:val="00EA3B32"/>
    <w:rsid w:val="00EA3CEB"/>
    <w:rsid w:val="00EA3D05"/>
    <w:rsid w:val="00EA4402"/>
    <w:rsid w:val="00EA4B8D"/>
    <w:rsid w:val="00EA513E"/>
    <w:rsid w:val="00EA7419"/>
    <w:rsid w:val="00EB0E32"/>
    <w:rsid w:val="00EB3E60"/>
    <w:rsid w:val="00EB4511"/>
    <w:rsid w:val="00EB48D7"/>
    <w:rsid w:val="00EB49F1"/>
    <w:rsid w:val="00EB4A8E"/>
    <w:rsid w:val="00EB4BC5"/>
    <w:rsid w:val="00EB5BF7"/>
    <w:rsid w:val="00EB5E79"/>
    <w:rsid w:val="00EB6FAC"/>
    <w:rsid w:val="00EB7BAC"/>
    <w:rsid w:val="00EB7CC9"/>
    <w:rsid w:val="00EC03D7"/>
    <w:rsid w:val="00EC13A7"/>
    <w:rsid w:val="00EC2EB6"/>
    <w:rsid w:val="00EC4FFF"/>
    <w:rsid w:val="00EC6E8C"/>
    <w:rsid w:val="00ED0EF0"/>
    <w:rsid w:val="00ED12B9"/>
    <w:rsid w:val="00ED16B8"/>
    <w:rsid w:val="00ED1959"/>
    <w:rsid w:val="00ED1A00"/>
    <w:rsid w:val="00ED1DF0"/>
    <w:rsid w:val="00ED2386"/>
    <w:rsid w:val="00ED2EA1"/>
    <w:rsid w:val="00ED3851"/>
    <w:rsid w:val="00ED3E51"/>
    <w:rsid w:val="00ED3F10"/>
    <w:rsid w:val="00ED3F9B"/>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326A"/>
    <w:rsid w:val="00EF3898"/>
    <w:rsid w:val="00EF47BF"/>
    <w:rsid w:val="00EF52F7"/>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FAA"/>
    <w:rsid w:val="00F25040"/>
    <w:rsid w:val="00F27071"/>
    <w:rsid w:val="00F27331"/>
    <w:rsid w:val="00F276D3"/>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615B"/>
    <w:rsid w:val="00F575D3"/>
    <w:rsid w:val="00F57D57"/>
    <w:rsid w:val="00F62BFF"/>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82D14"/>
    <w:rsid w:val="00F84E7D"/>
    <w:rsid w:val="00F85066"/>
    <w:rsid w:val="00F87A4D"/>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580"/>
    <w:rsid w:val="00FB564F"/>
    <w:rsid w:val="00FB7DBB"/>
    <w:rsid w:val="00FC05F8"/>
    <w:rsid w:val="00FC077B"/>
    <w:rsid w:val="00FC0E5F"/>
    <w:rsid w:val="00FC1266"/>
    <w:rsid w:val="00FC1A95"/>
    <w:rsid w:val="00FC1ED4"/>
    <w:rsid w:val="00FC3BEC"/>
    <w:rsid w:val="00FC440B"/>
    <w:rsid w:val="00FC56DE"/>
    <w:rsid w:val="00FC63D9"/>
    <w:rsid w:val="00FC64DE"/>
    <w:rsid w:val="00FC6785"/>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cri/analyza-ctvrtletnich-sektorovych-uctu-1-ctvrtleti-20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1Q2\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zabojnikova31519\Documents\Anal&#253;za\Q\2021Q2\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zabojnikova31519\Documents\Anal&#253;za\Q\2021Q2\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Trh%20pr&#225;ce\Grafy-trh%20pr&#225;ce-2021-1.po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Trh%20pr&#225;ce\Grafy-trh%20pr&#225;ce-2021-1.po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Trh%20pr&#225;ce\Grafy-trh%20pr&#225;ce-2021-1.po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zabojnikova31519\Documents\Anal&#253;za\Q\2021Q2\Makroanal&#253;za%20graf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St&#225;tn&#237;%20rozpo&#269;et\Grafy-st&#225;tn&#237;%20rozpo&#269;et-1.pol.202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St&#225;tn&#237;%20rozpo&#269;et\Grafy-st&#225;tn&#237;%20rozpo&#269;et-1.pol.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1Q2\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1Q2\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Odv&#283;tv&#237;\Odv&#283;tv&#237;%20grafy-2q-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Odv&#283;tv&#237;\Odv&#283;tv&#237;%20grafy-2q-2021-nov&#25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Odv&#283;tv&#237;\Odv&#283;tv&#237;%20grafy-2q-2021-nov&#25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Odv&#283;tv&#237;\Odv&#283;tv&#237;%20grafy-2q-2021-nov&#25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nal&#253;za\Q\2021Q2\Makroanal&#253;za%20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zabojnikova31519\Documents\Anal&#253;za\Q\2021Q2\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45E-2"/>
          <c:y val="2.3046636085626952E-2"/>
          <c:w val="0.92008633063154344"/>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1'!$A$21:$B$42</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1'!$C$21:$C$42</c:f>
              <c:numCache>
                <c:formatCode>#\ ##0.0</c:formatCode>
                <c:ptCount val="22"/>
                <c:pt idx="0">
                  <c:v>3.3935679863989208</c:v>
                </c:pt>
                <c:pt idx="1">
                  <c:v>2.2554525211863137</c:v>
                </c:pt>
                <c:pt idx="2">
                  <c:v>1.9595698850867365</c:v>
                </c:pt>
                <c:pt idx="3">
                  <c:v>2.1706116744660449</c:v>
                </c:pt>
                <c:pt idx="4">
                  <c:v>3.5703667972288571</c:v>
                </c:pt>
                <c:pt idx="5">
                  <c:v>6.1313858438531526</c:v>
                </c:pt>
                <c:pt idx="6">
                  <c:v>5.8793571478929323</c:v>
                </c:pt>
                <c:pt idx="7">
                  <c:v>5.8948576142013849</c:v>
                </c:pt>
                <c:pt idx="8">
                  <c:v>4.8045186709861412</c:v>
                </c:pt>
                <c:pt idx="9" formatCode="General">
                  <c:v>2.6817351351516834</c:v>
                </c:pt>
                <c:pt idx="10" formatCode="General">
                  <c:v>2.7294466842677565</c:v>
                </c:pt>
                <c:pt idx="11">
                  <c:v>2.5583350179001485</c:v>
                </c:pt>
                <c:pt idx="12">
                  <c:v>2.9671766091530287</c:v>
                </c:pt>
                <c:pt idx="13" formatCode="General">
                  <c:v>3.0195090485548093</c:v>
                </c:pt>
                <c:pt idx="14" formatCode="General">
                  <c:v>2.9551051697276307</c:v>
                </c:pt>
                <c:pt idx="15" formatCode="General">
                  <c:v>2.8845218371908743</c:v>
                </c:pt>
                <c:pt idx="16" formatCode="General">
                  <c:v>-1.4626768956389213</c:v>
                </c:pt>
                <c:pt idx="17" formatCode="General">
                  <c:v>-10.942094363882291</c:v>
                </c:pt>
                <c:pt idx="18" formatCode="General">
                  <c:v>-5.4470154857909989</c:v>
                </c:pt>
                <c:pt idx="19" formatCode="General">
                  <c:v>-5.3453232021546739</c:v>
                </c:pt>
                <c:pt idx="20" formatCode="General">
                  <c:v>-2.4562086187757615</c:v>
                </c:pt>
                <c:pt idx="21" formatCode="General">
                  <c:v>8.1818276699518577</c:v>
                </c:pt>
              </c:numCache>
            </c:numRef>
          </c:val>
          <c:extLst>
            <c:ext xmlns:c16="http://schemas.microsoft.com/office/drawing/2014/chart" uri="{C3380CC4-5D6E-409C-BE32-E72D297353CC}">
              <c16:uniqueId val="{00000000-A62A-4C46-AA59-306802C6FB9A}"/>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1'!$A$21:$B$42</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1'!$D$21:$D$42</c:f>
              <c:numCache>
                <c:formatCode>#\ ##0.0</c:formatCode>
                <c:ptCount val="22"/>
                <c:pt idx="0">
                  <c:v>2</c:v>
                </c:pt>
                <c:pt idx="1">
                  <c:v>1.9</c:v>
                </c:pt>
                <c:pt idx="2">
                  <c:v>1.8</c:v>
                </c:pt>
                <c:pt idx="3">
                  <c:v>2.2000000000000002</c:v>
                </c:pt>
                <c:pt idx="4">
                  <c:v>2.4</c:v>
                </c:pt>
                <c:pt idx="5">
                  <c:v>2.9</c:v>
                </c:pt>
                <c:pt idx="6">
                  <c:v>3.2</c:v>
                </c:pt>
                <c:pt idx="7">
                  <c:v>3.2</c:v>
                </c:pt>
                <c:pt idx="8">
                  <c:v>2.7</c:v>
                </c:pt>
                <c:pt idx="9">
                  <c:v>2.4</c:v>
                </c:pt>
                <c:pt idx="10">
                  <c:v>1.9</c:v>
                </c:pt>
                <c:pt idx="11">
                  <c:v>1.5</c:v>
                </c:pt>
                <c:pt idx="12">
                  <c:v>2</c:v>
                </c:pt>
                <c:pt idx="13">
                  <c:v>1.7</c:v>
                </c:pt>
                <c:pt idx="14">
                  <c:v>1.8</c:v>
                </c:pt>
                <c:pt idx="15">
                  <c:v>1.2</c:v>
                </c:pt>
                <c:pt idx="16">
                  <c:v>-2.6</c:v>
                </c:pt>
                <c:pt idx="17">
                  <c:v>-13.6</c:v>
                </c:pt>
                <c:pt idx="18">
                  <c:v>-3.9</c:v>
                </c:pt>
                <c:pt idx="19">
                  <c:v>-4.3</c:v>
                </c:pt>
                <c:pt idx="20">
                  <c:v>-1.3</c:v>
                </c:pt>
                <c:pt idx="21">
                  <c:v>13.2</c:v>
                </c:pt>
              </c:numCache>
            </c:numRef>
          </c:val>
          <c:extLst>
            <c:ext xmlns:c16="http://schemas.microsoft.com/office/drawing/2014/chart" uri="{C3380CC4-5D6E-409C-BE32-E72D297353CC}">
              <c16:uniqueId val="{00000001-A62A-4C46-AA59-306802C6FB9A}"/>
            </c:ext>
          </c:extLst>
        </c:ser>
        <c:dLbls>
          <c:showLegendKey val="0"/>
          <c:showVal val="0"/>
          <c:showCatName val="0"/>
          <c:showSerName val="0"/>
          <c:showPercent val="0"/>
          <c:showBubbleSize val="0"/>
        </c:dLbls>
        <c:gapWidth val="100"/>
        <c:axId val="91538944"/>
        <c:axId val="91540864"/>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1'!$A$21:$B$42</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1'!$E$21:$E$42</c:f>
              <c:numCache>
                <c:formatCode>#\ ##0.0</c:formatCode>
                <c:ptCount val="22"/>
                <c:pt idx="0">
                  <c:v>0.16332296495187393</c:v>
                </c:pt>
                <c:pt idx="1">
                  <c:v>0.33620140081080763</c:v>
                </c:pt>
                <c:pt idx="2">
                  <c:v>0.80409486945227115</c:v>
                </c:pt>
                <c:pt idx="3">
                  <c:v>0.85128584892957804</c:v>
                </c:pt>
                <c:pt idx="4">
                  <c:v>1.5355778838110723</c:v>
                </c:pt>
                <c:pt idx="5">
                  <c:v>2.8172481596437962</c:v>
                </c:pt>
                <c:pt idx="6">
                  <c:v>0.56471681577477284</c:v>
                </c:pt>
                <c:pt idx="7">
                  <c:v>0.86605021849675268</c:v>
                </c:pt>
                <c:pt idx="8">
                  <c:v>0.49012395731429592</c:v>
                </c:pt>
                <c:pt idx="9">
                  <c:v>0.73471618143510398</c:v>
                </c:pt>
                <c:pt idx="10">
                  <c:v>0.61144468241420213</c:v>
                </c:pt>
                <c:pt idx="11">
                  <c:v>0.69804232504577612</c:v>
                </c:pt>
                <c:pt idx="12">
                  <c:v>0.89072077059854848</c:v>
                </c:pt>
                <c:pt idx="13" formatCode="General">
                  <c:v>0.78591398644272203</c:v>
                </c:pt>
                <c:pt idx="14" formatCode="General">
                  <c:v>0.54854623384075296</c:v>
                </c:pt>
                <c:pt idx="15" formatCode="General">
                  <c:v>0.62900637587634378</c:v>
                </c:pt>
                <c:pt idx="16" formatCode="General">
                  <c:v>-3.3722335169499615</c:v>
                </c:pt>
                <c:pt idx="17" formatCode="General">
                  <c:v>-8.9098208224286566</c:v>
                </c:pt>
                <c:pt idx="18" formatCode="General">
                  <c:v>6.7526242287794531</c:v>
                </c:pt>
                <c:pt idx="19" formatCode="General">
                  <c:v>0.73723345629051096</c:v>
                </c:pt>
                <c:pt idx="20" formatCode="General">
                  <c:v>-0.42289494489256185</c:v>
                </c:pt>
                <c:pt idx="21" formatCode="General">
                  <c:v>1.0243904473644392</c:v>
                </c:pt>
              </c:numCache>
            </c:numRef>
          </c:val>
          <c:smooth val="0"/>
          <c:extLst>
            <c:ext xmlns:c16="http://schemas.microsoft.com/office/drawing/2014/chart" uri="{C3380CC4-5D6E-409C-BE32-E72D297353CC}">
              <c16:uniqueId val="{00000002-A62A-4C46-AA59-306802C6FB9A}"/>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1'!$A$21:$B$42</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1'!$F$21:$F$42</c:f>
              <c:numCache>
                <c:formatCode>#\ ##0.0</c:formatCode>
                <c:ptCount val="22"/>
                <c:pt idx="0">
                  <c:v>0.5</c:v>
                </c:pt>
                <c:pt idx="1">
                  <c:v>0.4</c:v>
                </c:pt>
                <c:pt idx="2">
                  <c:v>0.4</c:v>
                </c:pt>
                <c:pt idx="3">
                  <c:v>0.9</c:v>
                </c:pt>
                <c:pt idx="4">
                  <c:v>0.7</c:v>
                </c:pt>
                <c:pt idx="5">
                  <c:v>0.9</c:v>
                </c:pt>
                <c:pt idx="6">
                  <c:v>0.7</c:v>
                </c:pt>
                <c:pt idx="7">
                  <c:v>0.9</c:v>
                </c:pt>
                <c:pt idx="8">
                  <c:v>0.2</c:v>
                </c:pt>
                <c:pt idx="9">
                  <c:v>0.6</c:v>
                </c:pt>
                <c:pt idx="10">
                  <c:v>0.2</c:v>
                </c:pt>
                <c:pt idx="11">
                  <c:v>0.6</c:v>
                </c:pt>
                <c:pt idx="12">
                  <c:v>0.6</c:v>
                </c:pt>
                <c:pt idx="13">
                  <c:v>0.3</c:v>
                </c:pt>
                <c:pt idx="14">
                  <c:v>0.3</c:v>
                </c:pt>
                <c:pt idx="15">
                  <c:v>0.1</c:v>
                </c:pt>
                <c:pt idx="16">
                  <c:v>-3.2</c:v>
                </c:pt>
                <c:pt idx="17">
                  <c:v>-11.1</c:v>
                </c:pt>
                <c:pt idx="18">
                  <c:v>11.6</c:v>
                </c:pt>
                <c:pt idx="19">
                  <c:v>-0.4</c:v>
                </c:pt>
                <c:pt idx="20">
                  <c:v>-0.1</c:v>
                </c:pt>
                <c:pt idx="21">
                  <c:v>1.9</c:v>
                </c:pt>
              </c:numCache>
            </c:numRef>
          </c:val>
          <c:smooth val="0"/>
          <c:extLst>
            <c:ext xmlns:c16="http://schemas.microsoft.com/office/drawing/2014/chart" uri="{C3380CC4-5D6E-409C-BE32-E72D297353CC}">
              <c16:uniqueId val="{00000003-A62A-4C46-AA59-306802C6FB9A}"/>
            </c:ext>
          </c:extLst>
        </c:ser>
        <c:dLbls>
          <c:showLegendKey val="0"/>
          <c:showVal val="0"/>
          <c:showCatName val="0"/>
          <c:showSerName val="0"/>
          <c:showPercent val="0"/>
          <c:showBubbleSize val="0"/>
        </c:dLbls>
        <c:marker val="1"/>
        <c:smooth val="0"/>
        <c:axId val="91538944"/>
        <c:axId val="91540864"/>
      </c:lineChart>
      <c:catAx>
        <c:axId val="915389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91540864"/>
        <c:crosses val="autoZero"/>
        <c:auto val="1"/>
        <c:lblAlgn val="ctr"/>
        <c:lblOffset val="100"/>
        <c:noMultiLvlLbl val="0"/>
      </c:catAx>
      <c:valAx>
        <c:axId val="91540864"/>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91538944"/>
        <c:crosses val="autoZero"/>
        <c:crossBetween val="between"/>
        <c:majorUnit val="3"/>
      </c:valAx>
      <c:spPr>
        <a:ln>
          <a:solidFill>
            <a:schemeClr val="tx1"/>
          </a:solidFill>
        </a:ln>
      </c:spPr>
    </c:plotArea>
    <c:legend>
      <c:legendPos val="b"/>
      <c:layout>
        <c:manualLayout>
          <c:xMode val="edge"/>
          <c:yMode val="edge"/>
          <c:x val="5.8431906450523471E-2"/>
          <c:y val="0.89437255125717996"/>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85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1'!$C$22:$C$43</c:f>
              <c:numCache>
                <c:formatCode>General</c:formatCode>
                <c:ptCount val="22"/>
                <c:pt idx="0">
                  <c:v>8.9000000000000057</c:v>
                </c:pt>
                <c:pt idx="1">
                  <c:v>10.299999999999997</c:v>
                </c:pt>
                <c:pt idx="2">
                  <c:v>12.299999999999997</c:v>
                </c:pt>
                <c:pt idx="3">
                  <c:v>14.599999999999994</c:v>
                </c:pt>
                <c:pt idx="4">
                  <c:v>17.200000000000003</c:v>
                </c:pt>
                <c:pt idx="5">
                  <c:v>18.700000000000003</c:v>
                </c:pt>
                <c:pt idx="6">
                  <c:v>15.799999999999997</c:v>
                </c:pt>
                <c:pt idx="7">
                  <c:v>12</c:v>
                </c:pt>
                <c:pt idx="8">
                  <c:v>9.2000000000000028</c:v>
                </c:pt>
                <c:pt idx="9">
                  <c:v>8</c:v>
                </c:pt>
                <c:pt idx="10">
                  <c:v>9.4000000000000057</c:v>
                </c:pt>
                <c:pt idx="11">
                  <c:v>11.400000000000006</c:v>
                </c:pt>
                <c:pt idx="12">
                  <c:v>11.299999999999997</c:v>
                </c:pt>
                <c:pt idx="13">
                  <c:v>10.599999999999994</c:v>
                </c:pt>
                <c:pt idx="14">
                  <c:v>9.5</c:v>
                </c:pt>
                <c:pt idx="15">
                  <c:v>9.4000000000000057</c:v>
                </c:pt>
                <c:pt idx="16">
                  <c:v>10.599999999999994</c:v>
                </c:pt>
                <c:pt idx="17">
                  <c:v>10.200000000000003</c:v>
                </c:pt>
                <c:pt idx="18">
                  <c:v>11.200000000000003</c:v>
                </c:pt>
                <c:pt idx="19">
                  <c:v>13.299999999999997</c:v>
                </c:pt>
                <c:pt idx="20">
                  <c:v>15.200000000000003</c:v>
                </c:pt>
                <c:pt idx="21">
                  <c:v>17.900000000000006</c:v>
                </c:pt>
              </c:numCache>
            </c:numRef>
          </c:val>
          <c:extLst>
            <c:ext xmlns:c16="http://schemas.microsoft.com/office/drawing/2014/chart" uri="{C3380CC4-5D6E-409C-BE32-E72D297353CC}">
              <c16:uniqueId val="{00000000-5B0D-4B86-91F9-ABE04704D75C}"/>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1'!$D$22:$D$43</c:f>
              <c:numCache>
                <c:formatCode>General</c:formatCode>
                <c:ptCount val="22"/>
                <c:pt idx="0">
                  <c:v>5.7999999999999972</c:v>
                </c:pt>
                <c:pt idx="1">
                  <c:v>7.5</c:v>
                </c:pt>
                <c:pt idx="2">
                  <c:v>9.4000000000000057</c:v>
                </c:pt>
                <c:pt idx="3">
                  <c:v>13.900000000000006</c:v>
                </c:pt>
                <c:pt idx="4">
                  <c:v>16.200000000000003</c:v>
                </c:pt>
                <c:pt idx="5">
                  <c:v>19</c:v>
                </c:pt>
                <c:pt idx="6">
                  <c:v>16.400000000000006</c:v>
                </c:pt>
                <c:pt idx="7">
                  <c:v>11.099999999999994</c:v>
                </c:pt>
                <c:pt idx="8">
                  <c:v>8.2999999999999972</c:v>
                </c:pt>
                <c:pt idx="9">
                  <c:v>4</c:v>
                </c:pt>
                <c:pt idx="10">
                  <c:v>6</c:v>
                </c:pt>
                <c:pt idx="11">
                  <c:v>8.7000000000000028</c:v>
                </c:pt>
                <c:pt idx="12">
                  <c:v>9.4000000000000057</c:v>
                </c:pt>
                <c:pt idx="13">
                  <c:v>8.7000000000000028</c:v>
                </c:pt>
                <c:pt idx="14">
                  <c:v>6.5</c:v>
                </c:pt>
                <c:pt idx="15">
                  <c:v>7.0999999999999943</c:v>
                </c:pt>
                <c:pt idx="16">
                  <c:v>6.2000000000000028</c:v>
                </c:pt>
                <c:pt idx="17">
                  <c:v>8</c:v>
                </c:pt>
                <c:pt idx="18">
                  <c:v>9.4000000000000057</c:v>
                </c:pt>
                <c:pt idx="19">
                  <c:v>10.599999999999994</c:v>
                </c:pt>
                <c:pt idx="20">
                  <c:v>14.299999999999997</c:v>
                </c:pt>
                <c:pt idx="21">
                  <c:v>15.799999999999997</c:v>
                </c:pt>
              </c:numCache>
            </c:numRef>
          </c:val>
          <c:extLst>
            <c:ext xmlns:c16="http://schemas.microsoft.com/office/drawing/2014/chart" uri="{C3380CC4-5D6E-409C-BE32-E72D297353CC}">
              <c16:uniqueId val="{00000001-5B0D-4B86-91F9-ABE04704D75C}"/>
            </c:ext>
          </c:extLst>
        </c:ser>
        <c:dLbls>
          <c:showLegendKey val="0"/>
          <c:showVal val="0"/>
          <c:showCatName val="0"/>
          <c:showSerName val="0"/>
          <c:showPercent val="0"/>
          <c:showBubbleSize val="0"/>
        </c:dLbls>
        <c:gapWidth val="95"/>
        <c:axId val="37169408"/>
        <c:axId val="37179392"/>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1'!$E$22:$E$43</c:f>
              <c:numCache>
                <c:formatCode>0.0</c:formatCode>
                <c:ptCount val="22"/>
                <c:pt idx="0">
                  <c:v>10.204081632653043</c:v>
                </c:pt>
                <c:pt idx="1">
                  <c:v>10.321969696969703</c:v>
                </c:pt>
                <c:pt idx="2">
                  <c:v>9.8982423681776197</c:v>
                </c:pt>
                <c:pt idx="3">
                  <c:v>9.918845807033378</c:v>
                </c:pt>
                <c:pt idx="4">
                  <c:v>9.5238095238095184</c:v>
                </c:pt>
                <c:pt idx="5" formatCode="General">
                  <c:v>9.5278969957081472</c:v>
                </c:pt>
                <c:pt idx="6" formatCode="General">
                  <c:v>12.542087542087543</c:v>
                </c:pt>
                <c:pt idx="7" formatCode="General">
                  <c:v>12.469237079573418</c:v>
                </c:pt>
                <c:pt idx="8" formatCode="General">
                  <c:v>12.801932367149746</c:v>
                </c:pt>
                <c:pt idx="9" formatCode="General">
                  <c:v>12.225705329153584</c:v>
                </c:pt>
                <c:pt idx="10" formatCode="General">
                  <c:v>9.498878085265531</c:v>
                </c:pt>
                <c:pt idx="11" formatCode="General">
                  <c:v>8.4609773887673185</c:v>
                </c:pt>
                <c:pt idx="12" formatCode="General">
                  <c:v>7.4232690935046435</c:v>
                </c:pt>
                <c:pt idx="13" formatCode="General">
                  <c:v>5.7262569832402335</c:v>
                </c:pt>
                <c:pt idx="14" formatCode="General">
                  <c:v>5.1912568306010911</c:v>
                </c:pt>
                <c:pt idx="15" formatCode="General">
                  <c:v>5.5144586415601964</c:v>
                </c:pt>
                <c:pt idx="16" formatCode="General">
                  <c:v>6.0465116279069662</c:v>
                </c:pt>
                <c:pt idx="17" formatCode="General">
                  <c:v>7.1334214002641829</c:v>
                </c:pt>
                <c:pt idx="18" formatCode="General">
                  <c:v>7.9870129870129887</c:v>
                </c:pt>
                <c:pt idx="19" formatCode="General">
                  <c:v>7.6481835564053569</c:v>
                </c:pt>
                <c:pt idx="20" formatCode="General">
                  <c:v>7.6441102756892292</c:v>
                </c:pt>
                <c:pt idx="21" formatCode="General">
                  <c:v>7.9531442663378584</c:v>
                </c:pt>
              </c:numCache>
            </c:numRef>
          </c:val>
          <c:smooth val="0"/>
          <c:extLst>
            <c:ext xmlns:c16="http://schemas.microsoft.com/office/drawing/2014/chart" uri="{C3380CC4-5D6E-409C-BE32-E72D297353CC}">
              <c16:uniqueId val="{00000002-5B0D-4B86-91F9-ABE04704D75C}"/>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1'!$F$22:$F$43</c:f>
              <c:numCache>
                <c:formatCode>0.0</c:formatCode>
                <c:ptCount val="22"/>
                <c:pt idx="0">
                  <c:v>10.196779964221832</c:v>
                </c:pt>
                <c:pt idx="1">
                  <c:v>10.549258936355699</c:v>
                </c:pt>
                <c:pt idx="2">
                  <c:v>9.7706032285471451</c:v>
                </c:pt>
                <c:pt idx="3">
                  <c:v>11.323896752706062</c:v>
                </c:pt>
                <c:pt idx="4">
                  <c:v>13.636363636363626</c:v>
                </c:pt>
                <c:pt idx="5" formatCode="General">
                  <c:v>14.589905362776051</c:v>
                </c:pt>
                <c:pt idx="6" formatCode="General">
                  <c:v>18.266253869969049</c:v>
                </c:pt>
                <c:pt idx="7" formatCode="General">
                  <c:v>18.773373223635019</c:v>
                </c:pt>
                <c:pt idx="8" formatCode="General">
                  <c:v>15.071428571428555</c:v>
                </c:pt>
                <c:pt idx="9" formatCode="General">
                  <c:v>14.24638678596007</c:v>
                </c:pt>
                <c:pt idx="10" formatCode="General">
                  <c:v>10.732984293193695</c:v>
                </c:pt>
                <c:pt idx="11" formatCode="General">
                  <c:v>8.7531486146095574</c:v>
                </c:pt>
                <c:pt idx="12" formatCode="General">
                  <c:v>8.3178150217256359</c:v>
                </c:pt>
                <c:pt idx="13" formatCode="General">
                  <c:v>4.9397590361445651</c:v>
                </c:pt>
                <c:pt idx="14" formatCode="General">
                  <c:v>3.3096926713947994</c:v>
                </c:pt>
                <c:pt idx="15" formatCode="General">
                  <c:v>2.9530978575564575</c:v>
                </c:pt>
                <c:pt idx="16" formatCode="General">
                  <c:v>3.5530085959885298</c:v>
                </c:pt>
                <c:pt idx="17" formatCode="General">
                  <c:v>5.2812858783008068</c:v>
                </c:pt>
                <c:pt idx="18" formatCode="General">
                  <c:v>6.2356979405034281</c:v>
                </c:pt>
                <c:pt idx="19" formatCode="General">
                  <c:v>5.1743532058492718</c:v>
                </c:pt>
                <c:pt idx="20" formatCode="General">
                  <c:v>4.759269507470961</c:v>
                </c:pt>
                <c:pt idx="21" formatCode="General">
                  <c:v>4.5256270447110012</c:v>
                </c:pt>
              </c:numCache>
            </c:numRef>
          </c:val>
          <c:smooth val="0"/>
          <c:extLst>
            <c:ext xmlns:c16="http://schemas.microsoft.com/office/drawing/2014/chart" uri="{C3380CC4-5D6E-409C-BE32-E72D297353CC}">
              <c16:uniqueId val="{00000003-5B0D-4B86-91F9-ABE04704D75C}"/>
            </c:ext>
          </c:extLst>
        </c:ser>
        <c:dLbls>
          <c:showLegendKey val="0"/>
          <c:showVal val="0"/>
          <c:showCatName val="0"/>
          <c:showSerName val="0"/>
          <c:showPercent val="0"/>
          <c:showBubbleSize val="0"/>
        </c:dLbls>
        <c:marker val="1"/>
        <c:smooth val="0"/>
        <c:axId val="37169408"/>
        <c:axId val="37179392"/>
      </c:lineChart>
      <c:catAx>
        <c:axId val="37169408"/>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37179392"/>
        <c:crosses val="autoZero"/>
        <c:auto val="1"/>
        <c:lblAlgn val="ctr"/>
        <c:lblOffset val="100"/>
        <c:noMultiLvlLbl val="0"/>
      </c:catAx>
      <c:valAx>
        <c:axId val="37179392"/>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37169408"/>
        <c:crosses val="autoZero"/>
        <c:crossBetween val="between"/>
        <c:majorUnit val="2"/>
      </c:valAx>
      <c:spPr>
        <a:ln>
          <a:solidFill>
            <a:schemeClr val="tx1"/>
          </a:solidFill>
        </a:ln>
      </c:spPr>
    </c:plotArea>
    <c:legend>
      <c:legendPos val="b"/>
      <c:layout>
        <c:manualLayout>
          <c:xMode val="edge"/>
          <c:yMode val="edge"/>
          <c:x val="7.3334810874704504E-2"/>
          <c:y val="0.88817854328492629"/>
          <c:w val="0.89999282337048292"/>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10469436001351E-2"/>
          <c:y val="2.181131592422042E-2"/>
          <c:w val="0.90860161263086792"/>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4'!$C$42:$C$107</c:f>
              <c:numCache>
                <c:formatCode>0.0</c:formatCode>
                <c:ptCount val="66"/>
                <c:pt idx="0">
                  <c:v>-3.4000000000000057</c:v>
                </c:pt>
                <c:pt idx="1">
                  <c:v>-4</c:v>
                </c:pt>
                <c:pt idx="2">
                  <c:v>-4.5</c:v>
                </c:pt>
                <c:pt idx="3">
                  <c:v>-4.7000000000000028</c:v>
                </c:pt>
                <c:pt idx="4">
                  <c:v>-4.7999999999999972</c:v>
                </c:pt>
                <c:pt idx="5">
                  <c:v>-4.4000000000000057</c:v>
                </c:pt>
                <c:pt idx="6">
                  <c:v>-4</c:v>
                </c:pt>
                <c:pt idx="7">
                  <c:v>-3.4000000000000057</c:v>
                </c:pt>
                <c:pt idx="8">
                  <c:v>-2.4000000000000057</c:v>
                </c:pt>
                <c:pt idx="9">
                  <c:v>-1.7000000000000028</c:v>
                </c:pt>
                <c:pt idx="10">
                  <c:v>-1.2999999999999972</c:v>
                </c:pt>
                <c:pt idx="11">
                  <c:v>-0.40000000000000568</c:v>
                </c:pt>
                <c:pt idx="12" formatCode="General">
                  <c:v>2.0999999999999943</c:v>
                </c:pt>
                <c:pt idx="13" formatCode="General">
                  <c:v>3.0999999999999943</c:v>
                </c:pt>
                <c:pt idx="14">
                  <c:v>3</c:v>
                </c:pt>
                <c:pt idx="15">
                  <c:v>3.2000000000000028</c:v>
                </c:pt>
                <c:pt idx="16" formatCode="General">
                  <c:v>2.2999999999999972</c:v>
                </c:pt>
                <c:pt idx="17" formatCode="General">
                  <c:v>1.2999999999999972</c:v>
                </c:pt>
                <c:pt idx="18" formatCode="General">
                  <c:v>1.1000000000000001</c:v>
                </c:pt>
                <c:pt idx="19" formatCode="General">
                  <c:v>1.4</c:v>
                </c:pt>
                <c:pt idx="20" formatCode="General">
                  <c:v>1.7</c:v>
                </c:pt>
                <c:pt idx="21" formatCode="General">
                  <c:v>1.1000000000000001</c:v>
                </c:pt>
                <c:pt idx="22" formatCode="General">
                  <c:v>0.9</c:v>
                </c:pt>
                <c:pt idx="23" formatCode="General">
                  <c:v>0.7</c:v>
                </c:pt>
                <c:pt idx="24" formatCode="General">
                  <c:v>0.5</c:v>
                </c:pt>
                <c:pt idx="25" formatCode="General">
                  <c:v>-0.3</c:v>
                </c:pt>
                <c:pt idx="26" formatCode="General">
                  <c:v>0.1</c:v>
                </c:pt>
                <c:pt idx="27" formatCode="General">
                  <c:v>0</c:v>
                </c:pt>
                <c:pt idx="28" formatCode="General">
                  <c:v>1.5</c:v>
                </c:pt>
                <c:pt idx="29" formatCode="General">
                  <c:v>2.9</c:v>
                </c:pt>
                <c:pt idx="30" formatCode="General">
                  <c:v>3.4</c:v>
                </c:pt>
                <c:pt idx="31" formatCode="General">
                  <c:v>3.3</c:v>
                </c:pt>
                <c:pt idx="32" formatCode="General">
                  <c:v>3.2</c:v>
                </c:pt>
                <c:pt idx="33" formatCode="General">
                  <c:v>3.9</c:v>
                </c:pt>
                <c:pt idx="34" formatCode="General">
                  <c:v>3.9</c:v>
                </c:pt>
                <c:pt idx="35" formatCode="General">
                  <c:v>2.4</c:v>
                </c:pt>
                <c:pt idx="36" formatCode="General">
                  <c:v>2.9</c:v>
                </c:pt>
                <c:pt idx="37" formatCode="General">
                  <c:v>3.6</c:v>
                </c:pt>
                <c:pt idx="38" formatCode="General">
                  <c:v>3.8</c:v>
                </c:pt>
                <c:pt idx="39" formatCode="General">
                  <c:v>4.3</c:v>
                </c:pt>
                <c:pt idx="40" formatCode="General">
                  <c:v>3.8</c:v>
                </c:pt>
                <c:pt idx="41" formatCode="General">
                  <c:v>2.5</c:v>
                </c:pt>
                <c:pt idx="42" formatCode="General">
                  <c:v>2.1</c:v>
                </c:pt>
                <c:pt idx="43" formatCode="General">
                  <c:v>2.1</c:v>
                </c:pt>
                <c:pt idx="44" formatCode="General">
                  <c:v>1.9</c:v>
                </c:pt>
                <c:pt idx="45" formatCode="General">
                  <c:v>0.9</c:v>
                </c:pt>
                <c:pt idx="46" formatCode="General">
                  <c:v>0.9</c:v>
                </c:pt>
                <c:pt idx="47" formatCode="General">
                  <c:v>2.1</c:v>
                </c:pt>
                <c:pt idx="48" formatCode="General">
                  <c:v>2.4</c:v>
                </c:pt>
                <c:pt idx="49" formatCode="General">
                  <c:v>1.4</c:v>
                </c:pt>
                <c:pt idx="50" formatCode="General">
                  <c:v>0.4</c:v>
                </c:pt>
                <c:pt idx="51" formatCode="General">
                  <c:v>-0.8</c:v>
                </c:pt>
                <c:pt idx="52" formatCode="General">
                  <c:v>-0.9</c:v>
                </c:pt>
                <c:pt idx="53" formatCode="General">
                  <c:v>-0.3</c:v>
                </c:pt>
                <c:pt idx="54" formatCode="General">
                  <c:v>-0.1</c:v>
                </c:pt>
                <c:pt idx="55" formatCode="General">
                  <c:v>-0.5</c:v>
                </c:pt>
                <c:pt idx="56" formatCode="General">
                  <c:v>-0.4</c:v>
                </c:pt>
                <c:pt idx="57" formatCode="General">
                  <c:v>0.3</c:v>
                </c:pt>
                <c:pt idx="58" formatCode="General">
                  <c:v>-0.1</c:v>
                </c:pt>
                <c:pt idx="59" formatCode="General">
                  <c:v>0</c:v>
                </c:pt>
                <c:pt idx="60" formatCode="General">
                  <c:v>0</c:v>
                </c:pt>
                <c:pt idx="61" formatCode="General">
                  <c:v>1.4</c:v>
                </c:pt>
                <c:pt idx="62" formatCode="General">
                  <c:v>3.3</c:v>
                </c:pt>
                <c:pt idx="63" formatCode="General">
                  <c:v>4.5999999999999996</c:v>
                </c:pt>
                <c:pt idx="64" formatCode="General">
                  <c:v>5.0999999999999996</c:v>
                </c:pt>
                <c:pt idx="65" formatCode="General">
                  <c:v>6.1</c:v>
                </c:pt>
              </c:numCache>
            </c:numRef>
          </c:val>
          <c:extLst>
            <c:ext xmlns:c16="http://schemas.microsoft.com/office/drawing/2014/chart" uri="{C3380CC4-5D6E-409C-BE32-E72D297353CC}">
              <c16:uniqueId val="{00000000-6468-4E5C-892C-91A74145FB10}"/>
            </c:ext>
          </c:extLst>
        </c:ser>
        <c:dLbls>
          <c:showLegendKey val="0"/>
          <c:showVal val="0"/>
          <c:showCatName val="0"/>
          <c:showSerName val="0"/>
          <c:showPercent val="0"/>
          <c:showBubbleSize val="0"/>
        </c:dLbls>
        <c:gapWidth val="96"/>
        <c:axId val="36503936"/>
        <c:axId val="36505472"/>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4'!$D$42:$D$107</c:f>
              <c:numCache>
                <c:formatCode>0.0</c:formatCode>
                <c:ptCount val="66"/>
                <c:pt idx="0">
                  <c:v>-6.5999999999999943</c:v>
                </c:pt>
                <c:pt idx="1">
                  <c:v>-6.0999999999999943</c:v>
                </c:pt>
                <c:pt idx="2">
                  <c:v>-6.5</c:v>
                </c:pt>
                <c:pt idx="3">
                  <c:v>-7</c:v>
                </c:pt>
                <c:pt idx="4">
                  <c:v>-7.0999999999999943</c:v>
                </c:pt>
                <c:pt idx="5">
                  <c:v>-7.2999999999999972</c:v>
                </c:pt>
                <c:pt idx="6">
                  <c:v>-6.5999999999999943</c:v>
                </c:pt>
                <c:pt idx="7">
                  <c:v>-6</c:v>
                </c:pt>
                <c:pt idx="8">
                  <c:v>-4.9000000000000057</c:v>
                </c:pt>
                <c:pt idx="9">
                  <c:v>-5.2000000000000028</c:v>
                </c:pt>
                <c:pt idx="10">
                  <c:v>-5.2999999999999972</c:v>
                </c:pt>
                <c:pt idx="11">
                  <c:v>-5.0999999999999943</c:v>
                </c:pt>
                <c:pt idx="12" formatCode="General">
                  <c:v>2.2999999999999972</c:v>
                </c:pt>
                <c:pt idx="13" formatCode="General">
                  <c:v>5.7999999999999972</c:v>
                </c:pt>
                <c:pt idx="14">
                  <c:v>6.2000000000000028</c:v>
                </c:pt>
                <c:pt idx="15">
                  <c:v>6.4000000000000057</c:v>
                </c:pt>
                <c:pt idx="16" formatCode="General">
                  <c:v>4.2999999999999972</c:v>
                </c:pt>
                <c:pt idx="17" formatCode="General">
                  <c:v>4.0999999999999943</c:v>
                </c:pt>
                <c:pt idx="18" formatCode="General">
                  <c:v>2.9</c:v>
                </c:pt>
                <c:pt idx="19" formatCode="General">
                  <c:v>1.7</c:v>
                </c:pt>
                <c:pt idx="20" formatCode="General">
                  <c:v>1.9</c:v>
                </c:pt>
                <c:pt idx="21" formatCode="General">
                  <c:v>3.4</c:v>
                </c:pt>
                <c:pt idx="22" formatCode="General">
                  <c:v>3.3</c:v>
                </c:pt>
                <c:pt idx="23" formatCode="General">
                  <c:v>3.6</c:v>
                </c:pt>
                <c:pt idx="24" formatCode="General">
                  <c:v>6.7</c:v>
                </c:pt>
                <c:pt idx="25" formatCode="General">
                  <c:v>5</c:v>
                </c:pt>
                <c:pt idx="26" formatCode="General">
                  <c:v>4.3</c:v>
                </c:pt>
                <c:pt idx="27" formatCode="General">
                  <c:v>4.5999999999999996</c:v>
                </c:pt>
                <c:pt idx="28" formatCode="General">
                  <c:v>7.4</c:v>
                </c:pt>
                <c:pt idx="29" formatCode="General">
                  <c:v>8</c:v>
                </c:pt>
                <c:pt idx="30" formatCode="General">
                  <c:v>8.4</c:v>
                </c:pt>
                <c:pt idx="31" formatCode="General">
                  <c:v>10.1</c:v>
                </c:pt>
                <c:pt idx="32" formatCode="General">
                  <c:v>9.9</c:v>
                </c:pt>
                <c:pt idx="33" formatCode="General">
                  <c:v>9</c:v>
                </c:pt>
                <c:pt idx="34" formatCode="General">
                  <c:v>9.1999999999999993</c:v>
                </c:pt>
                <c:pt idx="35" formatCode="General">
                  <c:v>8.3000000000000007</c:v>
                </c:pt>
                <c:pt idx="36" formatCode="General">
                  <c:v>7.9</c:v>
                </c:pt>
                <c:pt idx="37" formatCode="General">
                  <c:v>7.4</c:v>
                </c:pt>
                <c:pt idx="38" formatCode="General">
                  <c:v>8</c:v>
                </c:pt>
                <c:pt idx="39" formatCode="General">
                  <c:v>8.4</c:v>
                </c:pt>
                <c:pt idx="40" formatCode="General">
                  <c:v>7.5</c:v>
                </c:pt>
                <c:pt idx="41" formatCode="General">
                  <c:v>7.1</c:v>
                </c:pt>
                <c:pt idx="42" formatCode="General">
                  <c:v>6.9</c:v>
                </c:pt>
                <c:pt idx="43" formatCode="General">
                  <c:v>6.8</c:v>
                </c:pt>
                <c:pt idx="44" formatCode="General">
                  <c:v>6.6</c:v>
                </c:pt>
                <c:pt idx="45" formatCode="General">
                  <c:v>3.6</c:v>
                </c:pt>
                <c:pt idx="46" formatCode="General">
                  <c:v>3.2</c:v>
                </c:pt>
                <c:pt idx="47" formatCode="General">
                  <c:v>4.3</c:v>
                </c:pt>
                <c:pt idx="48" formatCode="General">
                  <c:v>-2.1</c:v>
                </c:pt>
                <c:pt idx="49" formatCode="General">
                  <c:v>-1.8</c:v>
                </c:pt>
                <c:pt idx="50" formatCode="General">
                  <c:v>-2.6</c:v>
                </c:pt>
                <c:pt idx="51" formatCode="General">
                  <c:v>-3.7</c:v>
                </c:pt>
                <c:pt idx="52" formatCode="General">
                  <c:v>-3.1</c:v>
                </c:pt>
                <c:pt idx="53" formatCode="General">
                  <c:v>-3.6</c:v>
                </c:pt>
                <c:pt idx="54" formatCode="General">
                  <c:v>-3.5</c:v>
                </c:pt>
                <c:pt idx="55" formatCode="General">
                  <c:v>-3.5</c:v>
                </c:pt>
                <c:pt idx="56" formatCode="General">
                  <c:v>-3.7</c:v>
                </c:pt>
                <c:pt idx="57" formatCode="General">
                  <c:v>-1.9</c:v>
                </c:pt>
                <c:pt idx="58" formatCode="General">
                  <c:v>-1.8</c:v>
                </c:pt>
                <c:pt idx="59" formatCode="General">
                  <c:v>-2.2000000000000002</c:v>
                </c:pt>
                <c:pt idx="60" formatCode="General">
                  <c:v>-0.3</c:v>
                </c:pt>
                <c:pt idx="61" formatCode="General">
                  <c:v>-0.8</c:v>
                </c:pt>
                <c:pt idx="62" formatCode="General">
                  <c:v>-0.3</c:v>
                </c:pt>
                <c:pt idx="63" formatCode="General">
                  <c:v>1</c:v>
                </c:pt>
                <c:pt idx="64" formatCode="General">
                  <c:v>0.3</c:v>
                </c:pt>
                <c:pt idx="65" formatCode="General">
                  <c:v>1.1000000000000001</c:v>
                </c:pt>
              </c:numCache>
            </c:numRef>
          </c:val>
          <c:smooth val="0"/>
          <c:extLst>
            <c:ext xmlns:c16="http://schemas.microsoft.com/office/drawing/2014/chart" uri="{C3380CC4-5D6E-409C-BE32-E72D297353CC}">
              <c16:uniqueId val="{00000001-6468-4E5C-892C-91A74145FB10}"/>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4'!$E$42:$E$107</c:f>
              <c:numCache>
                <c:formatCode>0.0</c:formatCode>
                <c:ptCount val="66"/>
                <c:pt idx="0">
                  <c:v>-3.2999999999999972</c:v>
                </c:pt>
                <c:pt idx="1">
                  <c:v>-4.0999999999999943</c:v>
                </c:pt>
                <c:pt idx="2">
                  <c:v>-4.5999999999999943</c:v>
                </c:pt>
                <c:pt idx="3">
                  <c:v>-4.9000000000000057</c:v>
                </c:pt>
                <c:pt idx="4">
                  <c:v>-5</c:v>
                </c:pt>
                <c:pt idx="5">
                  <c:v>-4.5</c:v>
                </c:pt>
                <c:pt idx="6">
                  <c:v>-4</c:v>
                </c:pt>
                <c:pt idx="7">
                  <c:v>-3.2000000000000028</c:v>
                </c:pt>
                <c:pt idx="8">
                  <c:v>-2</c:v>
                </c:pt>
                <c:pt idx="9">
                  <c:v>-1.0999999999999943</c:v>
                </c:pt>
                <c:pt idx="10">
                  <c:v>-0.59999999999999432</c:v>
                </c:pt>
                <c:pt idx="11">
                  <c:v>0.59999999999999432</c:v>
                </c:pt>
                <c:pt idx="12" formatCode="General">
                  <c:v>2.5999999999999943</c:v>
                </c:pt>
                <c:pt idx="13" formatCode="General">
                  <c:v>4</c:v>
                </c:pt>
                <c:pt idx="14">
                  <c:v>3.7999999999999972</c:v>
                </c:pt>
                <c:pt idx="15">
                  <c:v>4</c:v>
                </c:pt>
                <c:pt idx="16" formatCode="General">
                  <c:v>2.7999999999999972</c:v>
                </c:pt>
                <c:pt idx="17" formatCode="General">
                  <c:v>1.5</c:v>
                </c:pt>
                <c:pt idx="18" formatCode="General">
                  <c:v>1.4</c:v>
                </c:pt>
                <c:pt idx="19" formatCode="General">
                  <c:v>2</c:v>
                </c:pt>
                <c:pt idx="20" formatCode="General">
                  <c:v>2.1</c:v>
                </c:pt>
                <c:pt idx="21" formatCode="General">
                  <c:v>1.4</c:v>
                </c:pt>
                <c:pt idx="22" formatCode="General">
                  <c:v>1.1000000000000001</c:v>
                </c:pt>
                <c:pt idx="23" formatCode="General">
                  <c:v>0.9</c:v>
                </c:pt>
                <c:pt idx="24" formatCode="General">
                  <c:v>0.2</c:v>
                </c:pt>
                <c:pt idx="25" formatCode="General">
                  <c:v>-0.9</c:v>
                </c:pt>
                <c:pt idx="26" formatCode="General">
                  <c:v>-0.5</c:v>
                </c:pt>
                <c:pt idx="27" formatCode="General">
                  <c:v>-0.5</c:v>
                </c:pt>
                <c:pt idx="28" formatCode="General">
                  <c:v>1.3</c:v>
                </c:pt>
                <c:pt idx="29" formatCode="General">
                  <c:v>2.8</c:v>
                </c:pt>
                <c:pt idx="30" formatCode="General">
                  <c:v>3.4</c:v>
                </c:pt>
                <c:pt idx="31" formatCode="General">
                  <c:v>3.2</c:v>
                </c:pt>
                <c:pt idx="32" formatCode="General">
                  <c:v>3</c:v>
                </c:pt>
                <c:pt idx="33" formatCode="General">
                  <c:v>3.8</c:v>
                </c:pt>
                <c:pt idx="34" formatCode="General">
                  <c:v>3.9</c:v>
                </c:pt>
                <c:pt idx="35" formatCode="General">
                  <c:v>2.2000000000000002</c:v>
                </c:pt>
                <c:pt idx="36" formatCode="General">
                  <c:v>1.9</c:v>
                </c:pt>
                <c:pt idx="37" formatCode="General">
                  <c:v>2.9</c:v>
                </c:pt>
                <c:pt idx="38" formatCode="General">
                  <c:v>3</c:v>
                </c:pt>
                <c:pt idx="39" formatCode="General">
                  <c:v>3.5</c:v>
                </c:pt>
                <c:pt idx="40" formatCode="General">
                  <c:v>2.9</c:v>
                </c:pt>
                <c:pt idx="41" formatCode="General">
                  <c:v>1.4</c:v>
                </c:pt>
                <c:pt idx="42" formatCode="General">
                  <c:v>0.9</c:v>
                </c:pt>
                <c:pt idx="43" formatCode="General">
                  <c:v>0.8</c:v>
                </c:pt>
                <c:pt idx="44" formatCode="General">
                  <c:v>0.7</c:v>
                </c:pt>
                <c:pt idx="45" formatCode="General">
                  <c:v>-0.4</c:v>
                </c:pt>
                <c:pt idx="46" formatCode="General">
                  <c:v>-0.7</c:v>
                </c:pt>
                <c:pt idx="47" formatCode="General">
                  <c:v>0.8</c:v>
                </c:pt>
                <c:pt idx="48" formatCode="General">
                  <c:v>1.2</c:v>
                </c:pt>
                <c:pt idx="49" formatCode="General">
                  <c:v>-0.1</c:v>
                </c:pt>
                <c:pt idx="50" formatCode="General">
                  <c:v>-1.2</c:v>
                </c:pt>
                <c:pt idx="51" formatCode="General">
                  <c:v>-2.5</c:v>
                </c:pt>
                <c:pt idx="52" formatCode="General">
                  <c:v>-2.6</c:v>
                </c:pt>
                <c:pt idx="53" formatCode="General">
                  <c:v>-1.9</c:v>
                </c:pt>
                <c:pt idx="54" formatCode="General">
                  <c:v>-1.6</c:v>
                </c:pt>
                <c:pt idx="55" formatCode="General">
                  <c:v>-2</c:v>
                </c:pt>
                <c:pt idx="56" formatCode="General">
                  <c:v>-1.9</c:v>
                </c:pt>
                <c:pt idx="57" formatCode="General">
                  <c:v>-1.1000000000000001</c:v>
                </c:pt>
                <c:pt idx="58" formatCode="General">
                  <c:v>-1.4</c:v>
                </c:pt>
                <c:pt idx="59" formatCode="General">
                  <c:v>-1.2</c:v>
                </c:pt>
                <c:pt idx="60" formatCode="General">
                  <c:v>-0.3</c:v>
                </c:pt>
                <c:pt idx="61" formatCode="General">
                  <c:v>1.6</c:v>
                </c:pt>
                <c:pt idx="62" formatCode="General">
                  <c:v>4.0999999999999996</c:v>
                </c:pt>
                <c:pt idx="63" formatCode="General">
                  <c:v>5.6</c:v>
                </c:pt>
                <c:pt idx="64" formatCode="General">
                  <c:v>6.3</c:v>
                </c:pt>
                <c:pt idx="65" formatCode="General">
                  <c:v>7.4</c:v>
                </c:pt>
              </c:numCache>
            </c:numRef>
          </c:val>
          <c:smooth val="0"/>
          <c:extLst>
            <c:ext xmlns:c16="http://schemas.microsoft.com/office/drawing/2014/chart" uri="{C3380CC4-5D6E-409C-BE32-E72D297353CC}">
              <c16:uniqueId val="{00000002-6468-4E5C-892C-91A74145FB10}"/>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4'!$F$42:$F$107</c:f>
              <c:numCache>
                <c:formatCode>0.0</c:formatCode>
                <c:ptCount val="66"/>
                <c:pt idx="0">
                  <c:v>-4</c:v>
                </c:pt>
                <c:pt idx="1">
                  <c:v>-4.0999999999999943</c:v>
                </c:pt>
                <c:pt idx="2">
                  <c:v>-4.0999999999999943</c:v>
                </c:pt>
                <c:pt idx="3">
                  <c:v>-4</c:v>
                </c:pt>
                <c:pt idx="4">
                  <c:v>-4</c:v>
                </c:pt>
                <c:pt idx="5">
                  <c:v>-4.0999999999999943</c:v>
                </c:pt>
                <c:pt idx="6">
                  <c:v>-4</c:v>
                </c:pt>
                <c:pt idx="7">
                  <c:v>-4</c:v>
                </c:pt>
                <c:pt idx="8">
                  <c:v>-4.0999999999999943</c:v>
                </c:pt>
                <c:pt idx="9">
                  <c:v>-4.0999999999999943</c:v>
                </c:pt>
                <c:pt idx="10">
                  <c:v>-4.0999999999999943</c:v>
                </c:pt>
                <c:pt idx="11">
                  <c:v>-4.0999999999999943</c:v>
                </c:pt>
                <c:pt idx="12" formatCode="General">
                  <c:v>-1.0999999999999943</c:v>
                </c:pt>
                <c:pt idx="13" formatCode="General">
                  <c:v>-1.2000000000000028</c:v>
                </c:pt>
                <c:pt idx="14">
                  <c:v>-1.2000000000000028</c:v>
                </c:pt>
                <c:pt idx="15">
                  <c:v>-1.4000000000000057</c:v>
                </c:pt>
                <c:pt idx="16" formatCode="General">
                  <c:v>-1.2999999999999972</c:v>
                </c:pt>
                <c:pt idx="17" formatCode="General">
                  <c:v>-1.0999999999999943</c:v>
                </c:pt>
                <c:pt idx="18" formatCode="General">
                  <c:v>-1.1000000000000001</c:v>
                </c:pt>
                <c:pt idx="19" formatCode="General">
                  <c:v>-1.3</c:v>
                </c:pt>
                <c:pt idx="20" formatCode="General">
                  <c:v>-1.1000000000000001</c:v>
                </c:pt>
                <c:pt idx="21" formatCode="General">
                  <c:v>-1.1000000000000001</c:v>
                </c:pt>
                <c:pt idx="22" formatCode="General">
                  <c:v>-1.1000000000000001</c:v>
                </c:pt>
                <c:pt idx="23" formatCode="General">
                  <c:v>-1.1000000000000001</c:v>
                </c:pt>
                <c:pt idx="24" formatCode="General">
                  <c:v>1.5</c:v>
                </c:pt>
                <c:pt idx="25" formatCode="General">
                  <c:v>1.6</c:v>
                </c:pt>
                <c:pt idx="26" formatCode="General">
                  <c:v>1.6</c:v>
                </c:pt>
                <c:pt idx="27" formatCode="General">
                  <c:v>1.7</c:v>
                </c:pt>
                <c:pt idx="28" formatCode="General">
                  <c:v>1.7</c:v>
                </c:pt>
                <c:pt idx="29" formatCode="General">
                  <c:v>2.2999999999999998</c:v>
                </c:pt>
                <c:pt idx="30" formatCode="General">
                  <c:v>2.2999999999999998</c:v>
                </c:pt>
                <c:pt idx="31" formatCode="General">
                  <c:v>2.6</c:v>
                </c:pt>
                <c:pt idx="32" formatCode="General">
                  <c:v>2.7</c:v>
                </c:pt>
                <c:pt idx="33" formatCode="General">
                  <c:v>2.8</c:v>
                </c:pt>
                <c:pt idx="34" formatCode="General">
                  <c:v>2.8</c:v>
                </c:pt>
                <c:pt idx="35" formatCode="General">
                  <c:v>2.8</c:v>
                </c:pt>
                <c:pt idx="36" formatCode="General">
                  <c:v>7.2</c:v>
                </c:pt>
                <c:pt idx="37" formatCode="General">
                  <c:v>7.5</c:v>
                </c:pt>
                <c:pt idx="38" formatCode="General">
                  <c:v>8.4</c:v>
                </c:pt>
                <c:pt idx="39" formatCode="General">
                  <c:v>8.1999999999999993</c:v>
                </c:pt>
                <c:pt idx="40" formatCode="General">
                  <c:v>8.6</c:v>
                </c:pt>
                <c:pt idx="41" formatCode="General">
                  <c:v>7.9</c:v>
                </c:pt>
                <c:pt idx="42" formatCode="General">
                  <c:v>8</c:v>
                </c:pt>
                <c:pt idx="43" formatCode="General">
                  <c:v>7.7</c:v>
                </c:pt>
                <c:pt idx="44" formatCode="General">
                  <c:v>7.7</c:v>
                </c:pt>
                <c:pt idx="45" formatCode="General">
                  <c:v>7.5</c:v>
                </c:pt>
                <c:pt idx="46" formatCode="General">
                  <c:v>8.6999999999999993</c:v>
                </c:pt>
                <c:pt idx="47" formatCode="General">
                  <c:v>8.8000000000000007</c:v>
                </c:pt>
                <c:pt idx="48" formatCode="General">
                  <c:v>9.3000000000000007</c:v>
                </c:pt>
                <c:pt idx="49" formatCode="General">
                  <c:v>9</c:v>
                </c:pt>
                <c:pt idx="50" formatCode="General">
                  <c:v>8.3000000000000007</c:v>
                </c:pt>
                <c:pt idx="51" formatCode="General">
                  <c:v>8.6</c:v>
                </c:pt>
                <c:pt idx="52" formatCode="General">
                  <c:v>8</c:v>
                </c:pt>
                <c:pt idx="53" formatCode="General">
                  <c:v>8</c:v>
                </c:pt>
                <c:pt idx="54" formatCode="General">
                  <c:v>7.7</c:v>
                </c:pt>
                <c:pt idx="55" formatCode="General">
                  <c:v>7.9</c:v>
                </c:pt>
                <c:pt idx="56" formatCode="General">
                  <c:v>7.7</c:v>
                </c:pt>
                <c:pt idx="57" formatCode="General">
                  <c:v>7</c:v>
                </c:pt>
                <c:pt idx="58" formatCode="General">
                  <c:v>5.8</c:v>
                </c:pt>
                <c:pt idx="59" formatCode="General">
                  <c:v>5.6</c:v>
                </c:pt>
                <c:pt idx="60" formatCode="General">
                  <c:v>0.4</c:v>
                </c:pt>
                <c:pt idx="61" formatCode="General">
                  <c:v>0.4</c:v>
                </c:pt>
                <c:pt idx="62" formatCode="General">
                  <c:v>0.1</c:v>
                </c:pt>
                <c:pt idx="63" formatCode="General">
                  <c:v>-0.1</c:v>
                </c:pt>
                <c:pt idx="64" formatCode="General">
                  <c:v>0.2</c:v>
                </c:pt>
                <c:pt idx="65" formatCode="General">
                  <c:v>0.2</c:v>
                </c:pt>
              </c:numCache>
            </c:numRef>
          </c:val>
          <c:smooth val="0"/>
          <c:extLst>
            <c:ext xmlns:c16="http://schemas.microsoft.com/office/drawing/2014/chart" uri="{C3380CC4-5D6E-409C-BE32-E72D297353CC}">
              <c16:uniqueId val="{00000003-6468-4E5C-892C-91A74145FB10}"/>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4'!$A$42:$B$107</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'Ceny 4'!$G$42:$G$107</c:f>
              <c:numCache>
                <c:formatCode>General</c:formatCode>
                <c:ptCount val="66"/>
                <c:pt idx="0">
                  <c:v>0.5</c:v>
                </c:pt>
                <c:pt idx="1">
                  <c:v>0.5</c:v>
                </c:pt>
                <c:pt idx="2">
                  <c:v>0.5</c:v>
                </c:pt>
                <c:pt idx="3">
                  <c:v>1.5999999999999943</c:v>
                </c:pt>
                <c:pt idx="4">
                  <c:v>1.5999999999999943</c:v>
                </c:pt>
                <c:pt idx="5">
                  <c:v>1.5999999999999943</c:v>
                </c:pt>
                <c:pt idx="6">
                  <c:v>1.5999999999999943</c:v>
                </c:pt>
                <c:pt idx="7">
                  <c:v>1.5999999999999943</c:v>
                </c:pt>
                <c:pt idx="8">
                  <c:v>1.5999999999999943</c:v>
                </c:pt>
                <c:pt idx="9">
                  <c:v>1.5999999999999943</c:v>
                </c:pt>
                <c:pt idx="10">
                  <c:v>1.5999999999999943</c:v>
                </c:pt>
                <c:pt idx="11">
                  <c:v>1.5999999999999943</c:v>
                </c:pt>
                <c:pt idx="12">
                  <c:v>2.0999999999999943</c:v>
                </c:pt>
                <c:pt idx="13">
                  <c:v>2.0999999999999943</c:v>
                </c:pt>
                <c:pt idx="14" formatCode="0.0">
                  <c:v>2.0999999999999943</c:v>
                </c:pt>
                <c:pt idx="15" formatCode="0.0">
                  <c:v>1</c:v>
                </c:pt>
                <c:pt idx="16">
                  <c:v>1</c:v>
                </c:pt>
                <c:pt idx="17">
                  <c:v>1</c:v>
                </c:pt>
                <c:pt idx="18">
                  <c:v>1</c:v>
                </c:pt>
                <c:pt idx="19">
                  <c:v>1</c:v>
                </c:pt>
                <c:pt idx="20">
                  <c:v>1</c:v>
                </c:pt>
                <c:pt idx="21">
                  <c:v>1</c:v>
                </c:pt>
                <c:pt idx="22">
                  <c:v>1</c:v>
                </c:pt>
                <c:pt idx="23">
                  <c:v>1</c:v>
                </c:pt>
                <c:pt idx="24">
                  <c:v>1.9</c:v>
                </c:pt>
                <c:pt idx="25">
                  <c:v>1.9</c:v>
                </c:pt>
                <c:pt idx="26">
                  <c:v>1.9</c:v>
                </c:pt>
                <c:pt idx="27">
                  <c:v>1.9</c:v>
                </c:pt>
                <c:pt idx="28">
                  <c:v>1.9</c:v>
                </c:pt>
                <c:pt idx="29">
                  <c:v>1.9</c:v>
                </c:pt>
                <c:pt idx="30">
                  <c:v>1.9</c:v>
                </c:pt>
                <c:pt idx="31">
                  <c:v>1.9</c:v>
                </c:pt>
                <c:pt idx="32">
                  <c:v>1.9</c:v>
                </c:pt>
                <c:pt idx="33">
                  <c:v>1.9</c:v>
                </c:pt>
                <c:pt idx="34">
                  <c:v>1.9</c:v>
                </c:pt>
                <c:pt idx="35">
                  <c:v>1.9</c:v>
                </c:pt>
                <c:pt idx="36">
                  <c:v>2.9</c:v>
                </c:pt>
                <c:pt idx="37">
                  <c:v>2.9</c:v>
                </c:pt>
                <c:pt idx="38">
                  <c:v>2.9</c:v>
                </c:pt>
                <c:pt idx="39">
                  <c:v>2.9</c:v>
                </c:pt>
                <c:pt idx="40">
                  <c:v>2.9</c:v>
                </c:pt>
                <c:pt idx="41">
                  <c:v>2.9</c:v>
                </c:pt>
                <c:pt idx="42">
                  <c:v>2.9</c:v>
                </c:pt>
                <c:pt idx="43">
                  <c:v>2.9</c:v>
                </c:pt>
                <c:pt idx="44">
                  <c:v>2.9</c:v>
                </c:pt>
                <c:pt idx="45">
                  <c:v>2.9</c:v>
                </c:pt>
                <c:pt idx="46">
                  <c:v>2.9</c:v>
                </c:pt>
                <c:pt idx="47">
                  <c:v>2.9</c:v>
                </c:pt>
                <c:pt idx="48">
                  <c:v>5.4</c:v>
                </c:pt>
                <c:pt idx="49">
                  <c:v>5.4</c:v>
                </c:pt>
                <c:pt idx="50">
                  <c:v>5.4</c:v>
                </c:pt>
                <c:pt idx="51">
                  <c:v>5.4</c:v>
                </c:pt>
                <c:pt idx="52">
                  <c:v>6.4</c:v>
                </c:pt>
                <c:pt idx="53">
                  <c:v>6.4</c:v>
                </c:pt>
                <c:pt idx="54">
                  <c:v>6.4</c:v>
                </c:pt>
                <c:pt idx="55">
                  <c:v>6.4</c:v>
                </c:pt>
                <c:pt idx="56">
                  <c:v>6.4</c:v>
                </c:pt>
                <c:pt idx="57">
                  <c:v>6.4</c:v>
                </c:pt>
                <c:pt idx="58">
                  <c:v>6.4</c:v>
                </c:pt>
                <c:pt idx="59">
                  <c:v>6.4</c:v>
                </c:pt>
                <c:pt idx="60">
                  <c:v>6.9</c:v>
                </c:pt>
                <c:pt idx="61">
                  <c:v>6.9</c:v>
                </c:pt>
                <c:pt idx="62">
                  <c:v>6.9</c:v>
                </c:pt>
                <c:pt idx="63">
                  <c:v>6.9</c:v>
                </c:pt>
                <c:pt idx="64">
                  <c:v>5.9</c:v>
                </c:pt>
                <c:pt idx="65">
                  <c:v>5.9</c:v>
                </c:pt>
              </c:numCache>
            </c:numRef>
          </c:val>
          <c:smooth val="0"/>
          <c:extLst>
            <c:ext xmlns:c16="http://schemas.microsoft.com/office/drawing/2014/chart" uri="{C3380CC4-5D6E-409C-BE32-E72D297353CC}">
              <c16:uniqueId val="{00000004-6468-4E5C-892C-91A74145FB10}"/>
            </c:ext>
          </c:extLst>
        </c:ser>
        <c:dLbls>
          <c:showLegendKey val="0"/>
          <c:showVal val="0"/>
          <c:showCatName val="0"/>
          <c:showSerName val="0"/>
          <c:showPercent val="0"/>
          <c:showBubbleSize val="0"/>
        </c:dLbls>
        <c:marker val="1"/>
        <c:smooth val="0"/>
        <c:axId val="36503936"/>
        <c:axId val="36505472"/>
      </c:lineChart>
      <c:catAx>
        <c:axId val="36503936"/>
        <c:scaling>
          <c:orientation val="minMax"/>
        </c:scaling>
        <c:delete val="0"/>
        <c:axPos val="b"/>
        <c:numFmt formatCode="General" sourceLinked="0"/>
        <c:majorTickMark val="out"/>
        <c:minorTickMark val="none"/>
        <c:tickLblPos val="low"/>
        <c:spPr>
          <a:ln>
            <a:solidFill>
              <a:schemeClr val="tx1"/>
            </a:solidFill>
          </a:ln>
        </c:spPr>
        <c:crossAx val="36505472"/>
        <c:crosses val="autoZero"/>
        <c:auto val="1"/>
        <c:lblAlgn val="ctr"/>
        <c:lblOffset val="100"/>
        <c:noMultiLvlLbl val="0"/>
      </c:catAx>
      <c:valAx>
        <c:axId val="36505472"/>
        <c:scaling>
          <c:orientation val="minMax"/>
          <c:max val="12"/>
          <c:min val="-1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36503936"/>
        <c:crosses val="autoZero"/>
        <c:crossBetween val="between"/>
        <c:majorUnit val="2"/>
      </c:valAx>
      <c:spPr>
        <a:ln>
          <a:solidFill>
            <a:schemeClr val="tx1"/>
          </a:solidFill>
        </a:ln>
      </c:spPr>
    </c:plotArea>
    <c:legend>
      <c:legendPos val="b"/>
      <c:layout>
        <c:manualLayout>
          <c:xMode val="edge"/>
          <c:yMode val="edge"/>
          <c:x val="6.1319022289766968E-2"/>
          <c:y val="0.86223931272106069"/>
          <c:w val="0.90901046943600139"/>
          <c:h val="0.12109402425765226"/>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3420125451377358"/>
          <c:h val="0.66642820303791572"/>
        </c:manualLayout>
      </c:layout>
      <c:barChart>
        <c:barDir val="col"/>
        <c:grouping val="stacked"/>
        <c:varyColors val="0"/>
        <c:ser>
          <c:idx val="0"/>
          <c:order val="0"/>
          <c:tx>
            <c:strRef>
              <c:f>'Trh práce 1-SNÚ'!$AC$7</c:f>
              <c:strCache>
                <c:ptCount val="1"/>
                <c:pt idx="0">
                  <c:v>Zemědělství, lesnictví a rybářství</c:v>
                </c:pt>
              </c:strCache>
            </c:strRef>
          </c:tx>
          <c:spPr>
            <a:solidFill>
              <a:srgbClr val="7DBB2D"/>
            </a:solidFill>
            <a:ln>
              <a:noFill/>
            </a:ln>
          </c:spPr>
          <c:invertIfNegative val="0"/>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1-SNÚ'!$AC$28:$AC$54</c:f>
              <c:numCache>
                <c:formatCode>#\ ##0.0</c:formatCode>
                <c:ptCount val="27"/>
                <c:pt idx="0">
                  <c:v>-5.6677054184560781E-2</c:v>
                </c:pt>
                <c:pt idx="1">
                  <c:v>-5.1607322824015513E-2</c:v>
                </c:pt>
                <c:pt idx="2">
                  <c:v>-6.9891278713406377E-2</c:v>
                </c:pt>
                <c:pt idx="3">
                  <c:v>-0.14152766500586728</c:v>
                </c:pt>
                <c:pt idx="4">
                  <c:v>-0.11957614913941057</c:v>
                </c:pt>
                <c:pt idx="5">
                  <c:v>-3.02348639604662E-2</c:v>
                </c:pt>
                <c:pt idx="6">
                  <c:v>-4.7646022434106698E-2</c:v>
                </c:pt>
                <c:pt idx="7">
                  <c:v>5.3596790651858295E-2</c:v>
                </c:pt>
                <c:pt idx="8">
                  <c:v>0.10353112845488527</c:v>
                </c:pt>
                <c:pt idx="9">
                  <c:v>3.4547187522400186E-2</c:v>
                </c:pt>
                <c:pt idx="10">
                  <c:v>1.7808989286696726E-2</c:v>
                </c:pt>
                <c:pt idx="11">
                  <c:v>-9.5124644980561279E-2</c:v>
                </c:pt>
                <c:pt idx="12">
                  <c:v>3.2050098392482823E-2</c:v>
                </c:pt>
                <c:pt idx="13">
                  <c:v>2.9656752150723571E-2</c:v>
                </c:pt>
                <c:pt idx="14">
                  <c:v>1.6015798281392987E-2</c:v>
                </c:pt>
                <c:pt idx="15">
                  <c:v>8.185225491141454E-2</c:v>
                </c:pt>
                <c:pt idx="16">
                  <c:v>-3.1059507716079723E-2</c:v>
                </c:pt>
                <c:pt idx="17">
                  <c:v>-9.207748512930998E-2</c:v>
                </c:pt>
                <c:pt idx="18">
                  <c:v>-0.12566979454251256</c:v>
                </c:pt>
                <c:pt idx="19">
                  <c:v>-0.13346654214698095</c:v>
                </c:pt>
                <c:pt idx="20">
                  <c:v>-0.11113022567347482</c:v>
                </c:pt>
                <c:pt idx="21">
                  <c:v>-3.5074130368155279E-2</c:v>
                </c:pt>
                <c:pt idx="22">
                  <c:v>5.2773986790109355E-2</c:v>
                </c:pt>
                <c:pt idx="23">
                  <c:v>4.443918031608541E-2</c:v>
                </c:pt>
                <c:pt idx="24">
                  <c:v>1.2047216935347455E-2</c:v>
                </c:pt>
                <c:pt idx="25">
                  <c:v>-5.8656540063489492E-2</c:v>
                </c:pt>
              </c:numCache>
            </c:numRef>
          </c:val>
          <c:extLst>
            <c:ext xmlns:c16="http://schemas.microsoft.com/office/drawing/2014/chart" uri="{C3380CC4-5D6E-409C-BE32-E72D297353CC}">
              <c16:uniqueId val="{00000000-DA94-4B72-89EB-A0FF247B4373}"/>
            </c:ext>
          </c:extLst>
        </c:ser>
        <c:ser>
          <c:idx val="1"/>
          <c:order val="1"/>
          <c:tx>
            <c:strRef>
              <c:f>'Trh práce 1-SNÚ'!$AD$7</c:f>
              <c:strCache>
                <c:ptCount val="1"/>
                <c:pt idx="0">
                  <c:v>Zpracovatelský průmysl</c:v>
                </c:pt>
              </c:strCache>
            </c:strRef>
          </c:tx>
          <c:spPr>
            <a:solidFill>
              <a:srgbClr val="A6CDE8"/>
            </a:solidFill>
            <a:ln>
              <a:noFill/>
            </a:ln>
          </c:spPr>
          <c:invertIfNegative val="0"/>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1-SNÚ'!$AD$28:$AD$54</c:f>
              <c:numCache>
                <c:formatCode>#\ ##0.0</c:formatCode>
                <c:ptCount val="27"/>
                <c:pt idx="0">
                  <c:v>0.8973211837957854</c:v>
                </c:pt>
                <c:pt idx="1">
                  <c:v>0.93240500328089182</c:v>
                </c:pt>
                <c:pt idx="2">
                  <c:v>0.78322390473214842</c:v>
                </c:pt>
                <c:pt idx="3">
                  <c:v>0.92856953615549465</c:v>
                </c:pt>
                <c:pt idx="4">
                  <c:v>0.86888766422551245</c:v>
                </c:pt>
                <c:pt idx="5">
                  <c:v>0.63466218902728611</c:v>
                </c:pt>
                <c:pt idx="6">
                  <c:v>0.67030166755296461</c:v>
                </c:pt>
                <c:pt idx="7">
                  <c:v>0.52226112325646856</c:v>
                </c:pt>
                <c:pt idx="8">
                  <c:v>0.25692544860143091</c:v>
                </c:pt>
                <c:pt idx="9">
                  <c:v>0.4029301034533323</c:v>
                </c:pt>
                <c:pt idx="10">
                  <c:v>0.49305079188297163</c:v>
                </c:pt>
                <c:pt idx="11">
                  <c:v>0.4790569189501015</c:v>
                </c:pt>
                <c:pt idx="12">
                  <c:v>0.34915953751387369</c:v>
                </c:pt>
                <c:pt idx="13">
                  <c:v>0.29129979245897197</c:v>
                </c:pt>
                <c:pt idx="14">
                  <c:v>9.8459913388051989E-2</c:v>
                </c:pt>
                <c:pt idx="15">
                  <c:v>8.7027357678158501E-2</c:v>
                </c:pt>
                <c:pt idx="16">
                  <c:v>0.15622524191719908</c:v>
                </c:pt>
                <c:pt idx="17">
                  <c:v>-1.4335858201041258E-2</c:v>
                </c:pt>
                <c:pt idx="18">
                  <c:v>-0.16956473525850688</c:v>
                </c:pt>
                <c:pt idx="19">
                  <c:v>-0.55893946933332894</c:v>
                </c:pt>
                <c:pt idx="20">
                  <c:v>-0.94324538896959609</c:v>
                </c:pt>
                <c:pt idx="21">
                  <c:v>-1.2295778121418541</c:v>
                </c:pt>
                <c:pt idx="22">
                  <c:v>-1.2343771039367566</c:v>
                </c:pt>
                <c:pt idx="23">
                  <c:v>-1.0657457809109596</c:v>
                </c:pt>
                <c:pt idx="24">
                  <c:v>-0.57050059151835375</c:v>
                </c:pt>
                <c:pt idx="25">
                  <c:v>-0.16123981086550393</c:v>
                </c:pt>
              </c:numCache>
            </c:numRef>
          </c:val>
          <c:extLst>
            <c:ext xmlns:c16="http://schemas.microsoft.com/office/drawing/2014/chart" uri="{C3380CC4-5D6E-409C-BE32-E72D297353CC}">
              <c16:uniqueId val="{00000001-DA94-4B72-89EB-A0FF247B4373}"/>
            </c:ext>
          </c:extLst>
        </c:ser>
        <c:ser>
          <c:idx val="2"/>
          <c:order val="2"/>
          <c:tx>
            <c:strRef>
              <c:f>'Trh práce 1-SNÚ'!$AE$7</c:f>
              <c:strCache>
                <c:ptCount val="1"/>
                <c:pt idx="0">
                  <c:v>Stavebnictví</c:v>
                </c:pt>
              </c:strCache>
            </c:strRef>
          </c:tx>
          <c:spPr>
            <a:solidFill>
              <a:srgbClr val="48AEE7"/>
            </a:solidFill>
            <a:ln w="19050">
              <a:noFill/>
            </a:ln>
          </c:spPr>
          <c:invertIfNegative val="0"/>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1-SNÚ'!$AE$28:$AE$54</c:f>
              <c:numCache>
                <c:formatCode>#\ ##0.0</c:formatCode>
                <c:ptCount val="27"/>
                <c:pt idx="0">
                  <c:v>-0.10869652798016841</c:v>
                </c:pt>
                <c:pt idx="1">
                  <c:v>-0.10209615994424059</c:v>
                </c:pt>
                <c:pt idx="2">
                  <c:v>-0.16545690470928856</c:v>
                </c:pt>
                <c:pt idx="3">
                  <c:v>-0.17895019005421842</c:v>
                </c:pt>
                <c:pt idx="4">
                  <c:v>-0.11373322367009846</c:v>
                </c:pt>
                <c:pt idx="5">
                  <c:v>-0.12545154650943438</c:v>
                </c:pt>
                <c:pt idx="6">
                  <c:v>-3.1860386360670866E-2</c:v>
                </c:pt>
                <c:pt idx="7">
                  <c:v>1.8032205750158924E-2</c:v>
                </c:pt>
                <c:pt idx="8">
                  <c:v>-1.9444350441111414E-2</c:v>
                </c:pt>
                <c:pt idx="9">
                  <c:v>1.8614032242393937E-2</c:v>
                </c:pt>
                <c:pt idx="10">
                  <c:v>7.0286650681611176E-2</c:v>
                </c:pt>
                <c:pt idx="11">
                  <c:v>-6.0221710983330345E-2</c:v>
                </c:pt>
                <c:pt idx="12">
                  <c:v>9.978678488335628E-2</c:v>
                </c:pt>
                <c:pt idx="13">
                  <c:v>7.2735902872823929E-2</c:v>
                </c:pt>
                <c:pt idx="14">
                  <c:v>5.9649537087560163E-2</c:v>
                </c:pt>
                <c:pt idx="15">
                  <c:v>0.1162536574759572</c:v>
                </c:pt>
                <c:pt idx="16">
                  <c:v>2.9352533576366864E-2</c:v>
                </c:pt>
                <c:pt idx="17">
                  <c:v>9.3127798647895263E-2</c:v>
                </c:pt>
                <c:pt idx="18">
                  <c:v>0.10007825071187611</c:v>
                </c:pt>
                <c:pt idx="19">
                  <c:v>0.12319422069622019</c:v>
                </c:pt>
                <c:pt idx="20">
                  <c:v>0.21637275727153377</c:v>
                </c:pt>
                <c:pt idx="21">
                  <c:v>-8.4471727588227383E-3</c:v>
                </c:pt>
                <c:pt idx="22">
                  <c:v>7.7604469929050846E-2</c:v>
                </c:pt>
                <c:pt idx="23">
                  <c:v>0.12629596568001819</c:v>
                </c:pt>
                <c:pt idx="24">
                  <c:v>-5.7659833670562981E-2</c:v>
                </c:pt>
                <c:pt idx="25">
                  <c:v>0.15465361586797199</c:v>
                </c:pt>
              </c:numCache>
            </c:numRef>
          </c:val>
          <c:extLst>
            <c:ext xmlns:c16="http://schemas.microsoft.com/office/drawing/2014/chart" uri="{C3380CC4-5D6E-409C-BE32-E72D297353CC}">
              <c16:uniqueId val="{00000002-DA94-4B72-89EB-A0FF247B4373}"/>
            </c:ext>
          </c:extLst>
        </c:ser>
        <c:ser>
          <c:idx val="3"/>
          <c:order val="3"/>
          <c:tx>
            <c:strRef>
              <c:f>'Trh práce 1-SNÚ'!$AF$7</c:f>
              <c:strCache>
                <c:ptCount val="1"/>
                <c:pt idx="0">
                  <c:v>Obchod, doprava, ubytování a pohost.</c:v>
                </c:pt>
              </c:strCache>
            </c:strRef>
          </c:tx>
          <c:spPr>
            <a:solidFill>
              <a:srgbClr val="FDDEB3"/>
            </a:solidFill>
            <a:ln w="19050">
              <a:noFill/>
            </a:ln>
          </c:spPr>
          <c:invertIfNegative val="0"/>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1-SNÚ'!$AF$28:$AF$54</c:f>
              <c:numCache>
                <c:formatCode>#\ ##0.0</c:formatCode>
                <c:ptCount val="27"/>
                <c:pt idx="0">
                  <c:v>0.21725549029484031</c:v>
                </c:pt>
                <c:pt idx="1">
                  <c:v>0.47973225414506893</c:v>
                </c:pt>
                <c:pt idx="2">
                  <c:v>0.31856511270432697</c:v>
                </c:pt>
                <c:pt idx="3">
                  <c:v>0.19833353853058974</c:v>
                </c:pt>
                <c:pt idx="4">
                  <c:v>6.3068653986030024E-2</c:v>
                </c:pt>
                <c:pt idx="5">
                  <c:v>0.14785774033727989</c:v>
                </c:pt>
                <c:pt idx="6">
                  <c:v>6.688175479221287E-3</c:v>
                </c:pt>
                <c:pt idx="7">
                  <c:v>0.15925244395982574</c:v>
                </c:pt>
                <c:pt idx="8">
                  <c:v>0.19450086237701714</c:v>
                </c:pt>
                <c:pt idx="9">
                  <c:v>-6.8447922443940921E-4</c:v>
                </c:pt>
                <c:pt idx="10">
                  <c:v>0.33618739157733363</c:v>
                </c:pt>
                <c:pt idx="11">
                  <c:v>0.18398562829243031</c:v>
                </c:pt>
                <c:pt idx="12">
                  <c:v>0.17924314286166321</c:v>
                </c:pt>
                <c:pt idx="13">
                  <c:v>0.42149330932798285</c:v>
                </c:pt>
                <c:pt idx="14">
                  <c:v>0.20459251153416669</c:v>
                </c:pt>
                <c:pt idx="15">
                  <c:v>0.19123680116101013</c:v>
                </c:pt>
                <c:pt idx="16">
                  <c:v>0.41047161840073582</c:v>
                </c:pt>
                <c:pt idx="17">
                  <c:v>0.14533022317687969</c:v>
                </c:pt>
                <c:pt idx="18">
                  <c:v>-1.374599866894316E-2</c:v>
                </c:pt>
                <c:pt idx="19">
                  <c:v>-5.1195924649759174E-2</c:v>
                </c:pt>
                <c:pt idx="20">
                  <c:v>-0.41094264742004311</c:v>
                </c:pt>
                <c:pt idx="21">
                  <c:v>-0.95188618940507708</c:v>
                </c:pt>
                <c:pt idx="22">
                  <c:v>-0.76136376823580798</c:v>
                </c:pt>
                <c:pt idx="23">
                  <c:v>-1.2617401200430671</c:v>
                </c:pt>
                <c:pt idx="24">
                  <c:v>-1.1431696820850703</c:v>
                </c:pt>
                <c:pt idx="25">
                  <c:v>-0.49946250269032738</c:v>
                </c:pt>
              </c:numCache>
            </c:numRef>
          </c:val>
          <c:extLst>
            <c:ext xmlns:c16="http://schemas.microsoft.com/office/drawing/2014/chart" uri="{C3380CC4-5D6E-409C-BE32-E72D297353CC}">
              <c16:uniqueId val="{00000003-DA94-4B72-89EB-A0FF247B4373}"/>
            </c:ext>
          </c:extLst>
        </c:ser>
        <c:ser>
          <c:idx val="4"/>
          <c:order val="4"/>
          <c:tx>
            <c:strRef>
              <c:f>'Trh práce 1-SNÚ'!$AG$7</c:f>
              <c:strCache>
                <c:ptCount val="1"/>
                <c:pt idx="0">
                  <c:v>Informační a komunikační činnosti</c:v>
                </c:pt>
              </c:strCache>
            </c:strRef>
          </c:tx>
          <c:spPr>
            <a:solidFill>
              <a:srgbClr val="F8A124"/>
            </a:solidFill>
            <a:ln w="19050">
              <a:noFill/>
            </a:ln>
          </c:spPr>
          <c:invertIfNegative val="0"/>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1-SNÚ'!$AG$28:$AG$54</c:f>
              <c:numCache>
                <c:formatCode>#\ ##0.0</c:formatCode>
                <c:ptCount val="27"/>
                <c:pt idx="0">
                  <c:v>7.5857638402359439E-3</c:v>
                </c:pt>
                <c:pt idx="1">
                  <c:v>5.8337859602965066E-2</c:v>
                </c:pt>
                <c:pt idx="2">
                  <c:v>7.3076148277366471E-2</c:v>
                </c:pt>
                <c:pt idx="3">
                  <c:v>0.101592122918871</c:v>
                </c:pt>
                <c:pt idx="4">
                  <c:v>0.11899379776373163</c:v>
                </c:pt>
                <c:pt idx="5">
                  <c:v>0.11409419008550926</c:v>
                </c:pt>
                <c:pt idx="6">
                  <c:v>0.12987010483859668</c:v>
                </c:pt>
                <c:pt idx="7">
                  <c:v>0.16669217063926228</c:v>
                </c:pt>
                <c:pt idx="8">
                  <c:v>0.14027846527673005</c:v>
                </c:pt>
                <c:pt idx="9">
                  <c:v>0.1351276068914134</c:v>
                </c:pt>
                <c:pt idx="10">
                  <c:v>0.13451672611540119</c:v>
                </c:pt>
                <c:pt idx="11">
                  <c:v>0.11997176069642783</c:v>
                </c:pt>
                <c:pt idx="12">
                  <c:v>0.11565167779721315</c:v>
                </c:pt>
                <c:pt idx="13">
                  <c:v>0.13697970162157849</c:v>
                </c:pt>
                <c:pt idx="14">
                  <c:v>0.12890855314395611</c:v>
                </c:pt>
                <c:pt idx="15">
                  <c:v>0.14791858483650214</c:v>
                </c:pt>
                <c:pt idx="16">
                  <c:v>0.14590918081197787</c:v>
                </c:pt>
                <c:pt idx="17">
                  <c:v>8.1482217178668936E-2</c:v>
                </c:pt>
                <c:pt idx="18">
                  <c:v>0.13404655077835173</c:v>
                </c:pt>
                <c:pt idx="19">
                  <c:v>0.14640819444068129</c:v>
                </c:pt>
                <c:pt idx="20">
                  <c:v>0.19847048747347235</c:v>
                </c:pt>
                <c:pt idx="21">
                  <c:v>0.15449144439125151</c:v>
                </c:pt>
                <c:pt idx="22">
                  <c:v>0.16384803228552275</c:v>
                </c:pt>
                <c:pt idx="23">
                  <c:v>0.13435229940883867</c:v>
                </c:pt>
                <c:pt idx="24">
                  <c:v>0.11113094268360513</c:v>
                </c:pt>
                <c:pt idx="25">
                  <c:v>0.16767589315653939</c:v>
                </c:pt>
              </c:numCache>
            </c:numRef>
          </c:val>
          <c:extLst>
            <c:ext xmlns:c16="http://schemas.microsoft.com/office/drawing/2014/chart" uri="{C3380CC4-5D6E-409C-BE32-E72D297353CC}">
              <c16:uniqueId val="{00000004-DA94-4B72-89EB-A0FF247B4373}"/>
            </c:ext>
          </c:extLst>
        </c:ser>
        <c:ser>
          <c:idx val="5"/>
          <c:order val="5"/>
          <c:tx>
            <c:strRef>
              <c:f>'Trh práce 1-SNÚ'!$AH$7</c:f>
              <c:strCache>
                <c:ptCount val="1"/>
                <c:pt idx="0">
                  <c:v>Profesní, vědecké techn. a admin. čin.</c:v>
                </c:pt>
              </c:strCache>
            </c:strRef>
          </c:tx>
          <c:spPr>
            <a:solidFill>
              <a:srgbClr val="E8C0BE"/>
            </a:solidFill>
            <a:ln w="19050">
              <a:noFill/>
            </a:ln>
          </c:spPr>
          <c:invertIfNegative val="0"/>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1-SNÚ'!$AH$28:$AH$54</c:f>
              <c:numCache>
                <c:formatCode>#\ ##0.0</c:formatCode>
                <c:ptCount val="27"/>
                <c:pt idx="0">
                  <c:v>0.10653478180808044</c:v>
                </c:pt>
                <c:pt idx="1">
                  <c:v>0.12599643340418387</c:v>
                </c:pt>
                <c:pt idx="2">
                  <c:v>0.26797844214547623</c:v>
                </c:pt>
                <c:pt idx="3">
                  <c:v>0.33512738074273013</c:v>
                </c:pt>
                <c:pt idx="4">
                  <c:v>0.23895818115359482</c:v>
                </c:pt>
                <c:pt idx="5">
                  <c:v>0.24936049791884499</c:v>
                </c:pt>
                <c:pt idx="6">
                  <c:v>0.24520740186355397</c:v>
                </c:pt>
                <c:pt idx="7">
                  <c:v>0.26629223246396738</c:v>
                </c:pt>
                <c:pt idx="8">
                  <c:v>0.40401039249864829</c:v>
                </c:pt>
                <c:pt idx="9">
                  <c:v>0.35370463922906481</c:v>
                </c:pt>
                <c:pt idx="10">
                  <c:v>0.31524569095555699</c:v>
                </c:pt>
                <c:pt idx="11">
                  <c:v>0.14696965180455621</c:v>
                </c:pt>
                <c:pt idx="12">
                  <c:v>0.1718005862096757</c:v>
                </c:pt>
                <c:pt idx="13">
                  <c:v>0.14108515593321466</c:v>
                </c:pt>
                <c:pt idx="14">
                  <c:v>9.7714992537754661E-2</c:v>
                </c:pt>
                <c:pt idx="15">
                  <c:v>0.19309834891883168</c:v>
                </c:pt>
                <c:pt idx="16">
                  <c:v>-1.7477930865320849E-2</c:v>
                </c:pt>
                <c:pt idx="17">
                  <c:v>-1.9200468181857312E-2</c:v>
                </c:pt>
                <c:pt idx="18">
                  <c:v>-2.754735035266059E-2</c:v>
                </c:pt>
                <c:pt idx="19">
                  <c:v>-0.21095077330513856</c:v>
                </c:pt>
                <c:pt idx="20">
                  <c:v>-0.16110202913856714</c:v>
                </c:pt>
                <c:pt idx="21">
                  <c:v>-0.27232950437682868</c:v>
                </c:pt>
                <c:pt idx="22">
                  <c:v>-0.38977227241839929</c:v>
                </c:pt>
                <c:pt idx="23">
                  <c:v>-0.21911010402833297</c:v>
                </c:pt>
                <c:pt idx="24">
                  <c:v>-0.23000917256563372</c:v>
                </c:pt>
                <c:pt idx="25">
                  <c:v>0.11656251659449672</c:v>
                </c:pt>
              </c:numCache>
            </c:numRef>
          </c:val>
          <c:extLst>
            <c:ext xmlns:c16="http://schemas.microsoft.com/office/drawing/2014/chart" uri="{C3380CC4-5D6E-409C-BE32-E72D297353CC}">
              <c16:uniqueId val="{00000005-DA94-4B72-89EB-A0FF247B4373}"/>
            </c:ext>
          </c:extLst>
        </c:ser>
        <c:ser>
          <c:idx val="6"/>
          <c:order val="6"/>
          <c:tx>
            <c:strRef>
              <c:f>'Trh práce 1-SNÚ'!$AI$7</c:f>
              <c:strCache>
                <c:ptCount val="1"/>
                <c:pt idx="0">
                  <c:v>Veř.spr.,obrana, vzděl.,zdrav.a soc.péče</c:v>
                </c:pt>
              </c:strCache>
            </c:strRef>
          </c:tx>
          <c:spPr>
            <a:solidFill>
              <a:srgbClr val="D58D8B"/>
            </a:solidFill>
            <a:ln>
              <a:noFill/>
            </a:ln>
          </c:spPr>
          <c:invertIfNegative val="0"/>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1-SNÚ'!$AI$28:$AI$54</c:f>
              <c:numCache>
                <c:formatCode>#\ ##0.0</c:formatCode>
                <c:ptCount val="27"/>
                <c:pt idx="0">
                  <c:v>0.22808387339320821</c:v>
                </c:pt>
                <c:pt idx="1">
                  <c:v>0.23731519476564394</c:v>
                </c:pt>
                <c:pt idx="2">
                  <c:v>0.11834818987059058</c:v>
                </c:pt>
                <c:pt idx="3">
                  <c:v>0.11257926718085437</c:v>
                </c:pt>
                <c:pt idx="4">
                  <c:v>0.34574201174059122</c:v>
                </c:pt>
                <c:pt idx="5">
                  <c:v>0.35302288864044334</c:v>
                </c:pt>
                <c:pt idx="6">
                  <c:v>0.44180506724700391</c:v>
                </c:pt>
                <c:pt idx="7">
                  <c:v>0.52441422245051739</c:v>
                </c:pt>
                <c:pt idx="8">
                  <c:v>0.4402223883053985</c:v>
                </c:pt>
                <c:pt idx="9">
                  <c:v>0.48225364024114387</c:v>
                </c:pt>
                <c:pt idx="10">
                  <c:v>0.54201601935673571</c:v>
                </c:pt>
                <c:pt idx="11">
                  <c:v>0.53510914430457346</c:v>
                </c:pt>
                <c:pt idx="12">
                  <c:v>0.4041402471607079</c:v>
                </c:pt>
                <c:pt idx="13">
                  <c:v>0.44415766669222101</c:v>
                </c:pt>
                <c:pt idx="14">
                  <c:v>0.30949599027729074</c:v>
                </c:pt>
                <c:pt idx="15">
                  <c:v>0.28546834866193815</c:v>
                </c:pt>
                <c:pt idx="16">
                  <c:v>0.18663535729751846</c:v>
                </c:pt>
                <c:pt idx="17">
                  <c:v>0.12854363343247277</c:v>
                </c:pt>
                <c:pt idx="18">
                  <c:v>0.15565267754524093</c:v>
                </c:pt>
                <c:pt idx="19">
                  <c:v>0.18823384737281104</c:v>
                </c:pt>
                <c:pt idx="20">
                  <c:v>0.3994248458850107</c:v>
                </c:pt>
                <c:pt idx="21">
                  <c:v>0.35002513033895699</c:v>
                </c:pt>
                <c:pt idx="22">
                  <c:v>0.49047572295296393</c:v>
                </c:pt>
                <c:pt idx="23">
                  <c:v>0.42689329847921881</c:v>
                </c:pt>
                <c:pt idx="24">
                  <c:v>0.43987169157938644</c:v>
                </c:pt>
                <c:pt idx="25">
                  <c:v>0.55749982783951901</c:v>
                </c:pt>
              </c:numCache>
            </c:numRef>
          </c:val>
          <c:extLst>
            <c:ext xmlns:c16="http://schemas.microsoft.com/office/drawing/2014/chart" uri="{C3380CC4-5D6E-409C-BE32-E72D297353CC}">
              <c16:uniqueId val="{00000006-DA94-4B72-89EB-A0FF247B4373}"/>
            </c:ext>
          </c:extLst>
        </c:ser>
        <c:ser>
          <c:idx val="7"/>
          <c:order val="7"/>
          <c:tx>
            <c:strRef>
              <c:f>'Trh práce 1-SNÚ'!$AJ$7</c:f>
              <c:strCache>
                <c:ptCount val="1"/>
                <c:pt idx="0">
                  <c:v>Ostatní odvětví*</c:v>
                </c:pt>
              </c:strCache>
            </c:strRef>
          </c:tx>
          <c:spPr>
            <a:solidFill>
              <a:schemeClr val="bg1">
                <a:lumMod val="85000"/>
              </a:schemeClr>
            </a:solidFill>
            <a:ln>
              <a:noFill/>
            </a:ln>
          </c:spPr>
          <c:invertIfNegative val="0"/>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1-SNÚ'!$AJ$28:$AJ$54</c:f>
              <c:numCache>
                <c:formatCode>#\ ##0.0</c:formatCode>
                <c:ptCount val="27"/>
                <c:pt idx="0">
                  <c:v>-5.233390960245677E-2</c:v>
                </c:pt>
                <c:pt idx="1">
                  <c:v>8.3788315003249514E-2</c:v>
                </c:pt>
                <c:pt idx="2">
                  <c:v>4.7987973307275944E-2</c:v>
                </c:pt>
                <c:pt idx="3">
                  <c:v>-2.0669078124050264E-2</c:v>
                </c:pt>
                <c:pt idx="4">
                  <c:v>0.12695259989801055</c:v>
                </c:pt>
                <c:pt idx="5">
                  <c:v>7.2154885803612609E-2</c:v>
                </c:pt>
                <c:pt idx="6">
                  <c:v>0.1033294200118309</c:v>
                </c:pt>
                <c:pt idx="7">
                  <c:v>0.18514730658825221</c:v>
                </c:pt>
                <c:pt idx="8">
                  <c:v>-4.7740946953249951E-2</c:v>
                </c:pt>
                <c:pt idx="9">
                  <c:v>-2.5097571562778392E-3</c:v>
                </c:pt>
                <c:pt idx="10">
                  <c:v>4.0668288968128352E-2</c:v>
                </c:pt>
                <c:pt idx="11">
                  <c:v>3.8449826749381966E-2</c:v>
                </c:pt>
                <c:pt idx="12">
                  <c:v>0.19957356976671253</c:v>
                </c:pt>
                <c:pt idx="13">
                  <c:v>0.1982053353284452</c:v>
                </c:pt>
                <c:pt idx="14">
                  <c:v>1.7449770918215368E-2</c:v>
                </c:pt>
                <c:pt idx="15">
                  <c:v>1.7777781087196014E-2</c:v>
                </c:pt>
                <c:pt idx="16">
                  <c:v>-3.7497768873474988E-2</c:v>
                </c:pt>
                <c:pt idx="17">
                  <c:v>2.0932564159875149E-2</c:v>
                </c:pt>
                <c:pt idx="18">
                  <c:v>0.11376889636604499</c:v>
                </c:pt>
                <c:pt idx="19">
                  <c:v>0.12518241194475455</c:v>
                </c:pt>
                <c:pt idx="20">
                  <c:v>8.3034885507349665E-2</c:v>
                </c:pt>
                <c:pt idx="21">
                  <c:v>-0.1425001317575314</c:v>
                </c:pt>
                <c:pt idx="22">
                  <c:v>-0.13695448229824189</c:v>
                </c:pt>
                <c:pt idx="23">
                  <c:v>-0.22635341325241007</c:v>
                </c:pt>
                <c:pt idx="24">
                  <c:v>-0.19247745826705126</c:v>
                </c:pt>
                <c:pt idx="25">
                  <c:v>9.4946286859007335E-3</c:v>
                </c:pt>
              </c:numCache>
            </c:numRef>
          </c:val>
          <c:extLst>
            <c:ext xmlns:c16="http://schemas.microsoft.com/office/drawing/2014/chart" uri="{C3380CC4-5D6E-409C-BE32-E72D297353CC}">
              <c16:uniqueId val="{00000007-DA94-4B72-89EB-A0FF247B4373}"/>
            </c:ext>
          </c:extLst>
        </c:ser>
        <c:dLbls>
          <c:showLegendKey val="0"/>
          <c:showVal val="0"/>
          <c:showCatName val="0"/>
          <c:showSerName val="0"/>
          <c:showPercent val="0"/>
          <c:showBubbleSize val="0"/>
        </c:dLbls>
        <c:gapWidth val="47"/>
        <c:overlap val="100"/>
        <c:axId val="216182144"/>
        <c:axId val="266011776"/>
      </c:barChart>
      <c:lineChart>
        <c:grouping val="standard"/>
        <c:varyColors val="0"/>
        <c:ser>
          <c:idx val="8"/>
          <c:order val="8"/>
          <c:tx>
            <c:strRef>
              <c:f>'Trh práce 1-SNÚ'!$AK$7</c:f>
              <c:strCache>
                <c:ptCount val="1"/>
                <c:pt idx="0">
                  <c:v>Zaměstnanost celkem</c:v>
                </c:pt>
              </c:strCache>
            </c:strRef>
          </c:tx>
          <c:spPr>
            <a:ln w="22225">
              <a:solidFill>
                <a:schemeClr val="tx1">
                  <a:lumMod val="95000"/>
                  <a:lumOff val="5000"/>
                </a:schemeClr>
              </a:solidFill>
            </a:ln>
          </c:spPr>
          <c:marker>
            <c:symbol val="none"/>
          </c:marker>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1-SNÚ'!$AK$28:$AK$54</c:f>
              <c:numCache>
                <c:formatCode>#\ ##0.0</c:formatCode>
                <c:ptCount val="27"/>
                <c:pt idx="0">
                  <c:v>1.2390736013649644</c:v>
                </c:pt>
                <c:pt idx="1">
                  <c:v>1.763871577433747</c:v>
                </c:pt>
                <c:pt idx="2">
                  <c:v>1.3738315876144895</c:v>
                </c:pt>
                <c:pt idx="3">
                  <c:v>1.335054912344404</c:v>
                </c:pt>
                <c:pt idx="4">
                  <c:v>1.5292935359579616</c:v>
                </c:pt>
                <c:pt idx="5">
                  <c:v>1.4154659813430754</c:v>
                </c:pt>
                <c:pt idx="6">
                  <c:v>1.5176954281983939</c:v>
                </c:pt>
                <c:pt idx="7">
                  <c:v>1.8956884957603108</c:v>
                </c:pt>
                <c:pt idx="8">
                  <c:v>1.4722833881197488</c:v>
                </c:pt>
                <c:pt idx="9">
                  <c:v>1.4239829731990312</c:v>
                </c:pt>
                <c:pt idx="10">
                  <c:v>1.9497805488244353</c:v>
                </c:pt>
                <c:pt idx="11">
                  <c:v>1.3481965748335796</c:v>
                </c:pt>
                <c:pt idx="12">
                  <c:v>1.5514056445856852</c:v>
                </c:pt>
                <c:pt idx="13">
                  <c:v>1.7356136163859617</c:v>
                </c:pt>
                <c:pt idx="14">
                  <c:v>0.93228706716838872</c:v>
                </c:pt>
                <c:pt idx="15">
                  <c:v>1.1206331347310083</c:v>
                </c:pt>
                <c:pt idx="16">
                  <c:v>0.84255872454892256</c:v>
                </c:pt>
                <c:pt idx="17">
                  <c:v>0.34380262508358328</c:v>
                </c:pt>
                <c:pt idx="18">
                  <c:v>0.16701849657889056</c:v>
                </c:pt>
                <c:pt idx="19">
                  <c:v>-0.37153403498074056</c:v>
                </c:pt>
                <c:pt idx="20">
                  <c:v>-0.72911731506431465</c:v>
                </c:pt>
                <c:pt idx="21">
                  <c:v>-2.1352983660780609</c:v>
                </c:pt>
                <c:pt idx="22">
                  <c:v>-1.7377654149315589</c:v>
                </c:pt>
                <c:pt idx="23">
                  <c:v>-2.0409686743506086</c:v>
                </c:pt>
                <c:pt idx="24">
                  <c:v>-1.6307668869083329</c:v>
                </c:pt>
                <c:pt idx="25">
                  <c:v>0.28652762852510705</c:v>
                </c:pt>
              </c:numCache>
            </c:numRef>
          </c:val>
          <c:smooth val="0"/>
          <c:extLst>
            <c:ext xmlns:c16="http://schemas.microsoft.com/office/drawing/2014/chart" uri="{C3380CC4-5D6E-409C-BE32-E72D297353CC}">
              <c16:uniqueId val="{00000008-DA94-4B72-89EB-A0FF247B4373}"/>
            </c:ext>
          </c:extLst>
        </c:ser>
        <c:dLbls>
          <c:showLegendKey val="0"/>
          <c:showVal val="0"/>
          <c:showCatName val="0"/>
          <c:showSerName val="0"/>
          <c:showPercent val="0"/>
          <c:showBubbleSize val="0"/>
        </c:dLbls>
        <c:marker val="1"/>
        <c:smooth val="0"/>
        <c:axId val="216182144"/>
        <c:axId val="266011776"/>
      </c:lineChart>
      <c:lineChart>
        <c:grouping val="standard"/>
        <c:varyColors val="0"/>
        <c:ser>
          <c:idx val="9"/>
          <c:order val="9"/>
          <c:tx>
            <c:strRef>
              <c:f>'Trh práce 1-SNÚ'!$AL$7</c:f>
              <c:strCache>
                <c:ptCount val="1"/>
              </c:strCache>
            </c:strRef>
          </c:tx>
          <c:spPr>
            <a:ln>
              <a:noFill/>
            </a:ln>
          </c:spPr>
          <c:marker>
            <c:symbol val="none"/>
          </c:marker>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1-SNÚ'!$AL$28:$AL$54</c:f>
              <c:numCache>
                <c:formatCode>General</c:formatCode>
                <c:ptCount val="27"/>
              </c:numCache>
            </c:numRef>
          </c:val>
          <c:smooth val="0"/>
          <c:extLst>
            <c:ext xmlns:c16="http://schemas.microsoft.com/office/drawing/2014/chart" uri="{C3380CC4-5D6E-409C-BE32-E72D297353CC}">
              <c16:uniqueId val="{00000009-DA94-4B72-89EB-A0FF247B4373}"/>
            </c:ext>
          </c:extLst>
        </c:ser>
        <c:ser>
          <c:idx val="10"/>
          <c:order val="10"/>
          <c:tx>
            <c:strRef>
              <c:f>'Trh práce 1-SNÚ'!$AM$7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1-SNÚ'!$AM$28:$AM$54</c:f>
              <c:numCache>
                <c:formatCode>General</c:formatCode>
                <c:ptCount val="27"/>
                <c:pt idx="0">
                  <c:v>-1.9</c:v>
                </c:pt>
                <c:pt idx="1">
                  <c:v>4.0999999999999996</c:v>
                </c:pt>
                <c:pt idx="2">
                  <c:v>4.7</c:v>
                </c:pt>
                <c:pt idx="3">
                  <c:v>8.8000000000000007</c:v>
                </c:pt>
                <c:pt idx="4">
                  <c:v>9.8000000000000007</c:v>
                </c:pt>
                <c:pt idx="5">
                  <c:v>10</c:v>
                </c:pt>
                <c:pt idx="6">
                  <c:v>4.2</c:v>
                </c:pt>
                <c:pt idx="7">
                  <c:v>9.1999999999999993</c:v>
                </c:pt>
                <c:pt idx="8">
                  <c:v>12.1</c:v>
                </c:pt>
                <c:pt idx="9">
                  <c:v>5.9</c:v>
                </c:pt>
                <c:pt idx="10">
                  <c:v>8.9</c:v>
                </c:pt>
                <c:pt idx="11">
                  <c:v>7.2</c:v>
                </c:pt>
                <c:pt idx="12">
                  <c:v>10.8</c:v>
                </c:pt>
                <c:pt idx="13">
                  <c:v>10.4</c:v>
                </c:pt>
                <c:pt idx="14">
                  <c:v>8.3000000000000007</c:v>
                </c:pt>
                <c:pt idx="15">
                  <c:v>6.5</c:v>
                </c:pt>
                <c:pt idx="16">
                  <c:v>3.1</c:v>
                </c:pt>
                <c:pt idx="17">
                  <c:v>2.5</c:v>
                </c:pt>
                <c:pt idx="18">
                  <c:v>1.6</c:v>
                </c:pt>
                <c:pt idx="19">
                  <c:v>-2.7</c:v>
                </c:pt>
                <c:pt idx="20">
                  <c:v>1.5</c:v>
                </c:pt>
                <c:pt idx="21">
                  <c:v>-17.399999999999999</c:v>
                </c:pt>
                <c:pt idx="22">
                  <c:v>-11.6</c:v>
                </c:pt>
                <c:pt idx="23">
                  <c:v>-5.9</c:v>
                </c:pt>
                <c:pt idx="24">
                  <c:v>0.1</c:v>
                </c:pt>
                <c:pt idx="25">
                  <c:v>9.4</c:v>
                </c:pt>
                <c:pt idx="26" formatCode="#\ ##0.0">
                  <c:v>6.4</c:v>
                </c:pt>
              </c:numCache>
            </c:numRef>
          </c:val>
          <c:smooth val="0"/>
          <c:extLst>
            <c:ext xmlns:c16="http://schemas.microsoft.com/office/drawing/2014/chart" uri="{C3380CC4-5D6E-409C-BE32-E72D297353CC}">
              <c16:uniqueId val="{0000000A-DA94-4B72-89EB-A0FF247B4373}"/>
            </c:ext>
          </c:extLst>
        </c:ser>
        <c:ser>
          <c:idx val="11"/>
          <c:order val="11"/>
          <c:tx>
            <c:strRef>
              <c:f>'Trh práce 1-SNÚ'!$AN$7</c:f>
              <c:strCache>
                <c:ptCount val="1"/>
                <c:pt idx="0">
                  <c:v>Očekávání zaměstnanosti (stavebnictví)</c:v>
                </c:pt>
              </c:strCache>
            </c:strRef>
          </c:tx>
          <c:spPr>
            <a:ln w="15875">
              <a:solidFill>
                <a:srgbClr val="00B0F0"/>
              </a:solidFill>
              <a:prstDash val="sysDot"/>
            </a:ln>
          </c:spPr>
          <c:marker>
            <c:symbol val="none"/>
          </c:marker>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1-SNÚ'!$AN$28:$AN$54</c:f>
              <c:numCache>
                <c:formatCode>General</c:formatCode>
                <c:ptCount val="27"/>
                <c:pt idx="0">
                  <c:v>-1.9</c:v>
                </c:pt>
                <c:pt idx="1">
                  <c:v>7.3</c:v>
                </c:pt>
                <c:pt idx="2">
                  <c:v>0.6</c:v>
                </c:pt>
                <c:pt idx="3">
                  <c:v>2.2999999999999998</c:v>
                </c:pt>
                <c:pt idx="4">
                  <c:v>-0.9</c:v>
                </c:pt>
                <c:pt idx="5">
                  <c:v>-8</c:v>
                </c:pt>
                <c:pt idx="6">
                  <c:v>-6.3</c:v>
                </c:pt>
                <c:pt idx="7">
                  <c:v>-7.2</c:v>
                </c:pt>
                <c:pt idx="8">
                  <c:v>-7.7</c:v>
                </c:pt>
                <c:pt idx="9">
                  <c:v>-15.4</c:v>
                </c:pt>
                <c:pt idx="10">
                  <c:v>-9.3000000000000007</c:v>
                </c:pt>
                <c:pt idx="11">
                  <c:v>-3.2</c:v>
                </c:pt>
                <c:pt idx="12">
                  <c:v>4.3</c:v>
                </c:pt>
                <c:pt idx="13">
                  <c:v>4.3</c:v>
                </c:pt>
                <c:pt idx="14">
                  <c:v>8</c:v>
                </c:pt>
                <c:pt idx="15">
                  <c:v>11.4</c:v>
                </c:pt>
                <c:pt idx="16">
                  <c:v>8.8000000000000007</c:v>
                </c:pt>
                <c:pt idx="17">
                  <c:v>10</c:v>
                </c:pt>
                <c:pt idx="18">
                  <c:v>3.9</c:v>
                </c:pt>
                <c:pt idx="19">
                  <c:v>10.9</c:v>
                </c:pt>
                <c:pt idx="20">
                  <c:v>6.7</c:v>
                </c:pt>
                <c:pt idx="21">
                  <c:v>-3.6</c:v>
                </c:pt>
                <c:pt idx="22">
                  <c:v>-0.6</c:v>
                </c:pt>
                <c:pt idx="23">
                  <c:v>-3.1</c:v>
                </c:pt>
                <c:pt idx="24">
                  <c:v>2.1</c:v>
                </c:pt>
                <c:pt idx="25">
                  <c:v>3.6</c:v>
                </c:pt>
                <c:pt idx="26" formatCode="#\ ##0.0">
                  <c:v>3</c:v>
                </c:pt>
              </c:numCache>
            </c:numRef>
          </c:val>
          <c:smooth val="0"/>
          <c:extLst>
            <c:ext xmlns:c16="http://schemas.microsoft.com/office/drawing/2014/chart" uri="{C3380CC4-5D6E-409C-BE32-E72D297353CC}">
              <c16:uniqueId val="{0000000B-DA94-4B72-89EB-A0FF247B4373}"/>
            </c:ext>
          </c:extLst>
        </c:ser>
        <c:ser>
          <c:idx val="12"/>
          <c:order val="12"/>
          <c:tx>
            <c:strRef>
              <c:f>'Trh práce 1-SNÚ'!$AO$7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1-SNÚ'!$AO$28:$AO$54</c:f>
              <c:numCache>
                <c:formatCode>General</c:formatCode>
                <c:ptCount val="27"/>
                <c:pt idx="0">
                  <c:v>15.5</c:v>
                </c:pt>
                <c:pt idx="1">
                  <c:v>5.4</c:v>
                </c:pt>
                <c:pt idx="2">
                  <c:v>3.4</c:v>
                </c:pt>
                <c:pt idx="3">
                  <c:v>-2.4</c:v>
                </c:pt>
                <c:pt idx="4">
                  <c:v>15.7</c:v>
                </c:pt>
                <c:pt idx="5">
                  <c:v>19.600000000000001</c:v>
                </c:pt>
                <c:pt idx="6">
                  <c:v>20.9</c:v>
                </c:pt>
                <c:pt idx="7">
                  <c:v>18.399999999999999</c:v>
                </c:pt>
                <c:pt idx="8">
                  <c:v>15.8</c:v>
                </c:pt>
                <c:pt idx="9">
                  <c:v>19.3</c:v>
                </c:pt>
                <c:pt idx="10">
                  <c:v>19.899999999999999</c:v>
                </c:pt>
                <c:pt idx="11">
                  <c:v>13.8</c:v>
                </c:pt>
                <c:pt idx="12">
                  <c:v>26.7</c:v>
                </c:pt>
                <c:pt idx="13">
                  <c:v>31.9</c:v>
                </c:pt>
                <c:pt idx="14">
                  <c:v>28.3</c:v>
                </c:pt>
                <c:pt idx="15">
                  <c:v>18.2</c:v>
                </c:pt>
                <c:pt idx="16">
                  <c:v>11.7</c:v>
                </c:pt>
                <c:pt idx="17">
                  <c:v>13.7</c:v>
                </c:pt>
                <c:pt idx="18">
                  <c:v>12.9</c:v>
                </c:pt>
                <c:pt idx="19">
                  <c:v>14.5</c:v>
                </c:pt>
                <c:pt idx="20">
                  <c:v>11.1</c:v>
                </c:pt>
                <c:pt idx="21">
                  <c:v>-6.9</c:v>
                </c:pt>
                <c:pt idx="22">
                  <c:v>-4.8</c:v>
                </c:pt>
                <c:pt idx="23">
                  <c:v>1.3</c:v>
                </c:pt>
                <c:pt idx="24">
                  <c:v>4.2</c:v>
                </c:pt>
                <c:pt idx="25">
                  <c:v>11.5</c:v>
                </c:pt>
                <c:pt idx="26" formatCode="#\ ##0.0">
                  <c:v>10.199999999999999</c:v>
                </c:pt>
              </c:numCache>
            </c:numRef>
          </c:val>
          <c:smooth val="0"/>
          <c:extLst>
            <c:ext xmlns:c16="http://schemas.microsoft.com/office/drawing/2014/chart" uri="{C3380CC4-5D6E-409C-BE32-E72D297353CC}">
              <c16:uniqueId val="{0000000C-DA94-4B72-89EB-A0FF247B4373}"/>
            </c:ext>
          </c:extLst>
        </c:ser>
        <c:ser>
          <c:idx val="13"/>
          <c:order val="13"/>
          <c:tx>
            <c:strRef>
              <c:f>'Trh práce 1-SNÚ'!$AP$7</c:f>
              <c:strCache>
                <c:ptCount val="1"/>
                <c:pt idx="0">
                  <c:v>Očekávání zaměstnanosti (vybr. služby)</c:v>
                </c:pt>
              </c:strCache>
            </c:strRef>
          </c:tx>
          <c:spPr>
            <a:ln w="15875">
              <a:solidFill>
                <a:srgbClr val="C00000"/>
              </a:solidFill>
              <a:prstDash val="sysDot"/>
            </a:ln>
          </c:spPr>
          <c:marker>
            <c:symbol val="none"/>
          </c:marker>
          <c:cat>
            <c:multiLvlStrRef>
              <c:f>'Trh práce 1-SNÚ'!$AA$28:$AB$54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 1-SNÚ'!$AP$28:$AP$54</c:f>
              <c:numCache>
                <c:formatCode>General</c:formatCode>
                <c:ptCount val="27"/>
                <c:pt idx="0">
                  <c:v>-15.7</c:v>
                </c:pt>
                <c:pt idx="1">
                  <c:v>-21.3</c:v>
                </c:pt>
                <c:pt idx="2">
                  <c:v>2.6</c:v>
                </c:pt>
                <c:pt idx="3">
                  <c:v>3.8</c:v>
                </c:pt>
                <c:pt idx="4">
                  <c:v>2.6</c:v>
                </c:pt>
                <c:pt idx="5">
                  <c:v>24.7</c:v>
                </c:pt>
                <c:pt idx="6">
                  <c:v>-1.7</c:v>
                </c:pt>
                <c:pt idx="7">
                  <c:v>7.2</c:v>
                </c:pt>
                <c:pt idx="8">
                  <c:v>11.7</c:v>
                </c:pt>
                <c:pt idx="9">
                  <c:v>11.5</c:v>
                </c:pt>
                <c:pt idx="10">
                  <c:v>19.8</c:v>
                </c:pt>
                <c:pt idx="11">
                  <c:v>2.8</c:v>
                </c:pt>
                <c:pt idx="12">
                  <c:v>14.9</c:v>
                </c:pt>
                <c:pt idx="13">
                  <c:v>10.5</c:v>
                </c:pt>
                <c:pt idx="14">
                  <c:v>9</c:v>
                </c:pt>
                <c:pt idx="15">
                  <c:v>-5.2</c:v>
                </c:pt>
                <c:pt idx="16">
                  <c:v>-8.1</c:v>
                </c:pt>
                <c:pt idx="17">
                  <c:v>-6.9</c:v>
                </c:pt>
                <c:pt idx="18">
                  <c:v>-8.3000000000000007</c:v>
                </c:pt>
                <c:pt idx="19">
                  <c:v>-11.7</c:v>
                </c:pt>
                <c:pt idx="20">
                  <c:v>-20.3</c:v>
                </c:pt>
                <c:pt idx="21">
                  <c:v>-33.700000000000003</c:v>
                </c:pt>
                <c:pt idx="22">
                  <c:v>-33.299999999999997</c:v>
                </c:pt>
                <c:pt idx="23">
                  <c:v>-27.3</c:v>
                </c:pt>
                <c:pt idx="24">
                  <c:v>-28</c:v>
                </c:pt>
                <c:pt idx="25">
                  <c:v>-29.7</c:v>
                </c:pt>
                <c:pt idx="26" formatCode="#\ ##0.0">
                  <c:v>-16.899999999999999</c:v>
                </c:pt>
              </c:numCache>
            </c:numRef>
          </c:val>
          <c:smooth val="0"/>
          <c:extLst>
            <c:ext xmlns:c16="http://schemas.microsoft.com/office/drawing/2014/chart" uri="{C3380CC4-5D6E-409C-BE32-E72D297353CC}">
              <c16:uniqueId val="{0000000D-DA94-4B72-89EB-A0FF247B4373}"/>
            </c:ext>
          </c:extLst>
        </c:ser>
        <c:dLbls>
          <c:showLegendKey val="0"/>
          <c:showVal val="0"/>
          <c:showCatName val="0"/>
          <c:showSerName val="0"/>
          <c:showPercent val="0"/>
          <c:showBubbleSize val="0"/>
        </c:dLbls>
        <c:marker val="1"/>
        <c:smooth val="0"/>
        <c:axId val="266024064"/>
        <c:axId val="266013696"/>
      </c:lineChart>
      <c:catAx>
        <c:axId val="216182144"/>
        <c:scaling>
          <c:orientation val="minMax"/>
        </c:scaling>
        <c:delete val="0"/>
        <c:axPos val="b"/>
        <c:numFmt formatCode="General" sourceLinked="1"/>
        <c:majorTickMark val="out"/>
        <c:minorTickMark val="none"/>
        <c:tickLblPos val="low"/>
        <c:spPr>
          <a:ln>
            <a:solidFill>
              <a:schemeClr val="tx1"/>
            </a:solidFill>
          </a:ln>
        </c:spPr>
        <c:crossAx val="266011776"/>
        <c:crosses val="autoZero"/>
        <c:auto val="1"/>
        <c:lblAlgn val="ctr"/>
        <c:lblOffset val="10"/>
        <c:noMultiLvlLbl val="0"/>
      </c:catAx>
      <c:valAx>
        <c:axId val="266011776"/>
        <c:scaling>
          <c:orientation val="minMax"/>
          <c:max val="2"/>
          <c:min val="-5"/>
        </c:scaling>
        <c:delete val="0"/>
        <c:axPos val="l"/>
        <c:majorGridlines>
          <c:spPr>
            <a:ln w="6350">
              <a:solidFill>
                <a:schemeClr val="bg1">
                  <a:lumMod val="75000"/>
                </a:schemeClr>
              </a:solidFill>
            </a:ln>
          </c:spPr>
        </c:majorGridlines>
        <c:title>
          <c:tx>
            <c:rich>
              <a:bodyPr/>
              <a:lstStyle/>
              <a:p>
                <a:pPr>
                  <a:defRPr sz="700" b="0" i="1"/>
                </a:pPr>
                <a:r>
                  <a:rPr lang="cs-CZ" sz="700" b="0" i="1"/>
                  <a:t>Příspěvek k růstu zaměstnanosti</a:t>
                </a:r>
              </a:p>
            </c:rich>
          </c:tx>
          <c:overlay val="0"/>
        </c:title>
        <c:numFmt formatCode="0.0" sourceLinked="0"/>
        <c:majorTickMark val="out"/>
        <c:minorTickMark val="none"/>
        <c:tickLblPos val="nextTo"/>
        <c:spPr>
          <a:ln>
            <a:solidFill>
              <a:schemeClr val="tx1"/>
            </a:solidFill>
          </a:ln>
        </c:spPr>
        <c:crossAx val="216182144"/>
        <c:crosses val="autoZero"/>
        <c:crossBetween val="between"/>
        <c:majorUnit val="0.5"/>
      </c:valAx>
      <c:valAx>
        <c:axId val="266013696"/>
        <c:scaling>
          <c:orientation val="minMax"/>
          <c:max val="100"/>
          <c:min val="-40"/>
        </c:scaling>
        <c:delete val="0"/>
        <c:axPos val="r"/>
        <c:title>
          <c:tx>
            <c:rich>
              <a:bodyPr/>
              <a:lstStyle/>
              <a:p>
                <a:pPr>
                  <a:defRPr sz="700" b="0" i="1"/>
                </a:pPr>
                <a:r>
                  <a:rPr lang="cs-CZ" sz="700" b="0" i="1"/>
                  <a:t>Očekávání vývoje zaměstnanosti</a:t>
                </a:r>
              </a:p>
            </c:rich>
          </c:tx>
          <c:overlay val="0"/>
        </c:title>
        <c:numFmt formatCode="#,##0" sourceLinked="0"/>
        <c:majorTickMark val="out"/>
        <c:minorTickMark val="none"/>
        <c:tickLblPos val="nextTo"/>
        <c:crossAx val="266024064"/>
        <c:crosses val="max"/>
        <c:crossBetween val="between"/>
        <c:majorUnit val="10"/>
      </c:valAx>
      <c:catAx>
        <c:axId val="266024064"/>
        <c:scaling>
          <c:orientation val="minMax"/>
        </c:scaling>
        <c:delete val="1"/>
        <c:axPos val="b"/>
        <c:numFmt formatCode="General" sourceLinked="1"/>
        <c:majorTickMark val="out"/>
        <c:minorTickMark val="none"/>
        <c:tickLblPos val="nextTo"/>
        <c:crossAx val="266013696"/>
        <c:crosses val="autoZero"/>
        <c:auto val="1"/>
        <c:lblAlgn val="ctr"/>
        <c:lblOffset val="100"/>
        <c:noMultiLvlLbl val="0"/>
      </c:catAx>
      <c:spPr>
        <a:ln>
          <a:solidFill>
            <a:schemeClr val="tx1"/>
          </a:solidFill>
        </a:ln>
      </c:spPr>
    </c:plotArea>
    <c:legend>
      <c:legendPos val="b"/>
      <c:layout>
        <c:manualLayout>
          <c:xMode val="edge"/>
          <c:yMode val="edge"/>
          <c:x val="2.3576686416751938E-2"/>
          <c:y val="0.77697787537182894"/>
          <c:w val="0.96005692595618608"/>
          <c:h val="0.21194623399347809"/>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5393509070294773"/>
        </c:manualLayout>
      </c:layout>
      <c:barChart>
        <c:barDir val="col"/>
        <c:grouping val="clustered"/>
        <c:varyColors val="0"/>
        <c:ser>
          <c:idx val="0"/>
          <c:order val="0"/>
          <c:tx>
            <c:strRef>
              <c:f>'Trh práce-2b'!$A$29</c:f>
              <c:strCache>
                <c:ptCount val="1"/>
                <c:pt idx="0">
                  <c:v>Míra nezaměstnanosti mužů (levá osa)</c:v>
                </c:pt>
              </c:strCache>
            </c:strRef>
          </c:tx>
          <c:spPr>
            <a:solidFill>
              <a:srgbClr val="BCBCBC"/>
            </a:solidFill>
          </c:spPr>
          <c:invertIfNegative val="0"/>
          <c:cat>
            <c:multiLvlStrRef>
              <c:f>'Trh práce-2b'!$B$27:$AB$28</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práce-2b'!$B$29:$AB$29</c:f>
              <c:numCache>
                <c:formatCode>0.0</c:formatCode>
                <c:ptCount val="27"/>
                <c:pt idx="0">
                  <c:v>5.0279442811649515</c:v>
                </c:pt>
                <c:pt idx="1">
                  <c:v>4.3132022848917435</c:v>
                </c:pt>
                <c:pt idx="2">
                  <c:v>4.0493220315169971</c:v>
                </c:pt>
                <c:pt idx="3">
                  <c:v>3.796297064946359</c:v>
                </c:pt>
                <c:pt idx="4">
                  <c:v>3.6579593231451923</c:v>
                </c:pt>
                <c:pt idx="5">
                  <c:v>3.5625192464593023</c:v>
                </c:pt>
                <c:pt idx="6">
                  <c:v>3.3812822208883007</c:v>
                </c:pt>
                <c:pt idx="7">
                  <c:v>3.1604955590050579</c:v>
                </c:pt>
                <c:pt idx="8">
                  <c:v>2.7018943335334851</c:v>
                </c:pt>
                <c:pt idx="9">
                  <c:v>2.4843960569492856</c:v>
                </c:pt>
                <c:pt idx="10">
                  <c:v>2.2430057716347727</c:v>
                </c:pt>
                <c:pt idx="11">
                  <c:v>2.086614723505777</c:v>
                </c:pt>
                <c:pt idx="12">
                  <c:v>1.900186791646451</c:v>
                </c:pt>
                <c:pt idx="13">
                  <c:v>1.8247057320577735</c:v>
                </c:pt>
                <c:pt idx="14">
                  <c:v>1.8814809605942038</c:v>
                </c:pt>
                <c:pt idx="15">
                  <c:v>1.6838644007455752</c:v>
                </c:pt>
                <c:pt idx="16">
                  <c:v>1.8091345291598684</c:v>
                </c:pt>
                <c:pt idx="17">
                  <c:v>1.6718639728590583</c:v>
                </c:pt>
                <c:pt idx="18">
                  <c:v>1.7587593615374626</c:v>
                </c:pt>
                <c:pt idx="19">
                  <c:v>1.8616281034094877</c:v>
                </c:pt>
                <c:pt idx="20">
                  <c:v>1.8410741776178936</c:v>
                </c:pt>
                <c:pt idx="21">
                  <c:v>2.2754756502617295</c:v>
                </c:pt>
                <c:pt idx="22">
                  <c:v>2.5091675379318219</c:v>
                </c:pt>
                <c:pt idx="23">
                  <c:v>2.5723824172069443</c:v>
                </c:pt>
                <c:pt idx="24">
                  <c:v>2.651781005746761</c:v>
                </c:pt>
                <c:pt idx="25">
                  <c:v>2.5404279199666977</c:v>
                </c:pt>
              </c:numCache>
            </c:numRef>
          </c:val>
          <c:extLst>
            <c:ext xmlns:c16="http://schemas.microsoft.com/office/drawing/2014/chart" uri="{C3380CC4-5D6E-409C-BE32-E72D297353CC}">
              <c16:uniqueId val="{00000000-6C57-4494-9490-10B80D4F9BA5}"/>
            </c:ext>
          </c:extLst>
        </c:ser>
        <c:ser>
          <c:idx val="1"/>
          <c:order val="1"/>
          <c:tx>
            <c:strRef>
              <c:f>'Trh práce-2b'!$A$30</c:f>
              <c:strCache>
                <c:ptCount val="1"/>
                <c:pt idx="0">
                  <c:v>Míra nezaměstnanosti žen (levá osa)</c:v>
                </c:pt>
              </c:strCache>
            </c:strRef>
          </c:tx>
          <c:spPr>
            <a:solidFill>
              <a:schemeClr val="bg1">
                <a:lumMod val="95000"/>
              </a:schemeClr>
            </a:solidFill>
            <a:ln>
              <a:solidFill>
                <a:schemeClr val="bg1">
                  <a:lumMod val="65000"/>
                </a:schemeClr>
              </a:solidFill>
            </a:ln>
          </c:spPr>
          <c:invertIfNegative val="0"/>
          <c:cat>
            <c:multiLvlStrRef>
              <c:f>'Trh práce-2b'!$B$27:$AB$28</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práce-2b'!$B$30:$AB$30</c:f>
              <c:numCache>
                <c:formatCode>0.0</c:formatCode>
                <c:ptCount val="27"/>
                <c:pt idx="0">
                  <c:v>6.9457408606984989</c:v>
                </c:pt>
                <c:pt idx="1">
                  <c:v>6.177648448786127</c:v>
                </c:pt>
                <c:pt idx="2">
                  <c:v>5.9674466507578154</c:v>
                </c:pt>
                <c:pt idx="3">
                  <c:v>5.6521751054305609</c:v>
                </c:pt>
                <c:pt idx="4">
                  <c:v>5.0891718315980876</c:v>
                </c:pt>
                <c:pt idx="5">
                  <c:v>4.8062266995652889</c:v>
                </c:pt>
                <c:pt idx="6">
                  <c:v>4.7750484852108821</c:v>
                </c:pt>
                <c:pt idx="7">
                  <c:v>4.3473349153216212</c:v>
                </c:pt>
                <c:pt idx="8">
                  <c:v>4.2801462931522218</c:v>
                </c:pt>
                <c:pt idx="9">
                  <c:v>3.9213812677822548</c:v>
                </c:pt>
                <c:pt idx="10">
                  <c:v>3.3888114698518668</c:v>
                </c:pt>
                <c:pt idx="11">
                  <c:v>2.9905820242198646</c:v>
                </c:pt>
                <c:pt idx="12">
                  <c:v>2.9402559950808258</c:v>
                </c:pt>
                <c:pt idx="13">
                  <c:v>2.9353227379584781</c:v>
                </c:pt>
                <c:pt idx="14">
                  <c:v>2.8604233097151144</c:v>
                </c:pt>
                <c:pt idx="15">
                  <c:v>2.6486774454254731</c:v>
                </c:pt>
                <c:pt idx="16">
                  <c:v>2.2492984850555064</c:v>
                </c:pt>
                <c:pt idx="17">
                  <c:v>2.5011272609131612</c:v>
                </c:pt>
                <c:pt idx="18">
                  <c:v>2.5456393371021431</c:v>
                </c:pt>
                <c:pt idx="19">
                  <c:v>2.4415807173650577</c:v>
                </c:pt>
                <c:pt idx="20">
                  <c:v>2.0566841853223692</c:v>
                </c:pt>
                <c:pt idx="21">
                  <c:v>2.82816978795117</c:v>
                </c:pt>
                <c:pt idx="22">
                  <c:v>3.3522399552982236</c:v>
                </c:pt>
                <c:pt idx="23">
                  <c:v>3.8729626098048868</c:v>
                </c:pt>
                <c:pt idx="24">
                  <c:v>4.1616383855050296</c:v>
                </c:pt>
                <c:pt idx="25">
                  <c:v>3.9284936184524777</c:v>
                </c:pt>
              </c:numCache>
            </c:numRef>
          </c:val>
          <c:extLst>
            <c:ext xmlns:c16="http://schemas.microsoft.com/office/drawing/2014/chart" uri="{C3380CC4-5D6E-409C-BE32-E72D297353CC}">
              <c16:uniqueId val="{00000001-6C57-4494-9490-10B80D4F9BA5}"/>
            </c:ext>
          </c:extLst>
        </c:ser>
        <c:dLbls>
          <c:showLegendKey val="0"/>
          <c:showVal val="0"/>
          <c:showCatName val="0"/>
          <c:showSerName val="0"/>
          <c:showPercent val="0"/>
          <c:showBubbleSize val="0"/>
        </c:dLbls>
        <c:gapWidth val="68"/>
        <c:axId val="235803776"/>
        <c:axId val="235805696"/>
      </c:barChart>
      <c:lineChart>
        <c:grouping val="standard"/>
        <c:varyColors val="0"/>
        <c:ser>
          <c:idx val="2"/>
          <c:order val="2"/>
          <c:tx>
            <c:strRef>
              <c:f>'Trh práce-2b'!$A$31</c:f>
              <c:strCache>
                <c:ptCount val="1"/>
                <c:pt idx="0">
                  <c:v>Podíl nezam. déle než 1 rok (pravá osa)</c:v>
                </c:pt>
              </c:strCache>
            </c:strRef>
          </c:tx>
          <c:spPr>
            <a:ln w="19050">
              <a:solidFill>
                <a:srgbClr val="663300"/>
              </a:solidFill>
              <a:prstDash val="sysDash"/>
            </a:ln>
          </c:spPr>
          <c:marker>
            <c:symbol val="none"/>
          </c:marker>
          <c:cat>
            <c:multiLvlStrRef>
              <c:f>'Trh práce-2b'!$B$27:$AB$28</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práce-2b'!$B$31:$AB$31</c:f>
              <c:numCache>
                <c:formatCode>0.0</c:formatCode>
                <c:ptCount val="27"/>
                <c:pt idx="0">
                  <c:v>45.762175838077162</c:v>
                </c:pt>
                <c:pt idx="1">
                  <c:v>46.715049656226128</c:v>
                </c:pt>
                <c:pt idx="2">
                  <c:v>48.521400778210108</c:v>
                </c:pt>
                <c:pt idx="3">
                  <c:v>48.542458808618512</c:v>
                </c:pt>
                <c:pt idx="4">
                  <c:v>45.847750865051907</c:v>
                </c:pt>
                <c:pt idx="5">
                  <c:v>43.490701001430608</c:v>
                </c:pt>
                <c:pt idx="6">
                  <c:v>39.295774647887328</c:v>
                </c:pt>
                <c:pt idx="7">
                  <c:v>39.196242171189979</c:v>
                </c:pt>
                <c:pt idx="8">
                  <c:v>37.093275488069416</c:v>
                </c:pt>
                <c:pt idx="9">
                  <c:v>37.366099558916197</c:v>
                </c:pt>
                <c:pt idx="10">
                  <c:v>32.798931195724784</c:v>
                </c:pt>
                <c:pt idx="11">
                  <c:v>31.546231546231553</c:v>
                </c:pt>
                <c:pt idx="12">
                  <c:v>31.741140215716484</c:v>
                </c:pt>
                <c:pt idx="13">
                  <c:v>30.28764805414551</c:v>
                </c:pt>
                <c:pt idx="14">
                  <c:v>28.796223446105422</c:v>
                </c:pt>
                <c:pt idx="15">
                  <c:v>31.317689530685922</c:v>
                </c:pt>
                <c:pt idx="16">
                  <c:v>32.360984503190522</c:v>
                </c:pt>
                <c:pt idx="17">
                  <c:v>32.2265625</c:v>
                </c:pt>
                <c:pt idx="18">
                  <c:v>26.979982593559615</c:v>
                </c:pt>
                <c:pt idx="19">
                  <c:v>28.623853211009177</c:v>
                </c:pt>
                <c:pt idx="20">
                  <c:v>29.4</c:v>
                </c:pt>
                <c:pt idx="21">
                  <c:v>20.823436262866192</c:v>
                </c:pt>
                <c:pt idx="22">
                  <c:v>20.012995451591941</c:v>
                </c:pt>
                <c:pt idx="23">
                  <c:v>21.521335807050093</c:v>
                </c:pt>
                <c:pt idx="24">
                  <c:v>19.387186629526461</c:v>
                </c:pt>
                <c:pt idx="25">
                  <c:v>28.499369482976043</c:v>
                </c:pt>
              </c:numCache>
            </c:numRef>
          </c:val>
          <c:smooth val="0"/>
          <c:extLst>
            <c:ext xmlns:c16="http://schemas.microsoft.com/office/drawing/2014/chart" uri="{C3380CC4-5D6E-409C-BE32-E72D297353CC}">
              <c16:uniqueId val="{00000002-6C57-4494-9490-10B80D4F9BA5}"/>
            </c:ext>
          </c:extLst>
        </c:ser>
        <c:ser>
          <c:idx val="3"/>
          <c:order val="3"/>
          <c:tx>
            <c:strRef>
              <c:f>'Trh práce-2b'!$A$32</c:f>
              <c:strCache>
                <c:ptCount val="1"/>
                <c:pt idx="0">
                  <c:v>Podíl osob do 25 let mezi nezam. (pr. osa)</c:v>
                </c:pt>
              </c:strCache>
            </c:strRef>
          </c:tx>
          <c:spPr>
            <a:ln w="19050">
              <a:solidFill>
                <a:srgbClr val="00B050"/>
              </a:solidFill>
              <a:prstDash val="sysDash"/>
            </a:ln>
          </c:spPr>
          <c:marker>
            <c:symbol val="none"/>
          </c:marker>
          <c:cat>
            <c:multiLvlStrRef>
              <c:f>'Trh práce-2b'!$B$27:$AB$28</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práce-2b'!$B$32:$AB$32</c:f>
              <c:numCache>
                <c:formatCode>0.0</c:formatCode>
                <c:ptCount val="27"/>
                <c:pt idx="0">
                  <c:v>15.528146742567998</c:v>
                </c:pt>
                <c:pt idx="1">
                  <c:v>15.699006875477464</c:v>
                </c:pt>
                <c:pt idx="2">
                  <c:v>17.548638132295721</c:v>
                </c:pt>
                <c:pt idx="3">
                  <c:v>16.603295310519645</c:v>
                </c:pt>
                <c:pt idx="4">
                  <c:v>13.711072664359861</c:v>
                </c:pt>
                <c:pt idx="5">
                  <c:v>15.450643776824036</c:v>
                </c:pt>
                <c:pt idx="6">
                  <c:v>18.122065727699532</c:v>
                </c:pt>
                <c:pt idx="7">
                  <c:v>18.684759916492691</c:v>
                </c:pt>
                <c:pt idx="8">
                  <c:v>14.75054229934924</c:v>
                </c:pt>
                <c:pt idx="9">
                  <c:v>16.320100819155638</c:v>
                </c:pt>
                <c:pt idx="10">
                  <c:v>18.837675350701407</c:v>
                </c:pt>
                <c:pt idx="11">
                  <c:v>14.996114996114999</c:v>
                </c:pt>
                <c:pt idx="12">
                  <c:v>14.560862865947611</c:v>
                </c:pt>
                <c:pt idx="13">
                  <c:v>17.00507614213198</c:v>
                </c:pt>
                <c:pt idx="14">
                  <c:v>18.09598741148702</c:v>
                </c:pt>
                <c:pt idx="15">
                  <c:v>16.15523465703971</c:v>
                </c:pt>
                <c:pt idx="16">
                  <c:v>14.311759343664537</c:v>
                </c:pt>
                <c:pt idx="17">
                  <c:v>15.52734375</c:v>
                </c:pt>
                <c:pt idx="18">
                  <c:v>15.491731940818102</c:v>
                </c:pt>
                <c:pt idx="19">
                  <c:v>13.761467889908257</c:v>
                </c:pt>
                <c:pt idx="20">
                  <c:v>13.477851083883131</c:v>
                </c:pt>
                <c:pt idx="21">
                  <c:v>14.251781472684085</c:v>
                </c:pt>
                <c:pt idx="22">
                  <c:v>16.829109811565949</c:v>
                </c:pt>
                <c:pt idx="23">
                  <c:v>15.779702970297031</c:v>
                </c:pt>
                <c:pt idx="24">
                  <c:v>14.166201896263244</c:v>
                </c:pt>
                <c:pt idx="25">
                  <c:v>11.368421052631577</c:v>
                </c:pt>
              </c:numCache>
            </c:numRef>
          </c:val>
          <c:smooth val="0"/>
          <c:extLst>
            <c:ext xmlns:c16="http://schemas.microsoft.com/office/drawing/2014/chart" uri="{C3380CC4-5D6E-409C-BE32-E72D297353CC}">
              <c16:uniqueId val="{00000003-6C57-4494-9490-10B80D4F9BA5}"/>
            </c:ext>
          </c:extLst>
        </c:ser>
        <c:ser>
          <c:idx val="6"/>
          <c:order val="4"/>
          <c:tx>
            <c:strRef>
              <c:f>'Trh práce-2b'!$A$33</c:f>
              <c:strCache>
                <c:ptCount val="1"/>
                <c:pt idx="0">
                  <c:v>Podíl osob nad 50 let mezi nezam. (pr. osa)</c:v>
                </c:pt>
              </c:strCache>
            </c:strRef>
          </c:tx>
          <c:spPr>
            <a:ln w="19050">
              <a:solidFill>
                <a:srgbClr val="0070C0"/>
              </a:solidFill>
              <a:prstDash val="sysDash"/>
            </a:ln>
          </c:spPr>
          <c:marker>
            <c:symbol val="none"/>
          </c:marker>
          <c:cat>
            <c:multiLvlStrRef>
              <c:f>'Trh práce-2b'!$B$27:$AB$28</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práce-2b'!$B$33:$AB$33</c:f>
              <c:numCache>
                <c:formatCode>0.0</c:formatCode>
                <c:ptCount val="27"/>
                <c:pt idx="0">
                  <c:v>23.213156230234031</c:v>
                </c:pt>
                <c:pt idx="1">
                  <c:v>24.140565317035907</c:v>
                </c:pt>
                <c:pt idx="2">
                  <c:v>22.451361867704282</c:v>
                </c:pt>
                <c:pt idx="3">
                  <c:v>23.954372623574148</c:v>
                </c:pt>
                <c:pt idx="4">
                  <c:v>28.157439446366784</c:v>
                </c:pt>
                <c:pt idx="5">
                  <c:v>26.180257510729614</c:v>
                </c:pt>
                <c:pt idx="6">
                  <c:v>22.86384976525822</c:v>
                </c:pt>
                <c:pt idx="7">
                  <c:v>24.947807933194156</c:v>
                </c:pt>
                <c:pt idx="8">
                  <c:v>26.138828633405641</c:v>
                </c:pt>
                <c:pt idx="9">
                  <c:v>24.763705103969755</c:v>
                </c:pt>
                <c:pt idx="10">
                  <c:v>23.380093520374086</c:v>
                </c:pt>
                <c:pt idx="11">
                  <c:v>23.931623931623935</c:v>
                </c:pt>
                <c:pt idx="12">
                  <c:v>25.808936825885976</c:v>
                </c:pt>
                <c:pt idx="13">
                  <c:v>24.957698815566832</c:v>
                </c:pt>
                <c:pt idx="14">
                  <c:v>24.311565696302122</c:v>
                </c:pt>
                <c:pt idx="15">
                  <c:v>23.285198555956679</c:v>
                </c:pt>
                <c:pt idx="16">
                  <c:v>26.253418413855972</c:v>
                </c:pt>
                <c:pt idx="17">
                  <c:v>24.609374999999996</c:v>
                </c:pt>
                <c:pt idx="18">
                  <c:v>26.02262837249782</c:v>
                </c:pt>
                <c:pt idx="19">
                  <c:v>25.596330275229356</c:v>
                </c:pt>
                <c:pt idx="20">
                  <c:v>24.976437323279928</c:v>
                </c:pt>
                <c:pt idx="21">
                  <c:v>21.61520190023753</c:v>
                </c:pt>
                <c:pt idx="22">
                  <c:v>22.157244964262507</c:v>
                </c:pt>
                <c:pt idx="23">
                  <c:v>20.544554455445546</c:v>
                </c:pt>
                <c:pt idx="24">
                  <c:v>23.145566090351366</c:v>
                </c:pt>
              </c:numCache>
            </c:numRef>
          </c:val>
          <c:smooth val="0"/>
          <c:extLst>
            <c:ext xmlns:c16="http://schemas.microsoft.com/office/drawing/2014/chart" uri="{C3380CC4-5D6E-409C-BE32-E72D297353CC}">
              <c16:uniqueId val="{00000004-6C57-4494-9490-10B80D4F9BA5}"/>
            </c:ext>
          </c:extLst>
        </c:ser>
        <c:ser>
          <c:idx val="7"/>
          <c:order val="5"/>
          <c:tx>
            <c:strRef>
              <c:f>'Trh práce-2b'!$A$34</c:f>
              <c:strCache>
                <c:ptCount val="1"/>
                <c:pt idx="0">
                  <c:v>Ekon. neaktiv. chtějící pracovat (pr. osa)</c:v>
                </c:pt>
              </c:strCache>
            </c:strRef>
          </c:tx>
          <c:spPr>
            <a:ln w="19050">
              <a:solidFill>
                <a:schemeClr val="accent2">
                  <a:lumMod val="60000"/>
                  <a:lumOff val="40000"/>
                </a:schemeClr>
              </a:solidFill>
              <a:prstDash val="solid"/>
            </a:ln>
          </c:spPr>
          <c:marker>
            <c:symbol val="none"/>
          </c:marker>
          <c:cat>
            <c:multiLvlStrRef>
              <c:f>'Trh práce-2b'!$B$27:$AB$28</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práce-2b'!$B$34:$AB$34</c:f>
              <c:numCache>
                <c:formatCode>General</c:formatCode>
                <c:ptCount val="27"/>
                <c:pt idx="0">
                  <c:v>138.5</c:v>
                </c:pt>
                <c:pt idx="1">
                  <c:v>141.4</c:v>
                </c:pt>
                <c:pt idx="2">
                  <c:v>137.1</c:v>
                </c:pt>
                <c:pt idx="3">
                  <c:v>130.4</c:v>
                </c:pt>
                <c:pt idx="4">
                  <c:v>141</c:v>
                </c:pt>
                <c:pt idx="5">
                  <c:v>126.4</c:v>
                </c:pt>
                <c:pt idx="6">
                  <c:v>129.69999999999999</c:v>
                </c:pt>
                <c:pt idx="7">
                  <c:v>127.1</c:v>
                </c:pt>
                <c:pt idx="8" formatCode="0.0">
                  <c:v>133.1</c:v>
                </c:pt>
                <c:pt idx="9" formatCode="0.0">
                  <c:v>120.1</c:v>
                </c:pt>
                <c:pt idx="10" formatCode="0.0">
                  <c:v>121.3</c:v>
                </c:pt>
                <c:pt idx="11" formatCode="0.0">
                  <c:v>119.1</c:v>
                </c:pt>
                <c:pt idx="12" formatCode="0.0">
                  <c:v>113.5</c:v>
                </c:pt>
                <c:pt idx="13" formatCode="0.0">
                  <c:v>108.4</c:v>
                </c:pt>
                <c:pt idx="14" formatCode="0.0">
                  <c:v>110.3</c:v>
                </c:pt>
                <c:pt idx="15" formatCode="0.0">
                  <c:v>101.7</c:v>
                </c:pt>
                <c:pt idx="16" formatCode="0.0">
                  <c:v>104.6</c:v>
                </c:pt>
                <c:pt idx="17" formatCode="0.0">
                  <c:v>104.6</c:v>
                </c:pt>
                <c:pt idx="18" formatCode="0.0">
                  <c:v>97.6</c:v>
                </c:pt>
                <c:pt idx="19" formatCode="0.0">
                  <c:v>99.9</c:v>
                </c:pt>
                <c:pt idx="20" formatCode="0.0">
                  <c:v>93.4</c:v>
                </c:pt>
                <c:pt idx="21" formatCode="0.0">
                  <c:v>109.3</c:v>
                </c:pt>
                <c:pt idx="22" formatCode="0.0">
                  <c:v>98.8</c:v>
                </c:pt>
                <c:pt idx="23" formatCode="0.0">
                  <c:v>95.7</c:v>
                </c:pt>
                <c:pt idx="24" formatCode="0.0">
                  <c:v>108</c:v>
                </c:pt>
                <c:pt idx="25" formatCode="0.0">
                  <c:v>113.5</c:v>
                </c:pt>
              </c:numCache>
            </c:numRef>
          </c:val>
          <c:smooth val="0"/>
          <c:extLst>
            <c:ext xmlns:c16="http://schemas.microsoft.com/office/drawing/2014/chart" uri="{C3380CC4-5D6E-409C-BE32-E72D297353CC}">
              <c16:uniqueId val="{00000005-6C57-4494-9490-10B80D4F9BA5}"/>
            </c:ext>
          </c:extLst>
        </c:ser>
        <c:ser>
          <c:idx val="4"/>
          <c:order val="6"/>
          <c:tx>
            <c:strRef>
              <c:f>'Trh práce-2b'!$A$35</c:f>
              <c:strCache>
                <c:ptCount val="1"/>
                <c:pt idx="0">
                  <c:v>Očekávání vývoje nezam. (pravá osa)</c:v>
                </c:pt>
              </c:strCache>
            </c:strRef>
          </c:tx>
          <c:spPr>
            <a:ln w="9525">
              <a:solidFill>
                <a:schemeClr val="accent6">
                  <a:lumMod val="75000"/>
                </a:schemeClr>
              </a:solidFill>
              <a:prstDash val="sysDot"/>
            </a:ln>
          </c:spPr>
          <c:marker>
            <c:symbol val="circle"/>
            <c:size val="4"/>
            <c:spPr>
              <a:solidFill>
                <a:schemeClr val="accent6">
                  <a:lumMod val="75000"/>
                </a:schemeClr>
              </a:solidFill>
              <a:ln>
                <a:noFill/>
              </a:ln>
            </c:spPr>
          </c:marker>
          <c:cat>
            <c:multiLvlStrRef>
              <c:f>'Trh práce-2b'!$B$27:$AB$28</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'Trh práce-2b'!$B$35:$AB$35</c:f>
              <c:numCache>
                <c:formatCode>#\ ##0.0</c:formatCode>
                <c:ptCount val="27"/>
                <c:pt idx="0">
                  <c:v>12.2</c:v>
                </c:pt>
                <c:pt idx="1">
                  <c:v>7.3</c:v>
                </c:pt>
                <c:pt idx="2">
                  <c:v>12.3</c:v>
                </c:pt>
                <c:pt idx="3">
                  <c:v>4.9000000000000004</c:v>
                </c:pt>
                <c:pt idx="4">
                  <c:v>1.1000000000000001</c:v>
                </c:pt>
                <c:pt idx="5">
                  <c:v>8.5</c:v>
                </c:pt>
                <c:pt idx="6">
                  <c:v>7</c:v>
                </c:pt>
                <c:pt idx="7">
                  <c:v>3.6</c:v>
                </c:pt>
                <c:pt idx="8">
                  <c:v>-1.6</c:v>
                </c:pt>
                <c:pt idx="9">
                  <c:v>-4.0999999999999996</c:v>
                </c:pt>
                <c:pt idx="10">
                  <c:v>3.5</c:v>
                </c:pt>
                <c:pt idx="11">
                  <c:v>-0.2</c:v>
                </c:pt>
                <c:pt idx="12">
                  <c:v>-2.8</c:v>
                </c:pt>
                <c:pt idx="13">
                  <c:v>-3.4</c:v>
                </c:pt>
                <c:pt idx="14">
                  <c:v>1.7</c:v>
                </c:pt>
                <c:pt idx="15">
                  <c:v>5.5</c:v>
                </c:pt>
                <c:pt idx="16">
                  <c:v>6</c:v>
                </c:pt>
                <c:pt idx="17">
                  <c:v>6.8</c:v>
                </c:pt>
                <c:pt idx="18">
                  <c:v>13.9</c:v>
                </c:pt>
                <c:pt idx="19">
                  <c:v>12.8</c:v>
                </c:pt>
                <c:pt idx="20">
                  <c:v>16.2</c:v>
                </c:pt>
                <c:pt idx="21">
                  <c:v>48.6</c:v>
                </c:pt>
                <c:pt idx="22">
                  <c:v>46.7</c:v>
                </c:pt>
                <c:pt idx="23">
                  <c:v>59.5</c:v>
                </c:pt>
                <c:pt idx="24">
                  <c:v>51.5</c:v>
                </c:pt>
                <c:pt idx="25">
                  <c:v>17.8</c:v>
                </c:pt>
                <c:pt idx="26">
                  <c:v>14.2</c:v>
                </c:pt>
              </c:numCache>
            </c:numRef>
          </c:val>
          <c:smooth val="0"/>
          <c:extLst>
            <c:ext xmlns:c16="http://schemas.microsoft.com/office/drawing/2014/chart" uri="{C3380CC4-5D6E-409C-BE32-E72D297353CC}">
              <c16:uniqueId val="{00000006-6C57-4494-9490-10B80D4F9BA5}"/>
            </c:ext>
          </c:extLst>
        </c:ser>
        <c:dLbls>
          <c:showLegendKey val="0"/>
          <c:showVal val="0"/>
          <c:showCatName val="0"/>
          <c:showSerName val="0"/>
          <c:showPercent val="0"/>
          <c:showBubbleSize val="0"/>
        </c:dLbls>
        <c:marker val="1"/>
        <c:smooth val="0"/>
        <c:axId val="235809792"/>
        <c:axId val="235807872"/>
      </c:lineChart>
      <c:catAx>
        <c:axId val="235803776"/>
        <c:scaling>
          <c:orientation val="minMax"/>
        </c:scaling>
        <c:delete val="0"/>
        <c:axPos val="b"/>
        <c:numFmt formatCode="General" sourceLinked="0"/>
        <c:majorTickMark val="out"/>
        <c:minorTickMark val="none"/>
        <c:tickLblPos val="low"/>
        <c:spPr>
          <a:ln>
            <a:solidFill>
              <a:schemeClr val="tx1"/>
            </a:solidFill>
          </a:ln>
        </c:spPr>
        <c:crossAx val="235805696"/>
        <c:crossesAt val="-50"/>
        <c:auto val="1"/>
        <c:lblAlgn val="ctr"/>
        <c:lblOffset val="0"/>
        <c:noMultiLvlLbl val="0"/>
      </c:catAx>
      <c:valAx>
        <c:axId val="235805696"/>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a:t>
                </a:r>
                <a:r>
                  <a:rPr lang="cs-CZ" sz="700" b="0" i="1" baseline="0"/>
                  <a:t> nezaměstnanosti</a:t>
                </a:r>
                <a:endParaRPr lang="cs-CZ" sz="700" b="0" i="1"/>
              </a:p>
            </c:rich>
          </c:tx>
          <c:overlay val="0"/>
        </c:title>
        <c:numFmt formatCode="0.0" sourceLinked="0"/>
        <c:majorTickMark val="out"/>
        <c:minorTickMark val="none"/>
        <c:tickLblPos val="nextTo"/>
        <c:spPr>
          <a:ln>
            <a:solidFill>
              <a:schemeClr val="tx1"/>
            </a:solidFill>
          </a:ln>
        </c:spPr>
        <c:crossAx val="235803776"/>
        <c:crosses val="autoZero"/>
        <c:crossBetween val="between"/>
        <c:majorUnit val="0.5"/>
      </c:valAx>
      <c:valAx>
        <c:axId val="235807872"/>
        <c:scaling>
          <c:orientation val="minMax"/>
          <c:max val="142"/>
          <c:min val="-10"/>
        </c:scaling>
        <c:delete val="0"/>
        <c:axPos val="r"/>
        <c:title>
          <c:tx>
            <c:rich>
              <a:bodyPr/>
              <a:lstStyle/>
              <a:p>
                <a:pPr>
                  <a:defRPr sz="700" b="0" i="1"/>
                </a:pPr>
                <a:r>
                  <a:rPr lang="cs-CZ" sz="700" b="0" i="1" u="none" strike="noStrike" baseline="0">
                    <a:effectLst/>
                  </a:rPr>
                  <a:t>Ekon. neaktivní, </a:t>
                </a:r>
                <a:r>
                  <a:rPr lang="cs-CZ" sz="700" b="0" i="1" baseline="0"/>
                  <a:t>vybr. skupiny nezam., očekávání nezaměstnanosti</a:t>
                </a:r>
                <a:endParaRPr lang="cs-CZ" sz="700" b="0" i="1"/>
              </a:p>
            </c:rich>
          </c:tx>
          <c:overlay val="0"/>
        </c:title>
        <c:numFmt formatCode="#,##0" sourceLinked="0"/>
        <c:majorTickMark val="out"/>
        <c:minorTickMark val="none"/>
        <c:tickLblPos val="nextTo"/>
        <c:crossAx val="235809792"/>
        <c:crosses val="max"/>
        <c:crossBetween val="between"/>
        <c:majorUnit val="10"/>
      </c:valAx>
      <c:catAx>
        <c:axId val="235809792"/>
        <c:scaling>
          <c:orientation val="minMax"/>
        </c:scaling>
        <c:delete val="1"/>
        <c:axPos val="b"/>
        <c:numFmt formatCode="General" sourceLinked="1"/>
        <c:majorTickMark val="out"/>
        <c:minorTickMark val="none"/>
        <c:tickLblPos val="nextTo"/>
        <c:crossAx val="235807872"/>
        <c:crosses val="autoZero"/>
        <c:auto val="1"/>
        <c:lblAlgn val="ctr"/>
        <c:lblOffset val="100"/>
        <c:noMultiLvlLbl val="0"/>
      </c:catAx>
      <c:spPr>
        <a:ln>
          <a:solidFill>
            <a:schemeClr val="tx1"/>
          </a:solidFill>
        </a:ln>
      </c:spPr>
    </c:plotArea>
    <c:legend>
      <c:legendPos val="b"/>
      <c:layout>
        <c:manualLayout>
          <c:xMode val="edge"/>
          <c:yMode val="edge"/>
          <c:x val="6.9661976872503594E-3"/>
          <c:y val="0.85929280045351475"/>
          <c:w val="0.98428486364480727"/>
          <c:h val="0.13700935374149659"/>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Mzdy!$D$8</c:f>
              <c:strCache>
                <c:ptCount val="1"/>
                <c:pt idx="0">
                  <c:v>Průměrná mzda celkem (reálně)</c:v>
                </c:pt>
              </c:strCache>
            </c:strRef>
          </c:tx>
          <c:spPr>
            <a:solidFill>
              <a:srgbClr val="DBDBDB"/>
            </a:solidFill>
            <a:ln w="19050">
              <a:noFill/>
            </a:ln>
          </c:spPr>
          <c:invertIfNegative val="0"/>
          <c:cat>
            <c:multiLvlStrRef>
              <c:f>Mzdy!$A$29:$B$54</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Mzdy!$D$29:$D$54</c:f>
              <c:numCache>
                <c:formatCode>#\ ##0.0</c:formatCode>
                <c:ptCount val="26"/>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5.5</c:v>
                </c:pt>
                <c:pt idx="17">
                  <c:v>5.0999999999999943</c:v>
                </c:pt>
                <c:pt idx="18">
                  <c:v>4.7999999999999972</c:v>
                </c:pt>
                <c:pt idx="19">
                  <c:v>4.5</c:v>
                </c:pt>
                <c:pt idx="20">
                  <c:v>0.20000000000000284</c:v>
                </c:pt>
                <c:pt idx="21">
                  <c:v>-3.5999999999999943</c:v>
                </c:pt>
                <c:pt idx="22">
                  <c:v>0.70000000000000284</c:v>
                </c:pt>
                <c:pt idx="23">
                  <c:v>2.5999999999999943</c:v>
                </c:pt>
                <c:pt idx="24">
                  <c:v>1.0999999999999943</c:v>
                </c:pt>
                <c:pt idx="25">
                  <c:v>8.2000000000000028</c:v>
                </c:pt>
              </c:numCache>
            </c:numRef>
          </c:val>
          <c:extLst>
            <c:ext xmlns:c16="http://schemas.microsoft.com/office/drawing/2014/chart" uri="{C3380CC4-5D6E-409C-BE32-E72D297353CC}">
              <c16:uniqueId val="{00000000-DDB4-4CB6-BFA3-11351BAF5B04}"/>
            </c:ext>
          </c:extLst>
        </c:ser>
        <c:dLbls>
          <c:showLegendKey val="0"/>
          <c:showVal val="0"/>
          <c:showCatName val="0"/>
          <c:showSerName val="0"/>
          <c:showPercent val="0"/>
          <c:showBubbleSize val="0"/>
        </c:dLbls>
        <c:gapWidth val="37"/>
        <c:axId val="133744896"/>
        <c:axId val="133751168"/>
      </c:barChart>
      <c:lineChart>
        <c:grouping val="standard"/>
        <c:varyColors val="0"/>
        <c:ser>
          <c:idx val="0"/>
          <c:order val="0"/>
          <c:tx>
            <c:strRef>
              <c:f>Mzdy!$C$8</c:f>
              <c:strCache>
                <c:ptCount val="1"/>
                <c:pt idx="0">
                  <c:v>Průměrná mzda celkem (nominálně)</c:v>
                </c:pt>
              </c:strCache>
            </c:strRef>
          </c:tx>
          <c:spPr>
            <a:ln w="19050">
              <a:solidFill>
                <a:schemeClr val="tx1">
                  <a:lumMod val="95000"/>
                  <a:lumOff val="5000"/>
                </a:schemeClr>
              </a:solidFill>
            </a:ln>
          </c:spPr>
          <c:marker>
            <c:symbol val="none"/>
          </c:marker>
          <c:cat>
            <c:multiLvlStrRef>
              <c:f>Mzdy!$A$29:$B$54</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Mzdy!$C$29:$C$54</c:f>
              <c:numCache>
                <c:formatCode>0.0</c:formatCode>
                <c:ptCount val="26"/>
                <c:pt idx="0">
                  <c:v>2.2702659339777824</c:v>
                </c:pt>
                <c:pt idx="1">
                  <c:v>3.2813172200711875</c:v>
                </c:pt>
                <c:pt idx="2">
                  <c:v>3.4969737726967054</c:v>
                </c:pt>
                <c:pt idx="3">
                  <c:v>3.657239279556876</c:v>
                </c:pt>
                <c:pt idx="4">
                  <c:v>4.6515276307016507</c:v>
                </c:pt>
                <c:pt idx="5">
                  <c:v>3.9533474704634983</c:v>
                </c:pt>
                <c:pt idx="6">
                  <c:v>4.7127622979016053</c:v>
                </c:pt>
                <c:pt idx="7">
                  <c:v>4.3633661264066887</c:v>
                </c:pt>
                <c:pt idx="8">
                  <c:v>5.0631488213469282</c:v>
                </c:pt>
                <c:pt idx="9">
                  <c:v>7.2125892466851269</c:v>
                </c:pt>
                <c:pt idx="10">
                  <c:v>6.7090086143962679</c:v>
                </c:pt>
                <c:pt idx="11">
                  <c:v>7.8362890373334153</c:v>
                </c:pt>
                <c:pt idx="12">
                  <c:v>8.5360633516444295</c:v>
                </c:pt>
                <c:pt idx="13">
                  <c:v>8.7353900516444725</c:v>
                </c:pt>
                <c:pt idx="14">
                  <c:v>8.3840733392624998</c:v>
                </c:pt>
                <c:pt idx="15">
                  <c:v>7.090749009496264</c:v>
                </c:pt>
                <c:pt idx="16">
                  <c:v>8.2952640746705129</c:v>
                </c:pt>
                <c:pt idx="17">
                  <c:v>8.0398712620691697</c:v>
                </c:pt>
                <c:pt idx="18">
                  <c:v>7.7071169323023554</c:v>
                </c:pt>
                <c:pt idx="19">
                  <c:v>7.5667263704965109</c:v>
                </c:pt>
                <c:pt idx="20">
                  <c:v>3.7813723407483764</c:v>
                </c:pt>
                <c:pt idx="21">
                  <c:v>-0.56108283202220832</c:v>
                </c:pt>
                <c:pt idx="22">
                  <c:v>3.985114425528181</c:v>
                </c:pt>
                <c:pt idx="23">
                  <c:v>5.3229240596167386</c:v>
                </c:pt>
                <c:pt idx="24">
                  <c:v>3.3394742228850589</c:v>
                </c:pt>
                <c:pt idx="25">
                  <c:v>11.322785178290971</c:v>
                </c:pt>
              </c:numCache>
            </c:numRef>
          </c:val>
          <c:smooth val="0"/>
          <c:extLst>
            <c:ext xmlns:c16="http://schemas.microsoft.com/office/drawing/2014/chart" uri="{C3380CC4-5D6E-409C-BE32-E72D297353CC}">
              <c16:uniqueId val="{00000001-DDB4-4CB6-BFA3-11351BAF5B04}"/>
            </c:ext>
          </c:extLst>
        </c:ser>
        <c:ser>
          <c:idx val="5"/>
          <c:order val="2"/>
          <c:tx>
            <c:strRef>
              <c:f>Mzdy!$E$8</c:f>
              <c:strCache>
                <c:ptCount val="1"/>
                <c:pt idx="0">
                  <c:v>Prům. mzda v průmyslu (nominálně)</c:v>
                </c:pt>
              </c:strCache>
            </c:strRef>
          </c:tx>
          <c:spPr>
            <a:ln w="9525">
              <a:solidFill>
                <a:srgbClr val="C00000"/>
              </a:solidFill>
              <a:prstDash val="solid"/>
            </a:ln>
          </c:spPr>
          <c:marker>
            <c:symbol val="none"/>
          </c:marker>
          <c:cat>
            <c:multiLvlStrRef>
              <c:f>Mzdy!$A$29:$B$54</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Mzdy!$E$29:$E$54</c:f>
              <c:numCache>
                <c:formatCode>0.0</c:formatCode>
                <c:ptCount val="26"/>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7.1985838851373387</c:v>
                </c:pt>
                <c:pt idx="17">
                  <c:v>7.0904869554591556</c:v>
                </c:pt>
                <c:pt idx="18">
                  <c:v>6.753964974732213</c:v>
                </c:pt>
                <c:pt idx="19">
                  <c:v>5.6242870930946793</c:v>
                </c:pt>
                <c:pt idx="20">
                  <c:v>3.2413919637942712</c:v>
                </c:pt>
                <c:pt idx="21">
                  <c:v>-4.9579232634431634</c:v>
                </c:pt>
                <c:pt idx="22">
                  <c:v>1.4528998451827988</c:v>
                </c:pt>
                <c:pt idx="23">
                  <c:v>2.5087223791327489</c:v>
                </c:pt>
                <c:pt idx="24">
                  <c:v>2.3606421420532087</c:v>
                </c:pt>
                <c:pt idx="25">
                  <c:v>10.679232824083812</c:v>
                </c:pt>
              </c:numCache>
            </c:numRef>
          </c:val>
          <c:smooth val="0"/>
          <c:extLst>
            <c:ext xmlns:c16="http://schemas.microsoft.com/office/drawing/2014/chart" uri="{C3380CC4-5D6E-409C-BE32-E72D297353CC}">
              <c16:uniqueId val="{00000002-DDB4-4CB6-BFA3-11351BAF5B04}"/>
            </c:ext>
          </c:extLst>
        </c:ser>
        <c:ser>
          <c:idx val="1"/>
          <c:order val="3"/>
          <c:tx>
            <c:strRef>
              <c:f>Mzdy!$F$8</c:f>
              <c:strCache>
                <c:ptCount val="1"/>
                <c:pt idx="0">
                  <c:v>Prům. mzda v obchodu (nominálně)</c:v>
                </c:pt>
              </c:strCache>
            </c:strRef>
          </c:tx>
          <c:spPr>
            <a:ln w="9525">
              <a:solidFill>
                <a:srgbClr val="0070C0"/>
              </a:solidFill>
              <a:prstDash val="solid"/>
            </a:ln>
          </c:spPr>
          <c:marker>
            <c:symbol val="none"/>
          </c:marker>
          <c:cat>
            <c:multiLvlStrRef>
              <c:f>Mzdy!$A$29:$B$54</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Mzdy!$F$29:$F$54</c:f>
              <c:numCache>
                <c:formatCode>0.0</c:formatCode>
                <c:ptCount val="26"/>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9.5345999651385682</c:v>
                </c:pt>
                <c:pt idx="17">
                  <c:v>7.4227708080399282</c:v>
                </c:pt>
                <c:pt idx="18">
                  <c:v>8.1629221041302316</c:v>
                </c:pt>
                <c:pt idx="19">
                  <c:v>6.3018346318170444</c:v>
                </c:pt>
                <c:pt idx="20">
                  <c:v>3.0935709739019757</c:v>
                </c:pt>
                <c:pt idx="21">
                  <c:v>-2.0939942862524816</c:v>
                </c:pt>
                <c:pt idx="22">
                  <c:v>1.6200752510961109</c:v>
                </c:pt>
                <c:pt idx="23">
                  <c:v>-0.64424611383651609</c:v>
                </c:pt>
                <c:pt idx="24">
                  <c:v>2.1085453198320607</c:v>
                </c:pt>
                <c:pt idx="25">
                  <c:v>9.4433399602385606</c:v>
                </c:pt>
              </c:numCache>
            </c:numRef>
          </c:val>
          <c:smooth val="0"/>
          <c:extLst>
            <c:ext xmlns:c16="http://schemas.microsoft.com/office/drawing/2014/chart" uri="{C3380CC4-5D6E-409C-BE32-E72D297353CC}">
              <c16:uniqueId val="{00000003-DDB4-4CB6-BFA3-11351BAF5B04}"/>
            </c:ext>
          </c:extLst>
        </c:ser>
        <c:ser>
          <c:idx val="2"/>
          <c:order val="4"/>
          <c:tx>
            <c:strRef>
              <c:f>Mzdy!$G$8</c:f>
              <c:strCache>
                <c:ptCount val="1"/>
                <c:pt idx="0">
                  <c:v>Prům. mzda ve veř. službách (nominálně)*</c:v>
                </c:pt>
              </c:strCache>
            </c:strRef>
          </c:tx>
          <c:spPr>
            <a:ln w="9525">
              <a:solidFill>
                <a:srgbClr val="00B050"/>
              </a:solidFill>
              <a:prstDash val="solid"/>
            </a:ln>
          </c:spPr>
          <c:marker>
            <c:symbol val="none"/>
          </c:marker>
          <c:cat>
            <c:multiLvlStrRef>
              <c:f>Mzdy!$A$29:$B$54</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Mzdy!$G$29:$G$54</c:f>
              <c:numCache>
                <c:formatCode>0.0</c:formatCode>
                <c:ptCount val="26"/>
                <c:pt idx="0">
                  <c:v>3.2925091204842687</c:v>
                </c:pt>
                <c:pt idx="1">
                  <c:v>4.3135889286729565</c:v>
                </c:pt>
                <c:pt idx="2">
                  <c:v>3.8145419077079765</c:v>
                </c:pt>
                <c:pt idx="3">
                  <c:v>3.6381766938736746</c:v>
                </c:pt>
                <c:pt idx="4">
                  <c:v>4.64178325585614</c:v>
                </c:pt>
                <c:pt idx="5">
                  <c:v>3.8061258933532116</c:v>
                </c:pt>
                <c:pt idx="6">
                  <c:v>4.8526374704253925</c:v>
                </c:pt>
                <c:pt idx="7">
                  <c:v>6.1351981806606233</c:v>
                </c:pt>
                <c:pt idx="8">
                  <c:v>5.4566112929362163</c:v>
                </c:pt>
                <c:pt idx="9">
                  <c:v>7.3192456135909225</c:v>
                </c:pt>
                <c:pt idx="10">
                  <c:v>7.9981713137873953</c:v>
                </c:pt>
                <c:pt idx="11">
                  <c:v>10.484072576559427</c:v>
                </c:pt>
                <c:pt idx="12">
                  <c:v>12.179699393983398</c:v>
                </c:pt>
                <c:pt idx="13">
                  <c:v>11.89217733254111</c:v>
                </c:pt>
                <c:pt idx="14">
                  <c:v>11.361326321628667</c:v>
                </c:pt>
                <c:pt idx="15">
                  <c:v>6.1282038917470629</c:v>
                </c:pt>
                <c:pt idx="16">
                  <c:v>9.4162908795776019</c:v>
                </c:pt>
                <c:pt idx="17">
                  <c:v>9.3022383570098555</c:v>
                </c:pt>
                <c:pt idx="18">
                  <c:v>8.3925247282538464</c:v>
                </c:pt>
                <c:pt idx="19">
                  <c:v>11.041060141001239</c:v>
                </c:pt>
                <c:pt idx="20">
                  <c:v>4.0761706440969334</c:v>
                </c:pt>
                <c:pt idx="21">
                  <c:v>3.8609569062914204</c:v>
                </c:pt>
                <c:pt idx="22">
                  <c:v>7.6176258951069542</c:v>
                </c:pt>
                <c:pt idx="23">
                  <c:v>12.682983973452551</c:v>
                </c:pt>
                <c:pt idx="24">
                  <c:v>4.9345963778913102</c:v>
                </c:pt>
                <c:pt idx="25">
                  <c:v>17.753622086318074</c:v>
                </c:pt>
              </c:numCache>
            </c:numRef>
          </c:val>
          <c:smooth val="0"/>
          <c:extLst>
            <c:ext xmlns:c16="http://schemas.microsoft.com/office/drawing/2014/chart" uri="{C3380CC4-5D6E-409C-BE32-E72D297353CC}">
              <c16:uniqueId val="{00000004-DDB4-4CB6-BFA3-11351BAF5B04}"/>
            </c:ext>
          </c:extLst>
        </c:ser>
        <c:ser>
          <c:idx val="3"/>
          <c:order val="5"/>
          <c:tx>
            <c:strRef>
              <c:f>Mzdy!$H$8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Mzdy!$A$29:$B$54</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Mzdy!$H$29:$H$54</c:f>
              <c:numCache>
                <c:formatCode>0.0</c:formatCode>
                <c:ptCount val="26"/>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8.7000000000000028</c:v>
                </c:pt>
                <c:pt idx="17">
                  <c:v>8</c:v>
                </c:pt>
                <c:pt idx="18">
                  <c:v>8.5999999999999943</c:v>
                </c:pt>
                <c:pt idx="19">
                  <c:v>8</c:v>
                </c:pt>
                <c:pt idx="20">
                  <c:v>3.5</c:v>
                </c:pt>
                <c:pt idx="21">
                  <c:v>-1.7999999999999972</c:v>
                </c:pt>
                <c:pt idx="22">
                  <c:v>4</c:v>
                </c:pt>
                <c:pt idx="23">
                  <c:v>4.0999999999999943</c:v>
                </c:pt>
                <c:pt idx="24">
                  <c:v>2.5999999999999943</c:v>
                </c:pt>
                <c:pt idx="25">
                  <c:v>11.5</c:v>
                </c:pt>
              </c:numCache>
            </c:numRef>
          </c:val>
          <c:smooth val="0"/>
          <c:extLst>
            <c:ext xmlns:c16="http://schemas.microsoft.com/office/drawing/2014/chart" uri="{C3380CC4-5D6E-409C-BE32-E72D297353CC}">
              <c16:uniqueId val="{00000005-DDB4-4CB6-BFA3-11351BAF5B04}"/>
            </c:ext>
          </c:extLst>
        </c:ser>
        <c:dLbls>
          <c:showLegendKey val="0"/>
          <c:showVal val="0"/>
          <c:showCatName val="0"/>
          <c:showSerName val="0"/>
          <c:showPercent val="0"/>
          <c:showBubbleSize val="0"/>
        </c:dLbls>
        <c:marker val="1"/>
        <c:smooth val="0"/>
        <c:axId val="133744896"/>
        <c:axId val="133751168"/>
      </c:lineChart>
      <c:catAx>
        <c:axId val="133744896"/>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33751168"/>
        <c:crosses val="autoZero"/>
        <c:auto val="1"/>
        <c:lblAlgn val="ctr"/>
        <c:lblOffset val="0"/>
        <c:tickMarkSkip val="4"/>
        <c:noMultiLvlLbl val="0"/>
      </c:catAx>
      <c:valAx>
        <c:axId val="133751168"/>
        <c:scaling>
          <c:orientation val="minMax"/>
          <c:max val="18"/>
          <c:min val="-6"/>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33744896"/>
        <c:crosses val="autoZero"/>
        <c:crossBetween val="between"/>
        <c:majorUnit val="2"/>
      </c:valAx>
      <c:spPr>
        <a:ln>
          <a:solidFill>
            <a:schemeClr val="tx1"/>
          </a:solidFill>
        </a:ln>
      </c:spPr>
    </c:plotArea>
    <c:legend>
      <c:legendPos val="b"/>
      <c:layout>
        <c:manualLayout>
          <c:xMode val="edge"/>
          <c:yMode val="edge"/>
          <c:x val="2.5777042272800643E-2"/>
          <c:y val="0.87578174603174608"/>
          <c:w val="0.9607966303114982"/>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05E-2"/>
          <c:y val="2.1711264016309892E-2"/>
          <c:w val="0.93508633063154345"/>
          <c:h val="0.73130361364405005"/>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1'!$A$42:$B$119</c:f>
              <c:multiLvlStrCache>
                <c:ptCount val="7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pt idx="75">
                    <c:v>4</c:v>
                  </c:pt>
                  <c:pt idx="76">
                    <c:v>5</c:v>
                  </c:pt>
                  <c:pt idx="77">
                    <c:v>6</c:v>
                  </c:pt>
                </c:lvl>
                <c:lvl>
                  <c:pt idx="0">
                    <c:v>2015</c:v>
                  </c:pt>
                  <c:pt idx="12">
                    <c:v>2016</c:v>
                  </c:pt>
                  <c:pt idx="24">
                    <c:v>2017</c:v>
                  </c:pt>
                  <c:pt idx="36">
                    <c:v>2018</c:v>
                  </c:pt>
                  <c:pt idx="48">
                    <c:v>2019</c:v>
                  </c:pt>
                  <c:pt idx="60">
                    <c:v>2020</c:v>
                  </c:pt>
                  <c:pt idx="72">
                    <c:v>2021</c:v>
                  </c:pt>
                </c:lvl>
              </c:multiLvlStrCache>
            </c:multiLvlStrRef>
          </c:cat>
          <c:val>
            <c:numRef>
              <c:f>'Měnové podmínky 1'!$C$42:$C$119</c:f>
              <c:numCache>
                <c:formatCode>0.00</c:formatCode>
                <c:ptCount val="78"/>
                <c:pt idx="0">
                  <c:v>0.05</c:v>
                </c:pt>
                <c:pt idx="1">
                  <c:v>0.05</c:v>
                </c:pt>
                <c:pt idx="2">
                  <c:v>0.05</c:v>
                </c:pt>
                <c:pt idx="3">
                  <c:v>0.05</c:v>
                </c:pt>
                <c:pt idx="4">
                  <c:v>0.05</c:v>
                </c:pt>
                <c:pt idx="5">
                  <c:v>0.05</c:v>
                </c:pt>
                <c:pt idx="6">
                  <c:v>0.05</c:v>
                </c:pt>
                <c:pt idx="7">
                  <c:v>0.05</c:v>
                </c:pt>
                <c:pt idx="8">
                  <c:v>0.05</c:v>
                </c:pt>
                <c:pt idx="9">
                  <c:v>0.05</c:v>
                </c:pt>
                <c:pt idx="10">
                  <c:v>0.05</c:v>
                </c:pt>
                <c:pt idx="11">
                  <c:v>0.05</c:v>
                </c:pt>
                <c:pt idx="12" formatCode="General">
                  <c:v>0.05</c:v>
                </c:pt>
                <c:pt idx="13" formatCode="General">
                  <c:v>0.05</c:v>
                </c:pt>
                <c:pt idx="14" formatCode="General">
                  <c:v>0.05</c:v>
                </c:pt>
                <c:pt idx="15" formatCode="General">
                  <c:v>0.05</c:v>
                </c:pt>
                <c:pt idx="16" formatCode="General">
                  <c:v>0.05</c:v>
                </c:pt>
                <c:pt idx="17" formatCode="General">
                  <c:v>0.05</c:v>
                </c:pt>
                <c:pt idx="18" formatCode="General">
                  <c:v>0.05</c:v>
                </c:pt>
                <c:pt idx="19" formatCode="General">
                  <c:v>0.05</c:v>
                </c:pt>
                <c:pt idx="20" formatCode="General">
                  <c:v>0.05</c:v>
                </c:pt>
                <c:pt idx="21" formatCode="General">
                  <c:v>0.05</c:v>
                </c:pt>
                <c:pt idx="22" formatCode="General">
                  <c:v>0.05</c:v>
                </c:pt>
                <c:pt idx="23" formatCode="General">
                  <c:v>0.05</c:v>
                </c:pt>
                <c:pt idx="24" formatCode="General">
                  <c:v>0.05</c:v>
                </c:pt>
                <c:pt idx="25" formatCode="General">
                  <c:v>0.05</c:v>
                </c:pt>
                <c:pt idx="26" formatCode="General">
                  <c:v>0.05</c:v>
                </c:pt>
                <c:pt idx="27" formatCode="General">
                  <c:v>0.05</c:v>
                </c:pt>
                <c:pt idx="28" formatCode="General">
                  <c:v>0.05</c:v>
                </c:pt>
                <c:pt idx="29" formatCode="General">
                  <c:v>0.05</c:v>
                </c:pt>
                <c:pt idx="30" formatCode="General">
                  <c:v>0.05</c:v>
                </c:pt>
                <c:pt idx="31" formatCode="General">
                  <c:v>0.25</c:v>
                </c:pt>
                <c:pt idx="32" formatCode="General">
                  <c:v>0.25</c:v>
                </c:pt>
                <c:pt idx="33" formatCode="General">
                  <c:v>0.25</c:v>
                </c:pt>
                <c:pt idx="34" formatCode="General">
                  <c:v>0.5</c:v>
                </c:pt>
                <c:pt idx="35" formatCode="General">
                  <c:v>0.5</c:v>
                </c:pt>
                <c:pt idx="36" formatCode="General">
                  <c:v>0.5</c:v>
                </c:pt>
                <c:pt idx="37" formatCode="General">
                  <c:v>0.75</c:v>
                </c:pt>
                <c:pt idx="38" formatCode="General">
                  <c:v>0.75</c:v>
                </c:pt>
                <c:pt idx="39" formatCode="General">
                  <c:v>0.75</c:v>
                </c:pt>
                <c:pt idx="40" formatCode="General">
                  <c:v>0.75</c:v>
                </c:pt>
                <c:pt idx="41" formatCode="General">
                  <c:v>1</c:v>
                </c:pt>
                <c:pt idx="42" formatCode="General">
                  <c:v>1</c:v>
                </c:pt>
                <c:pt idx="43" formatCode="General">
                  <c:v>1.25</c:v>
                </c:pt>
                <c:pt idx="44" formatCode="General">
                  <c:v>1.5</c:v>
                </c:pt>
                <c:pt idx="45" formatCode="General">
                  <c:v>1.5</c:v>
                </c:pt>
                <c:pt idx="46" formatCode="General">
                  <c:v>1.75</c:v>
                </c:pt>
                <c:pt idx="47" formatCode="General">
                  <c:v>1.75</c:v>
                </c:pt>
                <c:pt idx="48" formatCode="General">
                  <c:v>1.75</c:v>
                </c:pt>
                <c:pt idx="49" formatCode="General">
                  <c:v>1.75</c:v>
                </c:pt>
                <c:pt idx="50" formatCode="General">
                  <c:v>1.75</c:v>
                </c:pt>
                <c:pt idx="51" formatCode="General">
                  <c:v>1.75</c:v>
                </c:pt>
                <c:pt idx="52" formatCode="General">
                  <c:v>2</c:v>
                </c:pt>
                <c:pt idx="53" formatCode="General">
                  <c:v>2</c:v>
                </c:pt>
                <c:pt idx="54" formatCode="General">
                  <c:v>2</c:v>
                </c:pt>
                <c:pt idx="55" formatCode="General">
                  <c:v>2</c:v>
                </c:pt>
                <c:pt idx="56" formatCode="General">
                  <c:v>2</c:v>
                </c:pt>
                <c:pt idx="57" formatCode="General">
                  <c:v>2</c:v>
                </c:pt>
                <c:pt idx="58" formatCode="General">
                  <c:v>2</c:v>
                </c:pt>
                <c:pt idx="59" formatCode="General">
                  <c:v>2</c:v>
                </c:pt>
                <c:pt idx="60" formatCode="General">
                  <c:v>2</c:v>
                </c:pt>
                <c:pt idx="61" formatCode="General">
                  <c:v>2.25</c:v>
                </c:pt>
                <c:pt idx="62" formatCode="General">
                  <c:v>1</c:v>
                </c:pt>
                <c:pt idx="63" formatCode="General">
                  <c:v>1</c:v>
                </c:pt>
                <c:pt idx="64" formatCode="General">
                  <c:v>0.25</c:v>
                </c:pt>
                <c:pt idx="65" formatCode="General">
                  <c:v>0.25</c:v>
                </c:pt>
                <c:pt idx="66" formatCode="General">
                  <c:v>0.25</c:v>
                </c:pt>
                <c:pt idx="67" formatCode="General">
                  <c:v>0.25</c:v>
                </c:pt>
                <c:pt idx="68" formatCode="General">
                  <c:v>0.25</c:v>
                </c:pt>
                <c:pt idx="69" formatCode="General">
                  <c:v>0.25</c:v>
                </c:pt>
                <c:pt idx="70" formatCode="General">
                  <c:v>0.25</c:v>
                </c:pt>
                <c:pt idx="71" formatCode="General">
                  <c:v>0.25</c:v>
                </c:pt>
                <c:pt idx="72" formatCode="General">
                  <c:v>0.25</c:v>
                </c:pt>
                <c:pt idx="73" formatCode="General">
                  <c:v>0.25</c:v>
                </c:pt>
                <c:pt idx="74" formatCode="General">
                  <c:v>0.25</c:v>
                </c:pt>
                <c:pt idx="75" formatCode="General">
                  <c:v>0.25</c:v>
                </c:pt>
                <c:pt idx="76" formatCode="General">
                  <c:v>0.25</c:v>
                </c:pt>
                <c:pt idx="77" formatCode="General">
                  <c:v>0.5</c:v>
                </c:pt>
              </c:numCache>
            </c:numRef>
          </c:val>
          <c:extLst>
            <c:ext xmlns:c16="http://schemas.microsoft.com/office/drawing/2014/chart" uri="{C3380CC4-5D6E-409C-BE32-E72D297353CC}">
              <c16:uniqueId val="{00000000-BB18-4E27-8A46-1C4C95A1E6AE}"/>
            </c:ext>
          </c:extLst>
        </c:ser>
        <c:dLbls>
          <c:showLegendKey val="0"/>
          <c:showVal val="0"/>
          <c:showCatName val="0"/>
          <c:showSerName val="0"/>
          <c:showPercent val="0"/>
          <c:showBubbleSize val="0"/>
        </c:dLbls>
        <c:gapWidth val="31"/>
        <c:axId val="37110912"/>
        <c:axId val="37112448"/>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1'!$A$42:$B$119</c:f>
              <c:multiLvlStrCache>
                <c:ptCount val="7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pt idx="75">
                    <c:v>4</c:v>
                  </c:pt>
                  <c:pt idx="76">
                    <c:v>5</c:v>
                  </c:pt>
                  <c:pt idx="77">
                    <c:v>6</c:v>
                  </c:pt>
                </c:lvl>
                <c:lvl>
                  <c:pt idx="0">
                    <c:v>2015</c:v>
                  </c:pt>
                  <c:pt idx="12">
                    <c:v>2016</c:v>
                  </c:pt>
                  <c:pt idx="24">
                    <c:v>2017</c:v>
                  </c:pt>
                  <c:pt idx="36">
                    <c:v>2018</c:v>
                  </c:pt>
                  <c:pt idx="48">
                    <c:v>2019</c:v>
                  </c:pt>
                  <c:pt idx="60">
                    <c:v>2020</c:v>
                  </c:pt>
                  <c:pt idx="72">
                    <c:v>2021</c:v>
                  </c:pt>
                </c:lvl>
              </c:multiLvlStrCache>
            </c:multiLvlStrRef>
          </c:cat>
          <c:val>
            <c:numRef>
              <c:f>'Měnové podmínky 1'!$F$42:$F$119</c:f>
              <c:numCache>
                <c:formatCode>General</c:formatCode>
                <c:ptCount val="78"/>
                <c:pt idx="0">
                  <c:v>0.09</c:v>
                </c:pt>
                <c:pt idx="1">
                  <c:v>0.06</c:v>
                </c:pt>
                <c:pt idx="2">
                  <c:v>0.04</c:v>
                </c:pt>
                <c:pt idx="3">
                  <c:v>-0.03</c:v>
                </c:pt>
                <c:pt idx="4">
                  <c:v>0.04</c:v>
                </c:pt>
                <c:pt idx="5">
                  <c:v>0.11</c:v>
                </c:pt>
                <c:pt idx="6">
                  <c:v>0.02</c:v>
                </c:pt>
                <c:pt idx="7">
                  <c:v>-7.0000000000000007E-2</c:v>
                </c:pt>
                <c:pt idx="8">
                  <c:v>-0.3</c:v>
                </c:pt>
                <c:pt idx="9">
                  <c:v>-0.28000000000000003</c:v>
                </c:pt>
                <c:pt idx="10">
                  <c:v>-0.33</c:v>
                </c:pt>
                <c:pt idx="11">
                  <c:v>-0.38</c:v>
                </c:pt>
                <c:pt idx="12">
                  <c:v>-0.21</c:v>
                </c:pt>
                <c:pt idx="13">
                  <c:v>-0.18</c:v>
                </c:pt>
                <c:pt idx="14">
                  <c:v>-0.17</c:v>
                </c:pt>
                <c:pt idx="15">
                  <c:v>-0.08</c:v>
                </c:pt>
                <c:pt idx="16">
                  <c:v>-0.04</c:v>
                </c:pt>
                <c:pt idx="17">
                  <c:v>-0.05</c:v>
                </c:pt>
                <c:pt idx="18">
                  <c:v>-0.13</c:v>
                </c:pt>
                <c:pt idx="19">
                  <c:v>-0.22</c:v>
                </c:pt>
                <c:pt idx="20">
                  <c:v>-0.5</c:v>
                </c:pt>
                <c:pt idx="21">
                  <c:v>-0.74</c:v>
                </c:pt>
                <c:pt idx="22">
                  <c:v>-0.73</c:v>
                </c:pt>
                <c:pt idx="23">
                  <c:v>-0.81</c:v>
                </c:pt>
                <c:pt idx="24">
                  <c:v>-0.88</c:v>
                </c:pt>
                <c:pt idx="25">
                  <c:v>-0.53</c:v>
                </c:pt>
                <c:pt idx="26">
                  <c:v>-0.44</c:v>
                </c:pt>
                <c:pt idx="27">
                  <c:v>-0.23</c:v>
                </c:pt>
                <c:pt idx="28">
                  <c:v>-0.24</c:v>
                </c:pt>
                <c:pt idx="29">
                  <c:v>-0.25</c:v>
                </c:pt>
                <c:pt idx="30">
                  <c:v>-0.28999999999999998</c:v>
                </c:pt>
                <c:pt idx="31">
                  <c:v>-0.33</c:v>
                </c:pt>
                <c:pt idx="32">
                  <c:v>-0.28999999999999998</c:v>
                </c:pt>
                <c:pt idx="33">
                  <c:v>0.12</c:v>
                </c:pt>
                <c:pt idx="34">
                  <c:v>0.31</c:v>
                </c:pt>
                <c:pt idx="35">
                  <c:v>0.19</c:v>
                </c:pt>
                <c:pt idx="36">
                  <c:v>0.46</c:v>
                </c:pt>
                <c:pt idx="37">
                  <c:v>0.55000000000000004</c:v>
                </c:pt>
                <c:pt idx="38">
                  <c:v>0.62</c:v>
                </c:pt>
                <c:pt idx="39">
                  <c:v>0.6</c:v>
                </c:pt>
                <c:pt idx="40">
                  <c:v>0.7</c:v>
                </c:pt>
                <c:pt idx="41">
                  <c:v>0.89</c:v>
                </c:pt>
                <c:pt idx="42">
                  <c:v>1.0900000000000001</c:v>
                </c:pt>
                <c:pt idx="43">
                  <c:v>1.26</c:v>
                </c:pt>
                <c:pt idx="44">
                  <c:v>1.34</c:v>
                </c:pt>
                <c:pt idx="45">
                  <c:v>1.44</c:v>
                </c:pt>
                <c:pt idx="46">
                  <c:v>1.49</c:v>
                </c:pt>
                <c:pt idx="47">
                  <c:v>1.52</c:v>
                </c:pt>
                <c:pt idx="48">
                  <c:v>1.66</c:v>
                </c:pt>
                <c:pt idx="49">
                  <c:v>1.74</c:v>
                </c:pt>
                <c:pt idx="50">
                  <c:v>1.71</c:v>
                </c:pt>
                <c:pt idx="51">
                  <c:v>1.63</c:v>
                </c:pt>
                <c:pt idx="52">
                  <c:v>1.62</c:v>
                </c:pt>
                <c:pt idx="53">
                  <c:v>1.52</c:v>
                </c:pt>
                <c:pt idx="54">
                  <c:v>1.35</c:v>
                </c:pt>
                <c:pt idx="55">
                  <c:v>0.85</c:v>
                </c:pt>
                <c:pt idx="56">
                  <c:v>1.07</c:v>
                </c:pt>
                <c:pt idx="57">
                  <c:v>1.17</c:v>
                </c:pt>
                <c:pt idx="58">
                  <c:v>1.33</c:v>
                </c:pt>
                <c:pt idx="59">
                  <c:v>1.36</c:v>
                </c:pt>
                <c:pt idx="60">
                  <c:v>1.55</c:v>
                </c:pt>
                <c:pt idx="61">
                  <c:v>1.57</c:v>
                </c:pt>
                <c:pt idx="62">
                  <c:v>1.27</c:v>
                </c:pt>
                <c:pt idx="63">
                  <c:v>0.71</c:v>
                </c:pt>
                <c:pt idx="64">
                  <c:v>0.13</c:v>
                </c:pt>
                <c:pt idx="65">
                  <c:v>0.08</c:v>
                </c:pt>
                <c:pt idx="66">
                  <c:v>0.02</c:v>
                </c:pt>
                <c:pt idx="67">
                  <c:v>0.04</c:v>
                </c:pt>
                <c:pt idx="68">
                  <c:v>0.05</c:v>
                </c:pt>
                <c:pt idx="69">
                  <c:v>0</c:v>
                </c:pt>
                <c:pt idx="70">
                  <c:v>0.06</c:v>
                </c:pt>
                <c:pt idx="71">
                  <c:v>0.16</c:v>
                </c:pt>
                <c:pt idx="72">
                  <c:v>0.26</c:v>
                </c:pt>
                <c:pt idx="73">
                  <c:v>0.45</c:v>
                </c:pt>
                <c:pt idx="74">
                  <c:v>0.75</c:v>
                </c:pt>
                <c:pt idx="75">
                  <c:v>0.76</c:v>
                </c:pt>
                <c:pt idx="76">
                  <c:v>0.76</c:v>
                </c:pt>
                <c:pt idx="77">
                  <c:v>0.69</c:v>
                </c:pt>
              </c:numCache>
            </c:numRef>
          </c:val>
          <c:smooth val="0"/>
          <c:extLst>
            <c:ext xmlns:c16="http://schemas.microsoft.com/office/drawing/2014/chart" uri="{C3380CC4-5D6E-409C-BE32-E72D297353CC}">
              <c16:uniqueId val="{00000001-BB18-4E27-8A46-1C4C95A1E6AE}"/>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1'!$A$42:$B$119</c:f>
              <c:multiLvlStrCache>
                <c:ptCount val="7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pt idx="75">
                    <c:v>4</c:v>
                  </c:pt>
                  <c:pt idx="76">
                    <c:v>5</c:v>
                  </c:pt>
                  <c:pt idx="77">
                    <c:v>6</c:v>
                  </c:pt>
                </c:lvl>
                <c:lvl>
                  <c:pt idx="0">
                    <c:v>2015</c:v>
                  </c:pt>
                  <c:pt idx="12">
                    <c:v>2016</c:v>
                  </c:pt>
                  <c:pt idx="24">
                    <c:v>2017</c:v>
                  </c:pt>
                  <c:pt idx="36">
                    <c:v>2018</c:v>
                  </c:pt>
                  <c:pt idx="48">
                    <c:v>2019</c:v>
                  </c:pt>
                  <c:pt idx="60">
                    <c:v>2020</c:v>
                  </c:pt>
                  <c:pt idx="72">
                    <c:v>2021</c:v>
                  </c:pt>
                </c:lvl>
              </c:multiLvlStrCache>
            </c:multiLvlStrRef>
          </c:cat>
          <c:val>
            <c:numRef>
              <c:f>'Měnové podmínky 1'!$D$42:$D$119</c:f>
              <c:numCache>
                <c:formatCode>General</c:formatCode>
                <c:ptCount val="78"/>
                <c:pt idx="0">
                  <c:v>0.33</c:v>
                </c:pt>
                <c:pt idx="1">
                  <c:v>0.33</c:v>
                </c:pt>
                <c:pt idx="2">
                  <c:v>0.32</c:v>
                </c:pt>
                <c:pt idx="3">
                  <c:v>0.31</c:v>
                </c:pt>
                <c:pt idx="4">
                  <c:v>0.31</c:v>
                </c:pt>
                <c:pt idx="5">
                  <c:v>0.31</c:v>
                </c:pt>
                <c:pt idx="6">
                  <c:v>0.31</c:v>
                </c:pt>
                <c:pt idx="7">
                  <c:v>0.31</c:v>
                </c:pt>
                <c:pt idx="8">
                  <c:v>0.3</c:v>
                </c:pt>
                <c:pt idx="9">
                  <c:v>0.28999999999999998</c:v>
                </c:pt>
                <c:pt idx="10">
                  <c:v>0.28999999999999998</c:v>
                </c:pt>
                <c:pt idx="11">
                  <c:v>0.28999999999999998</c:v>
                </c:pt>
                <c:pt idx="12">
                  <c:v>0.28999999999999998</c:v>
                </c:pt>
                <c:pt idx="13">
                  <c:v>0.28000000000000003</c:v>
                </c:pt>
                <c:pt idx="14">
                  <c:v>0.28999999999999998</c:v>
                </c:pt>
                <c:pt idx="15">
                  <c:v>0.28999999999999998</c:v>
                </c:pt>
                <c:pt idx="16">
                  <c:v>0.28999999999999998</c:v>
                </c:pt>
                <c:pt idx="17">
                  <c:v>0.28999999999999998</c:v>
                </c:pt>
                <c:pt idx="18">
                  <c:v>0.28999999999999998</c:v>
                </c:pt>
                <c:pt idx="19">
                  <c:v>0.28999999999999998</c:v>
                </c:pt>
                <c:pt idx="20">
                  <c:v>0.28999999999999998</c:v>
                </c:pt>
                <c:pt idx="21">
                  <c:v>0.28999999999999998</c:v>
                </c:pt>
                <c:pt idx="22">
                  <c:v>0.28999999999999998</c:v>
                </c:pt>
                <c:pt idx="23">
                  <c:v>0.28999999999999998</c:v>
                </c:pt>
                <c:pt idx="24">
                  <c:v>0.28000000000000003</c:v>
                </c:pt>
                <c:pt idx="25">
                  <c:v>0.28000000000000003</c:v>
                </c:pt>
                <c:pt idx="26">
                  <c:v>0.28000000000000003</c:v>
                </c:pt>
                <c:pt idx="27">
                  <c:v>0.28999999999999998</c:v>
                </c:pt>
                <c:pt idx="28">
                  <c:v>0.3</c:v>
                </c:pt>
                <c:pt idx="29">
                  <c:v>0.3</c:v>
                </c:pt>
                <c:pt idx="30">
                  <c:v>0.3</c:v>
                </c:pt>
                <c:pt idx="31">
                  <c:v>0.43</c:v>
                </c:pt>
                <c:pt idx="32">
                  <c:v>0.46</c:v>
                </c:pt>
                <c:pt idx="33">
                  <c:v>0.51</c:v>
                </c:pt>
                <c:pt idx="34">
                  <c:v>0.71</c:v>
                </c:pt>
                <c:pt idx="35">
                  <c:v>0.75</c:v>
                </c:pt>
                <c:pt idx="36">
                  <c:v>0.77</c:v>
                </c:pt>
                <c:pt idx="37">
                  <c:v>0.9</c:v>
                </c:pt>
                <c:pt idx="38">
                  <c:v>0.9</c:v>
                </c:pt>
                <c:pt idx="39">
                  <c:v>0.9</c:v>
                </c:pt>
                <c:pt idx="40">
                  <c:v>0.9</c:v>
                </c:pt>
                <c:pt idx="41">
                  <c:v>0.93</c:v>
                </c:pt>
                <c:pt idx="42">
                  <c:v>1.18</c:v>
                </c:pt>
                <c:pt idx="43">
                  <c:v>1.45</c:v>
                </c:pt>
                <c:pt idx="44">
                  <c:v>1.54</c:v>
                </c:pt>
                <c:pt idx="45">
                  <c:v>1.76</c:v>
                </c:pt>
                <c:pt idx="46">
                  <c:v>1.99</c:v>
                </c:pt>
                <c:pt idx="47">
                  <c:v>2.0099999999999998</c:v>
                </c:pt>
                <c:pt idx="48">
                  <c:v>2.0099999999999998</c:v>
                </c:pt>
                <c:pt idx="49">
                  <c:v>2.0099999999999998</c:v>
                </c:pt>
                <c:pt idx="50">
                  <c:v>2.0299999999999998</c:v>
                </c:pt>
                <c:pt idx="51">
                  <c:v>2.02</c:v>
                </c:pt>
                <c:pt idx="52">
                  <c:v>2.19</c:v>
                </c:pt>
                <c:pt idx="53">
                  <c:v>2.17</c:v>
                </c:pt>
                <c:pt idx="54">
                  <c:v>2.16</c:v>
                </c:pt>
                <c:pt idx="55">
                  <c:v>2.14</c:v>
                </c:pt>
                <c:pt idx="56">
                  <c:v>2.14</c:v>
                </c:pt>
                <c:pt idx="57">
                  <c:v>2.17</c:v>
                </c:pt>
                <c:pt idx="58">
                  <c:v>2.1800000000000002</c:v>
                </c:pt>
                <c:pt idx="59">
                  <c:v>2.1800000000000002</c:v>
                </c:pt>
                <c:pt idx="60">
                  <c:v>2.17</c:v>
                </c:pt>
                <c:pt idx="61">
                  <c:v>2.34</c:v>
                </c:pt>
                <c:pt idx="62">
                  <c:v>2</c:v>
                </c:pt>
                <c:pt idx="63">
                  <c:v>0.97</c:v>
                </c:pt>
                <c:pt idx="64">
                  <c:v>0.46</c:v>
                </c:pt>
                <c:pt idx="65">
                  <c:v>0.34</c:v>
                </c:pt>
                <c:pt idx="66">
                  <c:v>0.34</c:v>
                </c:pt>
                <c:pt idx="67">
                  <c:v>0.34</c:v>
                </c:pt>
                <c:pt idx="68">
                  <c:v>0.34</c:v>
                </c:pt>
                <c:pt idx="69">
                  <c:v>0.35</c:v>
                </c:pt>
                <c:pt idx="70">
                  <c:v>0.35</c:v>
                </c:pt>
                <c:pt idx="71">
                  <c:v>0.35</c:v>
                </c:pt>
                <c:pt idx="72">
                  <c:v>0.36</c:v>
                </c:pt>
                <c:pt idx="73">
                  <c:v>0.36</c:v>
                </c:pt>
                <c:pt idx="74">
                  <c:v>0.36</c:v>
                </c:pt>
                <c:pt idx="75">
                  <c:v>0.36</c:v>
                </c:pt>
                <c:pt idx="76">
                  <c:v>0.37</c:v>
                </c:pt>
                <c:pt idx="77">
                  <c:v>0.48</c:v>
                </c:pt>
              </c:numCache>
            </c:numRef>
          </c:val>
          <c:smooth val="0"/>
          <c:extLst>
            <c:ext xmlns:c16="http://schemas.microsoft.com/office/drawing/2014/chart" uri="{C3380CC4-5D6E-409C-BE32-E72D297353CC}">
              <c16:uniqueId val="{00000002-BB18-4E27-8A46-1C4C95A1E6AE}"/>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1'!$A$42:$B$119</c:f>
              <c:multiLvlStrCache>
                <c:ptCount val="7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pt idx="75">
                    <c:v>4</c:v>
                  </c:pt>
                  <c:pt idx="76">
                    <c:v>5</c:v>
                  </c:pt>
                  <c:pt idx="77">
                    <c:v>6</c:v>
                  </c:pt>
                </c:lvl>
                <c:lvl>
                  <c:pt idx="0">
                    <c:v>2015</c:v>
                  </c:pt>
                  <c:pt idx="12">
                    <c:v>2016</c:v>
                  </c:pt>
                  <c:pt idx="24">
                    <c:v>2017</c:v>
                  </c:pt>
                  <c:pt idx="36">
                    <c:v>2018</c:v>
                  </c:pt>
                  <c:pt idx="48">
                    <c:v>2019</c:v>
                  </c:pt>
                  <c:pt idx="60">
                    <c:v>2020</c:v>
                  </c:pt>
                  <c:pt idx="72">
                    <c:v>2021</c:v>
                  </c:pt>
                </c:lvl>
              </c:multiLvlStrCache>
            </c:multiLvlStrRef>
          </c:cat>
          <c:val>
            <c:numRef>
              <c:f>'Měnové podmínky 1'!$G$42:$G$119</c:f>
              <c:numCache>
                <c:formatCode>General</c:formatCode>
                <c:ptCount val="78"/>
                <c:pt idx="0">
                  <c:v>0.13</c:v>
                </c:pt>
                <c:pt idx="1">
                  <c:v>0.17</c:v>
                </c:pt>
                <c:pt idx="2">
                  <c:v>0.14000000000000001</c:v>
                </c:pt>
                <c:pt idx="3">
                  <c:v>0.05</c:v>
                </c:pt>
                <c:pt idx="4">
                  <c:v>0.22</c:v>
                </c:pt>
                <c:pt idx="5">
                  <c:v>0.43</c:v>
                </c:pt>
                <c:pt idx="6">
                  <c:v>0.35</c:v>
                </c:pt>
                <c:pt idx="7">
                  <c:v>0.2</c:v>
                </c:pt>
                <c:pt idx="8">
                  <c:v>0.06</c:v>
                </c:pt>
                <c:pt idx="9">
                  <c:v>-0.05</c:v>
                </c:pt>
                <c:pt idx="10">
                  <c:v>-0.05</c:v>
                </c:pt>
                <c:pt idx="11">
                  <c:v>-0.11</c:v>
                </c:pt>
                <c:pt idx="12">
                  <c:v>0.04</c:v>
                </c:pt>
                <c:pt idx="13">
                  <c:v>-0.08</c:v>
                </c:pt>
                <c:pt idx="14">
                  <c:v>-0.1</c:v>
                </c:pt>
                <c:pt idx="15">
                  <c:v>0.04</c:v>
                </c:pt>
                <c:pt idx="16">
                  <c:v>7.0000000000000007E-2</c:v>
                </c:pt>
                <c:pt idx="17">
                  <c:v>0.05</c:v>
                </c:pt>
                <c:pt idx="18">
                  <c:v>-0.02</c:v>
                </c:pt>
                <c:pt idx="19">
                  <c:v>-0.09</c:v>
                </c:pt>
                <c:pt idx="20">
                  <c:v>-0.19</c:v>
                </c:pt>
                <c:pt idx="21">
                  <c:v>-0.17</c:v>
                </c:pt>
                <c:pt idx="22">
                  <c:v>-0.17</c:v>
                </c:pt>
                <c:pt idx="23">
                  <c:v>-0.21</c:v>
                </c:pt>
                <c:pt idx="24">
                  <c:v>-0.22</c:v>
                </c:pt>
                <c:pt idx="25">
                  <c:v>0.09</c:v>
                </c:pt>
                <c:pt idx="26">
                  <c:v>0.1</c:v>
                </c:pt>
                <c:pt idx="27">
                  <c:v>0.16</c:v>
                </c:pt>
                <c:pt idx="28">
                  <c:v>0.04</c:v>
                </c:pt>
                <c:pt idx="29">
                  <c:v>-0.03</c:v>
                </c:pt>
                <c:pt idx="30">
                  <c:v>0.14000000000000001</c:v>
                </c:pt>
                <c:pt idx="31">
                  <c:v>0.09</c:v>
                </c:pt>
                <c:pt idx="32">
                  <c:v>0.1</c:v>
                </c:pt>
                <c:pt idx="33">
                  <c:v>0.63</c:v>
                </c:pt>
                <c:pt idx="34">
                  <c:v>0.87</c:v>
                </c:pt>
                <c:pt idx="35">
                  <c:v>0.68</c:v>
                </c:pt>
                <c:pt idx="36">
                  <c:v>0.99</c:v>
                </c:pt>
                <c:pt idx="37">
                  <c:v>1.07</c:v>
                </c:pt>
                <c:pt idx="38">
                  <c:v>1.0900000000000001</c:v>
                </c:pt>
                <c:pt idx="39">
                  <c:v>1.05</c:v>
                </c:pt>
                <c:pt idx="40">
                  <c:v>1.21</c:v>
                </c:pt>
                <c:pt idx="41">
                  <c:v>1.41</c:v>
                </c:pt>
                <c:pt idx="42">
                  <c:v>1.44</c:v>
                </c:pt>
                <c:pt idx="43">
                  <c:v>1.55</c:v>
                </c:pt>
                <c:pt idx="44">
                  <c:v>1.7</c:v>
                </c:pt>
                <c:pt idx="45">
                  <c:v>1.81</c:v>
                </c:pt>
                <c:pt idx="46">
                  <c:v>1.79</c:v>
                </c:pt>
                <c:pt idx="47">
                  <c:v>1.71</c:v>
                </c:pt>
                <c:pt idx="48">
                  <c:v>1.6</c:v>
                </c:pt>
                <c:pt idx="49">
                  <c:v>1.61</c:v>
                </c:pt>
                <c:pt idx="50">
                  <c:v>1.7</c:v>
                </c:pt>
                <c:pt idx="51">
                  <c:v>1.63</c:v>
                </c:pt>
                <c:pt idx="52">
                  <c:v>1.57</c:v>
                </c:pt>
                <c:pt idx="53">
                  <c:v>1.43</c:v>
                </c:pt>
                <c:pt idx="54">
                  <c:v>1.31</c:v>
                </c:pt>
                <c:pt idx="55">
                  <c:v>0.89</c:v>
                </c:pt>
                <c:pt idx="56">
                  <c:v>1.1299999999999999</c:v>
                </c:pt>
                <c:pt idx="57">
                  <c:v>1.23</c:v>
                </c:pt>
                <c:pt idx="58">
                  <c:v>1.32</c:v>
                </c:pt>
                <c:pt idx="59">
                  <c:v>1.31</c:v>
                </c:pt>
                <c:pt idx="60">
                  <c:v>1.51</c:v>
                </c:pt>
                <c:pt idx="61">
                  <c:v>1.52</c:v>
                </c:pt>
                <c:pt idx="62">
                  <c:v>1.23</c:v>
                </c:pt>
                <c:pt idx="63">
                  <c:v>1.06</c:v>
                </c:pt>
                <c:pt idx="64">
                  <c:v>0.56999999999999995</c:v>
                </c:pt>
                <c:pt idx="65">
                  <c:v>0.52</c:v>
                </c:pt>
                <c:pt idx="66">
                  <c:v>0.52</c:v>
                </c:pt>
                <c:pt idx="67">
                  <c:v>0.57999999999999996</c:v>
                </c:pt>
                <c:pt idx="68">
                  <c:v>0.57999999999999996</c:v>
                </c:pt>
                <c:pt idx="69">
                  <c:v>0.54</c:v>
                </c:pt>
                <c:pt idx="70">
                  <c:v>0.66</c:v>
                </c:pt>
                <c:pt idx="71">
                  <c:v>0.8</c:v>
                </c:pt>
                <c:pt idx="72">
                  <c:v>0.82</c:v>
                </c:pt>
                <c:pt idx="73">
                  <c:v>1.06</c:v>
                </c:pt>
                <c:pt idx="74">
                  <c:v>1.4</c:v>
                </c:pt>
                <c:pt idx="75">
                  <c:v>1.43</c:v>
                </c:pt>
                <c:pt idx="76">
                  <c:v>1.47</c:v>
                </c:pt>
                <c:pt idx="77">
                  <c:v>1.55</c:v>
                </c:pt>
              </c:numCache>
            </c:numRef>
          </c:val>
          <c:smooth val="0"/>
          <c:extLst>
            <c:ext xmlns:c16="http://schemas.microsoft.com/office/drawing/2014/chart" uri="{C3380CC4-5D6E-409C-BE32-E72D297353CC}">
              <c16:uniqueId val="{00000003-BB18-4E27-8A46-1C4C95A1E6AE}"/>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1'!$A$42:$B$119</c:f>
              <c:multiLvlStrCache>
                <c:ptCount val="7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pt idx="75">
                    <c:v>4</c:v>
                  </c:pt>
                  <c:pt idx="76">
                    <c:v>5</c:v>
                  </c:pt>
                  <c:pt idx="77">
                    <c:v>6</c:v>
                  </c:pt>
                </c:lvl>
                <c:lvl>
                  <c:pt idx="0">
                    <c:v>2015</c:v>
                  </c:pt>
                  <c:pt idx="12">
                    <c:v>2016</c:v>
                  </c:pt>
                  <c:pt idx="24">
                    <c:v>2017</c:v>
                  </c:pt>
                  <c:pt idx="36">
                    <c:v>2018</c:v>
                  </c:pt>
                  <c:pt idx="48">
                    <c:v>2019</c:v>
                  </c:pt>
                  <c:pt idx="60">
                    <c:v>2020</c:v>
                  </c:pt>
                  <c:pt idx="72">
                    <c:v>2021</c:v>
                  </c:pt>
                </c:lvl>
              </c:multiLvlStrCache>
            </c:multiLvlStrRef>
          </c:cat>
          <c:val>
            <c:numRef>
              <c:f>'Měnové podmínky 1'!$E$42:$E$119</c:f>
              <c:numCache>
                <c:formatCode>General</c:formatCode>
                <c:ptCount val="78"/>
                <c:pt idx="0">
                  <c:v>0.51</c:v>
                </c:pt>
                <c:pt idx="1">
                  <c:v>0.51</c:v>
                </c:pt>
                <c:pt idx="2">
                  <c:v>0.49</c:v>
                </c:pt>
                <c:pt idx="3">
                  <c:v>0.48</c:v>
                </c:pt>
                <c:pt idx="4">
                  <c:v>0.48</c:v>
                </c:pt>
                <c:pt idx="5">
                  <c:v>0.48</c:v>
                </c:pt>
                <c:pt idx="6">
                  <c:v>0.48</c:v>
                </c:pt>
                <c:pt idx="7">
                  <c:v>0.48</c:v>
                </c:pt>
                <c:pt idx="8">
                  <c:v>0.47</c:v>
                </c:pt>
                <c:pt idx="9">
                  <c:v>0.46</c:v>
                </c:pt>
                <c:pt idx="10">
                  <c:v>0.46</c:v>
                </c:pt>
                <c:pt idx="11">
                  <c:v>0.46</c:v>
                </c:pt>
                <c:pt idx="12">
                  <c:v>0.45</c:v>
                </c:pt>
                <c:pt idx="13">
                  <c:v>0.45</c:v>
                </c:pt>
                <c:pt idx="14">
                  <c:v>0.45</c:v>
                </c:pt>
                <c:pt idx="15">
                  <c:v>0.45</c:v>
                </c:pt>
                <c:pt idx="16">
                  <c:v>0.45</c:v>
                </c:pt>
                <c:pt idx="17">
                  <c:v>0.45</c:v>
                </c:pt>
                <c:pt idx="18">
                  <c:v>0.45</c:v>
                </c:pt>
                <c:pt idx="19">
                  <c:v>0.45</c:v>
                </c:pt>
                <c:pt idx="20">
                  <c:v>0.45</c:v>
                </c:pt>
                <c:pt idx="21">
                  <c:v>0.45</c:v>
                </c:pt>
                <c:pt idx="22">
                  <c:v>0.45</c:v>
                </c:pt>
                <c:pt idx="23">
                  <c:v>0.45</c:v>
                </c:pt>
                <c:pt idx="24">
                  <c:v>0.44</c:v>
                </c:pt>
                <c:pt idx="25">
                  <c:v>0.44</c:v>
                </c:pt>
                <c:pt idx="26">
                  <c:v>0.44</c:v>
                </c:pt>
                <c:pt idx="27">
                  <c:v>0.45</c:v>
                </c:pt>
                <c:pt idx="28">
                  <c:v>0.46</c:v>
                </c:pt>
                <c:pt idx="29">
                  <c:v>0.46</c:v>
                </c:pt>
                <c:pt idx="30">
                  <c:v>0.47</c:v>
                </c:pt>
                <c:pt idx="31">
                  <c:v>0.6</c:v>
                </c:pt>
                <c:pt idx="32">
                  <c:v>0.64</c:v>
                </c:pt>
                <c:pt idx="33">
                  <c:v>0.69</c:v>
                </c:pt>
                <c:pt idx="34">
                  <c:v>0.91</c:v>
                </c:pt>
                <c:pt idx="35">
                  <c:v>0.96</c:v>
                </c:pt>
                <c:pt idx="36">
                  <c:v>0.98</c:v>
                </c:pt>
                <c:pt idx="37">
                  <c:v>1.1100000000000001</c:v>
                </c:pt>
                <c:pt idx="38">
                  <c:v>1.1200000000000001</c:v>
                </c:pt>
                <c:pt idx="39">
                  <c:v>1.1200000000000001</c:v>
                </c:pt>
                <c:pt idx="40">
                  <c:v>1.1200000000000001</c:v>
                </c:pt>
                <c:pt idx="41">
                  <c:v>1.1499999999999999</c:v>
                </c:pt>
                <c:pt idx="42">
                  <c:v>1.39</c:v>
                </c:pt>
                <c:pt idx="43">
                  <c:v>1.67</c:v>
                </c:pt>
                <c:pt idx="44">
                  <c:v>1.79</c:v>
                </c:pt>
                <c:pt idx="45">
                  <c:v>1.95</c:v>
                </c:pt>
                <c:pt idx="46">
                  <c:v>2.1800000000000002</c:v>
                </c:pt>
                <c:pt idx="47">
                  <c:v>2.21</c:v>
                </c:pt>
                <c:pt idx="48">
                  <c:v>2.21</c:v>
                </c:pt>
                <c:pt idx="49">
                  <c:v>2.2000000000000002</c:v>
                </c:pt>
                <c:pt idx="50">
                  <c:v>2.2000000000000002</c:v>
                </c:pt>
                <c:pt idx="51">
                  <c:v>2.21</c:v>
                </c:pt>
                <c:pt idx="52">
                  <c:v>2.3199999999999998</c:v>
                </c:pt>
                <c:pt idx="53">
                  <c:v>2.29</c:v>
                </c:pt>
                <c:pt idx="54">
                  <c:v>2.2799999999999998</c:v>
                </c:pt>
                <c:pt idx="55">
                  <c:v>2.2200000000000002</c:v>
                </c:pt>
                <c:pt idx="56">
                  <c:v>2.2000000000000002</c:v>
                </c:pt>
                <c:pt idx="57">
                  <c:v>2.2799999999999998</c:v>
                </c:pt>
                <c:pt idx="58">
                  <c:v>2.2799999999999998</c:v>
                </c:pt>
                <c:pt idx="59">
                  <c:v>2.27</c:v>
                </c:pt>
                <c:pt idx="60">
                  <c:v>2.27</c:v>
                </c:pt>
                <c:pt idx="61">
                  <c:v>2.42</c:v>
                </c:pt>
                <c:pt idx="62">
                  <c:v>2.0099999999999998</c:v>
                </c:pt>
                <c:pt idx="63">
                  <c:v>0.92</c:v>
                </c:pt>
                <c:pt idx="64">
                  <c:v>0.51</c:v>
                </c:pt>
                <c:pt idx="65">
                  <c:v>0.43</c:v>
                </c:pt>
                <c:pt idx="66">
                  <c:v>0.43</c:v>
                </c:pt>
                <c:pt idx="67">
                  <c:v>0.43</c:v>
                </c:pt>
                <c:pt idx="68">
                  <c:v>0.44</c:v>
                </c:pt>
                <c:pt idx="69">
                  <c:v>0.43</c:v>
                </c:pt>
                <c:pt idx="70">
                  <c:v>0.44</c:v>
                </c:pt>
                <c:pt idx="71">
                  <c:v>0.49</c:v>
                </c:pt>
                <c:pt idx="72">
                  <c:v>0.49</c:v>
                </c:pt>
                <c:pt idx="73">
                  <c:v>0.54</c:v>
                </c:pt>
                <c:pt idx="74">
                  <c:v>0.56000000000000005</c:v>
                </c:pt>
                <c:pt idx="75">
                  <c:v>0.56000000000000005</c:v>
                </c:pt>
                <c:pt idx="76">
                  <c:v>0.67</c:v>
                </c:pt>
                <c:pt idx="77">
                  <c:v>0.78</c:v>
                </c:pt>
              </c:numCache>
            </c:numRef>
          </c:val>
          <c:smooth val="0"/>
          <c:extLst>
            <c:ext xmlns:c16="http://schemas.microsoft.com/office/drawing/2014/chart" uri="{C3380CC4-5D6E-409C-BE32-E72D297353CC}">
              <c16:uniqueId val="{00000004-BB18-4E27-8A46-1C4C95A1E6AE}"/>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1'!$A$42:$B$119</c:f>
              <c:multiLvlStrCache>
                <c:ptCount val="7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pt idx="75">
                    <c:v>4</c:v>
                  </c:pt>
                  <c:pt idx="76">
                    <c:v>5</c:v>
                  </c:pt>
                  <c:pt idx="77">
                    <c:v>6</c:v>
                  </c:pt>
                </c:lvl>
                <c:lvl>
                  <c:pt idx="0">
                    <c:v>2015</c:v>
                  </c:pt>
                  <c:pt idx="12">
                    <c:v>2016</c:v>
                  </c:pt>
                  <c:pt idx="24">
                    <c:v>2017</c:v>
                  </c:pt>
                  <c:pt idx="36">
                    <c:v>2018</c:v>
                  </c:pt>
                  <c:pt idx="48">
                    <c:v>2019</c:v>
                  </c:pt>
                  <c:pt idx="60">
                    <c:v>2020</c:v>
                  </c:pt>
                  <c:pt idx="72">
                    <c:v>2021</c:v>
                  </c:pt>
                </c:lvl>
              </c:multiLvlStrCache>
            </c:multiLvlStrRef>
          </c:cat>
          <c:val>
            <c:numRef>
              <c:f>'Měnové podmínky 1'!$H$42:$H$119</c:f>
              <c:numCache>
                <c:formatCode>General</c:formatCode>
                <c:ptCount val="78"/>
                <c:pt idx="0">
                  <c:v>0.35</c:v>
                </c:pt>
                <c:pt idx="1">
                  <c:v>0.4</c:v>
                </c:pt>
                <c:pt idx="2">
                  <c:v>0.35</c:v>
                </c:pt>
                <c:pt idx="3">
                  <c:v>0.26</c:v>
                </c:pt>
                <c:pt idx="4">
                  <c:v>0.6</c:v>
                </c:pt>
                <c:pt idx="5">
                  <c:v>1.01</c:v>
                </c:pt>
                <c:pt idx="6">
                  <c:v>0.97</c:v>
                </c:pt>
                <c:pt idx="7">
                  <c:v>0.74</c:v>
                </c:pt>
                <c:pt idx="8">
                  <c:v>0.68</c:v>
                </c:pt>
                <c:pt idx="9">
                  <c:v>0.56000000000000005</c:v>
                </c:pt>
                <c:pt idx="10">
                  <c:v>0.49</c:v>
                </c:pt>
                <c:pt idx="11">
                  <c:v>0.49</c:v>
                </c:pt>
                <c:pt idx="12">
                  <c:v>0.62</c:v>
                </c:pt>
                <c:pt idx="13">
                  <c:v>0.46</c:v>
                </c:pt>
                <c:pt idx="14">
                  <c:v>0.35</c:v>
                </c:pt>
                <c:pt idx="15">
                  <c:v>0.43</c:v>
                </c:pt>
                <c:pt idx="16">
                  <c:v>0.46</c:v>
                </c:pt>
                <c:pt idx="17">
                  <c:v>0.45</c:v>
                </c:pt>
                <c:pt idx="18">
                  <c:v>0.37</c:v>
                </c:pt>
                <c:pt idx="19">
                  <c:v>0.28999999999999998</c:v>
                </c:pt>
                <c:pt idx="20">
                  <c:v>0.25</c:v>
                </c:pt>
                <c:pt idx="21">
                  <c:v>0.37</c:v>
                </c:pt>
                <c:pt idx="22">
                  <c:v>0.55000000000000004</c:v>
                </c:pt>
                <c:pt idx="23">
                  <c:v>0.53</c:v>
                </c:pt>
                <c:pt idx="24">
                  <c:v>0.47</c:v>
                </c:pt>
                <c:pt idx="25">
                  <c:v>0.63</c:v>
                </c:pt>
                <c:pt idx="26">
                  <c:v>0.87</c:v>
                </c:pt>
                <c:pt idx="27">
                  <c:v>0.96</c:v>
                </c:pt>
                <c:pt idx="28">
                  <c:v>0.74</c:v>
                </c:pt>
                <c:pt idx="29">
                  <c:v>0.77</c:v>
                </c:pt>
                <c:pt idx="30">
                  <c:v>0.9</c:v>
                </c:pt>
                <c:pt idx="31">
                  <c:v>0.83</c:v>
                </c:pt>
                <c:pt idx="32">
                  <c:v>0.97</c:v>
                </c:pt>
                <c:pt idx="33">
                  <c:v>1.45</c:v>
                </c:pt>
                <c:pt idx="34">
                  <c:v>1.68</c:v>
                </c:pt>
                <c:pt idx="35">
                  <c:v>1.5</c:v>
                </c:pt>
                <c:pt idx="36">
                  <c:v>1.77</c:v>
                </c:pt>
                <c:pt idx="37">
                  <c:v>1.82</c:v>
                </c:pt>
                <c:pt idx="38">
                  <c:v>1.81</c:v>
                </c:pt>
                <c:pt idx="39">
                  <c:v>1.74</c:v>
                </c:pt>
                <c:pt idx="40">
                  <c:v>1.89</c:v>
                </c:pt>
                <c:pt idx="41">
                  <c:v>2.14</c:v>
                </c:pt>
                <c:pt idx="42">
                  <c:v>2.11</c:v>
                </c:pt>
                <c:pt idx="43">
                  <c:v>2.14</c:v>
                </c:pt>
                <c:pt idx="44">
                  <c:v>2.14</c:v>
                </c:pt>
                <c:pt idx="45">
                  <c:v>2.14</c:v>
                </c:pt>
                <c:pt idx="46">
                  <c:v>2.0699999999999998</c:v>
                </c:pt>
                <c:pt idx="47">
                  <c:v>2.0099999999999998</c:v>
                </c:pt>
                <c:pt idx="48">
                  <c:v>1.85</c:v>
                </c:pt>
                <c:pt idx="49">
                  <c:v>1.76</c:v>
                </c:pt>
                <c:pt idx="50">
                  <c:v>1.82</c:v>
                </c:pt>
                <c:pt idx="51">
                  <c:v>1.82</c:v>
                </c:pt>
                <c:pt idx="52">
                  <c:v>1.86</c:v>
                </c:pt>
                <c:pt idx="53">
                  <c:v>1.58</c:v>
                </c:pt>
                <c:pt idx="54">
                  <c:v>1.36</c:v>
                </c:pt>
                <c:pt idx="55">
                  <c:v>0.99</c:v>
                </c:pt>
                <c:pt idx="56">
                  <c:v>1.24</c:v>
                </c:pt>
                <c:pt idx="57">
                  <c:v>1.32</c:v>
                </c:pt>
                <c:pt idx="58">
                  <c:v>1.47</c:v>
                </c:pt>
                <c:pt idx="59">
                  <c:v>1.51</c:v>
                </c:pt>
                <c:pt idx="60">
                  <c:v>1.62</c:v>
                </c:pt>
                <c:pt idx="61">
                  <c:v>1.47</c:v>
                </c:pt>
                <c:pt idx="62">
                  <c:v>1.28</c:v>
                </c:pt>
                <c:pt idx="63">
                  <c:v>1.28</c:v>
                </c:pt>
                <c:pt idx="64">
                  <c:v>0.92</c:v>
                </c:pt>
                <c:pt idx="65">
                  <c:v>0.86</c:v>
                </c:pt>
                <c:pt idx="66">
                  <c:v>0.86</c:v>
                </c:pt>
                <c:pt idx="67">
                  <c:v>0.95</c:v>
                </c:pt>
                <c:pt idx="68">
                  <c:v>0.98</c:v>
                </c:pt>
                <c:pt idx="69">
                  <c:v>0.94</c:v>
                </c:pt>
                <c:pt idx="70">
                  <c:v>1.1200000000000001</c:v>
                </c:pt>
                <c:pt idx="71">
                  <c:v>1.26</c:v>
                </c:pt>
                <c:pt idx="72">
                  <c:v>1.28</c:v>
                </c:pt>
                <c:pt idx="73">
                  <c:v>1.49</c:v>
                </c:pt>
                <c:pt idx="74">
                  <c:v>1.87</c:v>
                </c:pt>
                <c:pt idx="75">
                  <c:v>1.86</c:v>
                </c:pt>
                <c:pt idx="76">
                  <c:v>1.74</c:v>
                </c:pt>
                <c:pt idx="77">
                  <c:v>1.67</c:v>
                </c:pt>
              </c:numCache>
            </c:numRef>
          </c:val>
          <c:smooth val="0"/>
          <c:extLst>
            <c:ext xmlns:c16="http://schemas.microsoft.com/office/drawing/2014/chart" uri="{C3380CC4-5D6E-409C-BE32-E72D297353CC}">
              <c16:uniqueId val="{00000005-BB18-4E27-8A46-1C4C95A1E6AE}"/>
            </c:ext>
          </c:extLst>
        </c:ser>
        <c:dLbls>
          <c:showLegendKey val="0"/>
          <c:showVal val="0"/>
          <c:showCatName val="0"/>
          <c:showSerName val="0"/>
          <c:showPercent val="0"/>
          <c:showBubbleSize val="0"/>
        </c:dLbls>
        <c:marker val="1"/>
        <c:smooth val="0"/>
        <c:axId val="37110912"/>
        <c:axId val="37112448"/>
      </c:lineChart>
      <c:catAx>
        <c:axId val="37110912"/>
        <c:scaling>
          <c:orientation val="minMax"/>
        </c:scaling>
        <c:delete val="0"/>
        <c:axPos val="b"/>
        <c:numFmt formatCode="General" sourceLinked="0"/>
        <c:majorTickMark val="out"/>
        <c:minorTickMark val="none"/>
        <c:tickLblPos val="low"/>
        <c:spPr>
          <a:ln>
            <a:solidFill>
              <a:schemeClr val="tx1"/>
            </a:solidFill>
          </a:ln>
        </c:spPr>
        <c:crossAx val="37112448"/>
        <c:crosses val="autoZero"/>
        <c:auto val="1"/>
        <c:lblAlgn val="ctr"/>
        <c:lblOffset val="100"/>
        <c:noMultiLvlLbl val="0"/>
      </c:catAx>
      <c:valAx>
        <c:axId val="37112448"/>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37110912"/>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41807701508628E-2"/>
          <c:y val="1.7107238390107405E-2"/>
          <c:w val="0.83954550563562969"/>
          <c:h val="0.81082663967425594"/>
        </c:manualLayout>
      </c:layout>
      <c:barChart>
        <c:barDir val="col"/>
        <c:grouping val="stacked"/>
        <c:varyColors val="0"/>
        <c:ser>
          <c:idx val="1"/>
          <c:order val="1"/>
          <c:tx>
            <c:strRef>
              <c:f>'G1-Státní rozpočet-příjmy-2020'!$A$30</c:f>
              <c:strCache>
                <c:ptCount val="1"/>
                <c:pt idx="0">
                  <c:v>Ostatní daně a poplatky</c:v>
                </c:pt>
              </c:strCache>
            </c:strRef>
          </c:tx>
          <c:spPr>
            <a:solidFill>
              <a:schemeClr val="bg1">
                <a:lumMod val="75000"/>
              </a:schemeClr>
            </a:solidFill>
            <a:ln w="12700">
              <a:noFill/>
              <a:prstDash val="solid"/>
            </a:ln>
          </c:spPr>
          <c:invertIfNegative val="0"/>
          <c:cat>
            <c:numRef>
              <c:f>'G1-Státní rozpočet-příjmy-2020'!$E$28:$R$28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rozpočet-příjmy-2020'!$E$30:$R$30</c:f>
              <c:numCache>
                <c:formatCode>0.0</c:formatCode>
                <c:ptCount val="14"/>
                <c:pt idx="0">
                  <c:v>0.46668473188209703</c:v>
                </c:pt>
                <c:pt idx="1">
                  <c:v>-0.46157268379491267</c:v>
                </c:pt>
                <c:pt idx="2">
                  <c:v>0.49531003312386968</c:v>
                </c:pt>
                <c:pt idx="3">
                  <c:v>1.0955064214410237</c:v>
                </c:pt>
                <c:pt idx="4">
                  <c:v>-0.43477551457132552</c:v>
                </c:pt>
                <c:pt idx="5">
                  <c:v>-8.2653412292815559E-2</c:v>
                </c:pt>
                <c:pt idx="6">
                  <c:v>0.17424975798643608</c:v>
                </c:pt>
                <c:pt idx="7">
                  <c:v>0.53125962426855389</c:v>
                </c:pt>
                <c:pt idx="8">
                  <c:v>0.44522675502175058</c:v>
                </c:pt>
                <c:pt idx="9">
                  <c:v>0.3176936390146764</c:v>
                </c:pt>
                <c:pt idx="10">
                  <c:v>0.37441716268589098</c:v>
                </c:pt>
                <c:pt idx="11">
                  <c:v>0.32332107581403891</c:v>
                </c:pt>
                <c:pt idx="12">
                  <c:v>-0.43538278185604729</c:v>
                </c:pt>
                <c:pt idx="13">
                  <c:v>-0.90977846207546864</c:v>
                </c:pt>
              </c:numCache>
            </c:numRef>
          </c:val>
          <c:extLst>
            <c:ext xmlns:c16="http://schemas.microsoft.com/office/drawing/2014/chart" uri="{C3380CC4-5D6E-409C-BE32-E72D297353CC}">
              <c16:uniqueId val="{00000000-FB0C-4576-9213-9E3B1E90E0F1}"/>
            </c:ext>
          </c:extLst>
        </c:ser>
        <c:ser>
          <c:idx val="3"/>
          <c:order val="2"/>
          <c:tx>
            <c:strRef>
              <c:f>'G1-Státní rozpočet-příjmy-2020'!$A$31</c:f>
              <c:strCache>
                <c:ptCount val="1"/>
                <c:pt idx="0">
                  <c:v>Daně z příjmů fyzických osob</c:v>
                </c:pt>
              </c:strCache>
            </c:strRef>
          </c:tx>
          <c:spPr>
            <a:solidFill>
              <a:srgbClr val="EA6C75"/>
            </a:solidFill>
            <a:ln w="19050">
              <a:noFill/>
              <a:prstDash val="sysDot"/>
            </a:ln>
          </c:spPr>
          <c:invertIfNegative val="0"/>
          <c:cat>
            <c:numRef>
              <c:f>'G1-Státní rozpočet-příjmy-2020'!$E$28:$R$28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rozpočet-příjmy-2020'!$E$31:$R$31</c:f>
              <c:numCache>
                <c:formatCode>0.0</c:formatCode>
                <c:ptCount val="14"/>
                <c:pt idx="0">
                  <c:v>-0.37635865474362562</c:v>
                </c:pt>
                <c:pt idx="1">
                  <c:v>-2.6470915359804246</c:v>
                </c:pt>
                <c:pt idx="2">
                  <c:v>0.47364021917469173</c:v>
                </c:pt>
                <c:pt idx="3">
                  <c:v>-0.13443551385830171</c:v>
                </c:pt>
                <c:pt idx="4">
                  <c:v>0.76868928621709187</c:v>
                </c:pt>
                <c:pt idx="5">
                  <c:v>0.58399074131873729</c:v>
                </c:pt>
                <c:pt idx="6">
                  <c:v>1.3331489420550413</c:v>
                </c:pt>
                <c:pt idx="7">
                  <c:v>-0.27717893440098468</c:v>
                </c:pt>
                <c:pt idx="8">
                  <c:v>2.7153655001035406</c:v>
                </c:pt>
                <c:pt idx="9">
                  <c:v>2.0958296782759192</c:v>
                </c:pt>
                <c:pt idx="10">
                  <c:v>2.6381964014740937</c:v>
                </c:pt>
                <c:pt idx="11">
                  <c:v>2.8717758032576497</c:v>
                </c:pt>
                <c:pt idx="12">
                  <c:v>-3.7310659863948725</c:v>
                </c:pt>
                <c:pt idx="13">
                  <c:v>-4.8739262418741118</c:v>
                </c:pt>
              </c:numCache>
            </c:numRef>
          </c:val>
          <c:extLst>
            <c:ext xmlns:c16="http://schemas.microsoft.com/office/drawing/2014/chart" uri="{C3380CC4-5D6E-409C-BE32-E72D297353CC}">
              <c16:uniqueId val="{00000001-FB0C-4576-9213-9E3B1E90E0F1}"/>
            </c:ext>
          </c:extLst>
        </c:ser>
        <c:ser>
          <c:idx val="4"/>
          <c:order val="3"/>
          <c:tx>
            <c:strRef>
              <c:f>'G1-Státní rozpočet-příjmy-2020'!$A$32</c:f>
              <c:strCache>
                <c:ptCount val="1"/>
                <c:pt idx="0">
                  <c:v>Daně z příjmů právnických osob</c:v>
                </c:pt>
              </c:strCache>
            </c:strRef>
          </c:tx>
          <c:spPr>
            <a:solidFill>
              <a:schemeClr val="accent6">
                <a:lumMod val="60000"/>
                <a:lumOff val="40000"/>
              </a:schemeClr>
            </a:solidFill>
            <a:ln w="19050">
              <a:noFill/>
            </a:ln>
          </c:spPr>
          <c:invertIfNegative val="0"/>
          <c:cat>
            <c:numRef>
              <c:f>'G1-Státní rozpočet-příjmy-2020'!$E$28:$R$28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rozpočet-příjmy-2020'!$E$32:$R$32</c:f>
              <c:numCache>
                <c:formatCode>0.0</c:formatCode>
                <c:ptCount val="14"/>
                <c:pt idx="0">
                  <c:v>5.9133471833318252</c:v>
                </c:pt>
                <c:pt idx="1">
                  <c:v>-5.8002446891335788</c:v>
                </c:pt>
                <c:pt idx="2">
                  <c:v>2.28771321549082</c:v>
                </c:pt>
                <c:pt idx="3">
                  <c:v>-3.0948771488229725</c:v>
                </c:pt>
                <c:pt idx="4">
                  <c:v>-0.3519639588906085</c:v>
                </c:pt>
                <c:pt idx="5">
                  <c:v>-0.52038778929392293</c:v>
                </c:pt>
                <c:pt idx="6">
                  <c:v>1.5378232609597586</c:v>
                </c:pt>
                <c:pt idx="7">
                  <c:v>1.545015912124013</c:v>
                </c:pt>
                <c:pt idx="8">
                  <c:v>2.3012010768274993</c:v>
                </c:pt>
                <c:pt idx="9">
                  <c:v>1.5576471703928498</c:v>
                </c:pt>
                <c:pt idx="10">
                  <c:v>-1.5174506828525801E-2</c:v>
                </c:pt>
                <c:pt idx="11">
                  <c:v>1.1964034041960514</c:v>
                </c:pt>
                <c:pt idx="12">
                  <c:v>-4.7390510722411321</c:v>
                </c:pt>
                <c:pt idx="13">
                  <c:v>8.1290324343686748</c:v>
                </c:pt>
              </c:numCache>
            </c:numRef>
          </c:val>
          <c:extLst>
            <c:ext xmlns:c16="http://schemas.microsoft.com/office/drawing/2014/chart" uri="{C3380CC4-5D6E-409C-BE32-E72D297353CC}">
              <c16:uniqueId val="{00000002-FB0C-4576-9213-9E3B1E90E0F1}"/>
            </c:ext>
          </c:extLst>
        </c:ser>
        <c:ser>
          <c:idx val="2"/>
          <c:order val="4"/>
          <c:tx>
            <c:strRef>
              <c:f>'G1-Státní rozpočet-příjmy-2020'!$A$33</c:f>
              <c:strCache>
                <c:ptCount val="1"/>
                <c:pt idx="0">
                  <c:v>Spotřební daň</c:v>
                </c:pt>
              </c:strCache>
            </c:strRef>
          </c:tx>
          <c:spPr>
            <a:solidFill>
              <a:schemeClr val="accent5">
                <a:lumMod val="40000"/>
                <a:lumOff val="60000"/>
              </a:schemeClr>
            </a:solidFill>
          </c:spPr>
          <c:invertIfNegative val="0"/>
          <c:cat>
            <c:numRef>
              <c:f>'G1-Státní rozpočet-příjmy-2020'!$E$28:$R$28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rozpočet-příjmy-2020'!$E$33:$R$33</c:f>
              <c:numCache>
                <c:formatCode>0.0</c:formatCode>
                <c:ptCount val="14"/>
                <c:pt idx="0">
                  <c:v>0.59615210911390359</c:v>
                </c:pt>
                <c:pt idx="1">
                  <c:v>-0.7841174507841181</c:v>
                </c:pt>
                <c:pt idx="2">
                  <c:v>2.1855555211590265</c:v>
                </c:pt>
                <c:pt idx="3">
                  <c:v>1.2127799548067864</c:v>
                </c:pt>
                <c:pt idx="4">
                  <c:v>-0.51809094748697626</c:v>
                </c:pt>
                <c:pt idx="5">
                  <c:v>-0.60422804423572263</c:v>
                </c:pt>
                <c:pt idx="6">
                  <c:v>1.9416401604204097</c:v>
                </c:pt>
                <c:pt idx="7">
                  <c:v>-0.71604558053587719</c:v>
                </c:pt>
                <c:pt idx="8">
                  <c:v>1.4107475667840146</c:v>
                </c:pt>
                <c:pt idx="9">
                  <c:v>0.14462173119324545</c:v>
                </c:pt>
                <c:pt idx="10">
                  <c:v>0.15174506828528164</c:v>
                </c:pt>
                <c:pt idx="11">
                  <c:v>0.5951444531946295</c:v>
                </c:pt>
                <c:pt idx="12">
                  <c:v>-1.0191471511484216</c:v>
                </c:pt>
                <c:pt idx="13">
                  <c:v>-1.7301770736794635</c:v>
                </c:pt>
              </c:numCache>
            </c:numRef>
          </c:val>
          <c:extLst>
            <c:ext xmlns:c16="http://schemas.microsoft.com/office/drawing/2014/chart" uri="{C3380CC4-5D6E-409C-BE32-E72D297353CC}">
              <c16:uniqueId val="{00000003-FB0C-4576-9213-9E3B1E90E0F1}"/>
            </c:ext>
          </c:extLst>
        </c:ser>
        <c:ser>
          <c:idx val="5"/>
          <c:order val="5"/>
          <c:tx>
            <c:strRef>
              <c:f>'G1-Státní rozpočet-příjmy-2020'!$A$34</c:f>
              <c:strCache>
                <c:ptCount val="1"/>
                <c:pt idx="0">
                  <c:v>DPH</c:v>
                </c:pt>
              </c:strCache>
            </c:strRef>
          </c:tx>
          <c:spPr>
            <a:solidFill>
              <a:srgbClr val="92D050"/>
            </a:solidFill>
            <a:ln>
              <a:noFill/>
            </a:ln>
          </c:spPr>
          <c:invertIfNegative val="0"/>
          <c:cat>
            <c:numRef>
              <c:f>'G1-Státní rozpočet-příjmy-2020'!$E$28:$R$28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rozpočet-příjmy-2020'!$E$34:$R$34</c:f>
              <c:numCache>
                <c:formatCode>0.0</c:formatCode>
                <c:ptCount val="14"/>
                <c:pt idx="0">
                  <c:v>1.6830759040134915</c:v>
                </c:pt>
                <c:pt idx="1">
                  <c:v>-0.48659770881993442</c:v>
                </c:pt>
                <c:pt idx="2">
                  <c:v>2.7861189363217047</c:v>
                </c:pt>
                <c:pt idx="3">
                  <c:v>2.5056491519121336</c:v>
                </c:pt>
                <c:pt idx="4">
                  <c:v>-2.0695480782767839</c:v>
                </c:pt>
                <c:pt idx="5">
                  <c:v>5.1489480707359876</c:v>
                </c:pt>
                <c:pt idx="6">
                  <c:v>2.7824643894343817</c:v>
                </c:pt>
                <c:pt idx="7">
                  <c:v>-1.9351195975772471</c:v>
                </c:pt>
                <c:pt idx="8">
                  <c:v>2.3089666597639282</c:v>
                </c:pt>
                <c:pt idx="9">
                  <c:v>5.2514284359515448</c:v>
                </c:pt>
                <c:pt idx="10">
                  <c:v>3.210492087578587</c:v>
                </c:pt>
                <c:pt idx="11">
                  <c:v>1.1536019195484959</c:v>
                </c:pt>
                <c:pt idx="12">
                  <c:v>-2.3369375494227094</c:v>
                </c:pt>
                <c:pt idx="13">
                  <c:v>3.7426873954992734</c:v>
                </c:pt>
              </c:numCache>
            </c:numRef>
          </c:val>
          <c:extLst>
            <c:ext xmlns:c16="http://schemas.microsoft.com/office/drawing/2014/chart" uri="{C3380CC4-5D6E-409C-BE32-E72D297353CC}">
              <c16:uniqueId val="{00000004-FB0C-4576-9213-9E3B1E90E0F1}"/>
            </c:ext>
          </c:extLst>
        </c:ser>
        <c:dLbls>
          <c:showLegendKey val="0"/>
          <c:showVal val="0"/>
          <c:showCatName val="0"/>
          <c:showSerName val="0"/>
          <c:showPercent val="0"/>
          <c:showBubbleSize val="0"/>
        </c:dLbls>
        <c:gapWidth val="105"/>
        <c:overlap val="100"/>
        <c:axId val="37642240"/>
        <c:axId val="37643776"/>
      </c:barChart>
      <c:lineChart>
        <c:grouping val="standard"/>
        <c:varyColors val="0"/>
        <c:ser>
          <c:idx val="0"/>
          <c:order val="0"/>
          <c:tx>
            <c:strRef>
              <c:f>'G1-Státní rozpočet-příjmy-2020'!$A$29</c:f>
              <c:strCache>
                <c:ptCount val="1"/>
                <c:pt idx="0">
                  <c:v>Celkové daňové příjmy (bez pojistného na SZ)</c:v>
                </c:pt>
              </c:strCache>
            </c:strRef>
          </c:tx>
          <c:spPr>
            <a:ln w="19050">
              <a:noFill/>
            </a:ln>
          </c:spPr>
          <c:marker>
            <c:symbol val="circle"/>
            <c:size val="6"/>
            <c:spPr>
              <a:solidFill>
                <a:schemeClr val="bg1"/>
              </a:solidFill>
              <a:ln>
                <a:solidFill>
                  <a:schemeClr val="tx1">
                    <a:lumMod val="95000"/>
                    <a:lumOff val="5000"/>
                  </a:schemeClr>
                </a:solidFill>
              </a:ln>
            </c:spPr>
          </c:marker>
          <c:cat>
            <c:numRef>
              <c:f>'G1-Státní rozpočet-příjmy-2020'!$E$28:$R$28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rozpočet-příjmy-2020'!$E$29:$R$29</c:f>
              <c:numCache>
                <c:formatCode>0.0</c:formatCode>
                <c:ptCount val="14"/>
                <c:pt idx="0">
                  <c:v>8.2829012735976733</c:v>
                </c:pt>
                <c:pt idx="1">
                  <c:v>-10.179624068512965</c:v>
                </c:pt>
                <c:pt idx="2">
                  <c:v>8.228337925270111</c:v>
                </c:pt>
                <c:pt idx="3">
                  <c:v>1.5846228654786643</c:v>
                </c:pt>
                <c:pt idx="4">
                  <c:v>-2.6056892130086027</c:v>
                </c:pt>
                <c:pt idx="5">
                  <c:v>4.525669566232267</c:v>
                </c:pt>
                <c:pt idx="6">
                  <c:v>7.7693265108560183</c:v>
                </c:pt>
                <c:pt idx="7">
                  <c:v>-0.85206857612153897</c:v>
                </c:pt>
                <c:pt idx="8">
                  <c:v>9.1815075585007406</c:v>
                </c:pt>
                <c:pt idx="9">
                  <c:v>9.3672206548282304</c:v>
                </c:pt>
                <c:pt idx="10">
                  <c:v>6.3596762131953142</c:v>
                </c:pt>
                <c:pt idx="11">
                  <c:v>6.1402466560108451</c:v>
                </c:pt>
                <c:pt idx="12">
                  <c:v>-12.261584541063172</c:v>
                </c:pt>
                <c:pt idx="13">
                  <c:v>4.357838052238904</c:v>
                </c:pt>
              </c:numCache>
            </c:numRef>
          </c:val>
          <c:smooth val="0"/>
          <c:extLst>
            <c:ext xmlns:c16="http://schemas.microsoft.com/office/drawing/2014/chart" uri="{C3380CC4-5D6E-409C-BE32-E72D297353CC}">
              <c16:uniqueId val="{00000005-FB0C-4576-9213-9E3B1E90E0F1}"/>
            </c:ext>
          </c:extLst>
        </c:ser>
        <c:dLbls>
          <c:showLegendKey val="0"/>
          <c:showVal val="0"/>
          <c:showCatName val="0"/>
          <c:showSerName val="0"/>
          <c:showPercent val="0"/>
          <c:showBubbleSize val="0"/>
        </c:dLbls>
        <c:marker val="1"/>
        <c:smooth val="0"/>
        <c:axId val="37642240"/>
        <c:axId val="37643776"/>
      </c:lineChart>
      <c:lineChart>
        <c:grouping val="standard"/>
        <c:varyColors val="0"/>
        <c:ser>
          <c:idx val="6"/>
          <c:order val="6"/>
          <c:tx>
            <c:strRef>
              <c:f>'G1-Státní rozpočet-příjmy-2020'!$A$35</c:f>
              <c:strCache>
                <c:ptCount val="1"/>
                <c:pt idx="0">
                  <c:v>Saldo státního rozpočtu (pravá osa)</c:v>
                </c:pt>
              </c:strCache>
            </c:strRef>
          </c:tx>
          <c:spPr>
            <a:ln w="19050">
              <a:solidFill>
                <a:schemeClr val="tx1">
                  <a:lumMod val="95000"/>
                  <a:lumOff val="5000"/>
                </a:schemeClr>
              </a:solidFill>
            </a:ln>
          </c:spPr>
          <c:marker>
            <c:symbol val="none"/>
          </c:marker>
          <c:cat>
            <c:numRef>
              <c:f>'G1-Státní rozpočet-příjmy-2020'!$E$28:$R$28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rozpočet-příjmy-2020'!$E$35:$R$35</c:f>
              <c:numCache>
                <c:formatCode>#\ ##0.0</c:formatCode>
                <c:ptCount val="14"/>
                <c:pt idx="0">
                  <c:v>-5.6520000000000001</c:v>
                </c:pt>
                <c:pt idx="1">
                  <c:v>-68.259</c:v>
                </c:pt>
                <c:pt idx="2">
                  <c:v>-75.662000000000006</c:v>
                </c:pt>
                <c:pt idx="3">
                  <c:v>-62.856000000000002</c:v>
                </c:pt>
                <c:pt idx="4">
                  <c:v>-71.721999999999994</c:v>
                </c:pt>
                <c:pt idx="5">
                  <c:v>-31.52</c:v>
                </c:pt>
                <c:pt idx="6">
                  <c:v>1.45</c:v>
                </c:pt>
                <c:pt idx="7">
                  <c:v>22.65</c:v>
                </c:pt>
                <c:pt idx="8">
                  <c:v>40.65</c:v>
                </c:pt>
                <c:pt idx="9">
                  <c:v>4.62</c:v>
                </c:pt>
                <c:pt idx="10">
                  <c:v>-5.88</c:v>
                </c:pt>
                <c:pt idx="11">
                  <c:v>-20.68</c:v>
                </c:pt>
                <c:pt idx="12">
                  <c:v>-195.24722774568022</c:v>
                </c:pt>
                <c:pt idx="13">
                  <c:v>-265.05468517270992</c:v>
                </c:pt>
              </c:numCache>
            </c:numRef>
          </c:val>
          <c:smooth val="0"/>
          <c:extLst>
            <c:ext xmlns:c16="http://schemas.microsoft.com/office/drawing/2014/chart" uri="{C3380CC4-5D6E-409C-BE32-E72D297353CC}">
              <c16:uniqueId val="{00000006-FB0C-4576-9213-9E3B1E90E0F1}"/>
            </c:ext>
          </c:extLst>
        </c:ser>
        <c:dLbls>
          <c:showLegendKey val="0"/>
          <c:showVal val="0"/>
          <c:showCatName val="0"/>
          <c:showSerName val="0"/>
          <c:showPercent val="0"/>
          <c:showBubbleSize val="0"/>
        </c:dLbls>
        <c:marker val="1"/>
        <c:smooth val="0"/>
        <c:axId val="37660160"/>
        <c:axId val="37645696"/>
      </c:lineChart>
      <c:catAx>
        <c:axId val="37642240"/>
        <c:scaling>
          <c:orientation val="minMax"/>
        </c:scaling>
        <c:delete val="0"/>
        <c:axPos val="b"/>
        <c:numFmt formatCode="General" sourceLinked="1"/>
        <c:majorTickMark val="out"/>
        <c:minorTickMark val="none"/>
        <c:tickLblPos val="low"/>
        <c:spPr>
          <a:ln w="6350">
            <a:solidFill>
              <a:schemeClr val="tx1"/>
            </a:solidFill>
          </a:ln>
        </c:spPr>
        <c:crossAx val="37643776"/>
        <c:crosses val="autoZero"/>
        <c:auto val="1"/>
        <c:lblAlgn val="ctr"/>
        <c:lblOffset val="0"/>
        <c:noMultiLvlLbl val="0"/>
      </c:catAx>
      <c:valAx>
        <c:axId val="37643776"/>
        <c:scaling>
          <c:orientation val="minMax"/>
          <c:max val="12"/>
          <c:min val="-15"/>
        </c:scaling>
        <c:delete val="0"/>
        <c:axPos val="l"/>
        <c:majorGridlines>
          <c:spPr>
            <a:ln w="6350">
              <a:solidFill>
                <a:schemeClr val="bg1">
                  <a:lumMod val="75000"/>
                </a:schemeClr>
              </a:solidFill>
            </a:ln>
          </c:spPr>
        </c:majorGridlines>
        <c:title>
          <c:tx>
            <c:rich>
              <a:bodyPr/>
              <a:lstStyle/>
              <a:p>
                <a:pPr>
                  <a:defRPr sz="700" b="0" i="1"/>
                </a:pPr>
                <a:r>
                  <a:rPr lang="en-US" sz="700" b="0" i="1"/>
                  <a:t>Příspěvek k růstu celkových daňových příjmů (v p. b.)</a:t>
                </a:r>
              </a:p>
            </c:rich>
          </c:tx>
          <c:overlay val="0"/>
        </c:title>
        <c:numFmt formatCode="0" sourceLinked="0"/>
        <c:majorTickMark val="out"/>
        <c:minorTickMark val="none"/>
        <c:tickLblPos val="nextTo"/>
        <c:spPr>
          <a:ln w="6350">
            <a:solidFill>
              <a:schemeClr val="tx1"/>
            </a:solidFill>
          </a:ln>
        </c:spPr>
        <c:crossAx val="37642240"/>
        <c:crosses val="autoZero"/>
        <c:crossBetween val="between"/>
        <c:majorUnit val="3"/>
      </c:valAx>
      <c:valAx>
        <c:axId val="37645696"/>
        <c:scaling>
          <c:orientation val="minMax"/>
          <c:max val="240"/>
          <c:min val="-300"/>
        </c:scaling>
        <c:delete val="0"/>
        <c:axPos val="r"/>
        <c:title>
          <c:tx>
            <c:rich>
              <a:bodyPr/>
              <a:lstStyle/>
              <a:p>
                <a:pPr>
                  <a:defRPr sz="700" b="0" i="1"/>
                </a:pPr>
                <a:r>
                  <a:rPr lang="en-US" sz="700" b="0" i="1"/>
                  <a:t>Saldo státního rozpočtu (v mld. korun)</a:t>
                </a:r>
              </a:p>
            </c:rich>
          </c:tx>
          <c:overlay val="0"/>
        </c:title>
        <c:numFmt formatCode="#,##0" sourceLinked="0"/>
        <c:majorTickMark val="out"/>
        <c:minorTickMark val="none"/>
        <c:tickLblPos val="nextTo"/>
        <c:crossAx val="37660160"/>
        <c:crosses val="max"/>
        <c:crossBetween val="between"/>
        <c:majorUnit val="60"/>
      </c:valAx>
      <c:catAx>
        <c:axId val="37660160"/>
        <c:scaling>
          <c:orientation val="minMax"/>
        </c:scaling>
        <c:delete val="1"/>
        <c:axPos val="b"/>
        <c:numFmt formatCode="General" sourceLinked="1"/>
        <c:majorTickMark val="out"/>
        <c:minorTickMark val="none"/>
        <c:tickLblPos val="nextTo"/>
        <c:crossAx val="37645696"/>
        <c:crosses val="autoZero"/>
        <c:auto val="1"/>
        <c:lblAlgn val="ctr"/>
        <c:lblOffset val="100"/>
        <c:noMultiLvlLbl val="0"/>
      </c:catAx>
      <c:spPr>
        <a:ln w="6350">
          <a:solidFill>
            <a:schemeClr val="tx1"/>
          </a:solidFill>
        </a:ln>
      </c:spPr>
    </c:plotArea>
    <c:legend>
      <c:legendPos val="b"/>
      <c:layout>
        <c:manualLayout>
          <c:xMode val="edge"/>
          <c:yMode val="edge"/>
          <c:x val="2.9418474797126105E-2"/>
          <c:y val="0.87575776299038921"/>
          <c:w val="0.95851508447487288"/>
          <c:h val="0.1205988157137875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233554716266127E-2"/>
          <c:y val="1.7112323287741892E-2"/>
          <c:w val="0.82968371809808084"/>
          <c:h val="0.76067747074773961"/>
        </c:manualLayout>
      </c:layout>
      <c:barChart>
        <c:barDir val="col"/>
        <c:grouping val="clustered"/>
        <c:varyColors val="0"/>
        <c:ser>
          <c:idx val="0"/>
          <c:order val="0"/>
          <c:tx>
            <c:strRef>
              <c:f>'SR-výdaje-celorok-2021'!$B$30</c:f>
              <c:strCache>
                <c:ptCount val="1"/>
                <c:pt idx="0">
                  <c:v>Běžné výdaje (pravá osa)</c:v>
                </c:pt>
              </c:strCache>
            </c:strRef>
          </c:tx>
          <c:spPr>
            <a:solidFill>
              <a:srgbClr val="D3D3D3"/>
            </a:solidFill>
            <a:ln>
              <a:noFill/>
            </a:ln>
          </c:spPr>
          <c:invertIfNegative val="0"/>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'SR-výdaje-celorok-2021'!$B$34:$B$47</c:f>
              <c:numCache>
                <c:formatCode>0.0</c:formatCode>
                <c:ptCount val="14"/>
                <c:pt idx="0">
                  <c:v>488.71899999999999</c:v>
                </c:pt>
                <c:pt idx="1">
                  <c:v>523.79999999999995</c:v>
                </c:pt>
                <c:pt idx="2">
                  <c:v>527.73400000000004</c:v>
                </c:pt>
                <c:pt idx="3">
                  <c:v>523.22</c:v>
                </c:pt>
                <c:pt idx="4">
                  <c:v>534.42999999999995</c:v>
                </c:pt>
                <c:pt idx="5">
                  <c:v>544.65</c:v>
                </c:pt>
                <c:pt idx="6">
                  <c:v>552.71100000000001</c:v>
                </c:pt>
                <c:pt idx="7">
                  <c:v>564.13</c:v>
                </c:pt>
                <c:pt idx="8">
                  <c:v>575.57000000000005</c:v>
                </c:pt>
                <c:pt idx="9">
                  <c:v>609.53</c:v>
                </c:pt>
                <c:pt idx="10">
                  <c:v>660.76</c:v>
                </c:pt>
                <c:pt idx="11">
                  <c:v>718.74153402592015</c:v>
                </c:pt>
                <c:pt idx="12">
                  <c:v>829.93717826878003</c:v>
                </c:pt>
                <c:pt idx="13">
                  <c:v>918.21552936517992</c:v>
                </c:pt>
              </c:numCache>
            </c:numRef>
          </c:val>
          <c:extLst>
            <c:ext xmlns:c16="http://schemas.microsoft.com/office/drawing/2014/chart" uri="{C3380CC4-5D6E-409C-BE32-E72D297353CC}">
              <c16:uniqueId val="{00000000-14EB-4CC8-A52E-4740C4FC00DC}"/>
            </c:ext>
          </c:extLst>
        </c:ser>
        <c:dLbls>
          <c:showLegendKey val="0"/>
          <c:showVal val="0"/>
          <c:showCatName val="0"/>
          <c:showSerName val="0"/>
          <c:showPercent val="0"/>
          <c:showBubbleSize val="0"/>
        </c:dLbls>
        <c:gapWidth val="70"/>
        <c:axId val="37422976"/>
        <c:axId val="37421056"/>
      </c:barChart>
      <c:lineChart>
        <c:grouping val="standard"/>
        <c:varyColors val="0"/>
        <c:ser>
          <c:idx val="1"/>
          <c:order val="1"/>
          <c:tx>
            <c:strRef>
              <c:f>'SR-výdaje-celorok-2021'!$C$30</c:f>
              <c:strCache>
                <c:ptCount val="1"/>
                <c:pt idx="0">
                  <c:v>Platy státních zaměstnanců*</c:v>
                </c:pt>
              </c:strCache>
            </c:strRef>
          </c:tx>
          <c:spPr>
            <a:ln w="15875">
              <a:solidFill>
                <a:srgbClr val="996633"/>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'SR-výdaje-celorok-2021'!$C$34:$C$47</c:f>
              <c:numCache>
                <c:formatCode>0.0</c:formatCode>
                <c:ptCount val="14"/>
                <c:pt idx="0">
                  <c:v>37.729999999999997</c:v>
                </c:pt>
                <c:pt idx="1">
                  <c:v>38.979999999999997</c:v>
                </c:pt>
                <c:pt idx="2">
                  <c:v>39.36</c:v>
                </c:pt>
                <c:pt idx="3">
                  <c:v>35.700000000000003</c:v>
                </c:pt>
                <c:pt idx="4">
                  <c:v>36.299999999999997</c:v>
                </c:pt>
                <c:pt idx="5">
                  <c:v>36.880000000000003</c:v>
                </c:pt>
                <c:pt idx="6">
                  <c:v>38.090000000000003</c:v>
                </c:pt>
                <c:pt idx="7">
                  <c:v>41.88</c:v>
                </c:pt>
                <c:pt idx="8">
                  <c:v>43.22</c:v>
                </c:pt>
                <c:pt idx="9">
                  <c:v>46.52</c:v>
                </c:pt>
                <c:pt idx="10">
                  <c:v>53.13</c:v>
                </c:pt>
                <c:pt idx="11">
                  <c:v>57.572759809109989</c:v>
                </c:pt>
                <c:pt idx="12">
                  <c:v>60.066088983770015</c:v>
                </c:pt>
                <c:pt idx="13">
                  <c:v>60.730175770279999</c:v>
                </c:pt>
              </c:numCache>
            </c:numRef>
          </c:val>
          <c:smooth val="0"/>
          <c:extLst>
            <c:ext xmlns:c16="http://schemas.microsoft.com/office/drawing/2014/chart" uri="{C3380CC4-5D6E-409C-BE32-E72D297353CC}">
              <c16:uniqueId val="{00000001-14EB-4CC8-A52E-4740C4FC00DC}"/>
            </c:ext>
          </c:extLst>
        </c:ser>
        <c:ser>
          <c:idx val="6"/>
          <c:order val="2"/>
          <c:tx>
            <c:strRef>
              <c:f>'SR-výdaje-celorok-2021'!$D$30</c:f>
              <c:strCache>
                <c:ptCount val="1"/>
                <c:pt idx="0">
                  <c:v>Podpora v nezaměstnanosti</c:v>
                </c:pt>
              </c:strCache>
            </c:strRef>
          </c:tx>
          <c:spPr>
            <a:ln w="15875">
              <a:solidFill>
                <a:srgbClr val="48AEE7"/>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'SR-výdaje-celorok-2021'!$D$34:$D$47</c:f>
              <c:numCache>
                <c:formatCode>0.0</c:formatCode>
                <c:ptCount val="14"/>
                <c:pt idx="0">
                  <c:v>3.56</c:v>
                </c:pt>
                <c:pt idx="1">
                  <c:v>7.3049999999999997</c:v>
                </c:pt>
                <c:pt idx="2">
                  <c:v>7.77</c:v>
                </c:pt>
                <c:pt idx="3">
                  <c:v>6.2279999999999998</c:v>
                </c:pt>
                <c:pt idx="4">
                  <c:v>4.8410000000000002</c:v>
                </c:pt>
                <c:pt idx="5">
                  <c:v>5.3579999999999997</c:v>
                </c:pt>
                <c:pt idx="6">
                  <c:v>5.2690000000000001</c:v>
                </c:pt>
                <c:pt idx="7">
                  <c:v>4.6150000000000002</c:v>
                </c:pt>
                <c:pt idx="8">
                  <c:v>4.4829999999999997</c:v>
                </c:pt>
                <c:pt idx="9">
                  <c:v>4.3310000000000004</c:v>
                </c:pt>
                <c:pt idx="10">
                  <c:v>3.98</c:v>
                </c:pt>
                <c:pt idx="11">
                  <c:v>4.2361097359899995</c:v>
                </c:pt>
                <c:pt idx="12">
                  <c:v>5.1359402661699995</c:v>
                </c:pt>
                <c:pt idx="13">
                  <c:v>5.4808145954800001</c:v>
                </c:pt>
              </c:numCache>
            </c:numRef>
          </c:val>
          <c:smooth val="0"/>
          <c:extLst>
            <c:ext xmlns:c16="http://schemas.microsoft.com/office/drawing/2014/chart" uri="{C3380CC4-5D6E-409C-BE32-E72D297353CC}">
              <c16:uniqueId val="{00000002-14EB-4CC8-A52E-4740C4FC00DC}"/>
            </c:ext>
          </c:extLst>
        </c:ser>
        <c:ser>
          <c:idx val="7"/>
          <c:order val="3"/>
          <c:tx>
            <c:strRef>
              <c:f>'SR-výdaje-celorok-2021'!$E$30</c:f>
              <c:strCache>
                <c:ptCount val="1"/>
                <c:pt idx="0">
                  <c:v>Státní sociální podpora**</c:v>
                </c:pt>
              </c:strCache>
            </c:strRef>
          </c:tx>
          <c:spPr>
            <a:ln w="15875">
              <a:solidFill>
                <a:srgbClr val="00B050"/>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'SR-výdaje-celorok-2021'!$E$34:$E$47</c:f>
              <c:numCache>
                <c:formatCode>0.0</c:formatCode>
                <c:ptCount val="14"/>
                <c:pt idx="0">
                  <c:v>21.52</c:v>
                </c:pt>
                <c:pt idx="1">
                  <c:v>20.594999999999999</c:v>
                </c:pt>
                <c:pt idx="2">
                  <c:v>20.64</c:v>
                </c:pt>
                <c:pt idx="3">
                  <c:v>18.405999999999999</c:v>
                </c:pt>
                <c:pt idx="4">
                  <c:v>17.881</c:v>
                </c:pt>
                <c:pt idx="5">
                  <c:v>18.681999999999999</c:v>
                </c:pt>
                <c:pt idx="6">
                  <c:v>18.91</c:v>
                </c:pt>
                <c:pt idx="7">
                  <c:v>18.873999999999999</c:v>
                </c:pt>
                <c:pt idx="8">
                  <c:v>18.963999999999999</c:v>
                </c:pt>
                <c:pt idx="9">
                  <c:v>18.742000000000001</c:v>
                </c:pt>
                <c:pt idx="10">
                  <c:v>19.53</c:v>
                </c:pt>
                <c:pt idx="11">
                  <c:v>19.01942501061</c:v>
                </c:pt>
                <c:pt idx="12">
                  <c:v>25.639216971080003</c:v>
                </c:pt>
                <c:pt idx="13">
                  <c:v>24.55531385466</c:v>
                </c:pt>
              </c:numCache>
            </c:numRef>
          </c:val>
          <c:smooth val="0"/>
          <c:extLst>
            <c:ext xmlns:c16="http://schemas.microsoft.com/office/drawing/2014/chart" uri="{C3380CC4-5D6E-409C-BE32-E72D297353CC}">
              <c16:uniqueId val="{00000003-14EB-4CC8-A52E-4740C4FC00DC}"/>
            </c:ext>
          </c:extLst>
        </c:ser>
        <c:ser>
          <c:idx val="2"/>
          <c:order val="4"/>
          <c:tx>
            <c:strRef>
              <c:f>'SR-výdaje-celorok-2021'!$F$30</c:f>
              <c:strCache>
                <c:ptCount val="1"/>
                <c:pt idx="0">
                  <c:v>Dávky nemocenského pojištění</c:v>
                </c:pt>
              </c:strCache>
            </c:strRef>
          </c:tx>
          <c:spPr>
            <a:ln w="15875">
              <a:solidFill>
                <a:srgbClr val="0071BC"/>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'SR-výdaje-celorok-2021'!$F$34:$F$47</c:f>
              <c:numCache>
                <c:formatCode>0.00</c:formatCode>
                <c:ptCount val="14"/>
                <c:pt idx="0">
                  <c:v>16.734000000000002</c:v>
                </c:pt>
                <c:pt idx="1">
                  <c:v>14.089</c:v>
                </c:pt>
                <c:pt idx="2">
                  <c:v>11.56</c:v>
                </c:pt>
                <c:pt idx="3">
                  <c:v>11.773</c:v>
                </c:pt>
                <c:pt idx="4">
                  <c:v>10.244</c:v>
                </c:pt>
                <c:pt idx="5">
                  <c:v>10.609</c:v>
                </c:pt>
                <c:pt idx="6">
                  <c:v>11.201000000000001</c:v>
                </c:pt>
                <c:pt idx="7">
                  <c:v>12.429</c:v>
                </c:pt>
                <c:pt idx="8">
                  <c:v>13.566000000000001</c:v>
                </c:pt>
                <c:pt idx="9">
                  <c:v>14.757999999999999</c:v>
                </c:pt>
                <c:pt idx="10">
                  <c:v>17.3</c:v>
                </c:pt>
                <c:pt idx="11">
                  <c:v>19.93</c:v>
                </c:pt>
                <c:pt idx="12">
                  <c:v>30.15</c:v>
                </c:pt>
                <c:pt idx="13">
                  <c:v>28.65</c:v>
                </c:pt>
              </c:numCache>
            </c:numRef>
          </c:val>
          <c:smooth val="0"/>
          <c:extLst>
            <c:ext xmlns:c16="http://schemas.microsoft.com/office/drawing/2014/chart" uri="{C3380CC4-5D6E-409C-BE32-E72D297353CC}">
              <c16:uniqueId val="{00000004-14EB-4CC8-A52E-4740C4FC00DC}"/>
            </c:ext>
          </c:extLst>
        </c:ser>
        <c:ser>
          <c:idx val="3"/>
          <c:order val="5"/>
          <c:tx>
            <c:strRef>
              <c:f>'SR-výdaje-celorok-2021'!$G$30</c:f>
              <c:strCache>
                <c:ptCount val="1"/>
                <c:pt idx="0">
                  <c:v>Dávky sociální péče***</c:v>
                </c:pt>
              </c:strCache>
            </c:strRef>
          </c:tx>
          <c:spPr>
            <a:ln w="15875">
              <a:solidFill>
                <a:srgbClr val="7030A0"/>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'SR-výdaje-celorok-2021'!$G$34:$G$47</c:f>
              <c:numCache>
                <c:formatCode>0.00</c:formatCode>
                <c:ptCount val="14"/>
                <c:pt idx="0">
                  <c:v>13.247</c:v>
                </c:pt>
                <c:pt idx="1">
                  <c:v>13.003</c:v>
                </c:pt>
                <c:pt idx="2">
                  <c:v>13.486000000000001</c:v>
                </c:pt>
                <c:pt idx="3">
                  <c:v>12.911000000000001</c:v>
                </c:pt>
                <c:pt idx="4">
                  <c:v>13.282</c:v>
                </c:pt>
                <c:pt idx="5">
                  <c:v>15.668000000000001</c:v>
                </c:pt>
                <c:pt idx="6">
                  <c:v>16.734999999999999</c:v>
                </c:pt>
                <c:pt idx="7">
                  <c:v>16.93</c:v>
                </c:pt>
                <c:pt idx="8">
                  <c:v>16.78</c:v>
                </c:pt>
                <c:pt idx="9">
                  <c:v>17.489999999999998</c:v>
                </c:pt>
                <c:pt idx="10">
                  <c:v>17.100000000000001</c:v>
                </c:pt>
                <c:pt idx="11">
                  <c:v>17.32</c:v>
                </c:pt>
                <c:pt idx="12">
                  <c:v>20.09</c:v>
                </c:pt>
                <c:pt idx="13">
                  <c:v>20.37</c:v>
                </c:pt>
              </c:numCache>
            </c:numRef>
          </c:val>
          <c:smooth val="0"/>
          <c:extLst>
            <c:ext xmlns:c16="http://schemas.microsoft.com/office/drawing/2014/chart" uri="{C3380CC4-5D6E-409C-BE32-E72D297353CC}">
              <c16:uniqueId val="{00000005-14EB-4CC8-A52E-4740C4FC00DC}"/>
            </c:ext>
          </c:extLst>
        </c:ser>
        <c:ser>
          <c:idx val="4"/>
          <c:order val="6"/>
          <c:tx>
            <c:strRef>
              <c:f>'SR-výdaje-celorok-2021'!$H$30</c:f>
              <c:strCache>
                <c:ptCount val="1"/>
                <c:pt idx="0">
                  <c:v>Neinv. nákupy a souvis. výdaje****</c:v>
                </c:pt>
              </c:strCache>
            </c:strRef>
          </c:tx>
          <c:spPr>
            <a:ln w="15875">
              <a:solidFill>
                <a:srgbClr val="F8A124"/>
              </a:solidFill>
              <a:prstDash val="solid"/>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'SR-výdaje-celorok-2021'!$H$34:$H$47</c:f>
              <c:numCache>
                <c:formatCode>0.0</c:formatCode>
                <c:ptCount val="14"/>
                <c:pt idx="0">
                  <c:v>31.934000000000005</c:v>
                </c:pt>
                <c:pt idx="1">
                  <c:v>32.001999999999995</c:v>
                </c:pt>
                <c:pt idx="2">
                  <c:v>31.84</c:v>
                </c:pt>
                <c:pt idx="3">
                  <c:v>29.076999999999998</c:v>
                </c:pt>
                <c:pt idx="4">
                  <c:v>26.950000000000003</c:v>
                </c:pt>
                <c:pt idx="5">
                  <c:v>23.5</c:v>
                </c:pt>
                <c:pt idx="6">
                  <c:v>22.14</c:v>
                </c:pt>
                <c:pt idx="7">
                  <c:v>25.509999999999998</c:v>
                </c:pt>
                <c:pt idx="8">
                  <c:v>25.499999999999996</c:v>
                </c:pt>
                <c:pt idx="9">
                  <c:v>29.889999999999997</c:v>
                </c:pt>
                <c:pt idx="10">
                  <c:v>30.75</c:v>
                </c:pt>
                <c:pt idx="11">
                  <c:v>27.947201055630007</c:v>
                </c:pt>
                <c:pt idx="12">
                  <c:v>35.631314475349981</c:v>
                </c:pt>
                <c:pt idx="13">
                  <c:v>32.288567214580006</c:v>
                </c:pt>
              </c:numCache>
            </c:numRef>
          </c:val>
          <c:smooth val="0"/>
          <c:extLst>
            <c:ext xmlns:c16="http://schemas.microsoft.com/office/drawing/2014/chart" uri="{C3380CC4-5D6E-409C-BE32-E72D297353CC}">
              <c16:uniqueId val="{00000006-14EB-4CC8-A52E-4740C4FC00DC}"/>
            </c:ext>
          </c:extLst>
        </c:ser>
        <c:ser>
          <c:idx val="5"/>
          <c:order val="7"/>
          <c:tx>
            <c:strRef>
              <c:f>'SR-výdaje-celorok-2021'!$I$30</c:f>
              <c:strCache>
                <c:ptCount val="1"/>
                <c:pt idx="0">
                  <c:v>Státní dluh (čisté výdaje)*****</c:v>
                </c:pt>
              </c:strCache>
            </c:strRef>
          </c:tx>
          <c:spPr>
            <a:ln w="15875">
              <a:solidFill>
                <a:schemeClr val="tx1">
                  <a:lumMod val="95000"/>
                  <a:lumOff val="5000"/>
                </a:schemeClr>
              </a:solidFill>
              <a:prstDash val="sysDash"/>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'SR-výdaje-celorok-2021'!$I$34:$I$47</c:f>
              <c:numCache>
                <c:formatCode>0.0</c:formatCode>
                <c:ptCount val="14"/>
                <c:pt idx="0">
                  <c:v>16.5</c:v>
                </c:pt>
                <c:pt idx="1">
                  <c:v>25.770000000000003</c:v>
                </c:pt>
                <c:pt idx="2">
                  <c:v>21.27</c:v>
                </c:pt>
                <c:pt idx="3">
                  <c:v>25.81</c:v>
                </c:pt>
                <c:pt idx="4">
                  <c:v>26.419999999999998</c:v>
                </c:pt>
                <c:pt idx="5">
                  <c:v>30.400000000000002</c:v>
                </c:pt>
                <c:pt idx="6">
                  <c:v>26.86</c:v>
                </c:pt>
                <c:pt idx="7">
                  <c:v>23.55</c:v>
                </c:pt>
                <c:pt idx="8">
                  <c:v>23.76</c:v>
                </c:pt>
                <c:pt idx="9">
                  <c:v>18.739999999999998</c:v>
                </c:pt>
                <c:pt idx="10">
                  <c:v>20.11</c:v>
                </c:pt>
                <c:pt idx="11">
                  <c:v>16.91954772339</c:v>
                </c:pt>
                <c:pt idx="12">
                  <c:v>12.518656263610001</c:v>
                </c:pt>
                <c:pt idx="13">
                  <c:v>18.616192468259996</c:v>
                </c:pt>
              </c:numCache>
            </c:numRef>
          </c:val>
          <c:smooth val="0"/>
          <c:extLst>
            <c:ext xmlns:c16="http://schemas.microsoft.com/office/drawing/2014/chart" uri="{C3380CC4-5D6E-409C-BE32-E72D297353CC}">
              <c16:uniqueId val="{00000007-14EB-4CC8-A52E-4740C4FC00DC}"/>
            </c:ext>
          </c:extLst>
        </c:ser>
        <c:ser>
          <c:idx val="8"/>
          <c:order val="8"/>
          <c:tx>
            <c:strRef>
              <c:f>'SR-výdaje-celorok-2021'!$J$30</c:f>
              <c:strCache>
                <c:ptCount val="1"/>
                <c:pt idx="0">
                  <c:v>Kapitálové výdaje</c:v>
                </c:pt>
              </c:strCache>
            </c:strRef>
          </c:tx>
          <c:spPr>
            <a:ln w="15875">
              <a:solidFill>
                <a:srgbClr val="C00000"/>
              </a:solidFill>
              <a:prstDash val="solid"/>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'SR-výdaje-celorok-2021'!$J$34:$J$47</c:f>
              <c:numCache>
                <c:formatCode>0.0</c:formatCode>
                <c:ptCount val="14"/>
                <c:pt idx="0">
                  <c:v>53.505000000000003</c:v>
                </c:pt>
                <c:pt idx="1">
                  <c:v>51.149000000000001</c:v>
                </c:pt>
                <c:pt idx="2">
                  <c:v>55.872999999999998</c:v>
                </c:pt>
                <c:pt idx="3">
                  <c:v>47.277000000000001</c:v>
                </c:pt>
                <c:pt idx="4">
                  <c:v>41.93</c:v>
                </c:pt>
                <c:pt idx="5">
                  <c:v>36.779000000000003</c:v>
                </c:pt>
                <c:pt idx="6">
                  <c:v>34.893999999999998</c:v>
                </c:pt>
                <c:pt idx="7">
                  <c:v>54.02</c:v>
                </c:pt>
                <c:pt idx="8">
                  <c:v>39.090000000000003</c:v>
                </c:pt>
                <c:pt idx="9">
                  <c:v>20.309999999999999</c:v>
                </c:pt>
                <c:pt idx="10">
                  <c:v>33.25</c:v>
                </c:pt>
                <c:pt idx="11">
                  <c:v>45.820505926130004</c:v>
                </c:pt>
                <c:pt idx="12">
                  <c:v>64.976999301739994</c:v>
                </c:pt>
                <c:pt idx="13">
                  <c:v>59.615568521599997</c:v>
                </c:pt>
              </c:numCache>
            </c:numRef>
          </c:val>
          <c:smooth val="0"/>
          <c:extLst>
            <c:ext xmlns:c16="http://schemas.microsoft.com/office/drawing/2014/chart" uri="{C3380CC4-5D6E-409C-BE32-E72D297353CC}">
              <c16:uniqueId val="{00000008-14EB-4CC8-A52E-4740C4FC00DC}"/>
            </c:ext>
          </c:extLst>
        </c:ser>
        <c:dLbls>
          <c:showLegendKey val="0"/>
          <c:showVal val="0"/>
          <c:showCatName val="0"/>
          <c:showSerName val="0"/>
          <c:showPercent val="0"/>
          <c:showBubbleSize val="0"/>
        </c:dLbls>
        <c:marker val="1"/>
        <c:smooth val="0"/>
        <c:axId val="37417344"/>
        <c:axId val="37418880"/>
      </c:lineChart>
      <c:catAx>
        <c:axId val="37417344"/>
        <c:scaling>
          <c:orientation val="minMax"/>
        </c:scaling>
        <c:delete val="0"/>
        <c:axPos val="b"/>
        <c:numFmt formatCode="General" sourceLinked="1"/>
        <c:majorTickMark val="out"/>
        <c:minorTickMark val="none"/>
        <c:tickLblPos val="low"/>
        <c:spPr>
          <a:ln w="6350">
            <a:solidFill>
              <a:schemeClr val="bg1">
                <a:lumMod val="50000"/>
              </a:schemeClr>
            </a:solidFill>
          </a:ln>
        </c:spPr>
        <c:crossAx val="37418880"/>
        <c:crosses val="autoZero"/>
        <c:auto val="1"/>
        <c:lblAlgn val="ctr"/>
        <c:lblOffset val="20"/>
        <c:noMultiLvlLbl val="0"/>
      </c:catAx>
      <c:valAx>
        <c:axId val="37418880"/>
        <c:scaling>
          <c:orientation val="minMax"/>
          <c:max val="100"/>
          <c:min val="0"/>
        </c:scaling>
        <c:delete val="0"/>
        <c:axPos val="l"/>
        <c:majorGridlines>
          <c:spPr>
            <a:ln w="6350">
              <a:solidFill>
                <a:schemeClr val="bg1">
                  <a:lumMod val="75000"/>
                </a:schemeClr>
              </a:solidFill>
            </a:ln>
          </c:spPr>
        </c:majorGridlines>
        <c:title>
          <c:tx>
            <c:rich>
              <a:bodyPr/>
              <a:lstStyle/>
              <a:p>
                <a:pPr>
                  <a:defRPr/>
                </a:pPr>
                <a:r>
                  <a:rPr lang="en-US" sz="700" b="0" i="1"/>
                  <a:t>Ostatní výdaje (v mld. korun)</a:t>
                </a:r>
                <a:endParaRPr lang="en-US"/>
              </a:p>
            </c:rich>
          </c:tx>
          <c:overlay val="0"/>
        </c:title>
        <c:numFmt formatCode="0" sourceLinked="0"/>
        <c:majorTickMark val="out"/>
        <c:minorTickMark val="none"/>
        <c:tickLblPos val="nextTo"/>
        <c:spPr>
          <a:ln w="6350">
            <a:solidFill>
              <a:schemeClr val="tx1"/>
            </a:solidFill>
          </a:ln>
        </c:spPr>
        <c:crossAx val="37417344"/>
        <c:crosses val="autoZero"/>
        <c:crossBetween val="between"/>
        <c:majorUnit val="10"/>
      </c:valAx>
      <c:valAx>
        <c:axId val="37421056"/>
        <c:scaling>
          <c:orientation val="minMax"/>
          <c:max val="1000"/>
          <c:min val="0"/>
        </c:scaling>
        <c:delete val="0"/>
        <c:axPos val="r"/>
        <c:title>
          <c:tx>
            <c:rich>
              <a:bodyPr/>
              <a:lstStyle/>
              <a:p>
                <a:pPr>
                  <a:defRPr sz="700" b="0" i="1"/>
                </a:pPr>
                <a:r>
                  <a:rPr lang="en-US" sz="700" b="0" i="1"/>
                  <a:t>Běžné výdaje celkem (v mld. korun)</a:t>
                </a:r>
              </a:p>
            </c:rich>
          </c:tx>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37422976"/>
        <c:crosses val="max"/>
        <c:crossBetween val="between"/>
        <c:majorUnit val="100"/>
        <c:minorUnit val="10"/>
      </c:valAx>
      <c:catAx>
        <c:axId val="37422976"/>
        <c:scaling>
          <c:orientation val="minMax"/>
        </c:scaling>
        <c:delete val="1"/>
        <c:axPos val="b"/>
        <c:numFmt formatCode="General" sourceLinked="1"/>
        <c:majorTickMark val="out"/>
        <c:minorTickMark val="none"/>
        <c:tickLblPos val="none"/>
        <c:crossAx val="37421056"/>
        <c:crosses val="autoZero"/>
        <c:auto val="1"/>
        <c:lblAlgn val="ctr"/>
        <c:lblOffset val="100"/>
        <c:noMultiLvlLbl val="0"/>
      </c:catAx>
      <c:spPr>
        <a:ln w="6350">
          <a:solidFill>
            <a:schemeClr val="tx1"/>
          </a:solidFill>
        </a:ln>
      </c:spPr>
    </c:plotArea>
    <c:legend>
      <c:legendPos val="b"/>
      <c:layout>
        <c:manualLayout>
          <c:xMode val="edge"/>
          <c:yMode val="edge"/>
          <c:x val="7.4619170751506966E-2"/>
          <c:y val="0.83055049925775093"/>
          <c:w val="0.83751228370680708"/>
          <c:h val="0.1587939613277391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45E-2"/>
          <c:y val="2.8458510079622041E-2"/>
          <c:w val="0.93688386524822698"/>
          <c:h val="0.67119461273775094"/>
        </c:manualLayout>
      </c:layout>
      <c:barChart>
        <c:barDir val="col"/>
        <c:grouping val="stacked"/>
        <c:varyColors val="0"/>
        <c:ser>
          <c:idx val="5"/>
          <c:order val="1"/>
          <c:tx>
            <c:strRef>
              <c:f>'souhrnná výkonnost 3'!$D$5</c:f>
              <c:strCache>
                <c:ptCount val="1"/>
                <c:pt idx="0">
                  <c:v>Výdaje na konečnou spotřebu domácností (vč. nezisk. inst.)</c:v>
                </c:pt>
              </c:strCache>
            </c:strRef>
          </c:tx>
          <c:spPr>
            <a:solidFill>
              <a:srgbClr val="0071BC"/>
            </a:solidFill>
            <a:ln>
              <a:noFill/>
            </a:ln>
          </c:spPr>
          <c:invertIfNegative val="0"/>
          <c:val>
            <c:numRef>
              <c:f>'souhrnná výkonnost 3'!$D$22:$D$43</c:f>
              <c:numCache>
                <c:formatCode>#\ ##0.0</c:formatCode>
                <c:ptCount val="22"/>
                <c:pt idx="0">
                  <c:v>0.93618616091517504</c:v>
                </c:pt>
                <c:pt idx="1">
                  <c:v>0.87008623065588986</c:v>
                </c:pt>
                <c:pt idx="2">
                  <c:v>1.088831374618116</c:v>
                </c:pt>
                <c:pt idx="3">
                  <c:v>0.98663697427429853</c:v>
                </c:pt>
                <c:pt idx="4">
                  <c:v>1.1317605173808631</c:v>
                </c:pt>
                <c:pt idx="5">
                  <c:v>1.4117084709383003</c:v>
                </c:pt>
                <c:pt idx="6">
                  <c:v>1.3280225164734749</c:v>
                </c:pt>
                <c:pt idx="7">
                  <c:v>1.0794473419672266</c:v>
                </c:pt>
                <c:pt idx="8">
                  <c:v>1.580542821710847</c:v>
                </c:pt>
                <c:pt idx="9">
                  <c:v>1.2036281398321482</c:v>
                </c:pt>
                <c:pt idx="10">
                  <c:v>0.99314647332669792</c:v>
                </c:pt>
                <c:pt idx="11">
                  <c:v>0.88688082354953479</c:v>
                </c:pt>
                <c:pt idx="12">
                  <c:v>0.92742283153358485</c:v>
                </c:pt>
                <c:pt idx="13">
                  <c:v>1.2648435786040815</c:v>
                </c:pt>
                <c:pt idx="14">
                  <c:v>1.0200882664173805</c:v>
                </c:pt>
                <c:pt idx="15">
                  <c:v>1.1768223210480195</c:v>
                </c:pt>
                <c:pt idx="16">
                  <c:v>-0.95160085945739037</c:v>
                </c:pt>
                <c:pt idx="17">
                  <c:v>-3.3386088539954577</c:v>
                </c:pt>
                <c:pt idx="18">
                  <c:v>-2.0623300718590203</c:v>
                </c:pt>
                <c:pt idx="19">
                  <c:v>-4.5307141342269546</c:v>
                </c:pt>
                <c:pt idx="20">
                  <c:v>-3.2272095782230288</c:v>
                </c:pt>
                <c:pt idx="21">
                  <c:v>1.1624591892831664</c:v>
                </c:pt>
              </c:numCache>
            </c:numRef>
          </c:val>
          <c:extLst>
            <c:ext xmlns:c16="http://schemas.microsoft.com/office/drawing/2014/chart" uri="{C3380CC4-5D6E-409C-BE32-E72D297353CC}">
              <c16:uniqueId val="{00000000-CB47-4A78-9BE3-B7839E5B4B8A}"/>
            </c:ext>
          </c:extLst>
        </c:ser>
        <c:ser>
          <c:idx val="4"/>
          <c:order val="2"/>
          <c:tx>
            <c:strRef>
              <c:f>'souhrnná výkonnost 3'!$E$5</c:f>
              <c:strCache>
                <c:ptCount val="1"/>
                <c:pt idx="0">
                  <c:v>Výdaje na konečnou spotřebu vládních institucí</c:v>
                </c:pt>
              </c:strCache>
            </c:strRef>
          </c:tx>
          <c:spPr>
            <a:solidFill>
              <a:srgbClr val="A6CDE8"/>
            </a:solidFill>
            <a:ln>
              <a:noFill/>
            </a:ln>
          </c:spPr>
          <c:invertIfNegative val="0"/>
          <c:val>
            <c:numRef>
              <c:f>'souhrnná výkonnost 3'!$E$22:$E$43</c:f>
              <c:numCache>
                <c:formatCode>#\ ##0.0</c:formatCode>
                <c:ptCount val="22"/>
                <c:pt idx="0">
                  <c:v>0.42019916860676243</c:v>
                </c:pt>
                <c:pt idx="1">
                  <c:v>0.46376177295031862</c:v>
                </c:pt>
                <c:pt idx="2">
                  <c:v>0.44114936351097495</c:v>
                </c:pt>
                <c:pt idx="3">
                  <c:v>0.47675559244176158</c:v>
                </c:pt>
                <c:pt idx="4">
                  <c:v>0.44404461559069486</c:v>
                </c:pt>
                <c:pt idx="5">
                  <c:v>0.37751399613724029</c:v>
                </c:pt>
                <c:pt idx="6">
                  <c:v>0.21407569926635237</c:v>
                </c:pt>
                <c:pt idx="7">
                  <c:v>0.2341267263946423</c:v>
                </c:pt>
                <c:pt idx="8">
                  <c:v>0.57862841580255708</c:v>
                </c:pt>
                <c:pt idx="9">
                  <c:v>0.55642773333565732</c:v>
                </c:pt>
                <c:pt idx="10">
                  <c:v>0.89021022766775593</c:v>
                </c:pt>
                <c:pt idx="11">
                  <c:v>0.75191010842186412</c:v>
                </c:pt>
                <c:pt idx="12">
                  <c:v>0.41419150368088392</c:v>
                </c:pt>
                <c:pt idx="13">
                  <c:v>0.52913615091977828</c:v>
                </c:pt>
                <c:pt idx="14">
                  <c:v>0.42716769248184294</c:v>
                </c:pt>
                <c:pt idx="15">
                  <c:v>0.3389878995673522</c:v>
                </c:pt>
                <c:pt idx="16">
                  <c:v>0.69736075453620827</c:v>
                </c:pt>
                <c:pt idx="17">
                  <c:v>0.62242994402829654</c:v>
                </c:pt>
                <c:pt idx="18">
                  <c:v>0.43330470629342294</c:v>
                </c:pt>
                <c:pt idx="19">
                  <c:v>1.139349452193801</c:v>
                </c:pt>
                <c:pt idx="20">
                  <c:v>0.7088216658376213</c:v>
                </c:pt>
                <c:pt idx="21">
                  <c:v>0.56498977099965397</c:v>
                </c:pt>
              </c:numCache>
            </c:numRef>
          </c:val>
          <c:extLst>
            <c:ext xmlns:c16="http://schemas.microsoft.com/office/drawing/2014/chart" uri="{C3380CC4-5D6E-409C-BE32-E72D297353CC}">
              <c16:uniqueId val="{00000001-CB47-4A78-9BE3-B7839E5B4B8A}"/>
            </c:ext>
          </c:extLst>
        </c:ser>
        <c:ser>
          <c:idx val="3"/>
          <c:order val="3"/>
          <c:tx>
            <c:strRef>
              <c:f>'souhrnná výkonnost 3'!$G$5</c:f>
              <c:strCache>
                <c:ptCount val="1"/>
                <c:pt idx="0">
                  <c:v>Tvorba hrubého kapitálu</c:v>
                </c:pt>
              </c:strCache>
            </c:strRef>
          </c:tx>
          <c:spPr>
            <a:solidFill>
              <a:srgbClr val="BD1B21"/>
            </a:solidFill>
            <a:ln>
              <a:noFill/>
            </a:ln>
          </c:spPr>
          <c:invertIfNegative val="0"/>
          <c:val>
            <c:numRef>
              <c:f>'souhrnná výkonnost 3'!$G$22:$G$43</c:f>
              <c:numCache>
                <c:formatCode>#\ ##0.0</c:formatCode>
                <c:ptCount val="22"/>
                <c:pt idx="0">
                  <c:v>0.16571758684643292</c:v>
                </c:pt>
                <c:pt idx="1">
                  <c:v>-1.6231279926014353</c:v>
                </c:pt>
                <c:pt idx="2">
                  <c:v>-0.9230024021929123</c:v>
                </c:pt>
                <c:pt idx="3">
                  <c:v>-0.55002076148293633</c:v>
                </c:pt>
                <c:pt idx="4">
                  <c:v>-1.2630660286446516</c:v>
                </c:pt>
                <c:pt idx="5">
                  <c:v>0.84009326563270514</c:v>
                </c:pt>
                <c:pt idx="6">
                  <c:v>1.6097758497475534</c:v>
                </c:pt>
                <c:pt idx="7">
                  <c:v>2.3721301843681739</c:v>
                </c:pt>
                <c:pt idx="8">
                  <c:v>2.8713468902027719</c:v>
                </c:pt>
                <c:pt idx="9">
                  <c:v>1.5905888817549036</c:v>
                </c:pt>
                <c:pt idx="10">
                  <c:v>1.9208851743389141</c:v>
                </c:pt>
                <c:pt idx="11">
                  <c:v>0.56073143718343366</c:v>
                </c:pt>
                <c:pt idx="12">
                  <c:v>1.5826437930914861</c:v>
                </c:pt>
                <c:pt idx="13">
                  <c:v>-0.15800458401897696</c:v>
                </c:pt>
                <c:pt idx="14">
                  <c:v>5.6924086841567925E-2</c:v>
                </c:pt>
                <c:pt idx="15">
                  <c:v>2.5116661705287227</c:v>
                </c:pt>
                <c:pt idx="16">
                  <c:v>-0.56428697696015839</c:v>
                </c:pt>
                <c:pt idx="17">
                  <c:v>-8.245764306033404E-2</c:v>
                </c:pt>
                <c:pt idx="18">
                  <c:v>-3.8102892591409159</c:v>
                </c:pt>
                <c:pt idx="19">
                  <c:v>-5.3123935717685367</c:v>
                </c:pt>
                <c:pt idx="20">
                  <c:v>9.7915337099825916E-2</c:v>
                </c:pt>
                <c:pt idx="21">
                  <c:v>1.566564830524585</c:v>
                </c:pt>
              </c:numCache>
            </c:numRef>
          </c:val>
          <c:extLst>
            <c:ext xmlns:c16="http://schemas.microsoft.com/office/drawing/2014/chart" uri="{C3380CC4-5D6E-409C-BE32-E72D297353CC}">
              <c16:uniqueId val="{00000002-CB47-4A78-9BE3-B7839E5B4B8A}"/>
            </c:ext>
          </c:extLst>
        </c:ser>
        <c:ser>
          <c:idx val="1"/>
          <c:order val="4"/>
          <c:tx>
            <c:strRef>
              <c:f>'souhrnná výkonnost 3'!$F$5</c:f>
              <c:strCache>
                <c:ptCount val="1"/>
                <c:pt idx="0">
                  <c:v>Bilance zahraničního obchodu</c:v>
                </c:pt>
              </c:strCache>
            </c:strRef>
          </c:tx>
          <c:spPr>
            <a:solidFill>
              <a:srgbClr val="7DBB2D"/>
            </a:solidFill>
            <a:ln>
              <a:noFill/>
            </a:ln>
          </c:spPr>
          <c:invertIfNegative val="0"/>
          <c:val>
            <c:numRef>
              <c:f>'souhrnná výkonnost 3'!$F$22:$F$43</c:f>
              <c:numCache>
                <c:formatCode>#\ ##0.0</c:formatCode>
                <c:ptCount val="22"/>
                <c:pt idx="0">
                  <c:v>1.8167152604552226</c:v>
                </c:pt>
                <c:pt idx="1">
                  <c:v>2.4919364052715784</c:v>
                </c:pt>
                <c:pt idx="2">
                  <c:v>1.2934583130738089</c:v>
                </c:pt>
                <c:pt idx="3">
                  <c:v>1.1926166397447078</c:v>
                </c:pt>
                <c:pt idx="4">
                  <c:v>3.1780322387555695</c:v>
                </c:pt>
                <c:pt idx="5">
                  <c:v>3.4186500578903547</c:v>
                </c:pt>
                <c:pt idx="6">
                  <c:v>2.6451757604214197</c:v>
                </c:pt>
                <c:pt idx="7">
                  <c:v>2.134600536374907</c:v>
                </c:pt>
                <c:pt idx="8">
                  <c:v>-0.34846185861429246</c:v>
                </c:pt>
                <c:pt idx="9">
                  <c:v>-0.77956175506757264</c:v>
                </c:pt>
                <c:pt idx="10">
                  <c:v>-1.1814783274089611</c:v>
                </c:pt>
                <c:pt idx="11">
                  <c:v>0.25173122797348579</c:v>
                </c:pt>
                <c:pt idx="12">
                  <c:v>4.8271345411210476E-4</c:v>
                </c:pt>
                <c:pt idx="13">
                  <c:v>1.3310256349867293</c:v>
                </c:pt>
                <c:pt idx="14">
                  <c:v>1.3927593162025209</c:v>
                </c:pt>
                <c:pt idx="15">
                  <c:v>-1.1986582855082308</c:v>
                </c:pt>
                <c:pt idx="16">
                  <c:v>-0.71023464620906629</c:v>
                </c:pt>
                <c:pt idx="17">
                  <c:v>-8.1886210333748206</c:v>
                </c:pt>
                <c:pt idx="18">
                  <c:v>-3.9700810334303505E-2</c:v>
                </c:pt>
                <c:pt idx="19">
                  <c:v>3.3165688255399948</c:v>
                </c:pt>
                <c:pt idx="20">
                  <c:v>-5.7481486059446141E-2</c:v>
                </c:pt>
                <c:pt idx="21">
                  <c:v>4.8353112064280328</c:v>
                </c:pt>
              </c:numCache>
            </c:numRef>
          </c:val>
          <c:extLst>
            <c:ext xmlns:c16="http://schemas.microsoft.com/office/drawing/2014/chart" uri="{C3380CC4-5D6E-409C-BE32-E72D297353CC}">
              <c16:uniqueId val="{00000003-CB47-4A78-9BE3-B7839E5B4B8A}"/>
            </c:ext>
          </c:extLst>
        </c:ser>
        <c:dLbls>
          <c:showLegendKey val="0"/>
          <c:showVal val="0"/>
          <c:showCatName val="0"/>
          <c:showSerName val="0"/>
          <c:showPercent val="0"/>
          <c:showBubbleSize val="0"/>
        </c:dLbls>
        <c:gapWidth val="40"/>
        <c:overlap val="100"/>
        <c:axId val="91844608"/>
        <c:axId val="91846144"/>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3'!$C$22:$C$43</c:f>
              <c:numCache>
                <c:formatCode>#\ ##0.0</c:formatCode>
                <c:ptCount val="22"/>
                <c:pt idx="0">
                  <c:v>3.3935594356915999</c:v>
                </c:pt>
                <c:pt idx="1">
                  <c:v>2.2554753959572764</c:v>
                </c:pt>
                <c:pt idx="2">
                  <c:v>1.9595326225544341</c:v>
                </c:pt>
                <c:pt idx="3">
                  <c:v>2.1706344977514362</c:v>
                </c:pt>
                <c:pt idx="4">
                  <c:v>3.5703737623319967</c:v>
                </c:pt>
                <c:pt idx="5">
                  <c:v>6.1313612268321123</c:v>
                </c:pt>
                <c:pt idx="6">
                  <c:v>5.8793927561599588</c:v>
                </c:pt>
                <c:pt idx="7">
                  <c:v>5.8948496206722893</c:v>
                </c:pt>
                <c:pt idx="8">
                  <c:v>4.8044975547299202</c:v>
                </c:pt>
                <c:pt idx="9">
                  <c:v>2.6817571455975582</c:v>
                </c:pt>
                <c:pt idx="10">
                  <c:v>2.7294056681603536</c:v>
                </c:pt>
                <c:pt idx="11">
                  <c:v>2.5583059250702433</c:v>
                </c:pt>
                <c:pt idx="12">
                  <c:v>2.9672187450501895</c:v>
                </c:pt>
                <c:pt idx="13">
                  <c:v>3.0195256065361349</c:v>
                </c:pt>
                <c:pt idx="14">
                  <c:v>2.9551413626175673</c:v>
                </c:pt>
                <c:pt idx="15">
                  <c:v>2.8845629323214155</c:v>
                </c:pt>
                <c:pt idx="16">
                  <c:v>-1.4626739052791606</c:v>
                </c:pt>
                <c:pt idx="17">
                  <c:v>-10.94212682938624</c:v>
                </c:pt>
                <c:pt idx="18">
                  <c:v>-5.44703894048574</c:v>
                </c:pt>
                <c:pt idx="19">
                  <c:v>-5.345334491331073</c:v>
                </c:pt>
                <c:pt idx="20">
                  <c:v>-2.4562265830767416</c:v>
                </c:pt>
                <c:pt idx="21">
                  <c:v>8.1818320652136975</c:v>
                </c:pt>
              </c:numCache>
            </c:numRef>
          </c:val>
          <c:smooth val="0"/>
          <c:extLst>
            <c:ext xmlns:c16="http://schemas.microsoft.com/office/drawing/2014/chart" uri="{C3380CC4-5D6E-409C-BE32-E72D297353CC}">
              <c16:uniqueId val="{00000004-CB47-4A78-9BE3-B7839E5B4B8A}"/>
            </c:ext>
          </c:extLst>
        </c:ser>
        <c:dLbls>
          <c:showLegendKey val="0"/>
          <c:showVal val="0"/>
          <c:showCatName val="0"/>
          <c:showSerName val="0"/>
          <c:showPercent val="0"/>
          <c:showBubbleSize val="0"/>
        </c:dLbls>
        <c:marker val="1"/>
        <c:smooth val="0"/>
        <c:axId val="91844608"/>
        <c:axId val="91846144"/>
      </c:lineChart>
      <c:catAx>
        <c:axId val="91844608"/>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91846144"/>
        <c:crosses val="autoZero"/>
        <c:auto val="1"/>
        <c:lblAlgn val="ctr"/>
        <c:lblOffset val="100"/>
        <c:noMultiLvlLbl val="0"/>
      </c:catAx>
      <c:valAx>
        <c:axId val="91846144"/>
        <c:scaling>
          <c:orientation val="minMax"/>
          <c:max val="9"/>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91844608"/>
        <c:crosses val="autoZero"/>
        <c:crossBetween val="between"/>
        <c:majorUnit val="3"/>
      </c:valAx>
      <c:spPr>
        <a:ln>
          <a:solidFill>
            <a:schemeClr val="tx1"/>
          </a:solidFill>
        </a:ln>
      </c:spPr>
    </c:plotArea>
    <c:legend>
      <c:legendPos val="b"/>
      <c:layout>
        <c:manualLayout>
          <c:xMode val="edge"/>
          <c:yMode val="edge"/>
          <c:x val="4.7571766295170556E-2"/>
          <c:y val="0.81446229408991433"/>
          <c:w val="0.93781598277608913"/>
          <c:h val="0.168695615460936"/>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82E-2"/>
          <c:y val="3.7154479717354444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4'!$C$22:$C$43</c:f>
              <c:numCache>
                <c:formatCode>#\ ##0.0</c:formatCode>
                <c:ptCount val="22"/>
                <c:pt idx="0">
                  <c:v>9.4765725889982E-2</c:v>
                </c:pt>
                <c:pt idx="1">
                  <c:v>0.15637528256042468</c:v>
                </c:pt>
                <c:pt idx="2">
                  <c:v>0.1869741986923065</c:v>
                </c:pt>
                <c:pt idx="3">
                  <c:v>7.7625901535376199E-2</c:v>
                </c:pt>
                <c:pt idx="4">
                  <c:v>-1.3383627512345413E-2</c:v>
                </c:pt>
                <c:pt idx="5">
                  <c:v>-0.10833526835550926</c:v>
                </c:pt>
                <c:pt idx="6">
                  <c:v>-0.17417145567790579</c:v>
                </c:pt>
                <c:pt idx="7">
                  <c:v>-5.6339788104083438E-2</c:v>
                </c:pt>
                <c:pt idx="8">
                  <c:v>3.3108455773835969E-2</c:v>
                </c:pt>
                <c:pt idx="9">
                  <c:v>6.7464623058102177E-2</c:v>
                </c:pt>
                <c:pt idx="10">
                  <c:v>0.13279889414520776</c:v>
                </c:pt>
                <c:pt idx="11">
                  <c:v>0.13730282461152749</c:v>
                </c:pt>
                <c:pt idx="12">
                  <c:v>8.2716288855485917E-2</c:v>
                </c:pt>
                <c:pt idx="13">
                  <c:v>9.2139384026042048E-2</c:v>
                </c:pt>
                <c:pt idx="14">
                  <c:v>0.10854763671027451</c:v>
                </c:pt>
                <c:pt idx="15">
                  <c:v>0.11881072235188453</c:v>
                </c:pt>
                <c:pt idx="16">
                  <c:v>0.14184046318480331</c:v>
                </c:pt>
                <c:pt idx="17">
                  <c:v>0.11212507120139492</c:v>
                </c:pt>
                <c:pt idx="18">
                  <c:v>0.13937941427353459</c:v>
                </c:pt>
                <c:pt idx="19">
                  <c:v>0.13855826563016213</c:v>
                </c:pt>
                <c:pt idx="20">
                  <c:v>0.15652352073482564</c:v>
                </c:pt>
                <c:pt idx="21">
                  <c:v>8.1599472114331523E-2</c:v>
                </c:pt>
              </c:numCache>
            </c:numRef>
          </c:val>
          <c:extLst>
            <c:ext xmlns:c16="http://schemas.microsoft.com/office/drawing/2014/chart" uri="{C3380CC4-5D6E-409C-BE32-E72D297353CC}">
              <c16:uniqueId val="{00000000-F997-4CD4-9D85-1D26B0E3F5F6}"/>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4'!$D$22:$D$43</c:f>
              <c:numCache>
                <c:formatCode>#\ ##0.0</c:formatCode>
                <c:ptCount val="22"/>
                <c:pt idx="0">
                  <c:v>1.6106591209137211</c:v>
                </c:pt>
                <c:pt idx="1">
                  <c:v>0.76053941356552957</c:v>
                </c:pt>
                <c:pt idx="2">
                  <c:v>0.94570363726203222</c:v>
                </c:pt>
                <c:pt idx="3">
                  <c:v>1.2222885842881583</c:v>
                </c:pt>
                <c:pt idx="4">
                  <c:v>1.3672331304188452</c:v>
                </c:pt>
                <c:pt idx="5">
                  <c:v>3.1345037144202608</c:v>
                </c:pt>
                <c:pt idx="6">
                  <c:v>3.0577731838821371</c:v>
                </c:pt>
                <c:pt idx="7">
                  <c:v>2.3545310158669421</c:v>
                </c:pt>
                <c:pt idx="8">
                  <c:v>1.5576365516094002</c:v>
                </c:pt>
                <c:pt idx="9">
                  <c:v>0.11177812966818869</c:v>
                </c:pt>
                <c:pt idx="10">
                  <c:v>3.2580368933372936E-3</c:v>
                </c:pt>
                <c:pt idx="11">
                  <c:v>0.30391701062646553</c:v>
                </c:pt>
                <c:pt idx="12">
                  <c:v>0.83241284936767035</c:v>
                </c:pt>
                <c:pt idx="13">
                  <c:v>1.3015365945875272</c:v>
                </c:pt>
                <c:pt idx="14">
                  <c:v>1.3300175165245307</c:v>
                </c:pt>
                <c:pt idx="15">
                  <c:v>1.0288201442114486</c:v>
                </c:pt>
                <c:pt idx="16">
                  <c:v>-0.53680284510878806</c:v>
                </c:pt>
                <c:pt idx="17">
                  <c:v>-5.0058505193508473</c:v>
                </c:pt>
                <c:pt idx="18">
                  <c:v>-1.4524158675902747</c:v>
                </c:pt>
                <c:pt idx="19">
                  <c:v>-0.93731068541695106</c:v>
                </c:pt>
                <c:pt idx="20">
                  <c:v>0.21205774230438229</c:v>
                </c:pt>
                <c:pt idx="21">
                  <c:v>5.184730189560419</c:v>
                </c:pt>
              </c:numCache>
            </c:numRef>
          </c:val>
          <c:extLst>
            <c:ext xmlns:c16="http://schemas.microsoft.com/office/drawing/2014/chart" uri="{C3380CC4-5D6E-409C-BE32-E72D297353CC}">
              <c16:uniqueId val="{00000001-F997-4CD4-9D85-1D26B0E3F5F6}"/>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4'!$E$22:$E$43</c:f>
              <c:numCache>
                <c:formatCode>#\ ##0.0</c:formatCode>
                <c:ptCount val="22"/>
                <c:pt idx="0">
                  <c:v>-0.60910811421333144</c:v>
                </c:pt>
                <c:pt idx="1">
                  <c:v>-0.22876574071995925</c:v>
                </c:pt>
                <c:pt idx="2">
                  <c:v>-0.20221592700743152</c:v>
                </c:pt>
                <c:pt idx="3">
                  <c:v>1.1159198434038675E-3</c:v>
                </c:pt>
                <c:pt idx="4">
                  <c:v>0.19369937090646161</c:v>
                </c:pt>
                <c:pt idx="5">
                  <c:v>8.7518834667852374E-2</c:v>
                </c:pt>
                <c:pt idx="6">
                  <c:v>0.12818764673017169</c:v>
                </c:pt>
                <c:pt idx="7">
                  <c:v>-3.2004861050359601E-2</c:v>
                </c:pt>
                <c:pt idx="8">
                  <c:v>-0.10299697854726397</c:v>
                </c:pt>
                <c:pt idx="9">
                  <c:v>-3.2072706595271713E-2</c:v>
                </c:pt>
                <c:pt idx="10" formatCode="General">
                  <c:v>8.1524592449955802E-2</c:v>
                </c:pt>
                <c:pt idx="11" formatCode="General">
                  <c:v>-6.1061461784250731E-2</c:v>
                </c:pt>
                <c:pt idx="12" formatCode="General">
                  <c:v>-0.20672058053663489</c:v>
                </c:pt>
                <c:pt idx="13" formatCode="General">
                  <c:v>-0.37407520858030863</c:v>
                </c:pt>
                <c:pt idx="14" formatCode="General">
                  <c:v>-0.71461913133162358</c:v>
                </c:pt>
                <c:pt idx="15" formatCode="General">
                  <c:v>-0.46214248963662286</c:v>
                </c:pt>
                <c:pt idx="16" formatCode="General">
                  <c:v>-0.82933877978192383</c:v>
                </c:pt>
                <c:pt idx="17" formatCode="General">
                  <c:v>-0.99599126054138232</c:v>
                </c:pt>
                <c:pt idx="18" formatCode="General">
                  <c:v>-0.66853823795995804</c:v>
                </c:pt>
                <c:pt idx="19" formatCode="General">
                  <c:v>-0.51144805126555193</c:v>
                </c:pt>
                <c:pt idx="20" formatCode="General">
                  <c:v>-6.2514314488681583E-2</c:v>
                </c:pt>
                <c:pt idx="21" formatCode="General">
                  <c:v>5.9159774548675159E-2</c:v>
                </c:pt>
              </c:numCache>
            </c:numRef>
          </c:val>
          <c:extLst>
            <c:ext xmlns:c16="http://schemas.microsoft.com/office/drawing/2014/chart" uri="{C3380CC4-5D6E-409C-BE32-E72D297353CC}">
              <c16:uniqueId val="{00000002-F997-4CD4-9D85-1D26B0E3F5F6}"/>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4'!$F$22:$F$43</c:f>
              <c:numCache>
                <c:formatCode>#\ ##0.0</c:formatCode>
                <c:ptCount val="22"/>
                <c:pt idx="0">
                  <c:v>-0.13118840376974297</c:v>
                </c:pt>
                <c:pt idx="1">
                  <c:v>-0.28594902920034482</c:v>
                </c:pt>
                <c:pt idx="2">
                  <c:v>-0.26701712597535621</c:v>
                </c:pt>
                <c:pt idx="3">
                  <c:v>-0.18704467160622129</c:v>
                </c:pt>
                <c:pt idx="4">
                  <c:v>-0.1200139265751739</c:v>
                </c:pt>
                <c:pt idx="5">
                  <c:v>0.12420386515100609</c:v>
                </c:pt>
                <c:pt idx="6">
                  <c:v>7.1592239994959186E-2</c:v>
                </c:pt>
                <c:pt idx="7">
                  <c:v>0.17310415185088521</c:v>
                </c:pt>
                <c:pt idx="8">
                  <c:v>0.12249795664753446</c:v>
                </c:pt>
                <c:pt idx="9">
                  <c:v>-4.2660685745634658E-3</c:v>
                </c:pt>
                <c:pt idx="10">
                  <c:v>-1.804304477728428E-2</c:v>
                </c:pt>
                <c:pt idx="11">
                  <c:v>-0.11218045217553656</c:v>
                </c:pt>
                <c:pt idx="12">
                  <c:v>-0.20636296686894753</c:v>
                </c:pt>
                <c:pt idx="13">
                  <c:v>-6.4792774942168993E-2</c:v>
                </c:pt>
                <c:pt idx="14">
                  <c:v>-7.9269271643787567E-2</c:v>
                </c:pt>
                <c:pt idx="15">
                  <c:v>-5.6020948993661966E-2</c:v>
                </c:pt>
                <c:pt idx="16">
                  <c:v>-0.1910625729986753</c:v>
                </c:pt>
                <c:pt idx="17">
                  <c:v>-0.60295311908818527</c:v>
                </c:pt>
                <c:pt idx="18">
                  <c:v>-0.54755592054880697</c:v>
                </c:pt>
                <c:pt idx="19">
                  <c:v>-0.62049917307457436</c:v>
                </c:pt>
                <c:pt idx="20">
                  <c:v>-0.38011083766821685</c:v>
                </c:pt>
                <c:pt idx="21">
                  <c:v>3.453962284597914E-2</c:v>
                </c:pt>
              </c:numCache>
            </c:numRef>
          </c:val>
          <c:extLst>
            <c:ext xmlns:c16="http://schemas.microsoft.com/office/drawing/2014/chart" uri="{C3380CC4-5D6E-409C-BE32-E72D297353CC}">
              <c16:uniqueId val="{00000003-F997-4CD4-9D85-1D26B0E3F5F6}"/>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4'!$G$22:$G$43</c:f>
              <c:numCache>
                <c:formatCode>#\ ##0.0</c:formatCode>
                <c:ptCount val="22"/>
                <c:pt idx="0">
                  <c:v>2.2780910878465543</c:v>
                </c:pt>
                <c:pt idx="1">
                  <c:v>1.7791133450565915</c:v>
                </c:pt>
                <c:pt idx="2">
                  <c:v>1.1751996503140407</c:v>
                </c:pt>
                <c:pt idx="3">
                  <c:v>1.1971206910823469</c:v>
                </c:pt>
                <c:pt idx="4">
                  <c:v>2.1480829000947486</c:v>
                </c:pt>
                <c:pt idx="5">
                  <c:v>3.0747805417077498</c:v>
                </c:pt>
                <c:pt idx="6">
                  <c:v>2.9994469566684199</c:v>
                </c:pt>
                <c:pt idx="7">
                  <c:v>3.2896815901667287</c:v>
                </c:pt>
                <c:pt idx="8">
                  <c:v>3.1749514751083248</c:v>
                </c:pt>
                <c:pt idx="9">
                  <c:v>2.6275397496035438</c:v>
                </c:pt>
                <c:pt idx="10" formatCode="General">
                  <c:v>2.7719971256974341</c:v>
                </c:pt>
                <c:pt idx="11" formatCode="General">
                  <c:v>2.5972842205241453</c:v>
                </c:pt>
                <c:pt idx="12" formatCode="General">
                  <c:v>2.508296604685702</c:v>
                </c:pt>
                <c:pt idx="13" formatCode="General">
                  <c:v>2.0834684133018309</c:v>
                </c:pt>
                <c:pt idx="14" formatCode="General">
                  <c:v>2.1657395752754183</c:v>
                </c:pt>
                <c:pt idx="15" formatCode="General">
                  <c:v>2.2150289387573601</c:v>
                </c:pt>
                <c:pt idx="16" formatCode="General">
                  <c:v>0.35842147618069087</c:v>
                </c:pt>
                <c:pt idx="17" formatCode="General">
                  <c:v>-4.6526468154620559</c:v>
                </c:pt>
                <c:pt idx="18" formatCode="General">
                  <c:v>-2.6797110005821319</c:v>
                </c:pt>
                <c:pt idx="19" formatCode="General">
                  <c:v>-3.089633953611683</c:v>
                </c:pt>
                <c:pt idx="20" formatCode="General">
                  <c:v>-2.3943227545688996</c:v>
                </c:pt>
                <c:pt idx="21" formatCode="General">
                  <c:v>3.078853854850383</c:v>
                </c:pt>
              </c:numCache>
            </c:numRef>
          </c:val>
          <c:extLst>
            <c:ext xmlns:c16="http://schemas.microsoft.com/office/drawing/2014/chart" uri="{C3380CC4-5D6E-409C-BE32-E72D297353CC}">
              <c16:uniqueId val="{00000004-F997-4CD4-9D85-1D26B0E3F5F6}"/>
            </c:ext>
          </c:extLst>
        </c:ser>
        <c:dLbls>
          <c:showLegendKey val="0"/>
          <c:showVal val="0"/>
          <c:showCatName val="0"/>
          <c:showSerName val="0"/>
          <c:showPercent val="0"/>
          <c:showBubbleSize val="0"/>
        </c:dLbls>
        <c:gapWidth val="70"/>
        <c:overlap val="100"/>
        <c:axId val="92161536"/>
        <c:axId val="92163072"/>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4'!$H$22:$H$43</c:f>
              <c:numCache>
                <c:formatCode>#\ ##0.0</c:formatCode>
                <c:ptCount val="22"/>
                <c:pt idx="0">
                  <c:v>3.2432073755742579</c:v>
                </c:pt>
                <c:pt idx="1">
                  <c:v>2.1812977926827415</c:v>
                </c:pt>
                <c:pt idx="2">
                  <c:v>1.8386996228235262</c:v>
                </c:pt>
                <c:pt idx="3">
                  <c:v>2.3109605829682209</c:v>
                </c:pt>
                <c:pt idx="4">
                  <c:v>3.5756277740391482</c:v>
                </c:pt>
                <c:pt idx="5">
                  <c:v>6.3126226044967666</c:v>
                </c:pt>
                <c:pt idx="6">
                  <c:v>6.0829220489310671</c:v>
                </c:pt>
                <c:pt idx="7">
                  <c:v>5.7291078447527326</c:v>
                </c:pt>
                <c:pt idx="8">
                  <c:v>4.8981845225873855</c:v>
                </c:pt>
                <c:pt idx="9">
                  <c:v>2.7705379621629049</c:v>
                </c:pt>
                <c:pt idx="10">
                  <c:v>2.9716135031952859</c:v>
                </c:pt>
                <c:pt idx="11">
                  <c:v>2.8650954448108195</c:v>
                </c:pt>
                <c:pt idx="12">
                  <c:v>3.0103555185936557</c:v>
                </c:pt>
                <c:pt idx="13">
                  <c:v>3.0382784412400667</c:v>
                </c:pt>
                <c:pt idx="14">
                  <c:v>2.810283179001118</c:v>
                </c:pt>
                <c:pt idx="15">
                  <c:v>2.8446208831943522</c:v>
                </c:pt>
                <c:pt idx="16">
                  <c:v>-1.0569722929019179</c:v>
                </c:pt>
                <c:pt idx="17">
                  <c:v>-11.145421355586024</c:v>
                </c:pt>
                <c:pt idx="18">
                  <c:v>-5.2086519445039414</c:v>
                </c:pt>
                <c:pt idx="19">
                  <c:v>-5.0205707503875487</c:v>
                </c:pt>
                <c:pt idx="20">
                  <c:v>-2.4684603638890081</c:v>
                </c:pt>
                <c:pt idx="21">
                  <c:v>8.4389454688763976</c:v>
                </c:pt>
              </c:numCache>
            </c:numRef>
          </c:val>
          <c:smooth val="0"/>
          <c:extLst>
            <c:ext xmlns:c16="http://schemas.microsoft.com/office/drawing/2014/chart" uri="{C3380CC4-5D6E-409C-BE32-E72D297353CC}">
              <c16:uniqueId val="{00000005-F997-4CD4-9D85-1D26B0E3F5F6}"/>
            </c:ext>
          </c:extLst>
        </c:ser>
        <c:dLbls>
          <c:showLegendKey val="0"/>
          <c:showVal val="0"/>
          <c:showCatName val="0"/>
          <c:showSerName val="0"/>
          <c:showPercent val="0"/>
          <c:showBubbleSize val="0"/>
        </c:dLbls>
        <c:marker val="1"/>
        <c:smooth val="0"/>
        <c:axId val="92161536"/>
        <c:axId val="92163072"/>
      </c:lineChart>
      <c:catAx>
        <c:axId val="92161536"/>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92163072"/>
        <c:crosses val="autoZero"/>
        <c:auto val="1"/>
        <c:lblAlgn val="ctr"/>
        <c:lblOffset val="100"/>
        <c:noMultiLvlLbl val="0"/>
      </c:catAx>
      <c:valAx>
        <c:axId val="92163072"/>
        <c:scaling>
          <c:orientation val="minMax"/>
          <c:max val="9"/>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92161536"/>
        <c:crosses val="autoZero"/>
        <c:crossBetween val="between"/>
        <c:majorUnit val="3"/>
      </c:valAx>
      <c:spPr>
        <a:ln>
          <a:solidFill>
            <a:schemeClr val="tx1"/>
          </a:solidFill>
        </a:ln>
      </c:spPr>
    </c:plotArea>
    <c:legend>
      <c:legendPos val="b"/>
      <c:layout>
        <c:manualLayout>
          <c:xMode val="edge"/>
          <c:yMode val="edge"/>
          <c:x val="5.4144292468760548E-2"/>
          <c:y val="0.79016604750647301"/>
          <c:w val="0.92386482607227283"/>
          <c:h val="0.1946248452099494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6203544707895996E-2"/>
          <c:w val="0.84974974879787502"/>
          <c:h val="0.71911425331511469"/>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IPP'!$R$27:$AR$27</c:f>
              <c:numCache>
                <c:formatCode>0.0</c:formatCode>
                <c:ptCount val="27"/>
                <c:pt idx="0">
                  <c:v>1.5428898176392496</c:v>
                </c:pt>
                <c:pt idx="1">
                  <c:v>2.1743718256924107</c:v>
                </c:pt>
                <c:pt idx="2">
                  <c:v>2.3590492908960439</c:v>
                </c:pt>
                <c:pt idx="3">
                  <c:v>2.8772486090638396</c:v>
                </c:pt>
                <c:pt idx="4">
                  <c:v>3.3183568360577667</c:v>
                </c:pt>
                <c:pt idx="5">
                  <c:v>2.726135980015763</c:v>
                </c:pt>
                <c:pt idx="6">
                  <c:v>1.4737639394577176</c:v>
                </c:pt>
                <c:pt idx="7">
                  <c:v>1.0298153192049733</c:v>
                </c:pt>
                <c:pt idx="8">
                  <c:v>1.7609137024842152</c:v>
                </c:pt>
                <c:pt idx="9">
                  <c:v>2.1167862077962001</c:v>
                </c:pt>
                <c:pt idx="10">
                  <c:v>1.5869964664235507</c:v>
                </c:pt>
                <c:pt idx="11">
                  <c:v>1.681411454669806</c:v>
                </c:pt>
                <c:pt idx="12">
                  <c:v>0.74237714955218947</c:v>
                </c:pt>
                <c:pt idx="13">
                  <c:v>0.54613557309892891</c:v>
                </c:pt>
                <c:pt idx="14">
                  <c:v>0.23904640916369443</c:v>
                </c:pt>
                <c:pt idx="15">
                  <c:v>0.98490029941942658</c:v>
                </c:pt>
                <c:pt idx="16">
                  <c:v>-0.22712700654221288</c:v>
                </c:pt>
                <c:pt idx="17">
                  <c:v>0.47876328427856657</c:v>
                </c:pt>
                <c:pt idx="18">
                  <c:v>0.83775598681488828</c:v>
                </c:pt>
                <c:pt idx="19">
                  <c:v>-1.1010749377233835</c:v>
                </c:pt>
                <c:pt idx="20">
                  <c:v>-1.5400994508720254</c:v>
                </c:pt>
                <c:pt idx="21">
                  <c:v>-9.3996605775771389</c:v>
                </c:pt>
                <c:pt idx="22">
                  <c:v>-0.1984331735847174</c:v>
                </c:pt>
                <c:pt idx="23">
                  <c:v>2.0419884732728906</c:v>
                </c:pt>
                <c:pt idx="24">
                  <c:v>1.783245169103493</c:v>
                </c:pt>
                <c:pt idx="25">
                  <c:v>11.457884985980385</c:v>
                </c:pt>
              </c:numCache>
            </c:numRef>
          </c:val>
          <c:extLst>
            <c:ext xmlns:c16="http://schemas.microsoft.com/office/drawing/2014/chart" uri="{C3380CC4-5D6E-409C-BE32-E72D297353CC}">
              <c16:uniqueId val="{00000000-0696-4F9D-9ED6-365B06A2FB9E}"/>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IPP'!$R$28:$AR$28</c:f>
              <c:numCache>
                <c:formatCode>0.0</c:formatCode>
                <c:ptCount val="27"/>
                <c:pt idx="0">
                  <c:v>1.034672951175343</c:v>
                </c:pt>
                <c:pt idx="1">
                  <c:v>1.2402872249055439</c:v>
                </c:pt>
                <c:pt idx="2">
                  <c:v>1.3942884794721908</c:v>
                </c:pt>
                <c:pt idx="3">
                  <c:v>0.63756976588884984</c:v>
                </c:pt>
                <c:pt idx="4">
                  <c:v>0.7944903405734538</c:v>
                </c:pt>
                <c:pt idx="5">
                  <c:v>0.20047553290148593</c:v>
                </c:pt>
                <c:pt idx="6">
                  <c:v>0.26203247933087592</c:v>
                </c:pt>
                <c:pt idx="7">
                  <c:v>0.42925022381945577</c:v>
                </c:pt>
                <c:pt idx="8">
                  <c:v>0.85509469319178899</c:v>
                </c:pt>
                <c:pt idx="9">
                  <c:v>1.4003096522077234</c:v>
                </c:pt>
                <c:pt idx="10">
                  <c:v>0.85542183955477147</c:v>
                </c:pt>
                <c:pt idx="11">
                  <c:v>1.6527257176884005</c:v>
                </c:pt>
                <c:pt idx="12">
                  <c:v>0.96912614591005941</c:v>
                </c:pt>
                <c:pt idx="13">
                  <c:v>0.34015391143850388</c:v>
                </c:pt>
                <c:pt idx="14">
                  <c:v>0.42914077951440655</c:v>
                </c:pt>
                <c:pt idx="15">
                  <c:v>-4.0280326098931243E-2</c:v>
                </c:pt>
                <c:pt idx="16">
                  <c:v>0.52468036745672719</c:v>
                </c:pt>
                <c:pt idx="17">
                  <c:v>0.40727721709233999</c:v>
                </c:pt>
                <c:pt idx="18">
                  <c:v>0.23777798772963615</c:v>
                </c:pt>
                <c:pt idx="19">
                  <c:v>0.39315489791744185</c:v>
                </c:pt>
                <c:pt idx="20">
                  <c:v>-0.5336834932447807</c:v>
                </c:pt>
                <c:pt idx="21">
                  <c:v>-4.0591767538544659</c:v>
                </c:pt>
                <c:pt idx="22">
                  <c:v>-0.43318739953820484</c:v>
                </c:pt>
                <c:pt idx="23">
                  <c:v>0.56877492176088063</c:v>
                </c:pt>
                <c:pt idx="24">
                  <c:v>0.90068361305567801</c:v>
                </c:pt>
                <c:pt idx="25">
                  <c:v>5.5137038592871939</c:v>
                </c:pt>
              </c:numCache>
            </c:numRef>
          </c:val>
          <c:extLst>
            <c:ext xmlns:c16="http://schemas.microsoft.com/office/drawing/2014/chart" uri="{C3380CC4-5D6E-409C-BE32-E72D297353CC}">
              <c16:uniqueId val="{00000001-0696-4F9D-9ED6-365B06A2FB9E}"/>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IPP'!$R$29:$AR$29</c:f>
              <c:numCache>
                <c:formatCode>0.0</c:formatCode>
                <c:ptCount val="27"/>
                <c:pt idx="0">
                  <c:v>0.27254464463314693</c:v>
                </c:pt>
                <c:pt idx="1">
                  <c:v>0.29396963786095853</c:v>
                </c:pt>
                <c:pt idx="2">
                  <c:v>0.39152523509606818</c:v>
                </c:pt>
                <c:pt idx="3">
                  <c:v>1.6200417736821196E-2</c:v>
                </c:pt>
                <c:pt idx="4">
                  <c:v>0.36694942006841863</c:v>
                </c:pt>
                <c:pt idx="5">
                  <c:v>-7.7911792574484814E-2</c:v>
                </c:pt>
                <c:pt idx="6">
                  <c:v>0.1987099016441323</c:v>
                </c:pt>
                <c:pt idx="7">
                  <c:v>0.31990708238357735</c:v>
                </c:pt>
                <c:pt idx="8">
                  <c:v>0.34959411680822744</c:v>
                </c:pt>
                <c:pt idx="9">
                  <c:v>1.0827590636445108</c:v>
                </c:pt>
                <c:pt idx="10">
                  <c:v>0.85295353330611445</c:v>
                </c:pt>
                <c:pt idx="11">
                  <c:v>0.80087396958540291</c:v>
                </c:pt>
                <c:pt idx="12">
                  <c:v>0.479471307913379</c:v>
                </c:pt>
                <c:pt idx="13">
                  <c:v>0.1423157226032094</c:v>
                </c:pt>
                <c:pt idx="14">
                  <c:v>0.18574582107238052</c:v>
                </c:pt>
                <c:pt idx="15">
                  <c:v>-0.19599700087649827</c:v>
                </c:pt>
                <c:pt idx="16">
                  <c:v>0.14262071470057108</c:v>
                </c:pt>
                <c:pt idx="17">
                  <c:v>-1.7720632744717035E-2</c:v>
                </c:pt>
                <c:pt idx="18">
                  <c:v>-0.26820737830766378</c:v>
                </c:pt>
                <c:pt idx="19">
                  <c:v>-0.13470183553131065</c:v>
                </c:pt>
                <c:pt idx="20">
                  <c:v>-0.70067449755996181</c:v>
                </c:pt>
                <c:pt idx="21">
                  <c:v>-2.1429229667168639</c:v>
                </c:pt>
                <c:pt idx="22">
                  <c:v>-0.79850670146483804</c:v>
                </c:pt>
                <c:pt idx="23">
                  <c:v>-0.53309088102789204</c:v>
                </c:pt>
                <c:pt idx="24">
                  <c:v>6.0882399541106913E-2</c:v>
                </c:pt>
                <c:pt idx="25">
                  <c:v>2.1284857067707743</c:v>
                </c:pt>
              </c:numCache>
            </c:numRef>
          </c:val>
          <c:extLst>
            <c:ext xmlns:c16="http://schemas.microsoft.com/office/drawing/2014/chart" uri="{C3380CC4-5D6E-409C-BE32-E72D297353CC}">
              <c16:uniqueId val="{00000002-0696-4F9D-9ED6-365B06A2FB9E}"/>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IPP'!$R$30:$AR$30</c:f>
              <c:numCache>
                <c:formatCode>0.0</c:formatCode>
                <c:ptCount val="27"/>
                <c:pt idx="0">
                  <c:v>0.69598466412593474</c:v>
                </c:pt>
                <c:pt idx="1">
                  <c:v>0.78523209830157625</c:v>
                </c:pt>
                <c:pt idx="2">
                  <c:v>0.97812808698582676</c:v>
                </c:pt>
                <c:pt idx="3">
                  <c:v>0.60585855548016065</c:v>
                </c:pt>
                <c:pt idx="4">
                  <c:v>0.7974142567928203</c:v>
                </c:pt>
                <c:pt idx="5">
                  <c:v>0.39435941300086852</c:v>
                </c:pt>
                <c:pt idx="6">
                  <c:v>0.22320292471013239</c:v>
                </c:pt>
                <c:pt idx="7">
                  <c:v>0.25093421694411544</c:v>
                </c:pt>
                <c:pt idx="8">
                  <c:v>0.420593323359785</c:v>
                </c:pt>
                <c:pt idx="9">
                  <c:v>0.91449350181259326</c:v>
                </c:pt>
                <c:pt idx="10">
                  <c:v>0.85069745323039048</c:v>
                </c:pt>
                <c:pt idx="11">
                  <c:v>0.96475784711286927</c:v>
                </c:pt>
                <c:pt idx="12">
                  <c:v>0.6496282287639249</c:v>
                </c:pt>
                <c:pt idx="13">
                  <c:v>0.47190400503104318</c:v>
                </c:pt>
                <c:pt idx="14">
                  <c:v>0.40332248383604502</c:v>
                </c:pt>
                <c:pt idx="15">
                  <c:v>0.15276873851363962</c:v>
                </c:pt>
                <c:pt idx="16">
                  <c:v>0.25794025853962294</c:v>
                </c:pt>
                <c:pt idx="17">
                  <c:v>8.1804977725853222E-3</c:v>
                </c:pt>
                <c:pt idx="18">
                  <c:v>-0.23678308583363922</c:v>
                </c:pt>
                <c:pt idx="19">
                  <c:v>-0.3569761365718796</c:v>
                </c:pt>
                <c:pt idx="20">
                  <c:v>-0.60279608093648751</c:v>
                </c:pt>
                <c:pt idx="21">
                  <c:v>-2.0867839126509864</c:v>
                </c:pt>
                <c:pt idx="22">
                  <c:v>-0.54628616828783072</c:v>
                </c:pt>
                <c:pt idx="23">
                  <c:v>0.14233966871529949</c:v>
                </c:pt>
                <c:pt idx="24">
                  <c:v>0.5024976254118193</c:v>
                </c:pt>
                <c:pt idx="25">
                  <c:v>3.0678936722203458</c:v>
                </c:pt>
              </c:numCache>
            </c:numRef>
          </c:val>
          <c:extLst>
            <c:ext xmlns:c16="http://schemas.microsoft.com/office/drawing/2014/chart" uri="{C3380CC4-5D6E-409C-BE32-E72D297353CC}">
              <c16:uniqueId val="{00000003-0696-4F9D-9ED6-365B06A2FB9E}"/>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IPP'!$R$31:$AR$31</c:f>
              <c:numCache>
                <c:formatCode>0.0</c:formatCode>
                <c:ptCount val="27"/>
                <c:pt idx="0">
                  <c:v>0.10174478910853679</c:v>
                </c:pt>
                <c:pt idx="1">
                  <c:v>1.5828953523061507E-2</c:v>
                </c:pt>
                <c:pt idx="2">
                  <c:v>4.099582748163963E-2</c:v>
                </c:pt>
                <c:pt idx="3">
                  <c:v>-7.2764071813088554E-2</c:v>
                </c:pt>
                <c:pt idx="4">
                  <c:v>-5.3199772200864092E-3</c:v>
                </c:pt>
                <c:pt idx="5">
                  <c:v>6.0334021815885465E-2</c:v>
                </c:pt>
                <c:pt idx="6">
                  <c:v>5.0638983184188399E-2</c:v>
                </c:pt>
                <c:pt idx="7">
                  <c:v>0.16208161104378524</c:v>
                </c:pt>
                <c:pt idx="8">
                  <c:v>0.14164406764460333</c:v>
                </c:pt>
                <c:pt idx="9">
                  <c:v>0.36084600241723092</c:v>
                </c:pt>
                <c:pt idx="10">
                  <c:v>0.23025191154693395</c:v>
                </c:pt>
                <c:pt idx="11">
                  <c:v>0.23490510719047802</c:v>
                </c:pt>
                <c:pt idx="12">
                  <c:v>0.39487785017355559</c:v>
                </c:pt>
                <c:pt idx="13">
                  <c:v>0.15525543720367532</c:v>
                </c:pt>
                <c:pt idx="14">
                  <c:v>0.63668466142391178</c:v>
                </c:pt>
                <c:pt idx="15">
                  <c:v>0.31239835694712781</c:v>
                </c:pt>
                <c:pt idx="16">
                  <c:v>-0.11382932295885198</c:v>
                </c:pt>
                <c:pt idx="17">
                  <c:v>-4.341493446561568E-2</c:v>
                </c:pt>
                <c:pt idx="18">
                  <c:v>-0.61087240850785662</c:v>
                </c:pt>
                <c:pt idx="19">
                  <c:v>-0.34647971068415334</c:v>
                </c:pt>
                <c:pt idx="20">
                  <c:v>-9.3262273282259972E-2</c:v>
                </c:pt>
                <c:pt idx="21">
                  <c:v>-0.27991365476515007</c:v>
                </c:pt>
                <c:pt idx="22">
                  <c:v>3.7480674787972556E-3</c:v>
                </c:pt>
                <c:pt idx="23">
                  <c:v>-5.8376761155660142E-3</c:v>
                </c:pt>
                <c:pt idx="24">
                  <c:v>9.3943210027643706E-2</c:v>
                </c:pt>
                <c:pt idx="25">
                  <c:v>0.15306612055432237</c:v>
                </c:pt>
              </c:numCache>
            </c:numRef>
          </c:val>
          <c:extLst>
            <c:ext xmlns:c16="http://schemas.microsoft.com/office/drawing/2014/chart" uri="{C3380CC4-5D6E-409C-BE32-E72D297353CC}">
              <c16:uniqueId val="{00000004-0696-4F9D-9ED6-365B06A2FB9E}"/>
            </c:ext>
          </c:extLst>
        </c:ser>
        <c:ser>
          <c:idx val="5"/>
          <c:order val="5"/>
          <c:tx>
            <c:strRef>
              <c:f>'GRAF příspěvky IPP'!$A$32</c:f>
              <c:strCache>
                <c:ptCount val="1"/>
                <c:pt idx="0">
                  <c:v>Chemický a farmaceutický pr. (20, 21)</c:v>
                </c:pt>
              </c:strCache>
            </c:strRef>
          </c:tx>
          <c:spPr>
            <a:solidFill>
              <a:srgbClr val="F8A124"/>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IPP'!$R$32:$AR$32</c:f>
              <c:numCache>
                <c:formatCode>0.0</c:formatCode>
                <c:ptCount val="27"/>
                <c:pt idx="0">
                  <c:v>7.7143378794105238E-2</c:v>
                </c:pt>
                <c:pt idx="1">
                  <c:v>0.23593739633638305</c:v>
                </c:pt>
                <c:pt idx="2">
                  <c:v>-0.1618035309720528</c:v>
                </c:pt>
                <c:pt idx="3">
                  <c:v>-0.33496224531375707</c:v>
                </c:pt>
                <c:pt idx="4">
                  <c:v>-0.41674583594172754</c:v>
                </c:pt>
                <c:pt idx="5">
                  <c:v>-0.4282443957917389</c:v>
                </c:pt>
                <c:pt idx="6">
                  <c:v>-0.10705569687500868</c:v>
                </c:pt>
                <c:pt idx="7">
                  <c:v>0.23734613396913962</c:v>
                </c:pt>
                <c:pt idx="8">
                  <c:v>0.52004631375398047</c:v>
                </c:pt>
                <c:pt idx="9">
                  <c:v>0.82674096187567125</c:v>
                </c:pt>
                <c:pt idx="10">
                  <c:v>0.6516009273870198</c:v>
                </c:pt>
                <c:pt idx="11">
                  <c:v>0.50475413241681488</c:v>
                </c:pt>
                <c:pt idx="12">
                  <c:v>0.40512406777705501</c:v>
                </c:pt>
                <c:pt idx="13">
                  <c:v>7.9522592595157926E-2</c:v>
                </c:pt>
                <c:pt idx="14">
                  <c:v>-5.31759637412869E-2</c:v>
                </c:pt>
                <c:pt idx="15">
                  <c:v>-6.9085533222069381E-2</c:v>
                </c:pt>
                <c:pt idx="16">
                  <c:v>0.10389114606048008</c:v>
                </c:pt>
                <c:pt idx="17">
                  <c:v>4.8518655211085254E-2</c:v>
                </c:pt>
                <c:pt idx="18">
                  <c:v>0.22788597854650419</c:v>
                </c:pt>
                <c:pt idx="19">
                  <c:v>3.146341110732534E-2</c:v>
                </c:pt>
                <c:pt idx="20">
                  <c:v>-3.2343833499911212E-2</c:v>
                </c:pt>
                <c:pt idx="21">
                  <c:v>-0.54875551656759858</c:v>
                </c:pt>
                <c:pt idx="22">
                  <c:v>-0.21314624785035269</c:v>
                </c:pt>
                <c:pt idx="23">
                  <c:v>0.43258748242153289</c:v>
                </c:pt>
                <c:pt idx="24">
                  <c:v>0.26430043366619738</c:v>
                </c:pt>
                <c:pt idx="25">
                  <c:v>0.80015964881321644</c:v>
                </c:pt>
              </c:numCache>
            </c:numRef>
          </c:val>
          <c:extLst>
            <c:ext xmlns:c16="http://schemas.microsoft.com/office/drawing/2014/chart" uri="{C3380CC4-5D6E-409C-BE32-E72D297353CC}">
              <c16:uniqueId val="{00000005-0696-4F9D-9ED6-365B06A2FB9E}"/>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IPP'!$R$33:$AR$33</c:f>
              <c:numCache>
                <c:formatCode>0.0</c:formatCode>
                <c:ptCount val="27"/>
                <c:pt idx="0">
                  <c:v>0.99790191745106882</c:v>
                </c:pt>
                <c:pt idx="1">
                  <c:v>0.89869551924785085</c:v>
                </c:pt>
                <c:pt idx="2">
                  <c:v>1.0140985408551135</c:v>
                </c:pt>
                <c:pt idx="3">
                  <c:v>-0.23144536420896189</c:v>
                </c:pt>
                <c:pt idx="4">
                  <c:v>0.26284587339298521</c:v>
                </c:pt>
                <c:pt idx="5">
                  <c:v>-0.36379862472242158</c:v>
                </c:pt>
                <c:pt idx="6">
                  <c:v>6.0778320295188704E-2</c:v>
                </c:pt>
                <c:pt idx="7">
                  <c:v>0.57462664260793739</c:v>
                </c:pt>
                <c:pt idx="8">
                  <c:v>7.0021742223497829E-2</c:v>
                </c:pt>
                <c:pt idx="9">
                  <c:v>1.4968765381346332</c:v>
                </c:pt>
                <c:pt idx="10">
                  <c:v>0.75563441850938817</c:v>
                </c:pt>
                <c:pt idx="11">
                  <c:v>0.97414760712501969</c:v>
                </c:pt>
                <c:pt idx="12">
                  <c:v>1.1572391799219797</c:v>
                </c:pt>
                <c:pt idx="13">
                  <c:v>0.6725057701913375</c:v>
                </c:pt>
                <c:pt idx="14">
                  <c:v>1.1043020585420495</c:v>
                </c:pt>
                <c:pt idx="15">
                  <c:v>0.49003903449396968</c:v>
                </c:pt>
                <c:pt idx="16">
                  <c:v>-4.5073361183030347E-2</c:v>
                </c:pt>
                <c:pt idx="17">
                  <c:v>4.2642071767505327E-2</c:v>
                </c:pt>
                <c:pt idx="18">
                  <c:v>-0.66202289851528051</c:v>
                </c:pt>
                <c:pt idx="19">
                  <c:v>-0.22564017800563624</c:v>
                </c:pt>
                <c:pt idx="20">
                  <c:v>7.6841219891765677E-2</c:v>
                </c:pt>
                <c:pt idx="21">
                  <c:v>-2.8313423651484886</c:v>
                </c:pt>
                <c:pt idx="22">
                  <c:v>8.2797121426130077E-2</c:v>
                </c:pt>
                <c:pt idx="23">
                  <c:v>9.7557088121208529E-2</c:v>
                </c:pt>
                <c:pt idx="24">
                  <c:v>-0.15110672459180577</c:v>
                </c:pt>
                <c:pt idx="25">
                  <c:v>4.133502245600396</c:v>
                </c:pt>
              </c:numCache>
            </c:numRef>
          </c:val>
          <c:extLst>
            <c:ext xmlns:c16="http://schemas.microsoft.com/office/drawing/2014/chart" uri="{C3380CC4-5D6E-409C-BE32-E72D297353CC}">
              <c16:uniqueId val="{00000006-0696-4F9D-9ED6-365B06A2FB9E}"/>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IPP'!$R$34:$AR$34</c:f>
              <c:numCache>
                <c:formatCode>0.0</c:formatCode>
                <c:ptCount val="27"/>
                <c:pt idx="0">
                  <c:v>0.14536369337262112</c:v>
                </c:pt>
                <c:pt idx="1">
                  <c:v>-0.33984851886778389</c:v>
                </c:pt>
                <c:pt idx="2">
                  <c:v>-0.39719330301482159</c:v>
                </c:pt>
                <c:pt idx="3">
                  <c:v>-1.1146161627338653</c:v>
                </c:pt>
                <c:pt idx="4">
                  <c:v>-0.64581780602362893</c:v>
                </c:pt>
                <c:pt idx="5">
                  <c:v>9.8757674154636987E-2</c:v>
                </c:pt>
                <c:pt idx="6">
                  <c:v>-0.47678822664722548</c:v>
                </c:pt>
                <c:pt idx="7">
                  <c:v>0.5038061309270212</c:v>
                </c:pt>
                <c:pt idx="8">
                  <c:v>0.66217224583389844</c:v>
                </c:pt>
                <c:pt idx="9">
                  <c:v>-0.18248944438855802</c:v>
                </c:pt>
                <c:pt idx="10">
                  <c:v>0.77178193644183435</c:v>
                </c:pt>
                <c:pt idx="11">
                  <c:v>0.73275070181120505</c:v>
                </c:pt>
                <c:pt idx="12">
                  <c:v>-0.53887865891214681</c:v>
                </c:pt>
                <c:pt idx="13">
                  <c:v>4.2205690381435096E-3</c:v>
                </c:pt>
                <c:pt idx="14">
                  <c:v>0.78780707738879552</c:v>
                </c:pt>
                <c:pt idx="15">
                  <c:v>0.33124326032333173</c:v>
                </c:pt>
                <c:pt idx="16">
                  <c:v>0.21326016962669453</c:v>
                </c:pt>
                <c:pt idx="17">
                  <c:v>4.593311018825097E-2</c:v>
                </c:pt>
                <c:pt idx="18">
                  <c:v>-0.66562135602659178</c:v>
                </c:pt>
                <c:pt idx="19">
                  <c:v>-0.33090067760840614</c:v>
                </c:pt>
                <c:pt idx="20">
                  <c:v>-0.97349114199634235</c:v>
                </c:pt>
                <c:pt idx="21">
                  <c:v>-1.5874404115193026</c:v>
                </c:pt>
                <c:pt idx="22">
                  <c:v>-0.71569504087898972</c:v>
                </c:pt>
                <c:pt idx="23">
                  <c:v>-0.6949618157483497</c:v>
                </c:pt>
                <c:pt idx="24">
                  <c:v>0.45638788328587099</c:v>
                </c:pt>
                <c:pt idx="25">
                  <c:v>0.4715212296733623</c:v>
                </c:pt>
              </c:numCache>
            </c:numRef>
          </c:val>
          <c:extLst>
            <c:ext xmlns:c16="http://schemas.microsoft.com/office/drawing/2014/chart" uri="{C3380CC4-5D6E-409C-BE32-E72D297353CC}">
              <c16:uniqueId val="{00000007-0696-4F9D-9ED6-365B06A2FB9E}"/>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Průmysl celkem (NACE B, C,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IPP'!$R$35:$AR$35</c:f>
              <c:numCache>
                <c:formatCode>0.0</c:formatCode>
                <c:ptCount val="27"/>
                <c:pt idx="0">
                  <c:v>4.8682458563000068</c:v>
                </c:pt>
                <c:pt idx="1">
                  <c:v>5.3044741369999997</c:v>
                </c:pt>
                <c:pt idx="2">
                  <c:v>5.6190886268000071</c:v>
                </c:pt>
                <c:pt idx="3">
                  <c:v>2.3830895040999991</c:v>
                </c:pt>
                <c:pt idx="4">
                  <c:v>4.4721731077000015</c:v>
                </c:pt>
                <c:pt idx="5">
                  <c:v>2.6101078087999952</c:v>
                </c:pt>
                <c:pt idx="6">
                  <c:v>1.685282625100001</c:v>
                </c:pt>
                <c:pt idx="7">
                  <c:v>3.5077673609000044</c:v>
                </c:pt>
                <c:pt idx="8">
                  <c:v>4.7800802052999956</c:v>
                </c:pt>
                <c:pt idx="9">
                  <c:v>8.0163224835000051</c:v>
                </c:pt>
                <c:pt idx="10">
                  <c:v>6.5553384864000037</c:v>
                </c:pt>
                <c:pt idx="11">
                  <c:v>7.5463265375999953</c:v>
                </c:pt>
                <c:pt idx="12">
                  <c:v>4.2589652710999957</c:v>
                </c:pt>
                <c:pt idx="13">
                  <c:v>2.4120135812000001</c:v>
                </c:pt>
                <c:pt idx="14">
                  <c:v>3.7328733271999965</c:v>
                </c:pt>
                <c:pt idx="15">
                  <c:v>1.9659868294999967</c:v>
                </c:pt>
                <c:pt idx="16">
                  <c:v>0.8563629657000007</c:v>
                </c:pt>
                <c:pt idx="17">
                  <c:v>0.97017926910000085</c:v>
                </c:pt>
                <c:pt idx="18">
                  <c:v>-1.1400871741000032</c:v>
                </c:pt>
                <c:pt idx="19">
                  <c:v>-2.0711551671000024</c:v>
                </c:pt>
                <c:pt idx="20">
                  <c:v>-4.3995095515000031</c:v>
                </c:pt>
                <c:pt idx="21">
                  <c:v>-22.935996158799995</c:v>
                </c:pt>
                <c:pt idx="22">
                  <c:v>-2.818709542700006</c:v>
                </c:pt>
                <c:pt idx="23">
                  <c:v>2.0493572614000044</c:v>
                </c:pt>
                <c:pt idx="24">
                  <c:v>3.9108336095000027</c:v>
                </c:pt>
                <c:pt idx="25">
                  <c:v>27.726217468900003</c:v>
                </c:pt>
              </c:numCache>
            </c:numRef>
          </c:val>
          <c:smooth val="0"/>
          <c:extLst>
            <c:ext xmlns:c16="http://schemas.microsoft.com/office/drawing/2014/chart" uri="{C3380CC4-5D6E-409C-BE32-E72D297353CC}">
              <c16:uniqueId val="{00000008-0696-4F9D-9ED6-365B06A2FB9E}"/>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IPP'!$R$36:$AR$36</c:f>
              <c:numCache>
                <c:formatCode>0.0</c:formatCode>
                <c:ptCount val="27"/>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pt idx="26">
                  <c:v>-1.3</c:v>
                </c:pt>
              </c:numCache>
            </c:numRef>
          </c:val>
          <c:smooth val="0"/>
          <c:extLst>
            <c:ext xmlns:c16="http://schemas.microsoft.com/office/drawing/2014/chart" uri="{C3380CC4-5D6E-409C-BE32-E72D297353CC}">
              <c16:uniqueId val="{00000009-0696-4F9D-9ED6-365B06A2FB9E}"/>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28"/>
          <c:min val="-24"/>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Průmyslová</a:t>
                </a:r>
                <a:r>
                  <a:rPr lang="cs-CZ" sz="700" b="0" i="1" baseline="0">
                    <a:latin typeface="Arial" panose="020B0604020202020204" pitchFamily="34" charset="0"/>
                    <a:cs typeface="Arial" panose="020B0604020202020204" pitchFamily="34" charset="0"/>
                  </a:rPr>
                  <a:t> produkce</a:t>
                </a:r>
                <a:endParaRPr lang="cs-CZ" sz="700" b="0" i="1">
                  <a:latin typeface="Arial" panose="020B0604020202020204" pitchFamily="34" charset="0"/>
                  <a:cs typeface="Arial" panose="020B0604020202020204" pitchFamily="34" charset="0"/>
                </a:endParaRPr>
              </a:p>
            </c:rich>
          </c:tx>
          <c:layout>
            <c:manualLayout>
              <c:xMode val="edge"/>
              <c:yMode val="edge"/>
              <c:x val="0"/>
              <c:y val="0.2024453460319801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4"/>
      </c:valAx>
      <c:valAx>
        <c:axId val="1513729024"/>
        <c:scaling>
          <c:orientation val="minMax"/>
          <c:max val="15"/>
          <c:min val="-5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a:t>
                </a:r>
                <a:r>
                  <a:rPr lang="cs-CZ" sz="700" b="0" i="1" baseline="0">
                    <a:latin typeface="Arial" panose="020B0604020202020204" pitchFamily="34" charset="0"/>
                    <a:cs typeface="Arial" panose="020B0604020202020204" pitchFamily="34" charset="0"/>
                  </a:rPr>
                  <a:t> indikátoru důvěry</a:t>
                </a:r>
                <a:endParaRPr lang="cs-CZ" sz="700" b="0" i="1">
                  <a:latin typeface="Arial" panose="020B0604020202020204" pitchFamily="34" charset="0"/>
                  <a:cs typeface="Arial" panose="020B0604020202020204" pitchFamily="34" charset="0"/>
                </a:endParaRPr>
              </a:p>
            </c:rich>
          </c:tx>
          <c:layout>
            <c:manualLayout>
              <c:xMode val="edge"/>
              <c:yMode val="edge"/>
              <c:x val="0.97073916983354047"/>
              <c:y val="0.191915607754587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3674313143127631E-3"/>
          <c:y val="0.8208401379824497"/>
          <c:w val="0.99049246182308814"/>
          <c:h val="0.1680903527628885"/>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76336766858043459"/>
        </c:manualLayout>
      </c:layout>
      <c:barChart>
        <c:barDir val="col"/>
        <c:grouping val="clustered"/>
        <c:varyColors val="0"/>
        <c:ser>
          <c:idx val="0"/>
          <c:order val="0"/>
          <c:tx>
            <c:strRef>
              <c:f>'výkonnost odvětví 2'!$A$31</c:f>
              <c:strCache>
                <c:ptCount val="1"/>
                <c:pt idx="0">
                  <c:v>Průmyslové zakázky celkem</c:v>
                </c:pt>
              </c:strCache>
            </c:strRef>
          </c:tx>
          <c:spPr>
            <a:solidFill>
              <a:schemeClr val="bg1">
                <a:lumMod val="65000"/>
              </a:schemeClr>
            </a:solidFill>
            <a:ln w="12700">
              <a:noFill/>
              <a:prstDash val="solid"/>
            </a:ln>
          </c:spPr>
          <c:invertIfNegative val="0"/>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2'!$R$31:$AR$31</c:f>
              <c:numCache>
                <c:formatCode>#\ ##0.0__</c:formatCode>
                <c:ptCount val="27"/>
                <c:pt idx="0">
                  <c:v>8.5397251010390391</c:v>
                </c:pt>
                <c:pt idx="1">
                  <c:v>6.4894834031568251</c:v>
                </c:pt>
                <c:pt idx="2">
                  <c:v>4.1045761314248068</c:v>
                </c:pt>
                <c:pt idx="3">
                  <c:v>6.0151063810169205</c:v>
                </c:pt>
                <c:pt idx="4">
                  <c:v>1.3550678522953064</c:v>
                </c:pt>
                <c:pt idx="5">
                  <c:v>10.856046878525433</c:v>
                </c:pt>
                <c:pt idx="6">
                  <c:v>1.6431282237439291</c:v>
                </c:pt>
                <c:pt idx="7">
                  <c:v>6.7220844736941103</c:v>
                </c:pt>
                <c:pt idx="8">
                  <c:v>10.841479121555906</c:v>
                </c:pt>
                <c:pt idx="9">
                  <c:v>4.5315942367003714</c:v>
                </c:pt>
                <c:pt idx="10">
                  <c:v>6.9082617878945598</c:v>
                </c:pt>
                <c:pt idx="11">
                  <c:v>7.5112613571588724</c:v>
                </c:pt>
                <c:pt idx="12">
                  <c:v>1.6339188767607453</c:v>
                </c:pt>
                <c:pt idx="13">
                  <c:v>4.6301209797549205</c:v>
                </c:pt>
                <c:pt idx="14">
                  <c:v>3.6945404784506337</c:v>
                </c:pt>
                <c:pt idx="15">
                  <c:v>4.2467023509658759</c:v>
                </c:pt>
                <c:pt idx="16">
                  <c:v>3.2159327201169816</c:v>
                </c:pt>
                <c:pt idx="17">
                  <c:v>0.65858715061426665</c:v>
                </c:pt>
                <c:pt idx="18">
                  <c:v>2.2747163836690305</c:v>
                </c:pt>
                <c:pt idx="19">
                  <c:v>-4.7832000111320241</c:v>
                </c:pt>
                <c:pt idx="20">
                  <c:v>-1.2762466132796817</c:v>
                </c:pt>
                <c:pt idx="21">
                  <c:v>-27.685678861776282</c:v>
                </c:pt>
                <c:pt idx="22">
                  <c:v>-2.0849225069869703</c:v>
                </c:pt>
                <c:pt idx="23">
                  <c:v>6.882954384462451</c:v>
                </c:pt>
                <c:pt idx="24">
                  <c:v>7.4402517572367941</c:v>
                </c:pt>
                <c:pt idx="25">
                  <c:v>50.150616494159699</c:v>
                </c:pt>
              </c:numCache>
            </c:numRef>
          </c:val>
          <c:extLst>
            <c:ext xmlns:c16="http://schemas.microsoft.com/office/drawing/2014/chart" uri="{C3380CC4-5D6E-409C-BE32-E72D297353CC}">
              <c16:uniqueId val="{00000000-8F93-4928-971A-D55969073560}"/>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Celk. zakázky ve výrobě motor. vozidel</c:v>
                </c:pt>
              </c:strCache>
            </c:strRef>
          </c:tx>
          <c:spPr>
            <a:ln w="15875">
              <a:solidFill>
                <a:srgbClr val="984807"/>
              </a:solidFill>
              <a:prstDash val="sysDot"/>
            </a:ln>
          </c:spPr>
          <c:marker>
            <c:symbol val="diamond"/>
            <c:size val="5"/>
            <c:spPr>
              <a:solidFill>
                <a:srgbClr val="984807"/>
              </a:solidFill>
              <a:ln>
                <a:noFill/>
              </a:ln>
            </c:spPr>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2'!$R$32:$AR$32</c:f>
              <c:numCache>
                <c:formatCode>#\ ##0.0__</c:formatCode>
                <c:ptCount val="27"/>
                <c:pt idx="0">
                  <c:v>15.316352438277931</c:v>
                </c:pt>
                <c:pt idx="1">
                  <c:v>5.584343456517459</c:v>
                </c:pt>
                <c:pt idx="2">
                  <c:v>13.898535777390734</c:v>
                </c:pt>
                <c:pt idx="3">
                  <c:v>18.975191723154538</c:v>
                </c:pt>
                <c:pt idx="4">
                  <c:v>11.460497347422447</c:v>
                </c:pt>
                <c:pt idx="5">
                  <c:v>33.085131031292235</c:v>
                </c:pt>
                <c:pt idx="6">
                  <c:v>5.912380139380474</c:v>
                </c:pt>
                <c:pt idx="7">
                  <c:v>12.001000805244416</c:v>
                </c:pt>
                <c:pt idx="8">
                  <c:v>7.9804719471503205</c:v>
                </c:pt>
                <c:pt idx="9">
                  <c:v>-1.7592612473364966</c:v>
                </c:pt>
                <c:pt idx="10">
                  <c:v>3.8626497182263222</c:v>
                </c:pt>
                <c:pt idx="11">
                  <c:v>0.37376710568412364</c:v>
                </c:pt>
                <c:pt idx="12">
                  <c:v>0.60861960894675349</c:v>
                </c:pt>
                <c:pt idx="13">
                  <c:v>3.6675371997157811</c:v>
                </c:pt>
                <c:pt idx="14">
                  <c:v>0.69699979014031044</c:v>
                </c:pt>
                <c:pt idx="15">
                  <c:v>1.0371076901644045</c:v>
                </c:pt>
                <c:pt idx="16">
                  <c:v>2.3844519038519962</c:v>
                </c:pt>
                <c:pt idx="17">
                  <c:v>3.1505861553301884</c:v>
                </c:pt>
                <c:pt idx="18">
                  <c:v>7.8772894879504776</c:v>
                </c:pt>
                <c:pt idx="19">
                  <c:v>-0.27078960340936931</c:v>
                </c:pt>
                <c:pt idx="20">
                  <c:v>-6.5941090261626556</c:v>
                </c:pt>
                <c:pt idx="21">
                  <c:v>-43.297757603226039</c:v>
                </c:pt>
                <c:pt idx="22">
                  <c:v>3.6539438072891244</c:v>
                </c:pt>
                <c:pt idx="23">
                  <c:v>8.0597939162845336</c:v>
                </c:pt>
                <c:pt idx="24">
                  <c:v>16.785005657074436</c:v>
                </c:pt>
                <c:pt idx="25">
                  <c:v>87.30774154401422</c:v>
                </c:pt>
              </c:numCache>
            </c:numRef>
          </c:val>
          <c:smooth val="0"/>
          <c:extLst>
            <c:ext xmlns:c16="http://schemas.microsoft.com/office/drawing/2014/chart" uri="{C3380CC4-5D6E-409C-BE32-E72D297353CC}">
              <c16:uniqueId val="{00000001-8F93-4928-971A-D55969073560}"/>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5"/>
          <c:order val="2"/>
          <c:tx>
            <c:strRef>
              <c:f>'výkonnost odvětví 2'!$A$33</c:f>
              <c:strCache>
                <c:ptCount val="1"/>
                <c:pt idx="0">
                  <c:v>Využití výrobních kapacit v průmyslu</c:v>
                </c:pt>
              </c:strCache>
            </c:strRef>
          </c:tx>
          <c:spPr>
            <a:ln w="15875">
              <a:solidFill>
                <a:srgbClr val="D2CD00"/>
              </a:solidFill>
              <a:prstDash val="solid"/>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2'!$R$33:$AR$33</c:f>
              <c:numCache>
                <c:formatCode>#\ ##0.0</c:formatCode>
                <c:ptCount val="27"/>
                <c:pt idx="0">
                  <c:v>86.2</c:v>
                </c:pt>
                <c:pt idx="1">
                  <c:v>85</c:v>
                </c:pt>
                <c:pt idx="2">
                  <c:v>85.6</c:v>
                </c:pt>
                <c:pt idx="3">
                  <c:v>83.9</c:v>
                </c:pt>
                <c:pt idx="4">
                  <c:v>84.5</c:v>
                </c:pt>
                <c:pt idx="5">
                  <c:v>84.7</c:v>
                </c:pt>
                <c:pt idx="6">
                  <c:v>84.7</c:v>
                </c:pt>
                <c:pt idx="7">
                  <c:v>84.1</c:v>
                </c:pt>
                <c:pt idx="8">
                  <c:v>84.9</c:v>
                </c:pt>
                <c:pt idx="9">
                  <c:v>83.1</c:v>
                </c:pt>
                <c:pt idx="10">
                  <c:v>84.4</c:v>
                </c:pt>
                <c:pt idx="11">
                  <c:v>84.3</c:v>
                </c:pt>
                <c:pt idx="12">
                  <c:v>85.8</c:v>
                </c:pt>
                <c:pt idx="13">
                  <c:v>85.4</c:v>
                </c:pt>
                <c:pt idx="14">
                  <c:v>86.2</c:v>
                </c:pt>
                <c:pt idx="15">
                  <c:v>85.8</c:v>
                </c:pt>
                <c:pt idx="16">
                  <c:v>85.8</c:v>
                </c:pt>
                <c:pt idx="17">
                  <c:v>85.9</c:v>
                </c:pt>
                <c:pt idx="18">
                  <c:v>84.8</c:v>
                </c:pt>
                <c:pt idx="19">
                  <c:v>84.1</c:v>
                </c:pt>
                <c:pt idx="20">
                  <c:v>84.2</c:v>
                </c:pt>
                <c:pt idx="21">
                  <c:v>71</c:v>
                </c:pt>
                <c:pt idx="22">
                  <c:v>75.5</c:v>
                </c:pt>
                <c:pt idx="23">
                  <c:v>81.099999999999994</c:v>
                </c:pt>
                <c:pt idx="24">
                  <c:v>83.4</c:v>
                </c:pt>
                <c:pt idx="25">
                  <c:v>87.5</c:v>
                </c:pt>
                <c:pt idx="26">
                  <c:v>88.1</c:v>
                </c:pt>
              </c:numCache>
            </c:numRef>
          </c:val>
          <c:smooth val="0"/>
          <c:extLst>
            <c:ext xmlns:c16="http://schemas.microsoft.com/office/drawing/2014/chart" uri="{C3380CC4-5D6E-409C-BE32-E72D297353CC}">
              <c16:uniqueId val="{00000002-8F93-4928-971A-D55969073560}"/>
            </c:ext>
          </c:extLst>
        </c:ser>
        <c:ser>
          <c:idx val="3"/>
          <c:order val="3"/>
          <c:tx>
            <c:strRef>
              <c:f>'výkonnost odvětví 2'!$A$34</c:f>
              <c:strCache>
                <c:ptCount val="1"/>
                <c:pt idx="0">
                  <c:v>Využití výr. kapacit v automobil. průmyslu</c:v>
                </c:pt>
              </c:strCache>
            </c:strRef>
          </c:tx>
          <c:spPr>
            <a:ln w="19050">
              <a:solidFill>
                <a:srgbClr val="D2CD00"/>
              </a:solidFill>
              <a:prstDash val="sysDash"/>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2'!$R$34:$AR$34</c:f>
              <c:numCache>
                <c:formatCode>0.0</c:formatCode>
                <c:ptCount val="27"/>
                <c:pt idx="0">
                  <c:v>92.8</c:v>
                </c:pt>
                <c:pt idx="1">
                  <c:v>91.1</c:v>
                </c:pt>
                <c:pt idx="2">
                  <c:v>93.1</c:v>
                </c:pt>
                <c:pt idx="3">
                  <c:v>88.7</c:v>
                </c:pt>
                <c:pt idx="4">
                  <c:v>91.6</c:v>
                </c:pt>
                <c:pt idx="5">
                  <c:v>90.3</c:v>
                </c:pt>
                <c:pt idx="6">
                  <c:v>93.1</c:v>
                </c:pt>
                <c:pt idx="7">
                  <c:v>90.9</c:v>
                </c:pt>
                <c:pt idx="8">
                  <c:v>93.2</c:v>
                </c:pt>
                <c:pt idx="9">
                  <c:v>87.3</c:v>
                </c:pt>
                <c:pt idx="10">
                  <c:v>90.7</c:v>
                </c:pt>
                <c:pt idx="11">
                  <c:v>90.5</c:v>
                </c:pt>
                <c:pt idx="12">
                  <c:v>91.1</c:v>
                </c:pt>
                <c:pt idx="13">
                  <c:v>91.6</c:v>
                </c:pt>
                <c:pt idx="14">
                  <c:v>92.1</c:v>
                </c:pt>
                <c:pt idx="15">
                  <c:v>93</c:v>
                </c:pt>
                <c:pt idx="16">
                  <c:v>92.8</c:v>
                </c:pt>
                <c:pt idx="17">
                  <c:v>93.6</c:v>
                </c:pt>
                <c:pt idx="18">
                  <c:v>92.3</c:v>
                </c:pt>
                <c:pt idx="19">
                  <c:v>93.4</c:v>
                </c:pt>
                <c:pt idx="20">
                  <c:v>90.5</c:v>
                </c:pt>
                <c:pt idx="21">
                  <c:v>50.8</c:v>
                </c:pt>
                <c:pt idx="22" formatCode="General">
                  <c:v>75.3</c:v>
                </c:pt>
                <c:pt idx="23" formatCode="General">
                  <c:v>90.9</c:v>
                </c:pt>
                <c:pt idx="24" formatCode="General">
                  <c:v>90.3</c:v>
                </c:pt>
                <c:pt idx="25" formatCode="General">
                  <c:v>99.1</c:v>
                </c:pt>
                <c:pt idx="26" formatCode="General">
                  <c:v>94.7</c:v>
                </c:pt>
              </c:numCache>
            </c:numRef>
          </c:val>
          <c:smooth val="0"/>
          <c:extLst>
            <c:ext xmlns:c16="http://schemas.microsoft.com/office/drawing/2014/chart" uri="{C3380CC4-5D6E-409C-BE32-E72D297353CC}">
              <c16:uniqueId val="{00000003-8F93-4928-971A-D55969073560}"/>
            </c:ext>
          </c:extLst>
        </c:ser>
        <c:ser>
          <c:idx val="1"/>
          <c:order val="4"/>
          <c:tx>
            <c:strRef>
              <c:f>'výkonnost odvětví 2'!$A$35</c:f>
              <c:strCache>
                <c:ptCount val="1"/>
                <c:pt idx="0">
                  <c:v>Bariéra růstu: nedostatečná poptávka</c:v>
                </c:pt>
              </c:strCache>
            </c:strRef>
          </c:tx>
          <c:spPr>
            <a:ln w="15875">
              <a:solidFill>
                <a:srgbClr val="00B050"/>
              </a:solidFill>
              <a:prstDash val="solid"/>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2'!$R$35:$AR$35</c:f>
              <c:numCache>
                <c:formatCode>#\ ##0.0</c:formatCode>
                <c:ptCount val="27"/>
                <c:pt idx="0">
                  <c:v>43.6</c:v>
                </c:pt>
                <c:pt idx="1">
                  <c:v>49.6</c:v>
                </c:pt>
                <c:pt idx="2">
                  <c:v>47.8</c:v>
                </c:pt>
                <c:pt idx="3">
                  <c:v>47.8</c:v>
                </c:pt>
                <c:pt idx="4">
                  <c:v>45.7</c:v>
                </c:pt>
                <c:pt idx="5">
                  <c:v>45.5</c:v>
                </c:pt>
                <c:pt idx="6">
                  <c:v>43</c:v>
                </c:pt>
                <c:pt idx="7">
                  <c:v>43.8</c:v>
                </c:pt>
                <c:pt idx="8">
                  <c:v>42.7</c:v>
                </c:pt>
                <c:pt idx="9">
                  <c:v>41.6</c:v>
                </c:pt>
                <c:pt idx="10">
                  <c:v>40.299999999999997</c:v>
                </c:pt>
                <c:pt idx="11">
                  <c:v>37.299999999999997</c:v>
                </c:pt>
                <c:pt idx="12">
                  <c:v>35.4</c:v>
                </c:pt>
                <c:pt idx="13">
                  <c:v>36</c:v>
                </c:pt>
                <c:pt idx="14">
                  <c:v>31.6</c:v>
                </c:pt>
                <c:pt idx="15">
                  <c:v>33.4</c:v>
                </c:pt>
                <c:pt idx="16">
                  <c:v>33.700000000000003</c:v>
                </c:pt>
                <c:pt idx="17">
                  <c:v>35.299999999999997</c:v>
                </c:pt>
                <c:pt idx="18">
                  <c:v>40.1</c:v>
                </c:pt>
                <c:pt idx="19">
                  <c:v>47.3</c:v>
                </c:pt>
                <c:pt idx="20">
                  <c:v>50.4</c:v>
                </c:pt>
                <c:pt idx="21">
                  <c:v>58.4</c:v>
                </c:pt>
                <c:pt idx="22">
                  <c:v>63.2</c:v>
                </c:pt>
                <c:pt idx="23">
                  <c:v>47.9</c:v>
                </c:pt>
                <c:pt idx="24">
                  <c:v>48.7</c:v>
                </c:pt>
                <c:pt idx="25">
                  <c:v>38.5</c:v>
                </c:pt>
                <c:pt idx="26">
                  <c:v>24.5</c:v>
                </c:pt>
              </c:numCache>
            </c:numRef>
          </c:val>
          <c:smooth val="0"/>
          <c:extLst>
            <c:ext xmlns:c16="http://schemas.microsoft.com/office/drawing/2014/chart" uri="{C3380CC4-5D6E-409C-BE32-E72D297353CC}">
              <c16:uniqueId val="{00000004-8F93-4928-971A-D55969073560}"/>
            </c:ext>
          </c:extLst>
        </c:ser>
        <c:ser>
          <c:idx val="4"/>
          <c:order val="5"/>
          <c:tx>
            <c:strRef>
              <c:f>'výkonnost odvětví 2'!$A$36</c:f>
              <c:strCache>
                <c:ptCount val="1"/>
                <c:pt idx="0">
                  <c:v>Bariéra růstu: nedostatek pracovníků</c:v>
                </c:pt>
              </c:strCache>
            </c:strRef>
          </c:tx>
          <c:spPr>
            <a:ln w="15875">
              <a:solidFill>
                <a:srgbClr val="00B050"/>
              </a:solidFill>
              <a:prstDash val="dash"/>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2'!$R$36:$AR$36</c:f>
              <c:numCache>
                <c:formatCode>#\ ##0.0</c:formatCode>
                <c:ptCount val="27"/>
                <c:pt idx="0">
                  <c:v>6.7</c:v>
                </c:pt>
                <c:pt idx="1">
                  <c:v>6.9</c:v>
                </c:pt>
                <c:pt idx="2">
                  <c:v>8.1</c:v>
                </c:pt>
                <c:pt idx="3">
                  <c:v>13.9</c:v>
                </c:pt>
                <c:pt idx="4">
                  <c:v>15.4</c:v>
                </c:pt>
                <c:pt idx="5">
                  <c:v>16.899999999999999</c:v>
                </c:pt>
                <c:pt idx="6">
                  <c:v>18.8</c:v>
                </c:pt>
                <c:pt idx="7">
                  <c:v>28.8</c:v>
                </c:pt>
                <c:pt idx="8">
                  <c:v>32.799999999999997</c:v>
                </c:pt>
                <c:pt idx="9">
                  <c:v>34.700000000000003</c:v>
                </c:pt>
                <c:pt idx="10">
                  <c:v>41.3</c:v>
                </c:pt>
                <c:pt idx="11">
                  <c:v>38.299999999999997</c:v>
                </c:pt>
                <c:pt idx="12">
                  <c:v>43.4</c:v>
                </c:pt>
                <c:pt idx="13">
                  <c:v>43.7</c:v>
                </c:pt>
                <c:pt idx="14">
                  <c:v>43.7</c:v>
                </c:pt>
                <c:pt idx="15">
                  <c:v>44.8</c:v>
                </c:pt>
                <c:pt idx="16">
                  <c:v>38.799999999999997</c:v>
                </c:pt>
                <c:pt idx="17">
                  <c:v>36.4</c:v>
                </c:pt>
                <c:pt idx="18">
                  <c:v>39.5</c:v>
                </c:pt>
                <c:pt idx="19">
                  <c:v>37.200000000000003</c:v>
                </c:pt>
                <c:pt idx="20">
                  <c:v>28.2</c:v>
                </c:pt>
                <c:pt idx="21">
                  <c:v>16.600000000000001</c:v>
                </c:pt>
                <c:pt idx="22">
                  <c:v>15.1</c:v>
                </c:pt>
                <c:pt idx="23">
                  <c:v>13.7</c:v>
                </c:pt>
                <c:pt idx="24">
                  <c:v>20.3</c:v>
                </c:pt>
                <c:pt idx="25">
                  <c:v>21.5</c:v>
                </c:pt>
                <c:pt idx="26">
                  <c:v>26.2</c:v>
                </c:pt>
              </c:numCache>
            </c:numRef>
          </c:val>
          <c:smooth val="0"/>
          <c:extLst>
            <c:ext xmlns:c16="http://schemas.microsoft.com/office/drawing/2014/chart" uri="{C3380CC4-5D6E-409C-BE32-E72D297353CC}">
              <c16:uniqueId val="{00000005-8F93-4928-971A-D55969073560}"/>
            </c:ext>
          </c:extLst>
        </c:ser>
        <c:ser>
          <c:idx val="6"/>
          <c:order val="6"/>
          <c:tx>
            <c:strRef>
              <c:f>'výkonnost odvětví 2'!$A$37</c:f>
              <c:strCache>
                <c:ptCount val="1"/>
                <c:pt idx="0">
                  <c:v>Bariéra růstu: nedost. materiálu a zařízení</c:v>
                </c:pt>
              </c:strCache>
            </c:strRef>
          </c:tx>
          <c:spPr>
            <a:ln w="19050">
              <a:solidFill>
                <a:srgbClr val="92D050"/>
              </a:solidFill>
              <a:prstDash val="sysDash"/>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2'!$R$37:$AR$37</c:f>
              <c:numCache>
                <c:formatCode>#\ ##0.0</c:formatCode>
                <c:ptCount val="27"/>
                <c:pt idx="0">
                  <c:v>7.8</c:v>
                </c:pt>
                <c:pt idx="1">
                  <c:v>10.1</c:v>
                </c:pt>
                <c:pt idx="2">
                  <c:v>10.5</c:v>
                </c:pt>
                <c:pt idx="3">
                  <c:v>10</c:v>
                </c:pt>
                <c:pt idx="4">
                  <c:v>11.1</c:v>
                </c:pt>
                <c:pt idx="5">
                  <c:v>7.1</c:v>
                </c:pt>
                <c:pt idx="6">
                  <c:v>8.5</c:v>
                </c:pt>
                <c:pt idx="7">
                  <c:v>7.8</c:v>
                </c:pt>
                <c:pt idx="8">
                  <c:v>9.9</c:v>
                </c:pt>
                <c:pt idx="9">
                  <c:v>7.8</c:v>
                </c:pt>
                <c:pt idx="10">
                  <c:v>10</c:v>
                </c:pt>
                <c:pt idx="11">
                  <c:v>20.8</c:v>
                </c:pt>
                <c:pt idx="12">
                  <c:v>13.9</c:v>
                </c:pt>
                <c:pt idx="13">
                  <c:v>12.8</c:v>
                </c:pt>
                <c:pt idx="14">
                  <c:v>14.1</c:v>
                </c:pt>
                <c:pt idx="15">
                  <c:v>20</c:v>
                </c:pt>
                <c:pt idx="16">
                  <c:v>27.1</c:v>
                </c:pt>
                <c:pt idx="17">
                  <c:v>26.8</c:v>
                </c:pt>
                <c:pt idx="18">
                  <c:v>23.8</c:v>
                </c:pt>
                <c:pt idx="19">
                  <c:v>9.4</c:v>
                </c:pt>
                <c:pt idx="20">
                  <c:v>17.399999999999999</c:v>
                </c:pt>
                <c:pt idx="21">
                  <c:v>11.5</c:v>
                </c:pt>
                <c:pt idx="22">
                  <c:v>7.6</c:v>
                </c:pt>
                <c:pt idx="23">
                  <c:v>8.6</c:v>
                </c:pt>
                <c:pt idx="24">
                  <c:v>19</c:v>
                </c:pt>
                <c:pt idx="25">
                  <c:v>31.2</c:v>
                </c:pt>
                <c:pt idx="26">
                  <c:v>46</c:v>
                </c:pt>
              </c:numCache>
            </c:numRef>
          </c:val>
          <c:smooth val="0"/>
          <c:extLst>
            <c:ext xmlns:c16="http://schemas.microsoft.com/office/drawing/2014/chart" uri="{C3380CC4-5D6E-409C-BE32-E72D297353CC}">
              <c16:uniqueId val="{00000006-8F93-4928-971A-D55969073560}"/>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90"/>
          <c:min val="-50"/>
        </c:scaling>
        <c:delete val="0"/>
        <c:axPos val="l"/>
        <c:majorGridlines>
          <c:spPr>
            <a:ln w="6350">
              <a:solidFill>
                <a:schemeClr val="bg1">
                  <a:lumMod val="75000"/>
                </a:schemeClr>
              </a:solidFill>
            </a:ln>
          </c:spPr>
        </c:majorGridlines>
        <c:title>
          <c:tx>
            <c:rich>
              <a:bodyPr/>
              <a:lstStyle/>
              <a:p>
                <a:pPr>
                  <a:defRPr sz="700" i="1"/>
                </a:pPr>
                <a:r>
                  <a:rPr lang="cs-CZ" sz="700" i="1"/>
                  <a:t>Zakázky</a:t>
                </a:r>
              </a:p>
            </c:rich>
          </c:tx>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a:defRPr sz="700" b="0" i="1"/>
                </a:pPr>
                <a:r>
                  <a:rPr lang="cs-CZ" sz="700" b="0" i="1"/>
                  <a:t>Využití výrobních kapacit, bariéry</a:t>
                </a:r>
                <a:r>
                  <a:rPr lang="cs-CZ" sz="700" b="0" i="1" baseline="0"/>
                  <a:t> růstu</a:t>
                </a:r>
                <a:endParaRPr lang="cs-CZ" sz="700" b="0" i="1"/>
              </a:p>
            </c:rich>
          </c:tx>
          <c:layout>
            <c:manualLayout>
              <c:xMode val="edge"/>
              <c:yMode val="edge"/>
              <c:x val="0.97051506350706762"/>
              <c:y val="0.16321710007880222"/>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r"/>
      <c:layout>
        <c:manualLayout>
          <c:xMode val="edge"/>
          <c:yMode val="edge"/>
          <c:x val="5.4286656151664786E-3"/>
          <c:y val="0.86843605763818532"/>
          <c:w val="0.98923469429561495"/>
          <c:h val="0.12452043228638973"/>
        </c:manualLayout>
      </c:layout>
      <c:overlay val="0"/>
      <c:spPr>
        <a:ln>
          <a:solidFill>
            <a:schemeClr val="bg1">
              <a:lumMod val="50000"/>
            </a:schemeClr>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28655934435024E-2"/>
          <c:y val="1.6563187842952781E-2"/>
          <c:w val="0.85309492009152854"/>
          <c:h val="0.75433571654769893"/>
        </c:manualLayout>
      </c:layout>
      <c:barChart>
        <c:barDir val="col"/>
        <c:grouping val="stacked"/>
        <c:varyColors val="0"/>
        <c:ser>
          <c:idx val="1"/>
          <c:order val="1"/>
          <c:tx>
            <c:strRef>
              <c:f>'výkonnost odvětví 3'!$Y$10</c:f>
              <c:strCache>
                <c:ptCount val="1"/>
                <c:pt idx="0">
                  <c:v>Pozemní stavitelství (příspěvek v p. b.)</c:v>
                </c:pt>
              </c:strCache>
            </c:strRef>
          </c:tx>
          <c:spPr>
            <a:solidFill>
              <a:srgbClr val="A6CDE9"/>
            </a:solidFill>
            <a:ln w="19050">
              <a:noFill/>
              <a:prstDash val="solid"/>
            </a:ln>
          </c:spPr>
          <c:invertIfNegative val="0"/>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3'!$Y$31:$Y$57</c:f>
              <c:numCache>
                <c:formatCode>0.0</c:formatCode>
                <c:ptCount val="27"/>
                <c:pt idx="0">
                  <c:v>6.0472691415550308</c:v>
                </c:pt>
                <c:pt idx="1">
                  <c:v>5.0361785279850331</c:v>
                </c:pt>
                <c:pt idx="2">
                  <c:v>0.79284647800469443</c:v>
                </c:pt>
                <c:pt idx="3">
                  <c:v>-1.7469503076723902</c:v>
                </c:pt>
                <c:pt idx="4">
                  <c:v>-4.9966395973466113</c:v>
                </c:pt>
                <c:pt idx="5">
                  <c:v>-4.9257017459251742</c:v>
                </c:pt>
                <c:pt idx="6">
                  <c:v>0.77276571096827207</c:v>
                </c:pt>
                <c:pt idx="7">
                  <c:v>3.9335414535585005</c:v>
                </c:pt>
                <c:pt idx="8">
                  <c:v>2.3671560586056022</c:v>
                </c:pt>
                <c:pt idx="9">
                  <c:v>9.8680621909171364</c:v>
                </c:pt>
                <c:pt idx="10">
                  <c:v>3.4017933101817137</c:v>
                </c:pt>
                <c:pt idx="11">
                  <c:v>2.6470410387980881</c:v>
                </c:pt>
                <c:pt idx="12">
                  <c:v>13.566805669626437</c:v>
                </c:pt>
                <c:pt idx="13">
                  <c:v>6.3014309761028438</c:v>
                </c:pt>
                <c:pt idx="14">
                  <c:v>7.6955191405999477</c:v>
                </c:pt>
                <c:pt idx="15">
                  <c:v>2.4925933032829257</c:v>
                </c:pt>
                <c:pt idx="16">
                  <c:v>2.8991265346082757</c:v>
                </c:pt>
                <c:pt idx="17">
                  <c:v>2.4161064271216639</c:v>
                </c:pt>
                <c:pt idx="18">
                  <c:v>-0.67044140108437589</c:v>
                </c:pt>
                <c:pt idx="19">
                  <c:v>2.416093622463102</c:v>
                </c:pt>
                <c:pt idx="20">
                  <c:v>-0.33918173121542228</c:v>
                </c:pt>
                <c:pt idx="21">
                  <c:v>-7.4193975140058424</c:v>
                </c:pt>
                <c:pt idx="22">
                  <c:v>-7.1727603765696051</c:v>
                </c:pt>
                <c:pt idx="23">
                  <c:v>-8.6187108971115816</c:v>
                </c:pt>
                <c:pt idx="24">
                  <c:v>-5.4842868872233632</c:v>
                </c:pt>
                <c:pt idx="25">
                  <c:v>1.8124446445232327</c:v>
                </c:pt>
                <c:pt idx="26">
                  <c:v>0.95832621497377113</c:v>
                </c:pt>
              </c:numCache>
            </c:numRef>
          </c:val>
          <c:extLst>
            <c:ext xmlns:c16="http://schemas.microsoft.com/office/drawing/2014/chart" uri="{C3380CC4-5D6E-409C-BE32-E72D297353CC}">
              <c16:uniqueId val="{00000000-AE4A-4510-ACEE-84F56717B2D8}"/>
            </c:ext>
          </c:extLst>
        </c:ser>
        <c:ser>
          <c:idx val="2"/>
          <c:order val="2"/>
          <c:tx>
            <c:strRef>
              <c:f>'výkonnost odvětví 3'!$Z$10</c:f>
              <c:strCache>
                <c:ptCount val="1"/>
                <c:pt idx="0">
                  <c:v>Inženýrské stavitelství (příspěvek v p. b.)</c:v>
                </c:pt>
              </c:strCache>
            </c:strRef>
          </c:tx>
          <c:spPr>
            <a:solidFill>
              <a:srgbClr val="E8AFB2"/>
            </a:solidFill>
            <a:ln w="19050">
              <a:noFill/>
              <a:prstDash val="solid"/>
            </a:ln>
          </c:spPr>
          <c:invertIfNegative val="0"/>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3'!$Z$31:$Z$57</c:f>
              <c:numCache>
                <c:formatCode>0.0</c:formatCode>
                <c:ptCount val="27"/>
                <c:pt idx="0">
                  <c:v>3.2371734793492286</c:v>
                </c:pt>
                <c:pt idx="1">
                  <c:v>7.2133653363142445</c:v>
                </c:pt>
                <c:pt idx="2">
                  <c:v>7.3965728347939308</c:v>
                </c:pt>
                <c:pt idx="3">
                  <c:v>2.855138673774563</c:v>
                </c:pt>
                <c:pt idx="4">
                  <c:v>-1.2748612346910093</c:v>
                </c:pt>
                <c:pt idx="5">
                  <c:v>-5.414778412052824</c:v>
                </c:pt>
                <c:pt idx="6">
                  <c:v>-7.0615948905346464</c:v>
                </c:pt>
                <c:pt idx="7">
                  <c:v>-5.9113799674669414</c:v>
                </c:pt>
                <c:pt idx="8">
                  <c:v>-3.3927259981365467</c:v>
                </c:pt>
                <c:pt idx="9">
                  <c:v>-1.198952761717637</c:v>
                </c:pt>
                <c:pt idx="10">
                  <c:v>-1.5292517461591122</c:v>
                </c:pt>
                <c:pt idx="11">
                  <c:v>0.24904908942130594</c:v>
                </c:pt>
                <c:pt idx="12">
                  <c:v>1.7517060590922457</c:v>
                </c:pt>
                <c:pt idx="13">
                  <c:v>1.2046321635544115</c:v>
                </c:pt>
                <c:pt idx="14">
                  <c:v>4.7152862062363932</c:v>
                </c:pt>
                <c:pt idx="15">
                  <c:v>1.8992954479389978</c:v>
                </c:pt>
                <c:pt idx="16">
                  <c:v>0.73586870212531541</c:v>
                </c:pt>
                <c:pt idx="17">
                  <c:v>1.8713674836205678</c:v>
                </c:pt>
                <c:pt idx="18">
                  <c:v>0.75615189920903703</c:v>
                </c:pt>
                <c:pt idx="19">
                  <c:v>0.84449513778573204</c:v>
                </c:pt>
                <c:pt idx="20">
                  <c:v>3.2042596941285559</c:v>
                </c:pt>
                <c:pt idx="21">
                  <c:v>1.2156790684783816</c:v>
                </c:pt>
                <c:pt idx="22">
                  <c:v>-1.8725018139646268</c:v>
                </c:pt>
                <c:pt idx="23">
                  <c:v>0.34408386896870419</c:v>
                </c:pt>
                <c:pt idx="24">
                  <c:v>-1.6340021483392655E-2</c:v>
                </c:pt>
                <c:pt idx="25">
                  <c:v>1.6179575882962347</c:v>
                </c:pt>
                <c:pt idx="26">
                  <c:v>1.4893172756810871</c:v>
                </c:pt>
              </c:numCache>
            </c:numRef>
          </c:val>
          <c:extLst>
            <c:ext xmlns:c16="http://schemas.microsoft.com/office/drawing/2014/chart" uri="{C3380CC4-5D6E-409C-BE32-E72D297353CC}">
              <c16:uniqueId val="{00000001-AE4A-4510-ACEE-84F56717B2D8}"/>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9"/>
            <c:spPr>
              <a:solidFill>
                <a:schemeClr val="tx1">
                  <a:lumMod val="95000"/>
                  <a:lumOff val="5000"/>
                </a:schemeClr>
              </a:solidFill>
              <a:ln>
                <a:noFill/>
              </a:ln>
            </c:spPr>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3'!$X$31:$X$57</c:f>
              <c:numCache>
                <c:formatCode>0.0</c:formatCode>
                <c:ptCount val="27"/>
                <c:pt idx="0">
                  <c:v>9.2017765228224988</c:v>
                </c:pt>
                <c:pt idx="1">
                  <c:v>11.980043538808332</c:v>
                </c:pt>
                <c:pt idx="2">
                  <c:v>7.8286342656312939</c:v>
                </c:pt>
                <c:pt idx="3">
                  <c:v>0.94557774780092529</c:v>
                </c:pt>
                <c:pt idx="4">
                  <c:v>-6.2824122661548785</c:v>
                </c:pt>
                <c:pt idx="5">
                  <c:v>-10.194427090117628</c:v>
                </c:pt>
                <c:pt idx="6">
                  <c:v>-5.917849407755682</c:v>
                </c:pt>
                <c:pt idx="7">
                  <c:v>-1.6490685502181321</c:v>
                </c:pt>
                <c:pt idx="8">
                  <c:v>-0.79880269419055594</c:v>
                </c:pt>
                <c:pt idx="9">
                  <c:v>8.9534675343638526</c:v>
                </c:pt>
                <c:pt idx="10">
                  <c:v>2.0444749820850632</c:v>
                </c:pt>
                <c:pt idx="11">
                  <c:v>2.9396785672127379</c:v>
                </c:pt>
                <c:pt idx="12">
                  <c:v>15.317302207920179</c:v>
                </c:pt>
                <c:pt idx="13">
                  <c:v>7.5063094273893398</c:v>
                </c:pt>
                <c:pt idx="14">
                  <c:v>12.406544540651936</c:v>
                </c:pt>
                <c:pt idx="15">
                  <c:v>4.3180623617480762</c:v>
                </c:pt>
                <c:pt idx="16">
                  <c:v>3.6346322356212539</c:v>
                </c:pt>
                <c:pt idx="17">
                  <c:v>4.2888988271298842</c:v>
                </c:pt>
                <c:pt idx="18">
                  <c:v>8.6862748706039383E-2</c:v>
                </c:pt>
                <c:pt idx="19">
                  <c:v>3.2606251776515762</c:v>
                </c:pt>
                <c:pt idx="20">
                  <c:v>2.8649648216544392</c:v>
                </c:pt>
                <c:pt idx="21">
                  <c:v>-6.2024596600145259</c:v>
                </c:pt>
                <c:pt idx="22">
                  <c:v>-9.0466947127630135</c:v>
                </c:pt>
                <c:pt idx="23">
                  <c:v>-8.2756255759856003</c:v>
                </c:pt>
                <c:pt idx="24">
                  <c:v>-5.5002420655324329</c:v>
                </c:pt>
                <c:pt idx="25">
                  <c:v>3.4312458290330028</c:v>
                </c:pt>
                <c:pt idx="26">
                  <c:v>2.4486999965538416</c:v>
                </c:pt>
              </c:numCache>
            </c:numRef>
          </c:val>
          <c:smooth val="0"/>
          <c:extLst>
            <c:ext xmlns:c16="http://schemas.microsoft.com/office/drawing/2014/chart" uri="{C3380CC4-5D6E-409C-BE32-E72D297353CC}">
              <c16:uniqueId val="{00000002-AE4A-4510-ACEE-84F56717B2D8}"/>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Nové stavební zakázky v tuzemsku</c:v>
                </c:pt>
              </c:strCache>
            </c:strRef>
          </c:tx>
          <c:spPr>
            <a:ln w="15875">
              <a:solidFill>
                <a:srgbClr val="984807"/>
              </a:solidFill>
              <a:prstDash val="solid"/>
            </a:ln>
          </c:spPr>
          <c:marker>
            <c:symbol val="none"/>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3'!$AA$31:$AA$57</c:f>
              <c:numCache>
                <c:formatCode>0.0</c:formatCode>
                <c:ptCount val="27"/>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28.188227371706034</c:v>
                </c:pt>
                <c:pt idx="25">
                  <c:v>21.356647205514562</c:v>
                </c:pt>
              </c:numCache>
            </c:numRef>
          </c:val>
          <c:smooth val="0"/>
          <c:extLst>
            <c:ext xmlns:c16="http://schemas.microsoft.com/office/drawing/2014/chart" uri="{C3380CC4-5D6E-409C-BE32-E72D297353CC}">
              <c16:uniqueId val="{00000003-AE4A-4510-ACEE-84F56717B2D8}"/>
            </c:ext>
          </c:extLst>
        </c:ser>
        <c:ser>
          <c:idx val="4"/>
          <c:order val="4"/>
          <c:tx>
            <c:strRef>
              <c:f>'výkonnost odvětví 3'!$AB$10</c:f>
              <c:strCache>
                <c:ptCount val="1"/>
                <c:pt idx="0">
                  <c:v>Bariéra růstu: nedostatečná poptávka</c:v>
                </c:pt>
              </c:strCache>
            </c:strRef>
          </c:tx>
          <c:spPr>
            <a:ln w="15875">
              <a:solidFill>
                <a:srgbClr val="00B050"/>
              </a:solidFill>
            </a:ln>
          </c:spPr>
          <c:marker>
            <c:symbol val="none"/>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3'!$AB$31:$AB$57</c:f>
              <c:numCache>
                <c:formatCode>#\ ##0.0</c:formatCode>
                <c:ptCount val="27"/>
                <c:pt idx="0">
                  <c:v>65.8</c:v>
                </c:pt>
                <c:pt idx="1">
                  <c:v>60.4</c:v>
                </c:pt>
                <c:pt idx="2">
                  <c:v>58.9</c:v>
                </c:pt>
                <c:pt idx="3">
                  <c:v>57.6</c:v>
                </c:pt>
                <c:pt idx="4">
                  <c:v>54.5</c:v>
                </c:pt>
                <c:pt idx="5">
                  <c:v>61.1</c:v>
                </c:pt>
                <c:pt idx="6">
                  <c:v>60.4</c:v>
                </c:pt>
                <c:pt idx="7">
                  <c:v>57</c:v>
                </c:pt>
                <c:pt idx="8">
                  <c:v>53.9</c:v>
                </c:pt>
                <c:pt idx="9">
                  <c:v>54.3</c:v>
                </c:pt>
                <c:pt idx="10">
                  <c:v>50</c:v>
                </c:pt>
                <c:pt idx="11">
                  <c:v>48.3</c:v>
                </c:pt>
                <c:pt idx="12">
                  <c:v>40.299999999999997</c:v>
                </c:pt>
                <c:pt idx="13">
                  <c:v>38.200000000000003</c:v>
                </c:pt>
                <c:pt idx="14">
                  <c:v>33.4</c:v>
                </c:pt>
                <c:pt idx="15">
                  <c:v>24.1</c:v>
                </c:pt>
                <c:pt idx="16">
                  <c:v>25.4</c:v>
                </c:pt>
                <c:pt idx="17">
                  <c:v>23.3</c:v>
                </c:pt>
                <c:pt idx="18">
                  <c:v>17.899999999999999</c:v>
                </c:pt>
                <c:pt idx="19">
                  <c:v>20.9</c:v>
                </c:pt>
                <c:pt idx="20">
                  <c:v>30.3</c:v>
                </c:pt>
                <c:pt idx="21">
                  <c:v>29.3</c:v>
                </c:pt>
                <c:pt idx="22">
                  <c:v>38.799999999999997</c:v>
                </c:pt>
                <c:pt idx="23" formatCode="General">
                  <c:v>41.2</c:v>
                </c:pt>
                <c:pt idx="24">
                  <c:v>31.3</c:v>
                </c:pt>
                <c:pt idx="25">
                  <c:v>34.200000000000003</c:v>
                </c:pt>
                <c:pt idx="26">
                  <c:v>23.8</c:v>
                </c:pt>
              </c:numCache>
            </c:numRef>
          </c:val>
          <c:smooth val="0"/>
          <c:extLst>
            <c:ext xmlns:c16="http://schemas.microsoft.com/office/drawing/2014/chart" uri="{C3380CC4-5D6E-409C-BE32-E72D297353CC}">
              <c16:uniqueId val="{00000004-AE4A-4510-ACEE-84F56717B2D8}"/>
            </c:ext>
          </c:extLst>
        </c:ser>
        <c:ser>
          <c:idx val="5"/>
          <c:order val="5"/>
          <c:tx>
            <c:strRef>
              <c:f>'výkonnost odvětví 3'!$AC$10</c:f>
              <c:strCache>
                <c:ptCount val="1"/>
                <c:pt idx="0">
                  <c:v>Bariéra růstu: nedostatek pracovníků</c:v>
                </c:pt>
              </c:strCache>
            </c:strRef>
          </c:tx>
          <c:spPr>
            <a:ln w="15875">
              <a:solidFill>
                <a:srgbClr val="00B050"/>
              </a:solidFill>
              <a:prstDash val="sysDash"/>
            </a:ln>
          </c:spPr>
          <c:marker>
            <c:symbol val="none"/>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3'!$AC$31:$AC$57</c:f>
              <c:numCache>
                <c:formatCode>#\ ##0.0</c:formatCode>
                <c:ptCount val="27"/>
                <c:pt idx="0">
                  <c:v>6.8</c:v>
                </c:pt>
                <c:pt idx="1">
                  <c:v>7.9</c:v>
                </c:pt>
                <c:pt idx="2">
                  <c:v>7.2</c:v>
                </c:pt>
                <c:pt idx="3">
                  <c:v>7</c:v>
                </c:pt>
                <c:pt idx="4">
                  <c:v>5.8</c:v>
                </c:pt>
                <c:pt idx="5">
                  <c:v>6.7</c:v>
                </c:pt>
                <c:pt idx="6">
                  <c:v>7.8</c:v>
                </c:pt>
                <c:pt idx="7">
                  <c:v>10.7</c:v>
                </c:pt>
                <c:pt idx="8">
                  <c:v>11.5</c:v>
                </c:pt>
                <c:pt idx="9">
                  <c:v>14</c:v>
                </c:pt>
                <c:pt idx="10">
                  <c:v>22.7</c:v>
                </c:pt>
                <c:pt idx="11">
                  <c:v>23.1</c:v>
                </c:pt>
                <c:pt idx="12">
                  <c:v>23.5</c:v>
                </c:pt>
                <c:pt idx="13">
                  <c:v>29.3</c:v>
                </c:pt>
                <c:pt idx="14">
                  <c:v>30.4</c:v>
                </c:pt>
                <c:pt idx="15">
                  <c:v>40.799999999999997</c:v>
                </c:pt>
                <c:pt idx="16">
                  <c:v>34.299999999999997</c:v>
                </c:pt>
                <c:pt idx="17">
                  <c:v>43</c:v>
                </c:pt>
                <c:pt idx="18">
                  <c:v>55</c:v>
                </c:pt>
                <c:pt idx="19">
                  <c:v>49.7</c:v>
                </c:pt>
                <c:pt idx="20">
                  <c:v>50</c:v>
                </c:pt>
                <c:pt idx="21">
                  <c:v>46.3</c:v>
                </c:pt>
                <c:pt idx="22">
                  <c:v>38.200000000000003</c:v>
                </c:pt>
                <c:pt idx="23" formatCode="0.0">
                  <c:v>34</c:v>
                </c:pt>
                <c:pt idx="24">
                  <c:v>43.6</c:v>
                </c:pt>
                <c:pt idx="25">
                  <c:v>32</c:v>
                </c:pt>
                <c:pt idx="26">
                  <c:v>42.6</c:v>
                </c:pt>
              </c:numCache>
            </c:numRef>
          </c:val>
          <c:smooth val="0"/>
          <c:extLst>
            <c:ext xmlns:c16="http://schemas.microsoft.com/office/drawing/2014/chart" uri="{C3380CC4-5D6E-409C-BE32-E72D297353CC}">
              <c16:uniqueId val="{00000005-AE4A-4510-ACEE-84F56717B2D8}"/>
            </c:ext>
          </c:extLst>
        </c:ser>
        <c:ser>
          <c:idx val="6"/>
          <c:order val="6"/>
          <c:tx>
            <c:strRef>
              <c:f>'výkonnost odvětví 3'!$AD$10</c:f>
              <c:strCache>
                <c:ptCount val="1"/>
                <c:pt idx="0">
                  <c:v>Saldo indikátoru důvěry ve stavebnictví</c:v>
                </c:pt>
              </c:strCache>
            </c:strRef>
          </c:tx>
          <c:spPr>
            <a:ln w="12700">
              <a:solidFill>
                <a:schemeClr val="tx1">
                  <a:lumMod val="75000"/>
                  <a:lumOff val="25000"/>
                </a:schemeClr>
              </a:solidFill>
              <a:prstDash val="sysDot"/>
            </a:ln>
          </c:spPr>
          <c:marker>
            <c:symbol val="circle"/>
            <c:size val="5"/>
            <c:spPr>
              <a:solidFill>
                <a:srgbClr val="FFFF00"/>
              </a:solidFill>
              <a:ln>
                <a:solidFill>
                  <a:schemeClr val="tx1">
                    <a:lumMod val="75000"/>
                    <a:lumOff val="25000"/>
                  </a:schemeClr>
                </a:solidFill>
              </a:ln>
            </c:spPr>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3'!$AD$31:$AD$57</c:f>
              <c:numCache>
                <c:formatCode>0.0</c:formatCode>
                <c:ptCount val="27"/>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numCache>
            </c:numRef>
          </c:val>
          <c:smooth val="0"/>
          <c:extLst>
            <c:ext xmlns:c16="http://schemas.microsoft.com/office/drawing/2014/chart" uri="{C3380CC4-5D6E-409C-BE32-E72D297353CC}">
              <c16:uniqueId val="{00000006-AE4A-4510-ACEE-84F56717B2D8}"/>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a:defRPr sz="700" i="1"/>
                </a:pPr>
                <a:r>
                  <a:rPr lang="cs-CZ" sz="700" i="1"/>
                  <a:t>Příspěvek k růstu stavební produkce</a:t>
                </a:r>
              </a:p>
            </c:rich>
          </c:tx>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a:defRPr sz="700" i="1"/>
                </a:pPr>
                <a:r>
                  <a:rPr lang="cs-CZ" sz="700" i="1"/>
                  <a:t>Zakázky, saldo indikátoru důvěry, bariéry růstu</a:t>
                </a:r>
              </a:p>
            </c:rich>
          </c:tx>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3.2100887722170054E-2"/>
          <c:y val="0.85664457736723998"/>
          <c:w val="0.96253285608010408"/>
          <c:h val="0.13635475415022985"/>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7103501120970378"/>
        </c:manualLayout>
      </c:layout>
      <c:barChart>
        <c:barDir val="col"/>
        <c:grouping val="stacked"/>
        <c:varyColors val="0"/>
        <c:ser>
          <c:idx val="0"/>
          <c:order val="1"/>
          <c:tx>
            <c:strRef>
              <c:f>'Služby-příspěvkyk růstu'!$D$25</c:f>
              <c:strCache>
                <c:ptCount val="1"/>
                <c:pt idx="0">
                  <c:v>Doprava a skladování</c:v>
                </c:pt>
              </c:strCache>
            </c:strRef>
          </c:tx>
          <c:spPr>
            <a:solidFill>
              <a:srgbClr val="92D050"/>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růstu'!$D$38:$D$64</c:f>
              <c:numCache>
                <c:formatCode>0.0</c:formatCode>
                <c:ptCount val="27"/>
                <c:pt idx="0">
                  <c:v>0.17784702557599033</c:v>
                </c:pt>
                <c:pt idx="1">
                  <c:v>-4.1153954550536498E-2</c:v>
                </c:pt>
                <c:pt idx="2">
                  <c:v>0.19675507185404387</c:v>
                </c:pt>
                <c:pt idx="3">
                  <c:v>4.4524490268410655E-2</c:v>
                </c:pt>
                <c:pt idx="4">
                  <c:v>0.13946448096623712</c:v>
                </c:pt>
                <c:pt idx="5">
                  <c:v>0.20828573579317947</c:v>
                </c:pt>
                <c:pt idx="6">
                  <c:v>0.13789200530936441</c:v>
                </c:pt>
                <c:pt idx="7">
                  <c:v>0.86068515110873312</c:v>
                </c:pt>
                <c:pt idx="8">
                  <c:v>1.7974934723664766</c:v>
                </c:pt>
                <c:pt idx="9">
                  <c:v>1.0846625349009715</c:v>
                </c:pt>
                <c:pt idx="10">
                  <c:v>1.1351852375742451</c:v>
                </c:pt>
                <c:pt idx="11">
                  <c:v>0.60468210639017606</c:v>
                </c:pt>
                <c:pt idx="12">
                  <c:v>1.7465012928992198</c:v>
                </c:pt>
                <c:pt idx="13">
                  <c:v>1.9213841091805361</c:v>
                </c:pt>
                <c:pt idx="14">
                  <c:v>1.4689302905524204</c:v>
                </c:pt>
                <c:pt idx="15">
                  <c:v>0.50117729578518855</c:v>
                </c:pt>
                <c:pt idx="16">
                  <c:v>0.75263240054785618</c:v>
                </c:pt>
                <c:pt idx="17">
                  <c:v>-8.121137806355179E-2</c:v>
                </c:pt>
                <c:pt idx="18">
                  <c:v>-0.66994926294940094</c:v>
                </c:pt>
                <c:pt idx="19">
                  <c:v>-0.54040905308684861</c:v>
                </c:pt>
                <c:pt idx="20">
                  <c:v>-1.8646946552605359</c:v>
                </c:pt>
                <c:pt idx="21">
                  <c:v>-6.8769875395707061</c:v>
                </c:pt>
                <c:pt idx="22">
                  <c:v>-4.2186862803005329</c:v>
                </c:pt>
                <c:pt idx="23">
                  <c:v>-1.7603068852892723</c:v>
                </c:pt>
                <c:pt idx="24">
                  <c:v>-0.16843968789779365</c:v>
                </c:pt>
                <c:pt idx="25">
                  <c:v>6.918128731705961</c:v>
                </c:pt>
              </c:numCache>
            </c:numRef>
          </c:val>
          <c:extLst>
            <c:ext xmlns:c16="http://schemas.microsoft.com/office/drawing/2014/chart" uri="{C3380CC4-5D6E-409C-BE32-E72D297353CC}">
              <c16:uniqueId val="{00000000-1512-40D0-A9C7-9A67AAB69EFA}"/>
            </c:ext>
          </c:extLst>
        </c:ser>
        <c:ser>
          <c:idx val="1"/>
          <c:order val="2"/>
          <c:tx>
            <c:strRef>
              <c:f>'Služby-příspěvkyk růstu'!$E$25</c:f>
              <c:strCache>
                <c:ptCount val="1"/>
                <c:pt idx="0">
                  <c:v>Ubytování, stravování a pohostinství</c:v>
                </c:pt>
              </c:strCache>
            </c:strRef>
          </c:tx>
          <c:spPr>
            <a:solidFill>
              <a:srgbClr val="00B0F0"/>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růstu'!$E$38:$E$64</c:f>
              <c:numCache>
                <c:formatCode>0.0</c:formatCode>
                <c:ptCount val="27"/>
                <c:pt idx="0">
                  <c:v>0.23068727874505793</c:v>
                </c:pt>
                <c:pt idx="1">
                  <c:v>0.65500430584103086</c:v>
                </c:pt>
                <c:pt idx="2">
                  <c:v>0.65445127748121035</c:v>
                </c:pt>
                <c:pt idx="3">
                  <c:v>0.40295089080303936</c:v>
                </c:pt>
                <c:pt idx="4">
                  <c:v>0.46667218520329662</c:v>
                </c:pt>
                <c:pt idx="5">
                  <c:v>0.17104444695300572</c:v>
                </c:pt>
                <c:pt idx="6">
                  <c:v>0.56704693143903195</c:v>
                </c:pt>
                <c:pt idx="7">
                  <c:v>0.60083208257587717</c:v>
                </c:pt>
                <c:pt idx="8">
                  <c:v>0.91455838493249142</c:v>
                </c:pt>
                <c:pt idx="9">
                  <c:v>1.231607253071263</c:v>
                </c:pt>
                <c:pt idx="10">
                  <c:v>0.5534510922648459</c:v>
                </c:pt>
                <c:pt idx="11">
                  <c:v>0.45394811178918809</c:v>
                </c:pt>
                <c:pt idx="12">
                  <c:v>0.20369258900958792</c:v>
                </c:pt>
                <c:pt idx="13">
                  <c:v>4.7235698176859818E-2</c:v>
                </c:pt>
                <c:pt idx="14">
                  <c:v>5.8750890591798624E-2</c:v>
                </c:pt>
                <c:pt idx="15">
                  <c:v>-3.8366347387654286E-2</c:v>
                </c:pt>
                <c:pt idx="16">
                  <c:v>0.19921781020350779</c:v>
                </c:pt>
                <c:pt idx="17">
                  <c:v>0.19028430952840486</c:v>
                </c:pt>
                <c:pt idx="18">
                  <c:v>-1.916690216819248E-2</c:v>
                </c:pt>
                <c:pt idx="19">
                  <c:v>-1.9416332102348634E-2</c:v>
                </c:pt>
                <c:pt idx="20">
                  <c:v>-1.1592357036246839</c:v>
                </c:pt>
                <c:pt idx="21">
                  <c:v>-4.9682177104098058</c:v>
                </c:pt>
                <c:pt idx="22">
                  <c:v>-1.9519574731345033</c:v>
                </c:pt>
                <c:pt idx="23">
                  <c:v>-4.5016526436732862</c:v>
                </c:pt>
                <c:pt idx="24">
                  <c:v>-3.7508869539731311</c:v>
                </c:pt>
                <c:pt idx="25">
                  <c:v>1.3827301210406615</c:v>
                </c:pt>
              </c:numCache>
            </c:numRef>
          </c:val>
          <c:extLst>
            <c:ext xmlns:c16="http://schemas.microsoft.com/office/drawing/2014/chart" uri="{C3380CC4-5D6E-409C-BE32-E72D297353CC}">
              <c16:uniqueId val="{00000001-1512-40D0-A9C7-9A67AAB69EFA}"/>
            </c:ext>
          </c:extLst>
        </c:ser>
        <c:ser>
          <c:idx val="2"/>
          <c:order val="3"/>
          <c:tx>
            <c:strRef>
              <c:f>'Služby-příspěvkyk růstu'!$F$25</c:f>
              <c:strCache>
                <c:ptCount val="1"/>
                <c:pt idx="0">
                  <c:v>Informační a komunikační činnosti</c:v>
                </c:pt>
              </c:strCache>
            </c:strRef>
          </c:tx>
          <c:spPr>
            <a:solidFill>
              <a:srgbClr val="E6E100"/>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růstu'!$F$38:$F$64</c:f>
              <c:numCache>
                <c:formatCode>0.0</c:formatCode>
                <c:ptCount val="27"/>
                <c:pt idx="0">
                  <c:v>1.4078898109159903</c:v>
                </c:pt>
                <c:pt idx="1">
                  <c:v>0.82525906257812898</c:v>
                </c:pt>
                <c:pt idx="2">
                  <c:v>0.80495762868220244</c:v>
                </c:pt>
                <c:pt idx="3">
                  <c:v>1.3162338204655517</c:v>
                </c:pt>
                <c:pt idx="4">
                  <c:v>0.36033487670421366</c:v>
                </c:pt>
                <c:pt idx="5">
                  <c:v>0.15638027838317614</c:v>
                </c:pt>
                <c:pt idx="6">
                  <c:v>0.32610885513838739</c:v>
                </c:pt>
                <c:pt idx="7">
                  <c:v>0.17762627373781287</c:v>
                </c:pt>
                <c:pt idx="8">
                  <c:v>0.76282425945040022</c:v>
                </c:pt>
                <c:pt idx="9">
                  <c:v>0.98306885205975347</c:v>
                </c:pt>
                <c:pt idx="10">
                  <c:v>0.77131824944810223</c:v>
                </c:pt>
                <c:pt idx="11">
                  <c:v>0.58432043551404034</c:v>
                </c:pt>
                <c:pt idx="12">
                  <c:v>1.4410506386239601</c:v>
                </c:pt>
                <c:pt idx="13">
                  <c:v>0.76544504374458233</c:v>
                </c:pt>
                <c:pt idx="14">
                  <c:v>1.4164775798085461</c:v>
                </c:pt>
                <c:pt idx="15">
                  <c:v>0.98719747480527764</c:v>
                </c:pt>
                <c:pt idx="16">
                  <c:v>1.2347847857804872</c:v>
                </c:pt>
                <c:pt idx="17">
                  <c:v>1.1610055784403761</c:v>
                </c:pt>
                <c:pt idx="18">
                  <c:v>0.91432300980238912</c:v>
                </c:pt>
                <c:pt idx="19">
                  <c:v>1.1615543875830505</c:v>
                </c:pt>
                <c:pt idx="20">
                  <c:v>0.81894474477217827</c:v>
                </c:pt>
                <c:pt idx="21">
                  <c:v>1.2294640949034262E-2</c:v>
                </c:pt>
                <c:pt idx="22">
                  <c:v>-0.20775191175017058</c:v>
                </c:pt>
                <c:pt idx="23">
                  <c:v>-0.54240589854371102</c:v>
                </c:pt>
                <c:pt idx="24">
                  <c:v>0.48886999175229195</c:v>
                </c:pt>
                <c:pt idx="25">
                  <c:v>1.4742653447482703</c:v>
                </c:pt>
              </c:numCache>
            </c:numRef>
          </c:val>
          <c:extLst>
            <c:ext xmlns:c16="http://schemas.microsoft.com/office/drawing/2014/chart" uri="{C3380CC4-5D6E-409C-BE32-E72D297353CC}">
              <c16:uniqueId val="{00000002-1512-40D0-A9C7-9A67AAB69EFA}"/>
            </c:ext>
          </c:extLst>
        </c:ser>
        <c:ser>
          <c:idx val="4"/>
          <c:order val="4"/>
          <c:tx>
            <c:strRef>
              <c:f>'Služby-příspěvkyk růstu'!$G$25</c:f>
              <c:strCache>
                <c:ptCount val="1"/>
                <c:pt idx="0">
                  <c:v>Činnosti v oblasti nemovitostí</c:v>
                </c:pt>
              </c:strCache>
            </c:strRef>
          </c:tx>
          <c:spPr>
            <a:solidFill>
              <a:schemeClr val="accent5">
                <a:lumMod val="60000"/>
                <a:lumOff val="40000"/>
              </a:schemeClr>
            </a:solidFill>
            <a:ln>
              <a:noFill/>
              <a:prstDash val="sysDash"/>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růstu'!$G$38:$G$64</c:f>
              <c:numCache>
                <c:formatCode>0.0</c:formatCode>
                <c:ptCount val="27"/>
                <c:pt idx="0">
                  <c:v>4.5114687215489196E-2</c:v>
                </c:pt>
                <c:pt idx="1">
                  <c:v>-4.633203545382855E-3</c:v>
                </c:pt>
                <c:pt idx="2">
                  <c:v>8.5015739753390329E-2</c:v>
                </c:pt>
                <c:pt idx="3">
                  <c:v>4.220830931986512E-2</c:v>
                </c:pt>
                <c:pt idx="4">
                  <c:v>0.22367935692513705</c:v>
                </c:pt>
                <c:pt idx="5">
                  <c:v>6.8179123861302385E-2</c:v>
                </c:pt>
                <c:pt idx="6">
                  <c:v>0.11569139719415283</c:v>
                </c:pt>
                <c:pt idx="7">
                  <c:v>-7.0466113098899399E-2</c:v>
                </c:pt>
                <c:pt idx="8">
                  <c:v>0.28170347372407545</c:v>
                </c:pt>
                <c:pt idx="9">
                  <c:v>0.36183937198533883</c:v>
                </c:pt>
                <c:pt idx="10">
                  <c:v>-3.8722623438578699E-2</c:v>
                </c:pt>
                <c:pt idx="11">
                  <c:v>0.13751786545078354</c:v>
                </c:pt>
                <c:pt idx="12">
                  <c:v>-1.6524917654980809E-2</c:v>
                </c:pt>
                <c:pt idx="13">
                  <c:v>-0.22648210744306341</c:v>
                </c:pt>
                <c:pt idx="14">
                  <c:v>-0.12424593391733178</c:v>
                </c:pt>
                <c:pt idx="15">
                  <c:v>-0.2069362641489616</c:v>
                </c:pt>
                <c:pt idx="16">
                  <c:v>0.14696794947238928</c:v>
                </c:pt>
                <c:pt idx="17">
                  <c:v>-2.7570980462265055E-2</c:v>
                </c:pt>
                <c:pt idx="18">
                  <c:v>-0.16565733818130893</c:v>
                </c:pt>
                <c:pt idx="19">
                  <c:v>-0.11837811648212067</c:v>
                </c:pt>
                <c:pt idx="20">
                  <c:v>0.43339495192195154</c:v>
                </c:pt>
                <c:pt idx="21">
                  <c:v>-0.29664667919137244</c:v>
                </c:pt>
                <c:pt idx="22">
                  <c:v>-0.27589755073842731</c:v>
                </c:pt>
                <c:pt idx="23">
                  <c:v>-0.22603611712587934</c:v>
                </c:pt>
                <c:pt idx="24">
                  <c:v>-0.21976379159449222</c:v>
                </c:pt>
                <c:pt idx="25">
                  <c:v>0.27047496115097869</c:v>
                </c:pt>
              </c:numCache>
            </c:numRef>
          </c:val>
          <c:extLst>
            <c:ext xmlns:c16="http://schemas.microsoft.com/office/drawing/2014/chart" uri="{C3380CC4-5D6E-409C-BE32-E72D297353CC}">
              <c16:uniqueId val="{00000003-1512-40D0-A9C7-9A67AAB69EFA}"/>
            </c:ext>
          </c:extLst>
        </c:ser>
        <c:ser>
          <c:idx val="5"/>
          <c:order val="5"/>
          <c:tx>
            <c:strRef>
              <c:f>'Služby-příspěvkyk růstu'!$H$25</c:f>
              <c:strCache>
                <c:ptCount val="1"/>
                <c:pt idx="0">
                  <c:v>Profesní, vědecké a technické činnosti</c:v>
                </c:pt>
              </c:strCache>
            </c:strRef>
          </c:tx>
          <c:spPr>
            <a:solidFill>
              <a:schemeClr val="accent6">
                <a:lumMod val="60000"/>
                <a:lumOff val="40000"/>
              </a:schemeClr>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růstu'!$H$38:$H$64</c:f>
              <c:numCache>
                <c:formatCode>0.0</c:formatCode>
                <c:ptCount val="27"/>
                <c:pt idx="0">
                  <c:v>1.0484383463709321</c:v>
                </c:pt>
                <c:pt idx="1">
                  <c:v>0.72052999502781179</c:v>
                </c:pt>
                <c:pt idx="2">
                  <c:v>1.0868604197952834</c:v>
                </c:pt>
                <c:pt idx="3">
                  <c:v>-4.0322082082337972E-2</c:v>
                </c:pt>
                <c:pt idx="4">
                  <c:v>-0.43449187704976927</c:v>
                </c:pt>
                <c:pt idx="5">
                  <c:v>-1.3323039000266932</c:v>
                </c:pt>
                <c:pt idx="6">
                  <c:v>-3.9552220086378894E-3</c:v>
                </c:pt>
                <c:pt idx="7">
                  <c:v>-0.31462694364037369</c:v>
                </c:pt>
                <c:pt idx="8">
                  <c:v>0.96902063476099443</c:v>
                </c:pt>
                <c:pt idx="9">
                  <c:v>0.58685347143608046</c:v>
                </c:pt>
                <c:pt idx="10">
                  <c:v>0.3036767260079471</c:v>
                </c:pt>
                <c:pt idx="11">
                  <c:v>0.42723783324562753</c:v>
                </c:pt>
                <c:pt idx="12">
                  <c:v>1.0465166620234574</c:v>
                </c:pt>
                <c:pt idx="13">
                  <c:v>0.55031893076940297</c:v>
                </c:pt>
                <c:pt idx="14">
                  <c:v>0.36062690239541018</c:v>
                </c:pt>
                <c:pt idx="15">
                  <c:v>-0.26282042548043488</c:v>
                </c:pt>
                <c:pt idx="16">
                  <c:v>0.70683419275912829</c:v>
                </c:pt>
                <c:pt idx="17">
                  <c:v>0.58909336860858441</c:v>
                </c:pt>
                <c:pt idx="18">
                  <c:v>-0.76655146702786459</c:v>
                </c:pt>
                <c:pt idx="19">
                  <c:v>-0.57242584774453176</c:v>
                </c:pt>
                <c:pt idx="20">
                  <c:v>-0.86095792954266626</c:v>
                </c:pt>
                <c:pt idx="21">
                  <c:v>-3.1835055642505159</c:v>
                </c:pt>
                <c:pt idx="22">
                  <c:v>-1.4957874257817754</c:v>
                </c:pt>
                <c:pt idx="23">
                  <c:v>-1.5473623495881494</c:v>
                </c:pt>
                <c:pt idx="24">
                  <c:v>-1.5619850455789446</c:v>
                </c:pt>
                <c:pt idx="25">
                  <c:v>2.2444613621662812</c:v>
                </c:pt>
              </c:numCache>
            </c:numRef>
          </c:val>
          <c:extLst>
            <c:ext xmlns:c16="http://schemas.microsoft.com/office/drawing/2014/chart" uri="{C3380CC4-5D6E-409C-BE32-E72D297353CC}">
              <c16:uniqueId val="{00000004-1512-40D0-A9C7-9A67AAB69EFA}"/>
            </c:ext>
          </c:extLst>
        </c:ser>
        <c:ser>
          <c:idx val="6"/>
          <c:order val="6"/>
          <c:tx>
            <c:strRef>
              <c:f>'Služby-příspěvkyk růstu'!$I$25</c:f>
              <c:strCache>
                <c:ptCount val="1"/>
                <c:pt idx="0">
                  <c:v>Administrativní a podpůrné činnosti</c:v>
                </c:pt>
              </c:strCache>
            </c:strRef>
          </c:tx>
          <c:spPr>
            <a:solidFill>
              <a:schemeClr val="accent1">
                <a:lumMod val="20000"/>
                <a:lumOff val="80000"/>
              </a:schemeClr>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růstu'!$I$38:$I$64</c:f>
              <c:numCache>
                <c:formatCode>0.0</c:formatCode>
                <c:ptCount val="27"/>
                <c:pt idx="0">
                  <c:v>0.51529021776837436</c:v>
                </c:pt>
                <c:pt idx="1">
                  <c:v>0.62103855147350373</c:v>
                </c:pt>
                <c:pt idx="2">
                  <c:v>0.43595933582649415</c:v>
                </c:pt>
                <c:pt idx="3">
                  <c:v>0.5014624395084516</c:v>
                </c:pt>
                <c:pt idx="4">
                  <c:v>0.46409597389160773</c:v>
                </c:pt>
                <c:pt idx="5">
                  <c:v>0.16302807991689272</c:v>
                </c:pt>
                <c:pt idx="6">
                  <c:v>0.26998446590022002</c:v>
                </c:pt>
                <c:pt idx="7">
                  <c:v>0.51404132645830092</c:v>
                </c:pt>
                <c:pt idx="8">
                  <c:v>1.3081284665881006</c:v>
                </c:pt>
                <c:pt idx="9">
                  <c:v>1.0890272586366447</c:v>
                </c:pt>
                <c:pt idx="10">
                  <c:v>0.64167805687312862</c:v>
                </c:pt>
                <c:pt idx="11">
                  <c:v>0.3049450708114973</c:v>
                </c:pt>
                <c:pt idx="12">
                  <c:v>0.5336964228095209</c:v>
                </c:pt>
                <c:pt idx="13">
                  <c:v>0.37812124631965366</c:v>
                </c:pt>
                <c:pt idx="14">
                  <c:v>0.43585539133912715</c:v>
                </c:pt>
                <c:pt idx="15">
                  <c:v>-1.3565736472039135E-2</c:v>
                </c:pt>
                <c:pt idx="16">
                  <c:v>0.47293200908229094</c:v>
                </c:pt>
                <c:pt idx="17">
                  <c:v>0.12985986360314838</c:v>
                </c:pt>
                <c:pt idx="18">
                  <c:v>-0.12378098867957033</c:v>
                </c:pt>
                <c:pt idx="19">
                  <c:v>-0.21503501352804164</c:v>
                </c:pt>
                <c:pt idx="20">
                  <c:v>-1.0975647540029245</c:v>
                </c:pt>
                <c:pt idx="21">
                  <c:v>-4.3127603654212834</c:v>
                </c:pt>
                <c:pt idx="22">
                  <c:v>-4.4461404317321751</c:v>
                </c:pt>
                <c:pt idx="23">
                  <c:v>-2.3715294384068484</c:v>
                </c:pt>
                <c:pt idx="24">
                  <c:v>-1.587792910461185</c:v>
                </c:pt>
                <c:pt idx="25">
                  <c:v>1.8635640082735587</c:v>
                </c:pt>
              </c:numCache>
            </c:numRef>
          </c:val>
          <c:extLst>
            <c:ext xmlns:c16="http://schemas.microsoft.com/office/drawing/2014/chart" uri="{C3380CC4-5D6E-409C-BE32-E72D297353CC}">
              <c16:uniqueId val="{00000005-1512-40D0-A9C7-9A67AAB69EFA}"/>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růstu'!$C$25</c:f>
              <c:strCache>
                <c:ptCount val="1"/>
                <c:pt idx="0">
                  <c:v>Služby celkem</c:v>
                </c:pt>
              </c:strCache>
            </c:strRef>
          </c:tx>
          <c:spPr>
            <a:ln>
              <a:noFill/>
            </a:ln>
          </c:spPr>
          <c:marker>
            <c:symbol val="dash"/>
            <c:size val="9"/>
            <c:spPr>
              <a:solidFill>
                <a:schemeClr val="tx1">
                  <a:lumMod val="95000"/>
                  <a:lumOff val="5000"/>
                </a:schemeClr>
              </a:solidFill>
              <a:ln>
                <a:noFill/>
              </a:ln>
            </c:spPr>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růstu'!$C$38:$C$64</c:f>
              <c:numCache>
                <c:formatCode>0.0</c:formatCode>
                <c:ptCount val="27"/>
                <c:pt idx="0">
                  <c:v>3.4252673665918341</c:v>
                </c:pt>
                <c:pt idx="1">
                  <c:v>2.7760447568245561</c:v>
                </c:pt>
                <c:pt idx="2">
                  <c:v>3.2639994733926248</c:v>
                </c:pt>
                <c:pt idx="3">
                  <c:v>2.2670578682829805</c:v>
                </c:pt>
                <c:pt idx="4">
                  <c:v>1.2197549966407228</c:v>
                </c:pt>
                <c:pt idx="5">
                  <c:v>-0.56538623511913677</c:v>
                </c:pt>
                <c:pt idx="6">
                  <c:v>1.4127684329725188</c:v>
                </c:pt>
                <c:pt idx="7">
                  <c:v>1.7680917771414508</c:v>
                </c:pt>
                <c:pt idx="8">
                  <c:v>6.0337286918225388</c:v>
                </c:pt>
                <c:pt idx="9">
                  <c:v>5.3370587420900524</c:v>
                </c:pt>
                <c:pt idx="10">
                  <c:v>3.3665867387296897</c:v>
                </c:pt>
                <c:pt idx="11">
                  <c:v>2.5126514232013126</c:v>
                </c:pt>
                <c:pt idx="12">
                  <c:v>4.9549326877107651</c:v>
                </c:pt>
                <c:pt idx="13">
                  <c:v>3.4360229207479716</c:v>
                </c:pt>
                <c:pt idx="14">
                  <c:v>3.6163951207699707</c:v>
                </c:pt>
                <c:pt idx="15">
                  <c:v>0.96668599710137615</c:v>
                </c:pt>
                <c:pt idx="16">
                  <c:v>3.5133691478456601</c:v>
                </c:pt>
                <c:pt idx="17">
                  <c:v>1.9614607616546968</c:v>
                </c:pt>
                <c:pt idx="18">
                  <c:v>-0.83078294920394813</c:v>
                </c:pt>
                <c:pt idx="19">
                  <c:v>-0.30410997536084072</c:v>
                </c:pt>
                <c:pt idx="20">
                  <c:v>-3.7301133457366804</c:v>
                </c:pt>
                <c:pt idx="21">
                  <c:v>-19.625823217894649</c:v>
                </c:pt>
                <c:pt idx="22">
                  <c:v>-12.596221073437585</c:v>
                </c:pt>
                <c:pt idx="23">
                  <c:v>-10.949293332627146</c:v>
                </c:pt>
                <c:pt idx="24">
                  <c:v>-6.8072748090039994</c:v>
                </c:pt>
                <c:pt idx="25">
                  <c:v>14.153289749565971</c:v>
                </c:pt>
              </c:numCache>
            </c:numRef>
          </c:val>
          <c:smooth val="0"/>
          <c:extLst>
            <c:ext xmlns:c16="http://schemas.microsoft.com/office/drawing/2014/chart" uri="{C3380CC4-5D6E-409C-BE32-E72D297353CC}">
              <c16:uniqueId val="{00000006-1512-40D0-A9C7-9A67AAB69EFA}"/>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růstu'!$J$38:$J$64</c:f>
              <c:numCache>
                <c:formatCode>0.0</c:formatCode>
                <c:ptCount val="27"/>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numCache>
            </c:numRef>
          </c:val>
          <c:smooth val="0"/>
          <c:extLst>
            <c:ext xmlns:c16="http://schemas.microsoft.com/office/drawing/2014/chart" uri="{C3380CC4-5D6E-409C-BE32-E72D297353CC}">
              <c16:uniqueId val="{00000007-1512-40D0-A9C7-9A67AAB69EFA}"/>
            </c:ext>
          </c:extLst>
        </c:ser>
        <c:ser>
          <c:idx val="8"/>
          <c:order val="8"/>
          <c:tx>
            <c:strRef>
              <c:f>'Služby-příspěvkyk růstu'!$K$25</c:f>
              <c:strCache>
                <c:ptCount val="1"/>
                <c:pt idx="0">
                  <c:v>Bariéra růstu: nedostatečná poptávka</c:v>
                </c:pt>
              </c:strCache>
            </c:strRef>
          </c:tx>
          <c:spPr>
            <a:ln w="15875">
              <a:solidFill>
                <a:srgbClr val="00B050"/>
              </a:solidFill>
            </a:ln>
          </c:spPr>
          <c:marker>
            <c:symbol val="none"/>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růstu'!$K$38:$K$64</c:f>
              <c:numCache>
                <c:formatCode>#\ ##0.0</c:formatCode>
                <c:ptCount val="27"/>
                <c:pt idx="0">
                  <c:v>26.2</c:v>
                </c:pt>
                <c:pt idx="1">
                  <c:v>29</c:v>
                </c:pt>
                <c:pt idx="2">
                  <c:v>26.9</c:v>
                </c:pt>
                <c:pt idx="3">
                  <c:v>23.3</c:v>
                </c:pt>
                <c:pt idx="4">
                  <c:v>24</c:v>
                </c:pt>
                <c:pt idx="5">
                  <c:v>24.5</c:v>
                </c:pt>
                <c:pt idx="6">
                  <c:v>21</c:v>
                </c:pt>
                <c:pt idx="7">
                  <c:v>23.3</c:v>
                </c:pt>
                <c:pt idx="8">
                  <c:v>26.2</c:v>
                </c:pt>
                <c:pt idx="9">
                  <c:v>20.5</c:v>
                </c:pt>
                <c:pt idx="10">
                  <c:v>19.899999999999999</c:v>
                </c:pt>
                <c:pt idx="11">
                  <c:v>20.9</c:v>
                </c:pt>
                <c:pt idx="12">
                  <c:v>17.3</c:v>
                </c:pt>
                <c:pt idx="13">
                  <c:v>18.600000000000001</c:v>
                </c:pt>
                <c:pt idx="14">
                  <c:v>18.899999999999999</c:v>
                </c:pt>
                <c:pt idx="15">
                  <c:v>19.8</c:v>
                </c:pt>
                <c:pt idx="16">
                  <c:v>20.7</c:v>
                </c:pt>
                <c:pt idx="17">
                  <c:v>17.100000000000001</c:v>
                </c:pt>
                <c:pt idx="18">
                  <c:v>21.7</c:v>
                </c:pt>
                <c:pt idx="19">
                  <c:v>14.1</c:v>
                </c:pt>
                <c:pt idx="20">
                  <c:v>20.399999999999999</c:v>
                </c:pt>
                <c:pt idx="21">
                  <c:v>29.1</c:v>
                </c:pt>
                <c:pt idx="22">
                  <c:v>30.9</c:v>
                </c:pt>
                <c:pt idx="23">
                  <c:v>39</c:v>
                </c:pt>
                <c:pt idx="24">
                  <c:v>35.799999999999997</c:v>
                </c:pt>
                <c:pt idx="25">
                  <c:v>37.1</c:v>
                </c:pt>
                <c:pt idx="26">
                  <c:v>30.9</c:v>
                </c:pt>
              </c:numCache>
            </c:numRef>
          </c:val>
          <c:smooth val="0"/>
          <c:extLst>
            <c:ext xmlns:c16="http://schemas.microsoft.com/office/drawing/2014/chart" uri="{C3380CC4-5D6E-409C-BE32-E72D297353CC}">
              <c16:uniqueId val="{00000008-1512-40D0-A9C7-9A67AAB69EFA}"/>
            </c:ext>
          </c:extLst>
        </c:ser>
        <c:ser>
          <c:idx val="9"/>
          <c:order val="9"/>
          <c:tx>
            <c:strRef>
              <c:f>'Služby-příspěvkyk růstu'!$L$25</c:f>
              <c:strCache>
                <c:ptCount val="1"/>
                <c:pt idx="0">
                  <c:v>Bariéra růstu: nedostatek pracovníků</c:v>
                </c:pt>
              </c:strCache>
            </c:strRef>
          </c:tx>
          <c:spPr>
            <a:ln w="15875">
              <a:solidFill>
                <a:srgbClr val="00B050"/>
              </a:solidFill>
              <a:prstDash val="sysDash"/>
            </a:ln>
          </c:spPr>
          <c:marker>
            <c:symbol val="none"/>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růstu'!$L$38:$L$64</c:f>
              <c:numCache>
                <c:formatCode>#\ ##0.0</c:formatCode>
                <c:ptCount val="27"/>
                <c:pt idx="0">
                  <c:v>2.8</c:v>
                </c:pt>
                <c:pt idx="1">
                  <c:v>5.7</c:v>
                </c:pt>
                <c:pt idx="2">
                  <c:v>5.9</c:v>
                </c:pt>
                <c:pt idx="3">
                  <c:v>5.8</c:v>
                </c:pt>
                <c:pt idx="4">
                  <c:v>8.6999999999999993</c:v>
                </c:pt>
                <c:pt idx="5">
                  <c:v>4.5999999999999996</c:v>
                </c:pt>
                <c:pt idx="6">
                  <c:v>7.1</c:v>
                </c:pt>
                <c:pt idx="7">
                  <c:v>9.1</c:v>
                </c:pt>
                <c:pt idx="8">
                  <c:v>10.1</c:v>
                </c:pt>
                <c:pt idx="9">
                  <c:v>10</c:v>
                </c:pt>
                <c:pt idx="10">
                  <c:v>9.3000000000000007</c:v>
                </c:pt>
                <c:pt idx="11">
                  <c:v>12.2</c:v>
                </c:pt>
                <c:pt idx="12">
                  <c:v>14.2</c:v>
                </c:pt>
                <c:pt idx="13">
                  <c:v>16.600000000000001</c:v>
                </c:pt>
                <c:pt idx="14">
                  <c:v>17.3</c:v>
                </c:pt>
                <c:pt idx="15">
                  <c:v>18.600000000000001</c:v>
                </c:pt>
                <c:pt idx="16">
                  <c:v>19.600000000000001</c:v>
                </c:pt>
                <c:pt idx="17">
                  <c:v>16.600000000000001</c:v>
                </c:pt>
                <c:pt idx="18">
                  <c:v>21.2</c:v>
                </c:pt>
                <c:pt idx="19">
                  <c:v>19.100000000000001</c:v>
                </c:pt>
                <c:pt idx="20">
                  <c:v>19.7</c:v>
                </c:pt>
                <c:pt idx="21">
                  <c:v>12.1</c:v>
                </c:pt>
                <c:pt idx="22">
                  <c:v>9.8000000000000007</c:v>
                </c:pt>
                <c:pt idx="23">
                  <c:v>11.1</c:v>
                </c:pt>
                <c:pt idx="24">
                  <c:v>11.2</c:v>
                </c:pt>
                <c:pt idx="25">
                  <c:v>10.8</c:v>
                </c:pt>
                <c:pt idx="26">
                  <c:v>16.3</c:v>
                </c:pt>
              </c:numCache>
            </c:numRef>
          </c:val>
          <c:smooth val="0"/>
          <c:extLst>
            <c:ext xmlns:c16="http://schemas.microsoft.com/office/drawing/2014/chart" uri="{C3380CC4-5D6E-409C-BE32-E72D297353CC}">
              <c16:uniqueId val="{00000009-1512-40D0-A9C7-9A67AAB69EFA}"/>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21"/>
        </c:scaling>
        <c:delete val="0"/>
        <c:axPos val="l"/>
        <c:majorGridlines>
          <c:spPr>
            <a:ln w="6350">
              <a:solidFill>
                <a:schemeClr val="bg1">
                  <a:lumMod val="75000"/>
                </a:schemeClr>
              </a:solidFill>
            </a:ln>
          </c:spPr>
        </c:majorGridlines>
        <c:title>
          <c:tx>
            <c:rich>
              <a:bodyPr/>
              <a:lstStyle/>
              <a:p>
                <a:pPr>
                  <a:defRPr sz="700" b="0" i="1"/>
                </a:pPr>
                <a:r>
                  <a:rPr lang="cs-CZ" sz="700" b="0" i="1"/>
                  <a:t>Příspěvěk k růstu tržeb</a:t>
                </a:r>
              </a:p>
            </c:rich>
          </c:tx>
          <c:layout>
            <c:manualLayout>
              <c:xMode val="edge"/>
              <c:yMode val="edge"/>
              <c:x val="0"/>
              <c:y val="0.21427956658597461"/>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100"/>
          <c:min val="-20"/>
        </c:scaling>
        <c:delete val="0"/>
        <c:axPos val="r"/>
        <c:title>
          <c:tx>
            <c:rich>
              <a:bodyPr/>
              <a:lstStyle/>
              <a:p>
                <a:pPr>
                  <a:defRPr sz="700" b="0" i="1"/>
                </a:pPr>
                <a:r>
                  <a:rPr lang="cs-CZ" sz="700" b="0" i="1"/>
                  <a:t>Saldo indikátoru důvěry, bariéry růstu</a:t>
                </a:r>
              </a:p>
            </c:rich>
          </c:tx>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6.4054887921739166E-5"/>
          <c:y val="0.81821506531821531"/>
          <c:w val="0.98649823440865303"/>
          <c:h val="0.17117269183021638"/>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481551840594413E-2"/>
          <c:y val="2.3304908251716772E-2"/>
          <c:w val="0.90781408308004052"/>
          <c:h val="0.612553754362265"/>
        </c:manualLayout>
      </c:layout>
      <c:barChart>
        <c:barDir val="col"/>
        <c:grouping val="clustered"/>
        <c:varyColors val="0"/>
        <c:ser>
          <c:idx val="0"/>
          <c:order val="0"/>
          <c:tx>
            <c:strRef>
              <c:f>'Vnější vztahy 2'!$A$6</c:f>
              <c:strCache>
                <c:ptCount val="1"/>
                <c:pt idx="0">
                  <c:v>2020</c:v>
                </c:pt>
              </c:strCache>
            </c:strRef>
          </c:tx>
          <c:spPr>
            <a:solidFill>
              <a:schemeClr val="tx1">
                <a:lumMod val="50000"/>
                <a:lumOff val="50000"/>
              </a:schemeClr>
            </a:solidFill>
            <a:ln>
              <a:noFill/>
            </a:ln>
          </c:spPr>
          <c:invertIfNegative val="0"/>
          <c:cat>
            <c:strRef>
              <c:f>'Vnější vztahy 2'!$B$5:$N$5</c:f>
              <c:strCache>
                <c:ptCount val="13"/>
                <c:pt idx="0">
                  <c:v>Ropa a zemní plyn</c:v>
                </c:pt>
                <c:pt idx="1">
                  <c:v>Potrav. výrobky</c:v>
                </c:pt>
                <c:pt idx="2">
                  <c:v>Oděvy</c:v>
                </c:pt>
                <c:pt idx="3">
                  <c:v>Koks, raf. ropné prod.</c:v>
                </c:pt>
                <c:pt idx="4">
                  <c:v>Chem. látky a přípr.</c:v>
                </c:pt>
                <c:pt idx="5">
                  <c:v>Farmac. výrobky</c:v>
                </c:pt>
                <c:pt idx="6">
                  <c:v>Ostat. nekov. minerály</c:v>
                </c:pt>
                <c:pt idx="7">
                  <c:v>Základní kovy</c:v>
                </c:pt>
                <c:pt idx="8">
                  <c:v>Kovodělné výrobky</c:v>
                </c:pt>
                <c:pt idx="9">
                  <c:v>Počítače, opt.                                          a elektron. přístr.</c:v>
                </c:pt>
                <c:pt idx="10">
                  <c:v>Elektrická zařízení</c:v>
                </c:pt>
                <c:pt idx="11">
                  <c:v>Stroje a zařízení j. n.</c:v>
                </c:pt>
                <c:pt idx="12">
                  <c:v>Motorová vozidla</c:v>
                </c:pt>
              </c:strCache>
            </c:strRef>
          </c:cat>
          <c:val>
            <c:numRef>
              <c:f>'Vnější vztahy 2'!$B$6:$N$6</c:f>
              <c:numCache>
                <c:formatCode>General</c:formatCode>
                <c:ptCount val="13"/>
                <c:pt idx="0">
                  <c:v>-33.677</c:v>
                </c:pt>
                <c:pt idx="1">
                  <c:v>-21.216999999999999</c:v>
                </c:pt>
                <c:pt idx="2">
                  <c:v>-13.366</c:v>
                </c:pt>
                <c:pt idx="3">
                  <c:v>-12.105</c:v>
                </c:pt>
                <c:pt idx="4">
                  <c:v>-50.335000000000001</c:v>
                </c:pt>
                <c:pt idx="5">
                  <c:v>-31.04</c:v>
                </c:pt>
                <c:pt idx="6">
                  <c:v>11.9</c:v>
                </c:pt>
                <c:pt idx="7">
                  <c:v>-48.5</c:v>
                </c:pt>
                <c:pt idx="8">
                  <c:v>26.994</c:v>
                </c:pt>
                <c:pt idx="9">
                  <c:v>-18.670999999999999</c:v>
                </c:pt>
                <c:pt idx="10">
                  <c:v>9.1029999999999998</c:v>
                </c:pt>
                <c:pt idx="11">
                  <c:v>28.550999999999998</c:v>
                </c:pt>
                <c:pt idx="12">
                  <c:v>177.386</c:v>
                </c:pt>
              </c:numCache>
            </c:numRef>
          </c:val>
          <c:extLst>
            <c:ext xmlns:c16="http://schemas.microsoft.com/office/drawing/2014/chart" uri="{C3380CC4-5D6E-409C-BE32-E72D297353CC}">
              <c16:uniqueId val="{00000000-1E14-45A6-B75C-FD32D00A04B1}"/>
            </c:ext>
          </c:extLst>
        </c:ser>
        <c:ser>
          <c:idx val="1"/>
          <c:order val="1"/>
          <c:tx>
            <c:strRef>
              <c:f>'Vnější vztahy 2'!$A$7</c:f>
              <c:strCache>
                <c:ptCount val="1"/>
                <c:pt idx="0">
                  <c:v>2021</c:v>
                </c:pt>
              </c:strCache>
            </c:strRef>
          </c:tx>
          <c:spPr>
            <a:solidFill>
              <a:schemeClr val="bg1">
                <a:lumMod val="65000"/>
              </a:schemeClr>
            </a:solidFill>
          </c:spPr>
          <c:invertIfNegative val="0"/>
          <c:val>
            <c:numRef>
              <c:f>'Vnější vztahy 2'!$B$7:$N$7</c:f>
              <c:numCache>
                <c:formatCode>General</c:formatCode>
                <c:ptCount val="13"/>
                <c:pt idx="0">
                  <c:v>-52.591999999999999</c:v>
                </c:pt>
                <c:pt idx="1">
                  <c:v>-18.390999999999998</c:v>
                </c:pt>
                <c:pt idx="2">
                  <c:v>-13.068</c:v>
                </c:pt>
                <c:pt idx="3">
                  <c:v>-10.042999999999999</c:v>
                </c:pt>
                <c:pt idx="4">
                  <c:v>-65.614999999999995</c:v>
                </c:pt>
                <c:pt idx="5">
                  <c:v>-42.401000000000003</c:v>
                </c:pt>
                <c:pt idx="6">
                  <c:v>13.005000000000001</c:v>
                </c:pt>
                <c:pt idx="7">
                  <c:v>-70.484999999999999</c:v>
                </c:pt>
                <c:pt idx="8">
                  <c:v>34.475999999999999</c:v>
                </c:pt>
                <c:pt idx="9">
                  <c:v>-12.422000000000001</c:v>
                </c:pt>
                <c:pt idx="10">
                  <c:v>3.1880000000000002</c:v>
                </c:pt>
                <c:pt idx="11">
                  <c:v>34.557000000000002</c:v>
                </c:pt>
                <c:pt idx="12">
                  <c:v>247.482</c:v>
                </c:pt>
              </c:numCache>
            </c:numRef>
          </c:val>
          <c:extLst>
            <c:ext xmlns:c16="http://schemas.microsoft.com/office/drawing/2014/chart" uri="{C3380CC4-5D6E-409C-BE32-E72D297353CC}">
              <c16:uniqueId val="{00000001-1E14-45A6-B75C-FD32D00A04B1}"/>
            </c:ext>
          </c:extLst>
        </c:ser>
        <c:dLbls>
          <c:showLegendKey val="0"/>
          <c:showVal val="0"/>
          <c:showCatName val="0"/>
          <c:showSerName val="0"/>
          <c:showPercent val="0"/>
          <c:showBubbleSize val="0"/>
        </c:dLbls>
        <c:gapWidth val="97"/>
        <c:axId val="36430208"/>
        <c:axId val="36431744"/>
      </c:barChart>
      <c:catAx>
        <c:axId val="36430208"/>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36431744"/>
        <c:crosses val="autoZero"/>
        <c:auto val="1"/>
        <c:lblAlgn val="ctr"/>
        <c:lblOffset val="100"/>
        <c:noMultiLvlLbl val="0"/>
      </c:catAx>
      <c:valAx>
        <c:axId val="36431744"/>
        <c:scaling>
          <c:orientation val="minMax"/>
          <c:max val="25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36430208"/>
        <c:crosses val="autoZero"/>
        <c:crossBetween val="between"/>
      </c:valAx>
      <c:spPr>
        <a:ln>
          <a:solidFill>
            <a:schemeClr val="tx1"/>
          </a:solidFill>
        </a:ln>
      </c:spPr>
    </c:plotArea>
    <c:legend>
      <c:legendPos val="b"/>
      <c:layout>
        <c:manualLayout>
          <c:xMode val="edge"/>
          <c:yMode val="edge"/>
          <c:x val="7.9999155690645057E-2"/>
          <c:y val="0.93271781816746591"/>
          <c:w val="0.90181273218507263"/>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299E-2"/>
          <c:w val="0.92237743255066085"/>
          <c:h val="0.71471575213004157"/>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2'!$C$22:$C$43</c:f>
              <c:numCache>
                <c:formatCode>0.0</c:formatCode>
                <c:ptCount val="22"/>
                <c:pt idx="0">
                  <c:v>0.5</c:v>
                </c:pt>
                <c:pt idx="1">
                  <c:v>0.20000000000000284</c:v>
                </c:pt>
                <c:pt idx="2">
                  <c:v>0.5</c:v>
                </c:pt>
                <c:pt idx="3">
                  <c:v>1.4000000000000057</c:v>
                </c:pt>
                <c:pt idx="4" formatCode="General">
                  <c:v>2.4000000000000057</c:v>
                </c:pt>
                <c:pt idx="5" formatCode="General">
                  <c:v>2.2000000000000028</c:v>
                </c:pt>
                <c:pt idx="6">
                  <c:v>2.5</c:v>
                </c:pt>
                <c:pt idx="7">
                  <c:v>2.6</c:v>
                </c:pt>
                <c:pt idx="8">
                  <c:v>1.9</c:v>
                </c:pt>
                <c:pt idx="9">
                  <c:v>2.2999999999999998</c:v>
                </c:pt>
                <c:pt idx="10">
                  <c:v>2.4</c:v>
                </c:pt>
                <c:pt idx="11">
                  <c:v>2.1</c:v>
                </c:pt>
                <c:pt idx="12">
                  <c:v>2.7</c:v>
                </c:pt>
                <c:pt idx="13">
                  <c:v>2.8</c:v>
                </c:pt>
                <c:pt idx="14">
                  <c:v>2.8</c:v>
                </c:pt>
                <c:pt idx="15">
                  <c:v>3</c:v>
                </c:pt>
                <c:pt idx="16">
                  <c:v>3.6</c:v>
                </c:pt>
                <c:pt idx="17">
                  <c:v>3.1</c:v>
                </c:pt>
                <c:pt idx="18">
                  <c:v>3.3</c:v>
                </c:pt>
                <c:pt idx="19">
                  <c:v>2.6</c:v>
                </c:pt>
                <c:pt idx="20">
                  <c:v>2.2000000000000002</c:v>
                </c:pt>
                <c:pt idx="21">
                  <c:v>2.9</c:v>
                </c:pt>
              </c:numCache>
            </c:numRef>
          </c:val>
          <c:extLst>
            <c:ext xmlns:c16="http://schemas.microsoft.com/office/drawing/2014/chart" uri="{C3380CC4-5D6E-409C-BE32-E72D297353CC}">
              <c16:uniqueId val="{00000000-C62B-425E-8437-ADFE6D1E8B8A}"/>
            </c:ext>
          </c:extLst>
        </c:ser>
        <c:dLbls>
          <c:showLegendKey val="0"/>
          <c:showVal val="0"/>
          <c:showCatName val="0"/>
          <c:showSerName val="0"/>
          <c:showPercent val="0"/>
          <c:showBubbleSize val="0"/>
        </c:dLbls>
        <c:gapWidth val="95"/>
        <c:axId val="36595968"/>
        <c:axId val="36618240"/>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2'!$D$22:$D$43</c:f>
              <c:numCache>
                <c:formatCode>0.0</c:formatCode>
                <c:ptCount val="22"/>
                <c:pt idx="0">
                  <c:v>-1.7000000000000028</c:v>
                </c:pt>
                <c:pt idx="1">
                  <c:v>-2.4000000000000057</c:v>
                </c:pt>
                <c:pt idx="2">
                  <c:v>-0.79999999999999716</c:v>
                </c:pt>
                <c:pt idx="3">
                  <c:v>1.2000000000000028</c:v>
                </c:pt>
                <c:pt idx="4" formatCode="General">
                  <c:v>4.2000000000000028</c:v>
                </c:pt>
                <c:pt idx="5" formatCode="General">
                  <c:v>4.5</c:v>
                </c:pt>
                <c:pt idx="6">
                  <c:v>5.7</c:v>
                </c:pt>
                <c:pt idx="7">
                  <c:v>6.3</c:v>
                </c:pt>
                <c:pt idx="8">
                  <c:v>2.9</c:v>
                </c:pt>
                <c:pt idx="9" formatCode="#\ ##0.0_ ;\-#\ ##0.0\ ">
                  <c:v>2.2999999999999998</c:v>
                </c:pt>
                <c:pt idx="10">
                  <c:v>0.6</c:v>
                </c:pt>
                <c:pt idx="11">
                  <c:v>-0.5</c:v>
                </c:pt>
                <c:pt idx="12">
                  <c:v>1</c:v>
                </c:pt>
                <c:pt idx="13">
                  <c:v>2.5</c:v>
                </c:pt>
                <c:pt idx="14">
                  <c:v>3.5</c:v>
                </c:pt>
                <c:pt idx="15">
                  <c:v>4.3</c:v>
                </c:pt>
                <c:pt idx="16">
                  <c:v>6.1</c:v>
                </c:pt>
                <c:pt idx="17">
                  <c:v>6.5</c:v>
                </c:pt>
                <c:pt idx="18">
                  <c:v>4</c:v>
                </c:pt>
                <c:pt idx="19">
                  <c:v>1.7</c:v>
                </c:pt>
                <c:pt idx="20">
                  <c:v>0.3</c:v>
                </c:pt>
                <c:pt idx="21">
                  <c:v>-0.8</c:v>
                </c:pt>
              </c:numCache>
            </c:numRef>
          </c:val>
          <c:smooth val="0"/>
          <c:extLst>
            <c:ext xmlns:c16="http://schemas.microsoft.com/office/drawing/2014/chart" uri="{C3380CC4-5D6E-409C-BE32-E72D297353CC}">
              <c16:uniqueId val="{00000001-C62B-425E-8437-ADFE6D1E8B8A}"/>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2'!$F$22:$F$43</c:f>
              <c:numCache>
                <c:formatCode>0.0</c:formatCode>
                <c:ptCount val="22"/>
                <c:pt idx="0">
                  <c:v>0.90000000000000568</c:v>
                </c:pt>
                <c:pt idx="1">
                  <c:v>0.5</c:v>
                </c:pt>
                <c:pt idx="2">
                  <c:v>0.40000000000000568</c:v>
                </c:pt>
                <c:pt idx="3">
                  <c:v>0.59999999999999432</c:v>
                </c:pt>
                <c:pt idx="4" formatCode="General">
                  <c:v>0.79999999999999716</c:v>
                </c:pt>
                <c:pt idx="5" formatCode="General">
                  <c:v>1.5</c:v>
                </c:pt>
                <c:pt idx="6">
                  <c:v>2.1</c:v>
                </c:pt>
                <c:pt idx="7">
                  <c:v>2.2000000000000002</c:v>
                </c:pt>
                <c:pt idx="8">
                  <c:v>2.2999999999999998</c:v>
                </c:pt>
                <c:pt idx="9">
                  <c:v>2.6</c:v>
                </c:pt>
                <c:pt idx="10">
                  <c:v>3.2</c:v>
                </c:pt>
                <c:pt idx="11">
                  <c:v>3.8</c:v>
                </c:pt>
                <c:pt idx="12">
                  <c:v>5.4</c:v>
                </c:pt>
                <c:pt idx="13">
                  <c:v>5.7</c:v>
                </c:pt>
                <c:pt idx="14">
                  <c:v>5.2</c:v>
                </c:pt>
                <c:pt idx="15">
                  <c:v>5</c:v>
                </c:pt>
                <c:pt idx="16">
                  <c:v>4.2</c:v>
                </c:pt>
                <c:pt idx="17">
                  <c:v>3.2</c:v>
                </c:pt>
                <c:pt idx="18">
                  <c:v>2.7</c:v>
                </c:pt>
                <c:pt idx="19">
                  <c:v>1.4</c:v>
                </c:pt>
                <c:pt idx="20">
                  <c:v>0.6</c:v>
                </c:pt>
                <c:pt idx="21">
                  <c:v>1.3</c:v>
                </c:pt>
              </c:numCache>
            </c:numRef>
          </c:val>
          <c:smooth val="0"/>
          <c:extLst>
            <c:ext xmlns:c16="http://schemas.microsoft.com/office/drawing/2014/chart" uri="{C3380CC4-5D6E-409C-BE32-E72D297353CC}">
              <c16:uniqueId val="{00000002-C62B-425E-8437-ADFE6D1E8B8A}"/>
            </c:ext>
          </c:extLst>
        </c:ser>
        <c:ser>
          <c:idx val="4"/>
          <c:order val="3"/>
          <c:tx>
            <c:strRef>
              <c:f>'Ceny 2'!$G$5</c:f>
              <c:strCache>
                <c:ptCount val="1"/>
                <c:pt idx="0">
                  <c:v>Doprava</c:v>
                </c:pt>
              </c:strCache>
            </c:strRef>
          </c:tx>
          <c:spPr>
            <a:ln w="19050">
              <a:solidFill>
                <a:srgbClr val="FFC000"/>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2'!$G$22:$G$43</c:f>
              <c:numCache>
                <c:formatCode>General</c:formatCode>
                <c:ptCount val="22"/>
                <c:pt idx="0">
                  <c:v>-2.7000000000000028</c:v>
                </c:pt>
                <c:pt idx="1">
                  <c:v>-2.9000000000000057</c:v>
                </c:pt>
                <c:pt idx="2">
                  <c:v>-2.2999999999999972</c:v>
                </c:pt>
                <c:pt idx="3">
                  <c:v>1.0999999999999943</c:v>
                </c:pt>
                <c:pt idx="4">
                  <c:v>6</c:v>
                </c:pt>
                <c:pt idx="5">
                  <c:v>3.9000000000000057</c:v>
                </c:pt>
                <c:pt idx="6" formatCode="0.0">
                  <c:v>2.5</c:v>
                </c:pt>
                <c:pt idx="7" formatCode="0.0">
                  <c:v>2.5</c:v>
                </c:pt>
                <c:pt idx="8" formatCode="0.0">
                  <c:v>1</c:v>
                </c:pt>
                <c:pt idx="9" formatCode="0.0">
                  <c:v>3</c:v>
                </c:pt>
                <c:pt idx="10" formatCode="0.0">
                  <c:v>4.5</c:v>
                </c:pt>
                <c:pt idx="11" formatCode="0.0">
                  <c:v>2.6</c:v>
                </c:pt>
                <c:pt idx="12" formatCode="0.0">
                  <c:v>0.6</c:v>
                </c:pt>
                <c:pt idx="13" formatCode="0.0">
                  <c:v>0.8</c:v>
                </c:pt>
                <c:pt idx="14" formatCode="0.0">
                  <c:v>-0.2</c:v>
                </c:pt>
                <c:pt idx="15" formatCode="0.0">
                  <c:v>0.5</c:v>
                </c:pt>
                <c:pt idx="16">
                  <c:v>1.7</c:v>
                </c:pt>
                <c:pt idx="17" formatCode="0.0">
                  <c:v>-3.4</c:v>
                </c:pt>
                <c:pt idx="18" formatCode="0.0">
                  <c:v>-0.2</c:v>
                </c:pt>
                <c:pt idx="19" formatCode="0.0">
                  <c:v>0.6</c:v>
                </c:pt>
                <c:pt idx="20" formatCode="0.0">
                  <c:v>2.4</c:v>
                </c:pt>
                <c:pt idx="21" formatCode="0.0">
                  <c:v>9.1</c:v>
                </c:pt>
              </c:numCache>
            </c:numRef>
          </c:val>
          <c:smooth val="0"/>
          <c:extLst>
            <c:ext xmlns:c16="http://schemas.microsoft.com/office/drawing/2014/chart" uri="{C3380CC4-5D6E-409C-BE32-E72D297353CC}">
              <c16:uniqueId val="{00000003-C62B-425E-8437-ADFE6D1E8B8A}"/>
            </c:ext>
          </c:extLst>
        </c:ser>
        <c:ser>
          <c:idx val="2"/>
          <c:order val="4"/>
          <c:tx>
            <c:strRef>
              <c:f>'Ceny 2'!$E$5</c:f>
              <c:strCache>
                <c:ptCount val="1"/>
                <c:pt idx="0">
                  <c:v>Alkoholické nápoje a tabák</c:v>
                </c:pt>
              </c:strCache>
            </c:strRef>
          </c:tx>
          <c:spPr>
            <a:ln w="19050">
              <a:solidFill>
                <a:schemeClr val="accent2"/>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2'!$E$22:$E$43</c:f>
              <c:numCache>
                <c:formatCode>0.0</c:formatCode>
                <c:ptCount val="22"/>
                <c:pt idx="0">
                  <c:v>3.5</c:v>
                </c:pt>
                <c:pt idx="1">
                  <c:v>4.4000000000000057</c:v>
                </c:pt>
                <c:pt idx="2">
                  <c:v>4.5</c:v>
                </c:pt>
                <c:pt idx="3">
                  <c:v>5.2000000000000028</c:v>
                </c:pt>
                <c:pt idx="4" formatCode="General">
                  <c:v>3.4000000000000057</c:v>
                </c:pt>
                <c:pt idx="5" formatCode="General">
                  <c:v>0.79999999999999716</c:v>
                </c:pt>
                <c:pt idx="6">
                  <c:v>1.3</c:v>
                </c:pt>
                <c:pt idx="7">
                  <c:v>1.5</c:v>
                </c:pt>
                <c:pt idx="8">
                  <c:v>2.5</c:v>
                </c:pt>
                <c:pt idx="9">
                  <c:v>3.6</c:v>
                </c:pt>
                <c:pt idx="10">
                  <c:v>2.8</c:v>
                </c:pt>
                <c:pt idx="11">
                  <c:v>3.1</c:v>
                </c:pt>
                <c:pt idx="12">
                  <c:v>3.3</c:v>
                </c:pt>
                <c:pt idx="13">
                  <c:v>1.7</c:v>
                </c:pt>
                <c:pt idx="14">
                  <c:v>1.9</c:v>
                </c:pt>
                <c:pt idx="15">
                  <c:v>1.8</c:v>
                </c:pt>
                <c:pt idx="16" formatCode="General">
                  <c:v>3.5</c:v>
                </c:pt>
                <c:pt idx="17">
                  <c:v>6.6</c:v>
                </c:pt>
                <c:pt idx="18">
                  <c:v>10.3</c:v>
                </c:pt>
                <c:pt idx="19">
                  <c:v>9.9</c:v>
                </c:pt>
                <c:pt idx="20">
                  <c:v>9.9</c:v>
                </c:pt>
                <c:pt idx="21">
                  <c:v>9.8000000000000007</c:v>
                </c:pt>
              </c:numCache>
            </c:numRef>
          </c:val>
          <c:smooth val="0"/>
          <c:extLst>
            <c:ext xmlns:c16="http://schemas.microsoft.com/office/drawing/2014/chart" uri="{C3380CC4-5D6E-409C-BE32-E72D297353CC}">
              <c16:uniqueId val="{00000004-C62B-425E-8437-ADFE6D1E8B8A}"/>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'Ceny 2'!$H$22:$H$43</c:f>
              <c:numCache>
                <c:formatCode>###\ ###\ ##0.0</c:formatCode>
                <c:ptCount val="22"/>
                <c:pt idx="0">
                  <c:v>1.2000000000000028</c:v>
                </c:pt>
                <c:pt idx="1">
                  <c:v>1.0999999999999943</c:v>
                </c:pt>
                <c:pt idx="2">
                  <c:v>1.2000000000000028</c:v>
                </c:pt>
                <c:pt idx="3">
                  <c:v>2.7000000000000028</c:v>
                </c:pt>
                <c:pt idx="4">
                  <c:v>5.2000000000000028</c:v>
                </c:pt>
                <c:pt idx="5">
                  <c:v>5.7999999999999972</c:v>
                </c:pt>
                <c:pt idx="6">
                  <c:v>6.2999999999999972</c:v>
                </c:pt>
                <c:pt idx="7" formatCode="0.0">
                  <c:v>5.6</c:v>
                </c:pt>
                <c:pt idx="8" formatCode="0.0">
                  <c:v>3.5</c:v>
                </c:pt>
                <c:pt idx="9" formatCode="0.0">
                  <c:v>3.6</c:v>
                </c:pt>
                <c:pt idx="10" formatCode="0.0">
                  <c:v>3.5</c:v>
                </c:pt>
                <c:pt idx="11" formatCode="0.0">
                  <c:v>3.7</c:v>
                </c:pt>
                <c:pt idx="12" formatCode="0.0">
                  <c:v>3.8</c:v>
                </c:pt>
                <c:pt idx="13" formatCode="0.0">
                  <c:v>4</c:v>
                </c:pt>
                <c:pt idx="14" formatCode="0.0">
                  <c:v>4.5</c:v>
                </c:pt>
                <c:pt idx="15" formatCode="0.0">
                  <c:v>4.5999999999999996</c:v>
                </c:pt>
                <c:pt idx="16" formatCode="0.0">
                  <c:v>5.5</c:v>
                </c:pt>
                <c:pt idx="17" formatCode="0.0">
                  <c:v>5.0999999999999996</c:v>
                </c:pt>
                <c:pt idx="18" formatCode="0.0">
                  <c:v>4.9000000000000004</c:v>
                </c:pt>
                <c:pt idx="19" formatCode="0.0">
                  <c:v>4.3</c:v>
                </c:pt>
                <c:pt idx="20" formatCode="0.0">
                  <c:v>3</c:v>
                </c:pt>
                <c:pt idx="21" formatCode="0.0">
                  <c:v>2.9</c:v>
                </c:pt>
              </c:numCache>
            </c:numRef>
          </c:val>
          <c:smooth val="0"/>
          <c:extLst>
            <c:ext xmlns:c16="http://schemas.microsoft.com/office/drawing/2014/chart" uri="{C3380CC4-5D6E-409C-BE32-E72D297353CC}">
              <c16:uniqueId val="{00000005-C62B-425E-8437-ADFE6D1E8B8A}"/>
            </c:ext>
          </c:extLst>
        </c:ser>
        <c:dLbls>
          <c:showLegendKey val="0"/>
          <c:showVal val="0"/>
          <c:showCatName val="0"/>
          <c:showSerName val="0"/>
          <c:showPercent val="0"/>
          <c:showBubbleSize val="0"/>
        </c:dLbls>
        <c:marker val="1"/>
        <c:smooth val="0"/>
        <c:axId val="36595968"/>
        <c:axId val="36618240"/>
      </c:lineChart>
      <c:catAx>
        <c:axId val="36595968"/>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36618240"/>
        <c:crosses val="autoZero"/>
        <c:auto val="1"/>
        <c:lblAlgn val="ctr"/>
        <c:lblOffset val="100"/>
        <c:noMultiLvlLbl val="0"/>
      </c:catAx>
      <c:valAx>
        <c:axId val="36618240"/>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36595968"/>
        <c:crosses val="autoZero"/>
        <c:crossBetween val="between"/>
        <c:majorUnit val="1"/>
      </c:valAx>
      <c:spPr>
        <a:ln>
          <a:solidFill>
            <a:schemeClr val="tx1"/>
          </a:solidFill>
        </a:ln>
      </c:spPr>
    </c:plotArea>
    <c:legend>
      <c:legendPos val="b"/>
      <c:layout>
        <c:manualLayout>
          <c:xMode val="edge"/>
          <c:yMode val="edge"/>
          <c:x val="5.3882134414049307E-2"/>
          <c:y val="0.85444938788566116"/>
          <c:w val="0.92202296521445437"/>
          <c:h val="0.1381645293553171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461A-03B0-4E07-9B1A-D2B1BEB05746}">
  <ds:schemaRefs>
    <ds:schemaRef ds:uri="http://schemas.openxmlformats.org/officeDocument/2006/bibliography"/>
  </ds:schemaRefs>
</ds:datastoreItem>
</file>

<file path=customXml/itemProps2.xml><?xml version="1.0" encoding="utf-8"?>
<ds:datastoreItem xmlns:ds="http://schemas.openxmlformats.org/officeDocument/2006/customXml" ds:itemID="{85AD4086-14B5-4E3E-A030-772B1D9E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6</TotalTime>
  <Pages>36</Pages>
  <Words>12963</Words>
  <Characters>80760</Characters>
  <Application>Microsoft Office Word</Application>
  <DocSecurity>0</DocSecurity>
  <Lines>1442</Lines>
  <Paragraphs>918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92805</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3</cp:revision>
  <cp:lastPrinted>2019-04-08T10:52:00Z</cp:lastPrinted>
  <dcterms:created xsi:type="dcterms:W3CDTF">2021-09-14T08:33:00Z</dcterms:created>
  <dcterms:modified xsi:type="dcterms:W3CDTF">2021-09-14T08:40:00Z</dcterms:modified>
</cp:coreProperties>
</file>