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0A69" w14:textId="77777777" w:rsidR="001045F6" w:rsidRPr="001045F6" w:rsidRDefault="001045F6" w:rsidP="00CE4BC3">
      <w:pPr>
        <w:spacing w:after="240" w:line="288" w:lineRule="auto"/>
        <w:rPr>
          <w:rFonts w:eastAsia="MS Gothic"/>
          <w:b/>
          <w:bCs w:val="0"/>
          <w:i/>
          <w:color w:val="000000" w:themeColor="text1"/>
          <w:sz w:val="28"/>
          <w:szCs w:val="26"/>
          <w:lang w:val="en-GB"/>
        </w:rPr>
      </w:pPr>
      <w:r w:rsidRPr="001045F6">
        <w:rPr>
          <w:rFonts w:eastAsia="MS Gothic"/>
          <w:b/>
          <w:i/>
          <w:color w:val="000000" w:themeColor="text1"/>
          <w:sz w:val="28"/>
          <w:szCs w:val="26"/>
          <w:lang w:val="en-GB"/>
        </w:rPr>
        <w:t>Methodological notes</w:t>
      </w:r>
    </w:p>
    <w:p w14:paraId="281FB661" w14:textId="77777777" w:rsidR="0076296A" w:rsidRPr="0076296A" w:rsidRDefault="0076296A" w:rsidP="0076296A">
      <w:pPr>
        <w:spacing w:line="288" w:lineRule="auto"/>
        <w:rPr>
          <w:rFonts w:cs="Arial"/>
          <w:bCs w:val="0"/>
          <w:i/>
          <w:sz w:val="20"/>
          <w:lang w:val="en-GB"/>
        </w:rPr>
      </w:pPr>
      <w:r w:rsidRPr="0076296A">
        <w:rPr>
          <w:rFonts w:cs="Arial"/>
          <w:bCs w:val="0"/>
          <w:i/>
          <w:sz w:val="20"/>
          <w:lang w:val="en-GB"/>
        </w:rPr>
        <w:t xml:space="preserve">All data refer to citizens of </w:t>
      </w:r>
      <w:r w:rsidRPr="0076296A">
        <w:rPr>
          <w:i/>
          <w:sz w:val="20"/>
          <w:lang w:val="en-GB"/>
        </w:rPr>
        <w:t>Czechia</w:t>
      </w:r>
      <w:r w:rsidRPr="0076296A">
        <w:rPr>
          <w:rFonts w:cs="Arial"/>
          <w:bCs w:val="0"/>
          <w:i/>
          <w:sz w:val="20"/>
          <w:lang w:val="en-GB"/>
        </w:rPr>
        <w:t xml:space="preserve"> and foreigners with permanent residence in Czechia, third-country nationals with temporary residence in the territory of Czechia based on a long-term visa (over 90 days), nationals of the EU Member States, Norway, Switzerland, Iceland, Liechtenstein and their family members with notified temporary residence in the territory of Czechia and foreigners granted international protection in Czechia. Since 2022, persons granted temporary protection in Czechia with usual residence in Czechia have also been included in the population.</w:t>
      </w:r>
    </w:p>
    <w:p w14:paraId="63A47F34" w14:textId="77777777" w:rsidR="0076296A" w:rsidRPr="0076296A" w:rsidRDefault="0076296A" w:rsidP="0076296A">
      <w:pPr>
        <w:spacing w:after="240" w:line="288" w:lineRule="auto"/>
        <w:rPr>
          <w:rFonts w:cs="Arial"/>
          <w:bCs w:val="0"/>
          <w:i/>
          <w:sz w:val="20"/>
          <w:lang w:val="en-GB"/>
        </w:rPr>
      </w:pPr>
      <w:r w:rsidRPr="0076296A">
        <w:rPr>
          <w:rFonts w:cs="Arial"/>
          <w:bCs w:val="0"/>
          <w:i/>
          <w:sz w:val="20"/>
          <w:lang w:val="en-GB"/>
        </w:rPr>
        <w:t xml:space="preserve">For more detailed information see </w:t>
      </w:r>
      <w:hyperlink r:id="rId8" w:history="1">
        <w:r w:rsidRPr="0076296A">
          <w:rPr>
            <w:rFonts w:cs="Arial"/>
            <w:bCs w:val="0"/>
            <w:i/>
            <w:color w:val="0000FF"/>
            <w:sz w:val="20"/>
            <w:u w:val="single"/>
            <w:lang w:val="en-GB"/>
          </w:rPr>
          <w:t>https://csu.gov.cz/population-methodology</w:t>
        </w:r>
      </w:hyperlink>
      <w:r w:rsidRPr="0076296A">
        <w:rPr>
          <w:rFonts w:cs="Arial"/>
          <w:bCs w:val="0"/>
          <w:i/>
          <w:sz w:val="20"/>
          <w:lang w:val="en-GB"/>
        </w:rPr>
        <w:t>.</w:t>
      </w:r>
    </w:p>
    <w:p w14:paraId="38B0D12C" w14:textId="77777777" w:rsidR="0076296A" w:rsidRPr="0076296A" w:rsidRDefault="0076296A" w:rsidP="0076296A">
      <w:pPr>
        <w:spacing w:after="240" w:line="288" w:lineRule="auto"/>
        <w:rPr>
          <w:rFonts w:cs="Arial"/>
          <w:bCs w:val="0"/>
          <w:i/>
          <w:sz w:val="20"/>
          <w:szCs w:val="20"/>
          <w:lang w:val="en-GB"/>
        </w:rPr>
      </w:pPr>
      <w:r w:rsidRPr="0076296A">
        <w:rPr>
          <w:rFonts w:cs="Arial"/>
          <w:bCs w:val="0"/>
          <w:i/>
          <w:sz w:val="20"/>
          <w:lang w:val="en-GB"/>
        </w:rPr>
        <w:t>For definitions of demographic events and the most commonly, used demographic indicators see</w:t>
      </w:r>
      <w:r w:rsidRPr="0076296A">
        <w:rPr>
          <w:bCs w:val="0"/>
          <w:i/>
          <w:sz w:val="20"/>
          <w:lang w:val="en-GB"/>
        </w:rPr>
        <w:t xml:space="preserve"> </w:t>
      </w:r>
      <w:hyperlink r:id="rId9" w:history="1">
        <w:r w:rsidRPr="0076296A">
          <w:rPr>
            <w:bCs w:val="0"/>
            <w:i/>
            <w:color w:val="0000FF"/>
            <w:sz w:val="20"/>
            <w:u w:val="single"/>
          </w:rPr>
          <w:t>https://csu.gov.cz/population-change-methodology</w:t>
        </w:r>
      </w:hyperlink>
      <w:r w:rsidRPr="0076296A">
        <w:rPr>
          <w:bCs w:val="0"/>
          <w:i/>
          <w:sz w:val="20"/>
        </w:rPr>
        <w:t>.</w:t>
      </w:r>
      <w:r w:rsidRPr="0076296A">
        <w:rPr>
          <w:rFonts w:cs="Arial"/>
          <w:bCs w:val="0"/>
          <w:i/>
          <w:sz w:val="20"/>
          <w:lang w:val="en-GB"/>
        </w:rPr>
        <w:t xml:space="preserve"> </w:t>
      </w:r>
    </w:p>
    <w:p w14:paraId="7E9A81DC" w14:textId="77777777" w:rsidR="001045F6" w:rsidRPr="00CE4BC3" w:rsidRDefault="001045F6" w:rsidP="00CE4BC3">
      <w:pPr>
        <w:spacing w:after="240" w:line="288" w:lineRule="auto"/>
        <w:rPr>
          <w:rFonts w:cs="Arial"/>
          <w:i/>
          <w:sz w:val="20"/>
          <w:szCs w:val="20"/>
          <w:lang w:val="en-GB"/>
        </w:rPr>
      </w:pPr>
      <w:r w:rsidRPr="00CE4BC3">
        <w:rPr>
          <w:rFonts w:cs="Arial"/>
          <w:i/>
          <w:sz w:val="20"/>
          <w:szCs w:val="20"/>
          <w:lang w:val="en-GB"/>
        </w:rPr>
        <w:t xml:space="preserve">Age (in years, days) means completed age. </w:t>
      </w:r>
    </w:p>
    <w:p w14:paraId="0874CDC9" w14:textId="1B7AA590" w:rsidR="001045F6" w:rsidRPr="00CE4BC3" w:rsidRDefault="001045F6" w:rsidP="00CE4BC3">
      <w:pPr>
        <w:spacing w:after="240" w:line="288" w:lineRule="auto"/>
        <w:rPr>
          <w:rFonts w:cs="Arial"/>
          <w:i/>
          <w:sz w:val="20"/>
          <w:szCs w:val="20"/>
          <w:lang w:val="en-GB"/>
        </w:rPr>
      </w:pPr>
      <w:r w:rsidRPr="00CE4BC3">
        <w:rPr>
          <w:rStyle w:val="jlqj4b"/>
          <w:rFonts w:eastAsia="MS Gothic"/>
          <w:i/>
          <w:sz w:val="20"/>
          <w:szCs w:val="20"/>
          <w:lang w:val="en-GB"/>
        </w:rPr>
        <w:t xml:space="preserve">From 2021, the </w:t>
      </w:r>
      <w:r w:rsidRPr="00CE4BC3">
        <w:rPr>
          <w:rStyle w:val="jlqj4b"/>
          <w:rFonts w:eastAsia="MS Gothic"/>
          <w:b/>
          <w:i/>
          <w:sz w:val="20"/>
          <w:szCs w:val="20"/>
          <w:lang w:val="en-GB"/>
        </w:rPr>
        <w:t>territory of regions</w:t>
      </w:r>
      <w:r w:rsidRPr="00CE4BC3">
        <w:rPr>
          <w:rStyle w:val="jlqj4b"/>
          <w:rFonts w:eastAsia="MS Gothic"/>
          <w:i/>
          <w:sz w:val="20"/>
          <w:szCs w:val="20"/>
          <w:lang w:val="en-GB"/>
        </w:rPr>
        <w:t xml:space="preserve"> (NUTS 3) is defined by the Act No 51/2020 Sb, on the Territorial Administrative Division of the State.</w:t>
      </w:r>
      <w:r w:rsidRPr="00CE4BC3">
        <w:rPr>
          <w:rStyle w:val="viiyi"/>
          <w:rFonts w:eastAsia="MS Gothic"/>
          <w:i/>
          <w:sz w:val="20"/>
          <w:szCs w:val="20"/>
          <w:lang w:val="en-GB"/>
        </w:rPr>
        <w:t xml:space="preserve"> </w:t>
      </w:r>
      <w:r w:rsidRPr="00CE4BC3">
        <w:rPr>
          <w:rStyle w:val="jlqj4b"/>
          <w:rFonts w:eastAsia="MS Gothic"/>
          <w:i/>
          <w:sz w:val="20"/>
          <w:szCs w:val="20"/>
          <w:lang w:val="en-GB"/>
        </w:rPr>
        <w:t>Regions are defined by the Administrative Districts of Municipalities with</w:t>
      </w:r>
      <w:r w:rsidR="00FA0371">
        <w:rPr>
          <w:rStyle w:val="jlqj4b"/>
          <w:rFonts w:eastAsia="MS Gothic"/>
          <w:i/>
          <w:sz w:val="20"/>
          <w:szCs w:val="20"/>
          <w:lang w:val="en-GB"/>
        </w:rPr>
        <w:t> </w:t>
      </w:r>
      <w:r w:rsidRPr="00CE4BC3">
        <w:rPr>
          <w:rStyle w:val="jlqj4b"/>
          <w:rFonts w:eastAsia="MS Gothic"/>
          <w:i/>
          <w:sz w:val="20"/>
          <w:szCs w:val="20"/>
          <w:lang w:val="en-GB"/>
        </w:rPr>
        <w:t>Extended Powers (see Decree No 346/2020 Sb, on the determination of administrative districts of</w:t>
      </w:r>
      <w:r w:rsidR="00FA0371">
        <w:rPr>
          <w:rStyle w:val="jlqj4b"/>
          <w:rFonts w:eastAsia="MS Gothic"/>
          <w:i/>
          <w:sz w:val="20"/>
          <w:szCs w:val="20"/>
          <w:lang w:val="en-GB"/>
        </w:rPr>
        <w:t> </w:t>
      </w:r>
      <w:r w:rsidRPr="00CE4BC3">
        <w:rPr>
          <w:rStyle w:val="jlqj4b"/>
          <w:rFonts w:eastAsia="MS Gothic"/>
          <w:i/>
          <w:sz w:val="20"/>
          <w:szCs w:val="20"/>
          <w:lang w:val="en-GB"/>
        </w:rPr>
        <w:t>municipalities with extended powers, the territory of districts of the capital city of Prague and the inclusion of</w:t>
      </w:r>
      <w:r w:rsidR="00FA0371">
        <w:rPr>
          <w:rStyle w:val="jlqj4b"/>
          <w:rFonts w:eastAsia="MS Gothic"/>
          <w:i/>
          <w:sz w:val="20"/>
          <w:szCs w:val="20"/>
          <w:lang w:val="en-GB"/>
        </w:rPr>
        <w:t> </w:t>
      </w:r>
      <w:r w:rsidRPr="00CE4BC3">
        <w:rPr>
          <w:rStyle w:val="jlqj4b"/>
          <w:rFonts w:eastAsia="MS Gothic"/>
          <w:i/>
          <w:sz w:val="20"/>
          <w:szCs w:val="20"/>
          <w:lang w:val="en-GB"/>
        </w:rPr>
        <w:t>certain municipalities to another district).</w:t>
      </w:r>
    </w:p>
    <w:p w14:paraId="04074B0D" w14:textId="7EE7FDF7" w:rsidR="001045F6" w:rsidRPr="00CE4BC3" w:rsidRDefault="001045F6" w:rsidP="00CE4BC3">
      <w:pPr>
        <w:spacing w:after="240" w:line="288" w:lineRule="auto"/>
        <w:rPr>
          <w:rFonts w:cs="Arial"/>
          <w:i/>
          <w:sz w:val="20"/>
          <w:szCs w:val="20"/>
          <w:lang w:val="en-GB"/>
        </w:rPr>
      </w:pPr>
      <w:r w:rsidRPr="00CE4BC3">
        <w:rPr>
          <w:rFonts w:cs="Arial"/>
          <w:i/>
          <w:sz w:val="20"/>
          <w:szCs w:val="20"/>
          <w:lang w:val="en-GB"/>
        </w:rPr>
        <w:t>The publication contains data on the population and population change of the individual regions (and the Czech Republic) in the ten-year time series 201</w:t>
      </w:r>
      <w:r w:rsidR="001B1F22">
        <w:rPr>
          <w:rFonts w:cs="Arial"/>
          <w:i/>
          <w:sz w:val="20"/>
          <w:szCs w:val="20"/>
          <w:lang w:val="en-GB"/>
        </w:rPr>
        <w:t>6</w:t>
      </w:r>
      <w:r w:rsidR="00200837">
        <w:rPr>
          <w:rFonts w:cs="Arial"/>
          <w:i/>
          <w:sz w:val="20"/>
          <w:szCs w:val="20"/>
          <w:lang w:val="en-GB"/>
        </w:rPr>
        <w:t>–</w:t>
      </w:r>
      <w:r w:rsidRPr="00CE4BC3">
        <w:rPr>
          <w:rFonts w:cs="Arial"/>
          <w:i/>
          <w:sz w:val="20"/>
          <w:szCs w:val="20"/>
          <w:lang w:val="en-GB"/>
        </w:rPr>
        <w:t>202</w:t>
      </w:r>
      <w:r w:rsidR="001B1F22">
        <w:rPr>
          <w:rFonts w:cs="Arial"/>
          <w:i/>
          <w:sz w:val="20"/>
          <w:szCs w:val="20"/>
          <w:lang w:val="en-GB"/>
        </w:rPr>
        <w:t>5</w:t>
      </w:r>
      <w:r w:rsidRPr="00CE4BC3">
        <w:rPr>
          <w:i/>
          <w:sz w:val="20"/>
          <w:szCs w:val="20"/>
          <w:lang w:val="en-GB"/>
        </w:rPr>
        <w:t xml:space="preserve"> </w:t>
      </w:r>
      <w:r w:rsidRPr="00CE4BC3">
        <w:rPr>
          <w:rFonts w:cs="Arial"/>
          <w:i/>
          <w:sz w:val="20"/>
          <w:szCs w:val="20"/>
          <w:lang w:val="en-GB"/>
        </w:rPr>
        <w:t xml:space="preserve">with all data referring to the </w:t>
      </w:r>
      <w:r w:rsidRPr="00CE4BC3">
        <w:rPr>
          <w:rFonts w:cs="Arial"/>
          <w:b/>
          <w:i/>
          <w:sz w:val="20"/>
          <w:szCs w:val="20"/>
          <w:lang w:val="en-GB"/>
        </w:rPr>
        <w:t>territory of a given region</w:t>
      </w:r>
      <w:r w:rsidRPr="00CE4BC3">
        <w:rPr>
          <w:rFonts w:cs="Arial"/>
          <w:i/>
          <w:sz w:val="20"/>
          <w:szCs w:val="20"/>
          <w:lang w:val="en-GB"/>
        </w:rPr>
        <w:t xml:space="preserve"> valid </w:t>
      </w:r>
      <w:r w:rsidRPr="00CE4BC3">
        <w:rPr>
          <w:rFonts w:cs="Arial"/>
          <w:b/>
          <w:i/>
          <w:sz w:val="20"/>
          <w:szCs w:val="20"/>
          <w:lang w:val="en-GB"/>
        </w:rPr>
        <w:t>as of 1 January 202</w:t>
      </w:r>
      <w:r w:rsidR="001B1F22">
        <w:rPr>
          <w:rFonts w:cs="Arial"/>
          <w:b/>
          <w:i/>
          <w:sz w:val="20"/>
          <w:szCs w:val="20"/>
          <w:lang w:val="en-GB"/>
        </w:rPr>
        <w:t>6</w:t>
      </w:r>
      <w:r w:rsidRPr="00CE4BC3">
        <w:rPr>
          <w:rFonts w:cs="Arial"/>
          <w:i/>
          <w:sz w:val="20"/>
          <w:szCs w:val="20"/>
          <w:lang w:val="en-GB"/>
        </w:rPr>
        <w:t>. The presented data for individual regions are thus fully comparable over</w:t>
      </w:r>
      <w:r w:rsidR="00FA0371">
        <w:rPr>
          <w:rFonts w:cs="Arial"/>
          <w:i/>
          <w:sz w:val="20"/>
          <w:szCs w:val="20"/>
          <w:lang w:val="en-GB"/>
        </w:rPr>
        <w:t> </w:t>
      </w:r>
      <w:r w:rsidRPr="00CE4BC3">
        <w:rPr>
          <w:rFonts w:cs="Arial"/>
          <w:i/>
          <w:sz w:val="20"/>
          <w:szCs w:val="20"/>
          <w:lang w:val="en-GB"/>
        </w:rPr>
        <w:t>time</w:t>
      </w:r>
      <w:r w:rsidRPr="00CE4BC3">
        <w:rPr>
          <w:rStyle w:val="Znakapoznpodarou"/>
          <w:rFonts w:cs="Arial"/>
          <w:i/>
          <w:sz w:val="20"/>
          <w:szCs w:val="20"/>
          <w:lang w:val="en-GB"/>
        </w:rPr>
        <w:footnoteReference w:id="1"/>
      </w:r>
      <w:r w:rsidRPr="00CE4BC3">
        <w:rPr>
          <w:rFonts w:cs="Arial"/>
          <w:i/>
          <w:sz w:val="20"/>
          <w:szCs w:val="20"/>
          <w:lang w:val="en-GB"/>
        </w:rPr>
        <w:t xml:space="preserve">. </w:t>
      </w:r>
    </w:p>
    <w:p w14:paraId="4943FE2B" w14:textId="4C02787B" w:rsidR="001045F6" w:rsidRPr="00CE4BC3" w:rsidRDefault="001045F6" w:rsidP="00CE4BC3">
      <w:pPr>
        <w:spacing w:after="240" w:line="288" w:lineRule="auto"/>
        <w:rPr>
          <w:rFonts w:cs="Arial"/>
          <w:i/>
          <w:sz w:val="20"/>
          <w:szCs w:val="20"/>
          <w:lang w:val="en-GB"/>
        </w:rPr>
      </w:pPr>
      <w:r w:rsidRPr="00CE4BC3">
        <w:rPr>
          <w:rFonts w:cs="Arial"/>
          <w:i/>
          <w:sz w:val="20"/>
          <w:szCs w:val="20"/>
          <w:lang w:val="en-GB"/>
        </w:rPr>
        <w:t>Marriages are territorially classified according to the groom's place of residence (unless otherwise stated).  The average age of the groom/bride at marriage is based on the distribution of the number of marriages by</w:t>
      </w:r>
      <w:r w:rsidR="00FA0371">
        <w:rPr>
          <w:rFonts w:cs="Arial"/>
          <w:i/>
          <w:sz w:val="20"/>
          <w:szCs w:val="20"/>
          <w:lang w:val="en-GB"/>
        </w:rPr>
        <w:t> </w:t>
      </w:r>
      <w:r w:rsidRPr="00CE4BC3">
        <w:rPr>
          <w:rFonts w:cs="Arial"/>
          <w:i/>
          <w:sz w:val="20"/>
          <w:szCs w:val="20"/>
          <w:lang w:val="en-GB"/>
        </w:rPr>
        <w:t xml:space="preserve">age of groom/bride. </w:t>
      </w:r>
    </w:p>
    <w:p w14:paraId="507A8C24" w14:textId="20BC5D1D" w:rsidR="001045F6" w:rsidRPr="00CE4BC3" w:rsidRDefault="001045F6" w:rsidP="00CE4BC3">
      <w:pPr>
        <w:spacing w:after="240" w:line="288" w:lineRule="auto"/>
        <w:rPr>
          <w:rFonts w:cs="Arial"/>
          <w:i/>
          <w:sz w:val="20"/>
          <w:szCs w:val="20"/>
          <w:lang w:val="en-GB"/>
        </w:rPr>
      </w:pPr>
      <w:r w:rsidRPr="00CE4BC3">
        <w:rPr>
          <w:rFonts w:cs="Arial"/>
          <w:i/>
          <w:sz w:val="20"/>
          <w:szCs w:val="20"/>
          <w:lang w:val="en-GB"/>
        </w:rPr>
        <w:t>Divorces are territorially classified according to the last common residence of the married couple. The</w:t>
      </w:r>
      <w:r w:rsidR="00FA0371">
        <w:rPr>
          <w:rFonts w:cs="Arial"/>
          <w:i/>
          <w:sz w:val="20"/>
          <w:szCs w:val="20"/>
          <w:lang w:val="en-GB"/>
        </w:rPr>
        <w:t> </w:t>
      </w:r>
      <w:r w:rsidRPr="00CE4BC3">
        <w:rPr>
          <w:rFonts w:cs="Arial"/>
          <w:i/>
          <w:sz w:val="20"/>
          <w:szCs w:val="20"/>
          <w:lang w:val="en-GB"/>
        </w:rPr>
        <w:t>duration of the marriage is based on the date of the marriage and the date when divorce became legally effective. The average age of the man/woman at divorce is based on the distribution of the number of</w:t>
      </w:r>
      <w:r w:rsidR="00FA0371">
        <w:rPr>
          <w:rFonts w:cs="Arial"/>
          <w:i/>
          <w:sz w:val="20"/>
          <w:szCs w:val="20"/>
          <w:lang w:val="en-GB"/>
        </w:rPr>
        <w:t> </w:t>
      </w:r>
      <w:r w:rsidRPr="00CE4BC3">
        <w:rPr>
          <w:rFonts w:cs="Arial"/>
          <w:i/>
          <w:sz w:val="20"/>
          <w:szCs w:val="20"/>
          <w:lang w:val="en-GB"/>
        </w:rPr>
        <w:t xml:space="preserve">divorces by age of man/woman. </w:t>
      </w:r>
    </w:p>
    <w:p w14:paraId="085F16BA" w14:textId="588999BB" w:rsidR="001045F6" w:rsidRPr="00CE4BC3" w:rsidRDefault="001045F6" w:rsidP="00CE4BC3">
      <w:pPr>
        <w:spacing w:after="240" w:line="288" w:lineRule="auto"/>
        <w:rPr>
          <w:rFonts w:cs="Arial"/>
          <w:i/>
          <w:sz w:val="20"/>
          <w:szCs w:val="20"/>
          <w:lang w:val="en-GB"/>
        </w:rPr>
      </w:pPr>
      <w:r w:rsidRPr="00CE4BC3">
        <w:rPr>
          <w:rFonts w:cs="Arial"/>
          <w:i/>
          <w:sz w:val="20"/>
          <w:szCs w:val="20"/>
          <w:lang w:val="en-GB"/>
        </w:rPr>
        <w:t xml:space="preserve">The births are territorially classified according to the mother's place of residence at the time of birth. </w:t>
      </w:r>
      <w:r w:rsidR="007515A0">
        <w:rPr>
          <w:rFonts w:cs="Arial"/>
          <w:i/>
          <w:sz w:val="20"/>
          <w:szCs w:val="20"/>
          <w:lang w:val="en-GB"/>
        </w:rPr>
        <w:t>T</w:t>
      </w:r>
      <w:r w:rsidRPr="00CE4BC3">
        <w:rPr>
          <w:rFonts w:cs="Arial"/>
          <w:i/>
          <w:sz w:val="20"/>
          <w:szCs w:val="20"/>
          <w:lang w:val="en-GB"/>
        </w:rPr>
        <w:t>he birth order is collected only for live births and from live births.</w:t>
      </w:r>
      <w:r w:rsidR="00BC115B">
        <w:rPr>
          <w:rFonts w:cs="Arial"/>
          <w:i/>
          <w:sz w:val="20"/>
          <w:szCs w:val="20"/>
          <w:lang w:val="en-GB"/>
        </w:rPr>
        <w:t xml:space="preserve"> T</w:t>
      </w:r>
      <w:r w:rsidR="007D028E" w:rsidRPr="007D028E">
        <w:rPr>
          <w:rFonts w:cs="Arial"/>
          <w:i/>
          <w:sz w:val="20"/>
          <w:szCs w:val="20"/>
          <w:lang w:val="en-GB"/>
        </w:rPr>
        <w:t xml:space="preserve">he average age of mother at childbirth </w:t>
      </w:r>
      <w:r w:rsidR="007D028E">
        <w:rPr>
          <w:rFonts w:cs="Arial"/>
          <w:i/>
          <w:sz w:val="20"/>
          <w:szCs w:val="20"/>
          <w:lang w:val="en-GB"/>
        </w:rPr>
        <w:t xml:space="preserve">is </w:t>
      </w:r>
      <w:r w:rsidR="007D028E" w:rsidRPr="007D028E">
        <w:rPr>
          <w:rFonts w:cs="Arial"/>
          <w:i/>
          <w:sz w:val="20"/>
          <w:szCs w:val="20"/>
          <w:lang w:val="en-GB"/>
        </w:rPr>
        <w:t>based on the distribution of the age-specific fertility rates</w:t>
      </w:r>
      <w:r w:rsidR="007D028E">
        <w:rPr>
          <w:rFonts w:cs="Arial"/>
          <w:i/>
          <w:sz w:val="20"/>
          <w:szCs w:val="20"/>
          <w:lang w:val="en-GB"/>
        </w:rPr>
        <w:t>.</w:t>
      </w:r>
      <w:r w:rsidR="007D028E" w:rsidRPr="007D028E">
        <w:t xml:space="preserve"> </w:t>
      </w:r>
      <w:r w:rsidR="007D028E" w:rsidRPr="00BC115B">
        <w:rPr>
          <w:rFonts w:cs="Arial"/>
          <w:i/>
          <w:sz w:val="20"/>
          <w:szCs w:val="20"/>
          <w:lang w:val="en-GB"/>
        </w:rPr>
        <w:t xml:space="preserve">Unlike other CZSO outputs, age-specific fertility </w:t>
      </w:r>
      <w:r w:rsidR="00BC115B" w:rsidRPr="00BC115B">
        <w:rPr>
          <w:rFonts w:cs="Arial"/>
          <w:i/>
          <w:sz w:val="20"/>
          <w:szCs w:val="20"/>
          <w:lang w:val="en-GB"/>
        </w:rPr>
        <w:t>calculated here for the regions (NUTS</w:t>
      </w:r>
      <w:r w:rsidR="00BC115B">
        <w:rPr>
          <w:rFonts w:cs="Arial"/>
          <w:i/>
          <w:sz w:val="20"/>
          <w:szCs w:val="20"/>
          <w:lang w:val="en-GB"/>
        </w:rPr>
        <w:t xml:space="preserve"> </w:t>
      </w:r>
      <w:r w:rsidR="00BC115B" w:rsidRPr="00BC115B">
        <w:rPr>
          <w:rFonts w:cs="Arial"/>
          <w:i/>
          <w:sz w:val="20"/>
          <w:szCs w:val="20"/>
          <w:lang w:val="en-GB"/>
        </w:rPr>
        <w:t xml:space="preserve">3) </w:t>
      </w:r>
      <w:r w:rsidR="007D028E" w:rsidRPr="00BC115B">
        <w:rPr>
          <w:rFonts w:cs="Arial"/>
          <w:i/>
          <w:sz w:val="20"/>
          <w:szCs w:val="20"/>
          <w:lang w:val="en-GB"/>
        </w:rPr>
        <w:t xml:space="preserve">are based on the </w:t>
      </w:r>
      <w:r w:rsidR="001772D6">
        <w:rPr>
          <w:rFonts w:cs="Arial"/>
          <w:i/>
          <w:sz w:val="20"/>
          <w:szCs w:val="20"/>
          <w:lang w:val="en-GB"/>
        </w:rPr>
        <w:t>average population</w:t>
      </w:r>
      <w:r w:rsidR="007D028E" w:rsidRPr="00BC115B">
        <w:rPr>
          <w:rFonts w:cs="Arial"/>
          <w:i/>
          <w:sz w:val="20"/>
          <w:szCs w:val="20"/>
          <w:lang w:val="en-GB"/>
        </w:rPr>
        <w:t xml:space="preserve"> of women in the relevant age group calculated as the simple average of the </w:t>
      </w:r>
      <w:r w:rsidR="00BC115B" w:rsidRPr="00BC115B">
        <w:rPr>
          <w:rFonts w:cs="Arial"/>
          <w:i/>
          <w:sz w:val="20"/>
          <w:szCs w:val="20"/>
          <w:lang w:val="en-GB"/>
        </w:rPr>
        <w:t xml:space="preserve">population </w:t>
      </w:r>
      <w:r w:rsidR="007D028E" w:rsidRPr="00BC115B">
        <w:rPr>
          <w:rFonts w:cs="Arial"/>
          <w:i/>
          <w:sz w:val="20"/>
          <w:szCs w:val="20"/>
          <w:lang w:val="en-GB"/>
        </w:rPr>
        <w:t>stocks</w:t>
      </w:r>
      <w:r w:rsidR="00BC115B" w:rsidRPr="00BC115B">
        <w:rPr>
          <w:rFonts w:cs="Arial"/>
          <w:i/>
          <w:sz w:val="20"/>
          <w:szCs w:val="20"/>
          <w:lang w:val="en-GB"/>
        </w:rPr>
        <w:t xml:space="preserve"> of women</w:t>
      </w:r>
      <w:r w:rsidR="007D028E" w:rsidRPr="00BC115B">
        <w:rPr>
          <w:rFonts w:cs="Arial"/>
          <w:i/>
          <w:sz w:val="20"/>
          <w:szCs w:val="20"/>
          <w:lang w:val="en-GB"/>
        </w:rPr>
        <w:t xml:space="preserve"> as at 1 January and 31 December in the relevant year (i.e. the sum of these </w:t>
      </w:r>
      <w:r w:rsidR="001772D6">
        <w:rPr>
          <w:rFonts w:cs="Arial"/>
          <w:i/>
          <w:sz w:val="20"/>
          <w:szCs w:val="20"/>
          <w:lang w:val="en-GB"/>
        </w:rPr>
        <w:t>average population</w:t>
      </w:r>
      <w:r w:rsidR="00BC115B" w:rsidRPr="00BC115B">
        <w:rPr>
          <w:rFonts w:cs="Arial"/>
          <w:i/>
          <w:sz w:val="20"/>
          <w:szCs w:val="20"/>
          <w:lang w:val="en-GB"/>
        </w:rPr>
        <w:t xml:space="preserve"> </w:t>
      </w:r>
      <w:r w:rsidR="007D028E" w:rsidRPr="00BC115B">
        <w:rPr>
          <w:rFonts w:cs="Arial"/>
          <w:i/>
          <w:sz w:val="20"/>
          <w:szCs w:val="20"/>
          <w:lang w:val="en-GB"/>
        </w:rPr>
        <w:t>counts by age is not equal to the mid-year number balanced as at 1 July).</w:t>
      </w:r>
      <w:r w:rsidR="00235923" w:rsidRPr="00BC115B">
        <w:t xml:space="preserve"> </w:t>
      </w:r>
      <w:r w:rsidR="00235923" w:rsidRPr="00BC115B">
        <w:rPr>
          <w:rFonts w:cs="Arial"/>
          <w:i/>
          <w:sz w:val="20"/>
          <w:szCs w:val="20"/>
          <w:lang w:val="en-GB"/>
        </w:rPr>
        <w:t>The total fertility rate is obtained from the rates calculated in this way.</w:t>
      </w:r>
    </w:p>
    <w:p w14:paraId="52860262" w14:textId="77777777" w:rsidR="0076296A" w:rsidRPr="0076296A" w:rsidRDefault="0076296A" w:rsidP="0076296A">
      <w:pPr>
        <w:spacing w:before="240" w:after="240" w:line="288" w:lineRule="auto"/>
        <w:rPr>
          <w:rFonts w:cs="Arial"/>
          <w:bCs w:val="0"/>
          <w:i/>
          <w:sz w:val="20"/>
          <w:lang w:val="en-GB"/>
        </w:rPr>
      </w:pPr>
      <w:r w:rsidRPr="0076296A">
        <w:rPr>
          <w:rFonts w:cs="Arial"/>
          <w:bCs w:val="0"/>
          <w:i/>
          <w:sz w:val="20"/>
          <w:lang w:val="en-GB"/>
        </w:rPr>
        <w:t>Abortions are territorially classified according to the woman</w:t>
      </w:r>
      <w:r w:rsidRPr="0076296A">
        <w:rPr>
          <w:rFonts w:cs="Arial"/>
          <w:bCs w:val="0"/>
          <w:i/>
          <w:sz w:val="20"/>
          <w:szCs w:val="20"/>
          <w:lang w:val="en-GB"/>
        </w:rPr>
        <w:t>'</w:t>
      </w:r>
      <w:r w:rsidRPr="0076296A">
        <w:rPr>
          <w:rFonts w:cs="Arial"/>
          <w:bCs w:val="0"/>
          <w:i/>
          <w:sz w:val="20"/>
          <w:lang w:val="en-GB"/>
        </w:rPr>
        <w:t>s place of residence at the time of the abortion. The time series ends in 2023, as from 2024, abortions are no longer included in the demographic statistics processed by the Czech Statistical Office.</w:t>
      </w:r>
    </w:p>
    <w:p w14:paraId="101E13FE" w14:textId="6C978775" w:rsidR="001045F6" w:rsidRPr="00CE4BC3" w:rsidRDefault="001045F6" w:rsidP="00CE4BC3">
      <w:pPr>
        <w:spacing w:after="240" w:line="288" w:lineRule="auto"/>
        <w:rPr>
          <w:rFonts w:cs="Arial"/>
          <w:i/>
          <w:sz w:val="20"/>
          <w:szCs w:val="20"/>
          <w:lang w:val="en-GB"/>
        </w:rPr>
      </w:pPr>
      <w:r w:rsidRPr="00CE4BC3">
        <w:rPr>
          <w:rFonts w:cs="Arial"/>
          <w:i/>
          <w:sz w:val="20"/>
          <w:szCs w:val="20"/>
          <w:lang w:val="en-GB"/>
        </w:rPr>
        <w:lastRenderedPageBreak/>
        <w:t>Life expectancy is an indicator of life tables, which the Czech Statistical Office computes for individual regions for two-year calendar periods to exclude random fluctuations. The figure for 202</w:t>
      </w:r>
      <w:r w:rsidR="001B1F22">
        <w:rPr>
          <w:rFonts w:cs="Arial"/>
          <w:i/>
          <w:sz w:val="20"/>
          <w:szCs w:val="20"/>
          <w:lang w:val="en-GB"/>
        </w:rPr>
        <w:t>5</w:t>
      </w:r>
      <w:r w:rsidRPr="00CE4BC3">
        <w:rPr>
          <w:rFonts w:cs="Arial"/>
          <w:i/>
          <w:sz w:val="20"/>
          <w:szCs w:val="20"/>
          <w:lang w:val="en-GB"/>
        </w:rPr>
        <w:t xml:space="preserve"> relates to the life table for the period 20</w:t>
      </w:r>
      <w:r w:rsidR="00AF78FE">
        <w:rPr>
          <w:rFonts w:cs="Arial"/>
          <w:i/>
          <w:sz w:val="20"/>
          <w:szCs w:val="20"/>
          <w:lang w:val="en-GB"/>
        </w:rPr>
        <w:t>2</w:t>
      </w:r>
      <w:r w:rsidR="001B1F22">
        <w:rPr>
          <w:rFonts w:cs="Arial"/>
          <w:i/>
          <w:sz w:val="20"/>
          <w:szCs w:val="20"/>
          <w:lang w:val="en-GB"/>
        </w:rPr>
        <w:t>4</w:t>
      </w:r>
      <w:r w:rsidR="001F788A">
        <w:rPr>
          <w:rFonts w:cs="Arial"/>
          <w:i/>
          <w:sz w:val="20"/>
          <w:szCs w:val="20"/>
          <w:lang w:val="en-GB"/>
        </w:rPr>
        <w:t>–</w:t>
      </w:r>
      <w:r w:rsidRPr="00CE4BC3">
        <w:rPr>
          <w:rFonts w:cs="Arial"/>
          <w:i/>
          <w:sz w:val="20"/>
          <w:szCs w:val="20"/>
          <w:lang w:val="en-GB"/>
        </w:rPr>
        <w:t>202</w:t>
      </w:r>
      <w:r w:rsidR="001B1F22">
        <w:rPr>
          <w:rFonts w:cs="Arial"/>
          <w:i/>
          <w:sz w:val="20"/>
          <w:szCs w:val="20"/>
          <w:lang w:val="en-GB"/>
        </w:rPr>
        <w:t>5</w:t>
      </w:r>
      <w:r w:rsidRPr="00CE4BC3">
        <w:rPr>
          <w:rFonts w:cs="Arial"/>
          <w:i/>
          <w:sz w:val="20"/>
          <w:szCs w:val="20"/>
          <w:lang w:val="en-GB"/>
        </w:rPr>
        <w:t>, etc. For the Czech Republic, life expectancies ​​are based on one-year life tables.</w:t>
      </w:r>
    </w:p>
    <w:p w14:paraId="0FCE46CD" w14:textId="77777777" w:rsidR="001045F6" w:rsidRPr="00CE4BC3" w:rsidRDefault="001045F6" w:rsidP="00CE4BC3">
      <w:pPr>
        <w:spacing w:after="240" w:line="288" w:lineRule="auto"/>
        <w:contextualSpacing/>
        <w:rPr>
          <w:rFonts w:cs="Arial"/>
          <w:i/>
          <w:sz w:val="20"/>
          <w:szCs w:val="20"/>
          <w:lang w:val="en-GB"/>
        </w:rPr>
      </w:pPr>
      <w:r w:rsidRPr="00CE4BC3">
        <w:rPr>
          <w:rFonts w:cs="Arial"/>
          <w:i/>
          <w:sz w:val="20"/>
          <w:szCs w:val="20"/>
          <w:lang w:val="en-GB"/>
        </w:rPr>
        <w:t>Symbols used in the tables:</w:t>
      </w:r>
    </w:p>
    <w:p w14:paraId="777EEE07" w14:textId="77777777" w:rsidR="001045F6" w:rsidRPr="00CE4BC3" w:rsidRDefault="001045F6" w:rsidP="001045F6">
      <w:pPr>
        <w:ind w:left="357"/>
        <w:contextualSpacing/>
        <w:rPr>
          <w:i/>
          <w:sz w:val="20"/>
          <w:szCs w:val="20"/>
          <w:lang w:val="en-GB"/>
        </w:rPr>
      </w:pPr>
    </w:p>
    <w:p w14:paraId="5B7E6E4A" w14:textId="77777777" w:rsidR="001045F6" w:rsidRPr="00CE4BC3" w:rsidRDefault="001045F6" w:rsidP="001045F6">
      <w:pPr>
        <w:contextualSpacing/>
        <w:rPr>
          <w:i/>
          <w:sz w:val="20"/>
          <w:szCs w:val="20"/>
          <w:lang w:val="en-GB"/>
        </w:rPr>
      </w:pPr>
      <w:r w:rsidRPr="00CE4BC3">
        <w:rPr>
          <w:i/>
          <w:sz w:val="20"/>
          <w:szCs w:val="20"/>
          <w:lang w:val="en-GB"/>
        </w:rPr>
        <w:t xml:space="preserve">Hyphen (-) </w:t>
      </w:r>
      <w:r w:rsidRPr="00CE4BC3">
        <w:rPr>
          <w:i/>
          <w:sz w:val="20"/>
          <w:szCs w:val="20"/>
          <w:lang w:val="en-GB"/>
        </w:rPr>
        <w:tab/>
        <w:t>in place of the number indicates that the phenomenon did not occur</w:t>
      </w:r>
    </w:p>
    <w:p w14:paraId="1C59EE84" w14:textId="77777777" w:rsidR="001045F6" w:rsidRPr="00CE4BC3" w:rsidRDefault="001045F6" w:rsidP="001045F6">
      <w:pPr>
        <w:contextualSpacing/>
        <w:rPr>
          <w:i/>
          <w:sz w:val="20"/>
          <w:szCs w:val="20"/>
          <w:lang w:val="en-GB"/>
        </w:rPr>
      </w:pPr>
      <w:r w:rsidRPr="00CE4BC3">
        <w:rPr>
          <w:i/>
          <w:sz w:val="20"/>
          <w:szCs w:val="20"/>
          <w:lang w:val="en-GB"/>
        </w:rPr>
        <w:t>Dot (.)</w:t>
      </w:r>
      <w:r w:rsidRPr="00CE4BC3">
        <w:rPr>
          <w:i/>
          <w:sz w:val="20"/>
          <w:szCs w:val="20"/>
          <w:lang w:val="en-GB"/>
        </w:rPr>
        <w:tab/>
      </w:r>
      <w:r w:rsidRPr="00CE4BC3">
        <w:rPr>
          <w:i/>
          <w:sz w:val="20"/>
          <w:szCs w:val="20"/>
          <w:lang w:val="en-GB"/>
        </w:rPr>
        <w:tab/>
        <w:t>in place of the number indicates that the data is not available or is unreliable</w:t>
      </w:r>
    </w:p>
    <w:p w14:paraId="5F92434B" w14:textId="55676CBF" w:rsidR="00206735" w:rsidRPr="00CE4BC3" w:rsidRDefault="001045F6" w:rsidP="00CE4BC3">
      <w:pPr>
        <w:ind w:left="1418" w:hanging="1418"/>
        <w:contextualSpacing/>
        <w:rPr>
          <w:i/>
          <w:sz w:val="20"/>
          <w:szCs w:val="20"/>
          <w:lang w:val="en-GB"/>
        </w:rPr>
      </w:pPr>
      <w:r w:rsidRPr="00CE4BC3">
        <w:rPr>
          <w:i/>
          <w:sz w:val="20"/>
          <w:szCs w:val="20"/>
          <w:lang w:val="en-GB"/>
        </w:rPr>
        <w:t>Letter (x)</w:t>
      </w:r>
      <w:r w:rsidRPr="00CE4BC3">
        <w:rPr>
          <w:i/>
          <w:sz w:val="20"/>
          <w:szCs w:val="20"/>
          <w:lang w:val="en-GB"/>
        </w:rPr>
        <w:tab/>
        <w:t>a horizontal cross in place of the number indicates that record is not possible for logical reasons</w:t>
      </w:r>
    </w:p>
    <w:sectPr w:rsidR="00206735" w:rsidRPr="00CE4BC3" w:rsidSect="00437D90">
      <w:headerReference w:type="even" r:id="rId10"/>
      <w:headerReference w:type="default" r:id="rId11"/>
      <w:footerReference w:type="even" r:id="rId12"/>
      <w:footerReference w:type="default" r:id="rId13"/>
      <w:type w:val="continuous"/>
      <w:pgSz w:w="11907" w:h="16840" w:code="9"/>
      <w:pgMar w:top="1134" w:right="1134" w:bottom="1418" w:left="1134" w:header="510" w:footer="680" w:gutter="0"/>
      <w:pgNumType w:start="5"/>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3B48D" w14:textId="77777777" w:rsidR="006B52DE" w:rsidRDefault="006B52DE" w:rsidP="00152720">
      <w:r>
        <w:separator/>
      </w:r>
    </w:p>
  </w:endnote>
  <w:endnote w:type="continuationSeparator" w:id="0">
    <w:p w14:paraId="522C5E2D" w14:textId="77777777" w:rsidR="006B52DE" w:rsidRDefault="006B52DE" w:rsidP="00152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Times New Roman"/>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CF9CE" w14:textId="05335D8B" w:rsidR="00F37084" w:rsidRDefault="00437D90" w:rsidP="00437D90">
    <w:pPr>
      <w:pStyle w:val="Zpat"/>
      <w:tabs>
        <w:tab w:val="left" w:pos="255"/>
        <w:tab w:val="center" w:pos="4819"/>
      </w:tabs>
    </w:pPr>
    <w:r>
      <w:fldChar w:fldCharType="begin"/>
    </w:r>
    <w:r>
      <w:instrText>PAGE   \* MERGEFORMAT</w:instrText>
    </w:r>
    <w:r>
      <w:fldChar w:fldCharType="separate"/>
    </w:r>
    <w:r w:rsidR="001772D6">
      <w:rPr>
        <w:noProof/>
      </w:rPr>
      <w:t>6</w:t>
    </w:r>
    <w:r>
      <w:fldChar w:fldCharType="end"/>
    </w:r>
    <w:r>
      <w:tab/>
    </w:r>
    <w:r>
      <w:tab/>
    </w:r>
    <w:r w:rsidR="005779C7">
      <w:t>201</w:t>
    </w:r>
    <w:r w:rsidR="001B1F22">
      <w:t>6</w:t>
    </w:r>
    <w:r w:rsidR="00200837">
      <w:t>–</w:t>
    </w:r>
    <w:r w:rsidR="00F37084">
      <w:t>202</w:t>
    </w:r>
    <w:r w:rsidR="001B1F22">
      <w:t>5</w:t>
    </w:r>
    <w:r w:rsidR="00FC6C48">
      <w:tab/>
    </w:r>
    <w:r w:rsidR="00FC6C48">
      <w:t xml:space="preserve">ČSÚ / </w:t>
    </w:r>
    <w:r w:rsidR="00FC6C48" w:rsidRPr="00FC6C48">
      <w:rPr>
        <w:i/>
        <w:iCs/>
      </w:rPr>
      <w:t>CZSO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26FC2" w14:textId="6949F837" w:rsidR="00F37084" w:rsidRDefault="00FC6C48" w:rsidP="00437D90">
    <w:pPr>
      <w:pStyle w:val="Zpat"/>
      <w:tabs>
        <w:tab w:val="center" w:pos="4819"/>
        <w:tab w:val="right" w:pos="9639"/>
      </w:tabs>
    </w:pPr>
    <w:r>
      <w:t xml:space="preserve">ČSÚ / </w:t>
    </w:r>
    <w:r w:rsidRPr="00FC6C48">
      <w:rPr>
        <w:i/>
        <w:iCs/>
      </w:rPr>
      <w:t>CZSO</w:t>
    </w:r>
    <w:r w:rsidR="00437D90">
      <w:tab/>
    </w:r>
    <w:r w:rsidR="00490B5F">
      <w:t>201</w:t>
    </w:r>
    <w:r w:rsidR="001B1F22">
      <w:t>6</w:t>
    </w:r>
    <w:r w:rsidR="00200837">
      <w:t>–</w:t>
    </w:r>
    <w:r w:rsidR="00F37084">
      <w:t>202</w:t>
    </w:r>
    <w:r w:rsidR="001B1F22">
      <w:t>5</w:t>
    </w:r>
    <w:r w:rsidR="00437D90">
      <w:tab/>
    </w:r>
    <w:r w:rsidR="00437D90">
      <w:tab/>
    </w:r>
    <w:r w:rsidR="00437D90">
      <w:fldChar w:fldCharType="begin"/>
    </w:r>
    <w:r w:rsidR="00437D90">
      <w:instrText>PAGE   \* MERGEFORMAT</w:instrText>
    </w:r>
    <w:r w:rsidR="00437D90">
      <w:fldChar w:fldCharType="separate"/>
    </w:r>
    <w:r w:rsidR="001772D6">
      <w:rPr>
        <w:noProof/>
      </w:rPr>
      <w:t>5</w:t>
    </w:r>
    <w:r w:rsidR="00437D9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BE023" w14:textId="77777777" w:rsidR="006B52DE" w:rsidRDefault="006B52DE" w:rsidP="00152720">
      <w:r>
        <w:separator/>
      </w:r>
    </w:p>
  </w:footnote>
  <w:footnote w:type="continuationSeparator" w:id="0">
    <w:p w14:paraId="0BCDD26D" w14:textId="77777777" w:rsidR="006B52DE" w:rsidRDefault="006B52DE" w:rsidP="00152720">
      <w:r>
        <w:continuationSeparator/>
      </w:r>
    </w:p>
  </w:footnote>
  <w:footnote w:id="1">
    <w:p w14:paraId="05634DC3" w14:textId="77777777" w:rsidR="001045F6" w:rsidRPr="00E75754" w:rsidRDefault="001045F6" w:rsidP="001045F6">
      <w:pPr>
        <w:rPr>
          <w:rFonts w:cs="Arial"/>
          <w:i/>
          <w:sz w:val="18"/>
          <w:szCs w:val="18"/>
        </w:rPr>
      </w:pPr>
      <w:r w:rsidRPr="00E75754">
        <w:rPr>
          <w:rStyle w:val="Znakapoznpodarou"/>
          <w:i/>
          <w:sz w:val="18"/>
          <w:szCs w:val="18"/>
        </w:rPr>
        <w:footnoteRef/>
      </w:r>
      <w:r w:rsidRPr="00E75754">
        <w:rPr>
          <w:i/>
          <w:sz w:val="18"/>
          <w:szCs w:val="18"/>
        </w:rPr>
        <w:t xml:space="preserve"> </w:t>
      </w:r>
      <w:r w:rsidRPr="00E75754">
        <w:rPr>
          <w:i/>
          <w:sz w:val="18"/>
          <w:szCs w:val="18"/>
          <w:lang w:val="en-GB"/>
        </w:rPr>
        <w:t xml:space="preserve">In the case of a change in the territorial </w:t>
      </w:r>
      <w:r>
        <w:rPr>
          <w:i/>
          <w:sz w:val="18"/>
          <w:szCs w:val="18"/>
          <w:lang w:val="en-GB"/>
        </w:rPr>
        <w:t>determination</w:t>
      </w:r>
      <w:r w:rsidRPr="00E75754">
        <w:rPr>
          <w:i/>
          <w:sz w:val="18"/>
          <w:szCs w:val="18"/>
          <w:lang w:val="en-GB"/>
        </w:rPr>
        <w:t xml:space="preserve"> of a region in a given time series, the data presented here </w:t>
      </w:r>
      <w:r>
        <w:rPr>
          <w:i/>
          <w:sz w:val="18"/>
          <w:szCs w:val="18"/>
          <w:lang w:val="en-GB"/>
        </w:rPr>
        <w:t>for</w:t>
      </w:r>
      <w:r w:rsidRPr="00E75754">
        <w:rPr>
          <w:i/>
          <w:sz w:val="18"/>
          <w:szCs w:val="18"/>
          <w:lang w:val="en-GB"/>
        </w:rPr>
        <w:t xml:space="preserve"> the years </w:t>
      </w:r>
      <w:r>
        <w:rPr>
          <w:i/>
          <w:sz w:val="18"/>
          <w:szCs w:val="18"/>
          <w:lang w:val="en-GB"/>
        </w:rPr>
        <w:t>prior to</w:t>
      </w:r>
      <w:r w:rsidRPr="00E75754">
        <w:rPr>
          <w:i/>
          <w:sz w:val="18"/>
          <w:szCs w:val="18"/>
          <w:lang w:val="en-GB"/>
        </w:rPr>
        <w:t xml:space="preserve"> this change differ from the data presented in other outputs of demographic statistics </w:t>
      </w:r>
      <w:r>
        <w:rPr>
          <w:i/>
          <w:sz w:val="18"/>
          <w:szCs w:val="18"/>
          <w:lang w:val="en-GB"/>
        </w:rPr>
        <w:t xml:space="preserve">of the Czech Statistical Office </w:t>
      </w:r>
      <w:r w:rsidRPr="00E75754">
        <w:rPr>
          <w:i/>
          <w:sz w:val="18"/>
          <w:szCs w:val="18"/>
          <w:lang w:val="en-GB"/>
        </w:rPr>
        <w:t xml:space="preserve">and </w:t>
      </w:r>
      <w:r>
        <w:rPr>
          <w:i/>
          <w:sz w:val="18"/>
          <w:szCs w:val="18"/>
          <w:lang w:val="en-GB"/>
        </w:rPr>
        <w:t xml:space="preserve">in </w:t>
      </w:r>
      <w:r w:rsidRPr="00E75754">
        <w:rPr>
          <w:i/>
          <w:sz w:val="18"/>
          <w:szCs w:val="18"/>
          <w:lang w:val="en-GB"/>
        </w:rPr>
        <w:t xml:space="preserve">the </w:t>
      </w:r>
      <w:proofErr w:type="gramStart"/>
      <w:r>
        <w:rPr>
          <w:i/>
          <w:sz w:val="18"/>
          <w:szCs w:val="18"/>
          <w:lang w:val="en-GB"/>
        </w:rPr>
        <w:t>P</w:t>
      </w:r>
      <w:r w:rsidRPr="00E75754">
        <w:rPr>
          <w:i/>
          <w:sz w:val="18"/>
          <w:szCs w:val="18"/>
          <w:lang w:val="en-GB"/>
        </w:rPr>
        <w:t>ublic</w:t>
      </w:r>
      <w:proofErr w:type="gramEnd"/>
      <w:r w:rsidRPr="00E75754">
        <w:rPr>
          <w:i/>
          <w:sz w:val="18"/>
          <w:szCs w:val="18"/>
          <w:lang w:val="en-GB"/>
        </w:rPr>
        <w:t xml:space="preserve"> database for </w:t>
      </w:r>
      <w:r>
        <w:rPr>
          <w:i/>
          <w:sz w:val="18"/>
          <w:szCs w:val="18"/>
          <w:lang w:val="en-GB"/>
        </w:rPr>
        <w:t>a</w:t>
      </w:r>
      <w:r w:rsidRPr="00E75754">
        <w:rPr>
          <w:i/>
          <w:sz w:val="18"/>
          <w:szCs w:val="18"/>
          <w:lang w:val="en-GB"/>
        </w:rPr>
        <w:t xml:space="preserve"> given region and year.</w:t>
      </w:r>
      <w:r w:rsidRPr="00E75754">
        <w:rPr>
          <w:i/>
          <w:sz w:val="18"/>
          <w:szCs w:val="18"/>
        </w:rPr>
        <w:t xml:space="preserve"> </w:t>
      </w:r>
    </w:p>
    <w:p w14:paraId="4DAADA4D" w14:textId="77777777" w:rsidR="001045F6" w:rsidRDefault="001045F6" w:rsidP="001045F6">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74431" w14:textId="5570A281" w:rsidR="00F37084" w:rsidRDefault="00F37084" w:rsidP="00152720">
    <w:pPr>
      <w:autoSpaceDE w:val="0"/>
      <w:autoSpaceDN w:val="0"/>
      <w:adjustRightInd w:val="0"/>
      <w:rPr>
        <w:rFonts w:cs="Arial"/>
        <w:szCs w:val="16"/>
      </w:rPr>
    </w:pPr>
    <w:r>
      <w:rPr>
        <w:rFonts w:cs="Arial"/>
        <w:szCs w:val="16"/>
      </w:rPr>
      <w:t xml:space="preserve">Demografická ročenka </w:t>
    </w:r>
    <w:r w:rsidR="00BA1813">
      <w:rPr>
        <w:rFonts w:cs="Arial"/>
        <w:szCs w:val="16"/>
      </w:rPr>
      <w:t>krajů</w:t>
    </w:r>
  </w:p>
  <w:p w14:paraId="718FE1D1" w14:textId="610DDD38" w:rsidR="00F37084" w:rsidRDefault="00BA1813" w:rsidP="00BA1813">
    <w:pPr>
      <w:pStyle w:val="Zhlav"/>
    </w:pPr>
    <w:r w:rsidRPr="003C31BE">
      <w:rPr>
        <w:i/>
        <w:lang w:val="en-US"/>
      </w:rPr>
      <w:t>Demographic Yearbook of the Regions of the Czech Republic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D3468" w14:textId="77777777" w:rsidR="00CA5127" w:rsidRDefault="00CA5127" w:rsidP="00CA5127">
    <w:pPr>
      <w:pStyle w:val="Zhlav"/>
    </w:pPr>
    <w:r w:rsidRPr="00E97C22">
      <w:t>Demografická ročenka krajů</w:t>
    </w:r>
  </w:p>
  <w:p w14:paraId="22903E91" w14:textId="77777777" w:rsidR="00CA5127" w:rsidRPr="003C31BE" w:rsidRDefault="00CA5127" w:rsidP="00CA5127">
    <w:pPr>
      <w:pStyle w:val="Zhlav"/>
      <w:rPr>
        <w:i/>
        <w:lang w:val="en-US"/>
      </w:rPr>
    </w:pPr>
    <w:r w:rsidRPr="003C31BE">
      <w:rPr>
        <w:i/>
        <w:lang w:val="en-US"/>
      </w:rPr>
      <w:t>Demographic Yearbook of the Regions of the Czech Republic</w:t>
    </w:r>
  </w:p>
  <w:p w14:paraId="475FBD55" w14:textId="5138F935" w:rsidR="00F37084" w:rsidRPr="00CA5127" w:rsidRDefault="00F37084" w:rsidP="00CA5127">
    <w:pPr>
      <w:pStyle w:val="Zhlav"/>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C458C"/>
    <w:multiLevelType w:val="hybridMultilevel"/>
    <w:tmpl w:val="EB7CAF24"/>
    <w:lvl w:ilvl="0" w:tplc="E2A2F63C">
      <w:start w:val="1"/>
      <w:numFmt w:val="upperRoman"/>
      <w:lvlText w:val="%1."/>
      <w:lvlJc w:val="left"/>
      <w:pPr>
        <w:tabs>
          <w:tab w:val="num" w:pos="1080"/>
        </w:tabs>
        <w:ind w:left="1080" w:hanging="72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1F4C57E6"/>
    <w:multiLevelType w:val="hybridMultilevel"/>
    <w:tmpl w:val="A2BEEBDE"/>
    <w:lvl w:ilvl="0" w:tplc="38E6427A">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1857688035">
    <w:abstractNumId w:val="1"/>
  </w:num>
  <w:num w:numId="2" w16cid:durableId="1041977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C75"/>
    <w:rsid w:val="0000233A"/>
    <w:rsid w:val="000141E4"/>
    <w:rsid w:val="00023455"/>
    <w:rsid w:val="00045DE7"/>
    <w:rsid w:val="00063818"/>
    <w:rsid w:val="00070148"/>
    <w:rsid w:val="00087006"/>
    <w:rsid w:val="000A6604"/>
    <w:rsid w:val="000C5743"/>
    <w:rsid w:val="000F4355"/>
    <w:rsid w:val="00102254"/>
    <w:rsid w:val="001045F6"/>
    <w:rsid w:val="00104A48"/>
    <w:rsid w:val="001057EE"/>
    <w:rsid w:val="001132DD"/>
    <w:rsid w:val="0014058E"/>
    <w:rsid w:val="00140FEA"/>
    <w:rsid w:val="00152720"/>
    <w:rsid w:val="00155509"/>
    <w:rsid w:val="00163D39"/>
    <w:rsid w:val="001772D6"/>
    <w:rsid w:val="00185C4C"/>
    <w:rsid w:val="00187E16"/>
    <w:rsid w:val="0019371A"/>
    <w:rsid w:val="001B1F22"/>
    <w:rsid w:val="001C09C5"/>
    <w:rsid w:val="001C5912"/>
    <w:rsid w:val="001C6FB8"/>
    <w:rsid w:val="001D09C2"/>
    <w:rsid w:val="001D15E1"/>
    <w:rsid w:val="001E2D7F"/>
    <w:rsid w:val="001E732F"/>
    <w:rsid w:val="001F788A"/>
    <w:rsid w:val="00200837"/>
    <w:rsid w:val="00206735"/>
    <w:rsid w:val="002337FE"/>
    <w:rsid w:val="00234749"/>
    <w:rsid w:val="00235923"/>
    <w:rsid w:val="00241985"/>
    <w:rsid w:val="00243B6E"/>
    <w:rsid w:val="002455A1"/>
    <w:rsid w:val="00247E09"/>
    <w:rsid w:val="00254D2D"/>
    <w:rsid w:val="002A15AC"/>
    <w:rsid w:val="002A18C0"/>
    <w:rsid w:val="002C1B9C"/>
    <w:rsid w:val="002D73B7"/>
    <w:rsid w:val="003013C4"/>
    <w:rsid w:val="00313832"/>
    <w:rsid w:val="00324DF2"/>
    <w:rsid w:val="00330E79"/>
    <w:rsid w:val="00336315"/>
    <w:rsid w:val="00342C82"/>
    <w:rsid w:val="00350953"/>
    <w:rsid w:val="003537F4"/>
    <w:rsid w:val="00362011"/>
    <w:rsid w:val="003931A3"/>
    <w:rsid w:val="003955AD"/>
    <w:rsid w:val="00395752"/>
    <w:rsid w:val="003C1959"/>
    <w:rsid w:val="003D7850"/>
    <w:rsid w:val="003E12C3"/>
    <w:rsid w:val="003E19A7"/>
    <w:rsid w:val="003E280E"/>
    <w:rsid w:val="003F6FC3"/>
    <w:rsid w:val="0040338A"/>
    <w:rsid w:val="004054E1"/>
    <w:rsid w:val="00412F87"/>
    <w:rsid w:val="00415088"/>
    <w:rsid w:val="00422C96"/>
    <w:rsid w:val="00432F86"/>
    <w:rsid w:val="00435C8C"/>
    <w:rsid w:val="00437D90"/>
    <w:rsid w:val="00441B7B"/>
    <w:rsid w:val="00451B79"/>
    <w:rsid w:val="00475B9D"/>
    <w:rsid w:val="004831C9"/>
    <w:rsid w:val="00483FC3"/>
    <w:rsid w:val="00485D4D"/>
    <w:rsid w:val="00490B5F"/>
    <w:rsid w:val="00495566"/>
    <w:rsid w:val="0049754C"/>
    <w:rsid w:val="004A771D"/>
    <w:rsid w:val="004B1137"/>
    <w:rsid w:val="004C4E07"/>
    <w:rsid w:val="004C657F"/>
    <w:rsid w:val="004E0B9D"/>
    <w:rsid w:val="004F5CA0"/>
    <w:rsid w:val="005148D3"/>
    <w:rsid w:val="0052521E"/>
    <w:rsid w:val="00544127"/>
    <w:rsid w:val="00546A4C"/>
    <w:rsid w:val="0055314D"/>
    <w:rsid w:val="00557F83"/>
    <w:rsid w:val="00560082"/>
    <w:rsid w:val="005655DF"/>
    <w:rsid w:val="005779C7"/>
    <w:rsid w:val="00582119"/>
    <w:rsid w:val="00583213"/>
    <w:rsid w:val="005A4B57"/>
    <w:rsid w:val="005A7BDC"/>
    <w:rsid w:val="005C3AE0"/>
    <w:rsid w:val="005D6AC1"/>
    <w:rsid w:val="005D7A7E"/>
    <w:rsid w:val="005E2B7A"/>
    <w:rsid w:val="005E55BD"/>
    <w:rsid w:val="005F5DCB"/>
    <w:rsid w:val="005F63F9"/>
    <w:rsid w:val="00610D40"/>
    <w:rsid w:val="00612A9B"/>
    <w:rsid w:val="00625035"/>
    <w:rsid w:val="006325F7"/>
    <w:rsid w:val="0064207F"/>
    <w:rsid w:val="00642F14"/>
    <w:rsid w:val="0065294A"/>
    <w:rsid w:val="006738B6"/>
    <w:rsid w:val="006A0DDE"/>
    <w:rsid w:val="006B52DE"/>
    <w:rsid w:val="006C396D"/>
    <w:rsid w:val="006C4140"/>
    <w:rsid w:val="006D2E83"/>
    <w:rsid w:val="006D4F22"/>
    <w:rsid w:val="006D7769"/>
    <w:rsid w:val="006E1273"/>
    <w:rsid w:val="00701696"/>
    <w:rsid w:val="00702EB7"/>
    <w:rsid w:val="007039FA"/>
    <w:rsid w:val="00750E81"/>
    <w:rsid w:val="007510D3"/>
    <w:rsid w:val="007515A0"/>
    <w:rsid w:val="0076296A"/>
    <w:rsid w:val="007749CC"/>
    <w:rsid w:val="00792326"/>
    <w:rsid w:val="007A12D0"/>
    <w:rsid w:val="007A7622"/>
    <w:rsid w:val="007B1794"/>
    <w:rsid w:val="007C30BF"/>
    <w:rsid w:val="007C7E92"/>
    <w:rsid w:val="007D028E"/>
    <w:rsid w:val="007D374C"/>
    <w:rsid w:val="007F08BC"/>
    <w:rsid w:val="007F25E1"/>
    <w:rsid w:val="007F4914"/>
    <w:rsid w:val="008049F0"/>
    <w:rsid w:val="00806FC3"/>
    <w:rsid w:val="00810BC8"/>
    <w:rsid w:val="00825461"/>
    <w:rsid w:val="0084530A"/>
    <w:rsid w:val="00845C4D"/>
    <w:rsid w:val="008472FC"/>
    <w:rsid w:val="00853149"/>
    <w:rsid w:val="00860F8C"/>
    <w:rsid w:val="00870DC7"/>
    <w:rsid w:val="00880991"/>
    <w:rsid w:val="008846E8"/>
    <w:rsid w:val="00884B15"/>
    <w:rsid w:val="008A289F"/>
    <w:rsid w:val="008A35DB"/>
    <w:rsid w:val="008D2195"/>
    <w:rsid w:val="008D54E4"/>
    <w:rsid w:val="008E5339"/>
    <w:rsid w:val="008F3BE5"/>
    <w:rsid w:val="008F578F"/>
    <w:rsid w:val="0090194E"/>
    <w:rsid w:val="00927B0A"/>
    <w:rsid w:val="00934B3C"/>
    <w:rsid w:val="0094460D"/>
    <w:rsid w:val="00953D15"/>
    <w:rsid w:val="0096260F"/>
    <w:rsid w:val="009631B8"/>
    <w:rsid w:val="00966497"/>
    <w:rsid w:val="00971335"/>
    <w:rsid w:val="00974F4D"/>
    <w:rsid w:val="00976FC4"/>
    <w:rsid w:val="0098174C"/>
    <w:rsid w:val="00983EA5"/>
    <w:rsid w:val="009A5D2D"/>
    <w:rsid w:val="009C2D9D"/>
    <w:rsid w:val="009D1C08"/>
    <w:rsid w:val="009D25A7"/>
    <w:rsid w:val="009D3F94"/>
    <w:rsid w:val="009D470E"/>
    <w:rsid w:val="009E6556"/>
    <w:rsid w:val="009F0157"/>
    <w:rsid w:val="009F143B"/>
    <w:rsid w:val="009F5941"/>
    <w:rsid w:val="00A23E64"/>
    <w:rsid w:val="00A30079"/>
    <w:rsid w:val="00A41A93"/>
    <w:rsid w:val="00A561C2"/>
    <w:rsid w:val="00A82B67"/>
    <w:rsid w:val="00A934C8"/>
    <w:rsid w:val="00AB3C75"/>
    <w:rsid w:val="00AF78FE"/>
    <w:rsid w:val="00B01D2E"/>
    <w:rsid w:val="00B33C18"/>
    <w:rsid w:val="00B355C2"/>
    <w:rsid w:val="00B42DAD"/>
    <w:rsid w:val="00B45607"/>
    <w:rsid w:val="00B50A77"/>
    <w:rsid w:val="00B56010"/>
    <w:rsid w:val="00B601F9"/>
    <w:rsid w:val="00B839CC"/>
    <w:rsid w:val="00B84473"/>
    <w:rsid w:val="00BA1813"/>
    <w:rsid w:val="00BA5DC2"/>
    <w:rsid w:val="00BA6589"/>
    <w:rsid w:val="00BB7924"/>
    <w:rsid w:val="00BC115B"/>
    <w:rsid w:val="00BC21F1"/>
    <w:rsid w:val="00BD6B63"/>
    <w:rsid w:val="00BD6D22"/>
    <w:rsid w:val="00BE04B1"/>
    <w:rsid w:val="00C04DFA"/>
    <w:rsid w:val="00C0701D"/>
    <w:rsid w:val="00C12C67"/>
    <w:rsid w:val="00C16A64"/>
    <w:rsid w:val="00C17ED9"/>
    <w:rsid w:val="00C42B69"/>
    <w:rsid w:val="00C47785"/>
    <w:rsid w:val="00C513EA"/>
    <w:rsid w:val="00C51EC4"/>
    <w:rsid w:val="00C5645C"/>
    <w:rsid w:val="00C73AEE"/>
    <w:rsid w:val="00C76A16"/>
    <w:rsid w:val="00C92999"/>
    <w:rsid w:val="00C947BB"/>
    <w:rsid w:val="00CA5127"/>
    <w:rsid w:val="00CB037A"/>
    <w:rsid w:val="00CB5162"/>
    <w:rsid w:val="00CC740A"/>
    <w:rsid w:val="00CC7B4E"/>
    <w:rsid w:val="00CE0FC8"/>
    <w:rsid w:val="00CE4BC3"/>
    <w:rsid w:val="00CF5FB2"/>
    <w:rsid w:val="00D04E4E"/>
    <w:rsid w:val="00D06BE1"/>
    <w:rsid w:val="00D327E0"/>
    <w:rsid w:val="00D354FF"/>
    <w:rsid w:val="00D35B73"/>
    <w:rsid w:val="00D45CDF"/>
    <w:rsid w:val="00D62190"/>
    <w:rsid w:val="00D733DB"/>
    <w:rsid w:val="00D9181E"/>
    <w:rsid w:val="00D918FD"/>
    <w:rsid w:val="00D92050"/>
    <w:rsid w:val="00DA12D2"/>
    <w:rsid w:val="00DC186F"/>
    <w:rsid w:val="00DC4C5C"/>
    <w:rsid w:val="00DF2799"/>
    <w:rsid w:val="00E0740C"/>
    <w:rsid w:val="00E109C6"/>
    <w:rsid w:val="00E1599C"/>
    <w:rsid w:val="00E20BEA"/>
    <w:rsid w:val="00E27CBB"/>
    <w:rsid w:val="00E304D3"/>
    <w:rsid w:val="00E6373C"/>
    <w:rsid w:val="00E72BB2"/>
    <w:rsid w:val="00E7768A"/>
    <w:rsid w:val="00E93362"/>
    <w:rsid w:val="00E96B27"/>
    <w:rsid w:val="00EA560C"/>
    <w:rsid w:val="00EB084D"/>
    <w:rsid w:val="00ED2054"/>
    <w:rsid w:val="00F02235"/>
    <w:rsid w:val="00F066A2"/>
    <w:rsid w:val="00F21228"/>
    <w:rsid w:val="00F37084"/>
    <w:rsid w:val="00F551E6"/>
    <w:rsid w:val="00F55741"/>
    <w:rsid w:val="00F87C60"/>
    <w:rsid w:val="00F94E75"/>
    <w:rsid w:val="00FA0371"/>
    <w:rsid w:val="00FA6D0B"/>
    <w:rsid w:val="00FB11D9"/>
    <w:rsid w:val="00FB2382"/>
    <w:rsid w:val="00FC3786"/>
    <w:rsid w:val="00FC4355"/>
    <w:rsid w:val="00FC49B4"/>
    <w:rsid w:val="00FC6C48"/>
    <w:rsid w:val="00FE10E6"/>
    <w:rsid w:val="00FF0554"/>
    <w:rsid w:val="00FF0820"/>
    <w:rsid w:val="00FF3DA7"/>
    <w:rsid w:val="00FF775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02C2AF"/>
  <w15:docId w15:val="{3E80D10F-9BE3-4953-A954-9F396FB3B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70148"/>
    <w:rPr>
      <w:rFonts w:ascii="Arial" w:hAnsi="Arial"/>
      <w:bCs/>
      <w:sz w:val="16"/>
      <w:szCs w:val="24"/>
    </w:rPr>
  </w:style>
  <w:style w:type="paragraph" w:styleId="Nadpis1">
    <w:name w:val="heading 1"/>
    <w:basedOn w:val="Normln"/>
    <w:next w:val="Normln"/>
    <w:qFormat/>
    <w:rsid w:val="00070148"/>
    <w:pPr>
      <w:keepNext/>
      <w:outlineLvl w:val="0"/>
    </w:pPr>
    <w:rPr>
      <w:rFonts w:cs="Arial"/>
      <w:b/>
      <w:sz w:val="28"/>
    </w:rPr>
  </w:style>
  <w:style w:type="paragraph" w:styleId="Nadpis2">
    <w:name w:val="heading 2"/>
    <w:basedOn w:val="Normln"/>
    <w:next w:val="Normln"/>
    <w:qFormat/>
    <w:rsid w:val="00070148"/>
    <w:pPr>
      <w:keepNext/>
      <w:outlineLvl w:val="1"/>
    </w:pPr>
    <w:rPr>
      <w:rFonts w:cs="Arial"/>
      <w:b/>
      <w:sz w:val="20"/>
    </w:rPr>
  </w:style>
  <w:style w:type="paragraph" w:styleId="Nadpis3">
    <w:name w:val="heading 3"/>
    <w:basedOn w:val="Normln"/>
    <w:next w:val="Normln"/>
    <w:qFormat/>
    <w:rsid w:val="00070148"/>
    <w:pPr>
      <w:keepNext/>
      <w:pageBreakBefore/>
      <w:jc w:val="both"/>
      <w:outlineLvl w:val="2"/>
    </w:pPr>
    <w:rPr>
      <w:b/>
      <w:bCs w:val="0"/>
      <w:sz w:val="20"/>
      <w:szCs w:val="22"/>
    </w:rPr>
  </w:style>
  <w:style w:type="paragraph" w:styleId="Nadpis4">
    <w:name w:val="heading 4"/>
    <w:basedOn w:val="Normln"/>
    <w:next w:val="Normln"/>
    <w:qFormat/>
    <w:rsid w:val="00070148"/>
    <w:pPr>
      <w:keepNext/>
      <w:jc w:val="both"/>
      <w:outlineLvl w:val="3"/>
    </w:pPr>
    <w:rPr>
      <w:b/>
      <w:bCs w:val="0"/>
      <w:sz w:val="22"/>
      <w:szCs w:val="22"/>
    </w:rPr>
  </w:style>
  <w:style w:type="paragraph" w:styleId="Nadpis5">
    <w:name w:val="heading 5"/>
    <w:basedOn w:val="Normln"/>
    <w:next w:val="Normln"/>
    <w:qFormat/>
    <w:rsid w:val="00070148"/>
    <w:pPr>
      <w:keepNext/>
      <w:ind w:firstLine="708"/>
      <w:jc w:val="both"/>
      <w:outlineLvl w:val="4"/>
    </w:pPr>
    <w:rPr>
      <w:b/>
      <w:bCs w:val="0"/>
      <w:sz w:val="20"/>
      <w:szCs w:val="22"/>
      <w:lang w:val="en-US"/>
    </w:rPr>
  </w:style>
  <w:style w:type="paragraph" w:styleId="Nadpis6">
    <w:name w:val="heading 6"/>
    <w:basedOn w:val="Normln"/>
    <w:next w:val="Normln"/>
    <w:qFormat/>
    <w:rsid w:val="00070148"/>
    <w:pPr>
      <w:keepNext/>
      <w:jc w:val="both"/>
      <w:outlineLvl w:val="5"/>
    </w:pPr>
    <w:rPr>
      <w:color w:val="FF0000"/>
      <w:sz w:val="20"/>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semiHidden/>
    <w:rsid w:val="00070148"/>
    <w:rPr>
      <w:sz w:val="22"/>
      <w:szCs w:val="22"/>
      <w:lang w:val="en-US"/>
    </w:rPr>
  </w:style>
  <w:style w:type="paragraph" w:styleId="Zkladntext2">
    <w:name w:val="Body Text 2"/>
    <w:basedOn w:val="Normln"/>
    <w:semiHidden/>
    <w:rsid w:val="00070148"/>
    <w:pPr>
      <w:jc w:val="both"/>
    </w:pPr>
    <w:rPr>
      <w:sz w:val="22"/>
    </w:rPr>
  </w:style>
  <w:style w:type="paragraph" w:styleId="Normlnweb">
    <w:name w:val="Normal (Web)"/>
    <w:basedOn w:val="Normln"/>
    <w:semiHidden/>
    <w:rsid w:val="00070148"/>
    <w:pPr>
      <w:spacing w:before="100" w:beforeAutospacing="1" w:after="100" w:afterAutospacing="1"/>
    </w:pPr>
    <w:rPr>
      <w:rFonts w:ascii="Times New Roman" w:hAnsi="Times New Roman"/>
      <w:bCs w:val="0"/>
      <w:sz w:val="24"/>
    </w:rPr>
  </w:style>
  <w:style w:type="paragraph" w:styleId="Zkladntextodsazen">
    <w:name w:val="Body Text Indent"/>
    <w:basedOn w:val="Normln"/>
    <w:semiHidden/>
    <w:rsid w:val="00070148"/>
    <w:pPr>
      <w:ind w:firstLine="708"/>
      <w:jc w:val="both"/>
    </w:pPr>
    <w:rPr>
      <w:sz w:val="22"/>
    </w:rPr>
  </w:style>
  <w:style w:type="paragraph" w:styleId="Zkladntext3">
    <w:name w:val="Body Text 3"/>
    <w:basedOn w:val="Normln"/>
    <w:semiHidden/>
    <w:rsid w:val="00070148"/>
    <w:pPr>
      <w:jc w:val="both"/>
    </w:pPr>
    <w:rPr>
      <w:sz w:val="20"/>
      <w:szCs w:val="22"/>
    </w:rPr>
  </w:style>
  <w:style w:type="paragraph" w:styleId="Zkladntextodsazen2">
    <w:name w:val="Body Text Indent 2"/>
    <w:basedOn w:val="Normln"/>
    <w:semiHidden/>
    <w:rsid w:val="00070148"/>
    <w:pPr>
      <w:ind w:firstLine="540"/>
      <w:jc w:val="both"/>
    </w:pPr>
    <w:rPr>
      <w:bCs w:val="0"/>
      <w:sz w:val="24"/>
    </w:rPr>
  </w:style>
  <w:style w:type="paragraph" w:styleId="Zkladntextodsazen3">
    <w:name w:val="Body Text Indent 3"/>
    <w:basedOn w:val="Normln"/>
    <w:semiHidden/>
    <w:rsid w:val="00070148"/>
    <w:pPr>
      <w:ind w:firstLine="708"/>
      <w:jc w:val="both"/>
    </w:pPr>
    <w:rPr>
      <w:color w:val="3366FF"/>
      <w:sz w:val="20"/>
    </w:rPr>
  </w:style>
  <w:style w:type="character" w:styleId="Odkaznakoment">
    <w:name w:val="annotation reference"/>
    <w:semiHidden/>
    <w:rsid w:val="00070148"/>
    <w:rPr>
      <w:sz w:val="16"/>
      <w:szCs w:val="16"/>
    </w:rPr>
  </w:style>
  <w:style w:type="paragraph" w:styleId="Textkomente">
    <w:name w:val="annotation text"/>
    <w:basedOn w:val="Normln"/>
    <w:link w:val="TextkomenteChar"/>
    <w:semiHidden/>
    <w:rsid w:val="00070148"/>
    <w:rPr>
      <w:sz w:val="20"/>
      <w:szCs w:val="20"/>
    </w:rPr>
  </w:style>
  <w:style w:type="paragraph" w:styleId="Textbubliny">
    <w:name w:val="Balloon Text"/>
    <w:basedOn w:val="Normln"/>
    <w:semiHidden/>
    <w:unhideWhenUsed/>
    <w:rsid w:val="00070148"/>
    <w:rPr>
      <w:rFonts w:ascii="Tahoma" w:hAnsi="Tahoma" w:cs="Tahoma"/>
      <w:szCs w:val="16"/>
    </w:rPr>
  </w:style>
  <w:style w:type="character" w:customStyle="1" w:styleId="TextbublinyChar">
    <w:name w:val="Text bubliny Char"/>
    <w:semiHidden/>
    <w:rsid w:val="00070148"/>
    <w:rPr>
      <w:rFonts w:ascii="Tahoma" w:hAnsi="Tahoma" w:cs="Tahoma"/>
      <w:bCs/>
      <w:sz w:val="16"/>
      <w:szCs w:val="16"/>
    </w:rPr>
  </w:style>
  <w:style w:type="character" w:styleId="Zdraznn">
    <w:name w:val="Emphasis"/>
    <w:qFormat/>
    <w:rsid w:val="00070148"/>
    <w:rPr>
      <w:i/>
      <w:iCs/>
    </w:rPr>
  </w:style>
  <w:style w:type="character" w:styleId="Siln">
    <w:name w:val="Strong"/>
    <w:qFormat/>
    <w:rsid w:val="00070148"/>
    <w:rPr>
      <w:b/>
      <w:bCs/>
    </w:rPr>
  </w:style>
  <w:style w:type="paragraph" w:styleId="Pedmtkomente">
    <w:name w:val="annotation subject"/>
    <w:basedOn w:val="Textkomente"/>
    <w:next w:val="Textkomente"/>
    <w:link w:val="PedmtkomenteChar"/>
    <w:uiPriority w:val="99"/>
    <w:semiHidden/>
    <w:unhideWhenUsed/>
    <w:rsid w:val="008D2195"/>
    <w:rPr>
      <w:b/>
    </w:rPr>
  </w:style>
  <w:style w:type="character" w:customStyle="1" w:styleId="TextkomenteChar">
    <w:name w:val="Text komentáře Char"/>
    <w:link w:val="Textkomente"/>
    <w:semiHidden/>
    <w:rsid w:val="008D2195"/>
    <w:rPr>
      <w:rFonts w:ascii="Arial" w:hAnsi="Arial"/>
      <w:bCs/>
    </w:rPr>
  </w:style>
  <w:style w:type="character" w:customStyle="1" w:styleId="PedmtkomenteChar">
    <w:name w:val="Předmět komentáře Char"/>
    <w:link w:val="Pedmtkomente"/>
    <w:rsid w:val="008D2195"/>
    <w:rPr>
      <w:rFonts w:ascii="Arial" w:hAnsi="Arial"/>
      <w:bCs/>
    </w:rPr>
  </w:style>
  <w:style w:type="character" w:styleId="Hypertextovodkaz">
    <w:name w:val="Hyperlink"/>
    <w:uiPriority w:val="99"/>
    <w:unhideWhenUsed/>
    <w:rsid w:val="00495566"/>
    <w:rPr>
      <w:color w:val="0000FF"/>
      <w:u w:val="single"/>
    </w:rPr>
  </w:style>
  <w:style w:type="character" w:styleId="Zstupntext">
    <w:name w:val="Placeholder Text"/>
    <w:basedOn w:val="Standardnpsmoodstavce"/>
    <w:uiPriority w:val="99"/>
    <w:semiHidden/>
    <w:rsid w:val="00CB5162"/>
    <w:rPr>
      <w:color w:val="808080"/>
    </w:rPr>
  </w:style>
  <w:style w:type="paragraph" w:styleId="Zhlav">
    <w:name w:val="header"/>
    <w:basedOn w:val="Normln"/>
    <w:link w:val="ZhlavChar"/>
    <w:uiPriority w:val="99"/>
    <w:unhideWhenUsed/>
    <w:qFormat/>
    <w:rsid w:val="00152720"/>
    <w:pPr>
      <w:tabs>
        <w:tab w:val="center" w:pos="4536"/>
        <w:tab w:val="right" w:pos="9072"/>
      </w:tabs>
    </w:pPr>
  </w:style>
  <w:style w:type="character" w:customStyle="1" w:styleId="ZhlavChar">
    <w:name w:val="Záhlaví Char"/>
    <w:basedOn w:val="Standardnpsmoodstavce"/>
    <w:link w:val="Zhlav"/>
    <w:uiPriority w:val="99"/>
    <w:rsid w:val="00152720"/>
    <w:rPr>
      <w:rFonts w:ascii="Arial" w:hAnsi="Arial"/>
      <w:bCs/>
      <w:sz w:val="16"/>
      <w:szCs w:val="24"/>
    </w:rPr>
  </w:style>
  <w:style w:type="paragraph" w:styleId="Zpat">
    <w:name w:val="footer"/>
    <w:basedOn w:val="Normln"/>
    <w:link w:val="ZpatChar"/>
    <w:uiPriority w:val="99"/>
    <w:unhideWhenUsed/>
    <w:rsid w:val="00152720"/>
    <w:pPr>
      <w:tabs>
        <w:tab w:val="center" w:pos="4536"/>
        <w:tab w:val="right" w:pos="9072"/>
      </w:tabs>
    </w:pPr>
  </w:style>
  <w:style w:type="character" w:customStyle="1" w:styleId="ZpatChar">
    <w:name w:val="Zápatí Char"/>
    <w:basedOn w:val="Standardnpsmoodstavce"/>
    <w:link w:val="Zpat"/>
    <w:uiPriority w:val="99"/>
    <w:rsid w:val="00152720"/>
    <w:rPr>
      <w:rFonts w:ascii="Arial" w:hAnsi="Arial"/>
      <w:bCs/>
      <w:sz w:val="16"/>
      <w:szCs w:val="24"/>
    </w:rPr>
  </w:style>
  <w:style w:type="paragraph" w:styleId="Revize">
    <w:name w:val="Revision"/>
    <w:hidden/>
    <w:uiPriority w:val="99"/>
    <w:semiHidden/>
    <w:rsid w:val="00A23E64"/>
    <w:rPr>
      <w:rFonts w:ascii="Arial" w:hAnsi="Arial"/>
      <w:bCs/>
      <w:sz w:val="16"/>
      <w:szCs w:val="24"/>
    </w:rPr>
  </w:style>
  <w:style w:type="paragraph" w:styleId="Textpoznpodarou">
    <w:name w:val="footnote text"/>
    <w:basedOn w:val="Normln"/>
    <w:link w:val="TextpoznpodarouChar"/>
    <w:semiHidden/>
    <w:unhideWhenUsed/>
    <w:rsid w:val="00CA5127"/>
    <w:rPr>
      <w:bCs w:val="0"/>
      <w:sz w:val="20"/>
      <w:szCs w:val="20"/>
    </w:rPr>
  </w:style>
  <w:style w:type="character" w:customStyle="1" w:styleId="TextpoznpodarouChar">
    <w:name w:val="Text pozn. pod čarou Char"/>
    <w:basedOn w:val="Standardnpsmoodstavce"/>
    <w:link w:val="Textpoznpodarou"/>
    <w:semiHidden/>
    <w:rsid w:val="00CA5127"/>
    <w:rPr>
      <w:rFonts w:ascii="Arial" w:hAnsi="Arial"/>
    </w:rPr>
  </w:style>
  <w:style w:type="character" w:styleId="Znakapoznpodarou">
    <w:name w:val="footnote reference"/>
    <w:basedOn w:val="Standardnpsmoodstavce"/>
    <w:semiHidden/>
    <w:unhideWhenUsed/>
    <w:rsid w:val="00CA5127"/>
    <w:rPr>
      <w:vertAlign w:val="superscript"/>
    </w:rPr>
  </w:style>
  <w:style w:type="character" w:customStyle="1" w:styleId="viiyi">
    <w:name w:val="viiyi"/>
    <w:basedOn w:val="Standardnpsmoodstavce"/>
    <w:rsid w:val="001045F6"/>
  </w:style>
  <w:style w:type="character" w:customStyle="1" w:styleId="jlqj4b">
    <w:name w:val="jlqj4b"/>
    <w:basedOn w:val="Standardnpsmoodstavce"/>
    <w:rsid w:val="001045F6"/>
  </w:style>
  <w:style w:type="character" w:styleId="Sledovanodkaz">
    <w:name w:val="FollowedHyperlink"/>
    <w:basedOn w:val="Standardnpsmoodstavce"/>
    <w:uiPriority w:val="99"/>
    <w:semiHidden/>
    <w:unhideWhenUsed/>
    <w:rsid w:val="006C41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39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u.gov.cz/population-methodolog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su.gov.cz/population-change-methodology" TargetMode="External"/><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F5341-BADD-44B1-B0D1-E8EDF5F8E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2</Pages>
  <Words>581</Words>
  <Characters>3432</Characters>
  <Application>Microsoft Office Word</Application>
  <DocSecurity>0</DocSecurity>
  <Lines>28</Lines>
  <Paragraphs>8</Paragraphs>
  <ScaleCrop>false</ScaleCrop>
  <HeadingPairs>
    <vt:vector size="2" baseType="variant">
      <vt:variant>
        <vt:lpstr>Název</vt:lpstr>
      </vt:variant>
      <vt:variant>
        <vt:i4>1</vt:i4>
      </vt:variant>
    </vt:vector>
  </HeadingPairs>
  <TitlesOfParts>
    <vt:vector size="1" baseType="lpstr">
      <vt:lpstr>Methodological notes</vt:lpstr>
    </vt:vector>
  </TitlesOfParts>
  <Company>CSU</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Methodological notes</dc:title>
  <dc:creator>ČSÚ</dc:creator>
  <cp:lastModifiedBy>Bílík Jan</cp:lastModifiedBy>
  <cp:revision>27</cp:revision>
  <cp:lastPrinted>2022-10-31T12:29:00Z</cp:lastPrinted>
  <dcterms:created xsi:type="dcterms:W3CDTF">2022-01-05T05:55:00Z</dcterms:created>
  <dcterms:modified xsi:type="dcterms:W3CDTF">2026-09-17T07:26:00Z</dcterms:modified>
</cp:coreProperties>
</file>