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C51" w:rsidRPr="00742B86" w:rsidRDefault="00267C51" w:rsidP="00267C51">
      <w:pPr>
        <w:pStyle w:val="Nadpis11"/>
        <w:rPr>
          <w:lang w:val="en-GB"/>
        </w:rPr>
      </w:pPr>
      <w:bookmarkStart w:id="0" w:name="_Toc66954409"/>
      <w:bookmarkStart w:id="1" w:name="_Toc50712132"/>
      <w:bookmarkStart w:id="2" w:name="_GoBack"/>
      <w:bookmarkEnd w:id="2"/>
      <w:r w:rsidRPr="00742B86">
        <w:rPr>
          <w:szCs w:val="32"/>
          <w:lang w:val="en-GB"/>
        </w:rPr>
        <w:t>8</w:t>
      </w:r>
      <w:r w:rsidRPr="00742B86">
        <w:rPr>
          <w:lang w:val="en-GB"/>
        </w:rPr>
        <w:t>. St</w:t>
      </w:r>
      <w:r w:rsidR="00F240F7" w:rsidRPr="00742B86">
        <w:rPr>
          <w:lang w:val="en-GB"/>
        </w:rPr>
        <w:t>ate Budget</w:t>
      </w:r>
      <w:bookmarkEnd w:id="0"/>
    </w:p>
    <w:tbl>
      <w:tblPr>
        <w:tblW w:w="9669" w:type="dxa"/>
        <w:tblInd w:w="-20" w:type="dxa"/>
        <w:tblCellMar>
          <w:left w:w="0" w:type="dxa"/>
          <w:right w:w="0" w:type="dxa"/>
        </w:tblCellMar>
        <w:tblLook w:val="00A0" w:firstRow="1" w:lastRow="0" w:firstColumn="1" w:lastColumn="0" w:noHBand="0" w:noVBand="0"/>
      </w:tblPr>
      <w:tblGrid>
        <w:gridCol w:w="1583"/>
        <w:gridCol w:w="176"/>
        <w:gridCol w:w="7910"/>
      </w:tblGrid>
      <w:tr w:rsidR="00267C51" w:rsidRPr="00742B86" w:rsidTr="00D70BBF">
        <w:trPr>
          <w:trHeight w:val="145"/>
        </w:trPr>
        <w:tc>
          <w:tcPr>
            <w:tcW w:w="1583" w:type="dxa"/>
            <w:shd w:val="clear" w:color="auto" w:fill="auto"/>
            <w:tcMar>
              <w:left w:w="0" w:type="dxa"/>
            </w:tcMar>
          </w:tcPr>
          <w:p w:rsidR="00267C51" w:rsidRPr="00742B86" w:rsidRDefault="00C347AE" w:rsidP="00D932B8">
            <w:pPr>
              <w:pStyle w:val="Marginlie"/>
              <w:rPr>
                <w:lang w:val="en-GB"/>
              </w:rPr>
            </w:pPr>
            <w:r w:rsidRPr="00742B86">
              <w:rPr>
                <w:lang w:val="en-GB"/>
              </w:rPr>
              <w:t xml:space="preserve">Size of last year´s state budget deficit as well as its year-on-year deepening was record in the history of the independent CR. </w:t>
            </w:r>
          </w:p>
        </w:tc>
        <w:tc>
          <w:tcPr>
            <w:tcW w:w="176" w:type="dxa"/>
            <w:shd w:val="clear" w:color="auto" w:fill="auto"/>
            <w:tcMar>
              <w:left w:w="0" w:type="dxa"/>
            </w:tcMar>
          </w:tcPr>
          <w:p w:rsidR="00267C51" w:rsidRPr="00742B86" w:rsidRDefault="00267C51" w:rsidP="00D932B8">
            <w:pPr>
              <w:pStyle w:val="Textpoznpodarou"/>
              <w:jc w:val="both"/>
              <w:rPr>
                <w:spacing w:val="-4"/>
                <w:lang w:val="en-GB"/>
              </w:rPr>
            </w:pPr>
          </w:p>
        </w:tc>
        <w:tc>
          <w:tcPr>
            <w:tcW w:w="7910" w:type="dxa"/>
            <w:shd w:val="clear" w:color="auto" w:fill="auto"/>
            <w:tcMar>
              <w:left w:w="0" w:type="dxa"/>
            </w:tcMar>
          </w:tcPr>
          <w:p w:rsidR="00267C51" w:rsidRPr="00742B86" w:rsidRDefault="00C347AE" w:rsidP="00267C51">
            <w:pPr>
              <w:rPr>
                <w:spacing w:val="-4"/>
                <w:lang w:val="en-GB"/>
              </w:rPr>
            </w:pPr>
            <w:r w:rsidRPr="00742B86">
              <w:rPr>
                <w:spacing w:val="-4"/>
                <w:lang w:val="en-GB"/>
              </w:rPr>
              <w:t xml:space="preserve">In </w:t>
            </w:r>
            <w:r w:rsidR="00267C51" w:rsidRPr="00742B86">
              <w:rPr>
                <w:spacing w:val="-4"/>
                <w:lang w:val="en-GB"/>
              </w:rPr>
              <w:t>2020</w:t>
            </w:r>
            <w:r w:rsidRPr="00742B86">
              <w:rPr>
                <w:spacing w:val="-4"/>
                <w:lang w:val="en-GB"/>
              </w:rPr>
              <w:t xml:space="preserve">, </w:t>
            </w:r>
            <w:r w:rsidR="000D6894" w:rsidRPr="00742B86">
              <w:rPr>
                <w:spacing w:val="-4"/>
                <w:lang w:val="en-GB"/>
              </w:rPr>
              <w:t xml:space="preserve">the state budget </w:t>
            </w:r>
            <w:r w:rsidR="00267C51" w:rsidRPr="00742B86">
              <w:rPr>
                <w:spacing w:val="-4"/>
                <w:lang w:val="en-GB"/>
              </w:rPr>
              <w:t>(S</w:t>
            </w:r>
            <w:r w:rsidR="000D6894" w:rsidRPr="00742B86">
              <w:rPr>
                <w:spacing w:val="-4"/>
                <w:lang w:val="en-GB"/>
              </w:rPr>
              <w:t>B</w:t>
            </w:r>
            <w:r w:rsidR="00267C51" w:rsidRPr="00742B86">
              <w:rPr>
                <w:spacing w:val="-4"/>
                <w:lang w:val="en-GB"/>
              </w:rPr>
              <w:t>)</w:t>
            </w:r>
            <w:r w:rsidR="00267C51" w:rsidRPr="00742B86">
              <w:rPr>
                <w:rStyle w:val="Znakapoznpodarou"/>
                <w:spacing w:val="-4"/>
                <w:lang w:val="en-GB"/>
              </w:rPr>
              <w:footnoteReference w:id="1"/>
            </w:r>
            <w:r w:rsidR="00267C51" w:rsidRPr="00742B86">
              <w:rPr>
                <w:spacing w:val="-4"/>
                <w:lang w:val="en-GB"/>
              </w:rPr>
              <w:t xml:space="preserve"> </w:t>
            </w:r>
            <w:r w:rsidR="000D6894" w:rsidRPr="00742B86">
              <w:rPr>
                <w:spacing w:val="-4"/>
                <w:lang w:val="en-GB"/>
              </w:rPr>
              <w:t xml:space="preserve">ended in deficit in the amount of </w:t>
            </w:r>
            <w:r w:rsidR="00267C51" w:rsidRPr="00742B86">
              <w:rPr>
                <w:spacing w:val="-4"/>
                <w:lang w:val="en-GB"/>
              </w:rPr>
              <w:t>367</w:t>
            </w:r>
            <w:r w:rsidR="000D6894" w:rsidRPr="00742B86">
              <w:rPr>
                <w:spacing w:val="-4"/>
                <w:lang w:val="en-GB"/>
              </w:rPr>
              <w:t>.</w:t>
            </w:r>
            <w:r w:rsidR="00267C51" w:rsidRPr="00742B86">
              <w:rPr>
                <w:spacing w:val="-4"/>
                <w:lang w:val="en-GB"/>
              </w:rPr>
              <w:t>4</w:t>
            </w:r>
            <w:r w:rsidR="000D6894" w:rsidRPr="00742B86">
              <w:rPr>
                <w:spacing w:val="-4"/>
                <w:lang w:val="en-GB"/>
              </w:rPr>
              <w:t xml:space="preserve"> CZK bn</w:t>
            </w:r>
            <w:r w:rsidR="00267C51" w:rsidRPr="00742B86">
              <w:rPr>
                <w:spacing w:val="-4"/>
                <w:lang w:val="en-GB"/>
              </w:rPr>
              <w:t>,</w:t>
            </w:r>
            <w:r w:rsidR="000D6894" w:rsidRPr="00742B86">
              <w:rPr>
                <w:spacing w:val="-4"/>
                <w:lang w:val="en-GB"/>
              </w:rPr>
              <w:t xml:space="preserve"> which was by nearly </w:t>
            </w:r>
            <w:r w:rsidR="00267C51" w:rsidRPr="00742B86">
              <w:rPr>
                <w:spacing w:val="-4"/>
                <w:lang w:val="en-GB"/>
              </w:rPr>
              <w:t>340</w:t>
            </w:r>
            <w:r w:rsidR="000D6894" w:rsidRPr="00742B86">
              <w:rPr>
                <w:spacing w:val="-4"/>
                <w:lang w:val="en-GB"/>
              </w:rPr>
              <w:t xml:space="preserve"> bn deeper year-on-year</w:t>
            </w:r>
            <w:r w:rsidR="00267C51" w:rsidRPr="00742B86">
              <w:rPr>
                <w:spacing w:val="-4"/>
                <w:lang w:val="en-GB"/>
              </w:rPr>
              <w:t xml:space="preserve">. </w:t>
            </w:r>
            <w:r w:rsidR="000D6894" w:rsidRPr="00742B86">
              <w:rPr>
                <w:spacing w:val="-4"/>
                <w:lang w:val="en-GB"/>
              </w:rPr>
              <w:t>Its value as well as the year-on-year increase were unprecedented i</w:t>
            </w:r>
            <w:r w:rsidR="004E0318">
              <w:rPr>
                <w:spacing w:val="-4"/>
                <w:lang w:val="en-GB"/>
              </w:rPr>
              <w:t>n the history of the modern</w:t>
            </w:r>
            <w:r w:rsidR="000D6894" w:rsidRPr="00742B86">
              <w:rPr>
                <w:spacing w:val="-4"/>
                <w:lang w:val="en-GB"/>
              </w:rPr>
              <w:t xml:space="preserve"> CR. Even though the deficit was reached in all last year´s months, </w:t>
            </w:r>
            <w:r w:rsidR="007859D5" w:rsidRPr="00742B86">
              <w:rPr>
                <w:spacing w:val="-4"/>
                <w:lang w:val="en-GB"/>
              </w:rPr>
              <w:t>its size was ma</w:t>
            </w:r>
            <w:r w:rsidR="004E0318">
              <w:rPr>
                <w:spacing w:val="-4"/>
                <w:lang w:val="en-GB"/>
              </w:rPr>
              <w:t>jorly determined by the anti-</w:t>
            </w:r>
            <w:r w:rsidR="007859D5" w:rsidRPr="00742B86">
              <w:rPr>
                <w:spacing w:val="-4"/>
                <w:lang w:val="en-GB"/>
              </w:rPr>
              <w:t>pandemic measures</w:t>
            </w:r>
            <w:r w:rsidR="00267C51" w:rsidRPr="00742B86">
              <w:rPr>
                <w:spacing w:val="-4"/>
                <w:lang w:val="en-GB"/>
              </w:rPr>
              <w:t xml:space="preserve">, </w:t>
            </w:r>
            <w:r w:rsidR="00EE0735" w:rsidRPr="00742B86">
              <w:rPr>
                <w:spacing w:val="-4"/>
                <w:lang w:val="en-GB"/>
              </w:rPr>
              <w:t xml:space="preserve">which radically restricted the economic activity especially in the area of market services in both </w:t>
            </w:r>
            <w:r w:rsidR="00202575">
              <w:rPr>
                <w:spacing w:val="-4"/>
                <w:lang w:val="en-GB"/>
              </w:rPr>
              <w:t>spring</w:t>
            </w:r>
            <w:r w:rsidR="00EE0735" w:rsidRPr="00742B86">
              <w:rPr>
                <w:spacing w:val="-4"/>
                <w:lang w:val="en-GB"/>
              </w:rPr>
              <w:t xml:space="preserve"> and </w:t>
            </w:r>
            <w:r w:rsidR="00202575">
              <w:rPr>
                <w:spacing w:val="-4"/>
                <w:lang w:val="en-GB"/>
              </w:rPr>
              <w:t>autumn</w:t>
            </w:r>
            <w:r w:rsidR="00EE0735" w:rsidRPr="00742B86">
              <w:rPr>
                <w:spacing w:val="-4"/>
                <w:lang w:val="en-GB"/>
              </w:rPr>
              <w:t xml:space="preserve"> wave</w:t>
            </w:r>
            <w:r w:rsidR="00267C51" w:rsidRPr="00742B86">
              <w:rPr>
                <w:rStyle w:val="Znakapoznpodarou"/>
                <w:spacing w:val="-4"/>
                <w:lang w:val="en-GB"/>
              </w:rPr>
              <w:footnoteReference w:id="2"/>
            </w:r>
            <w:r w:rsidR="00EE0735" w:rsidRPr="00742B86">
              <w:rPr>
                <w:spacing w:val="-4"/>
                <w:lang w:val="en-GB"/>
              </w:rPr>
              <w:t xml:space="preserve">. </w:t>
            </w:r>
            <w:r w:rsidR="00267C51" w:rsidRPr="00742B86">
              <w:rPr>
                <w:spacing w:val="-4"/>
                <w:lang w:val="en-GB"/>
              </w:rPr>
              <w:t>T</w:t>
            </w:r>
            <w:r w:rsidR="00763874" w:rsidRPr="00742B86">
              <w:rPr>
                <w:spacing w:val="-4"/>
                <w:lang w:val="en-GB"/>
              </w:rPr>
              <w:t xml:space="preserve">ogether with the reliefs to business entities, it led into a notable reduction of the tax collection. </w:t>
            </w:r>
            <w:r w:rsidR="000C2144" w:rsidRPr="00742B86">
              <w:rPr>
                <w:spacing w:val="-4"/>
                <w:lang w:val="en-GB"/>
              </w:rPr>
              <w:t xml:space="preserve">Simultaneously an acute need arose to </w:t>
            </w:r>
            <w:r w:rsidR="0070412F" w:rsidRPr="00742B86">
              <w:rPr>
                <w:spacing w:val="-4"/>
                <w:lang w:val="en-GB"/>
              </w:rPr>
              <w:t>strengthen</w:t>
            </w:r>
            <w:r w:rsidR="000C2144" w:rsidRPr="00742B86">
              <w:rPr>
                <w:spacing w:val="-4"/>
                <w:lang w:val="en-GB"/>
              </w:rPr>
              <w:t xml:space="preserve"> the outlay transfers for the support of the hit branch</w:t>
            </w:r>
            <w:r w:rsidR="00730D0A">
              <w:rPr>
                <w:spacing w:val="-4"/>
                <w:lang w:val="en-GB"/>
              </w:rPr>
              <w:t>es as well as workers</w:t>
            </w:r>
            <w:r w:rsidR="000C2144" w:rsidRPr="00742B86">
              <w:rPr>
                <w:spacing w:val="-4"/>
                <w:lang w:val="en-GB"/>
              </w:rPr>
              <w:t xml:space="preserve">, but also for the compensation of higher claims especially in the area of health care. </w:t>
            </w:r>
          </w:p>
        </w:tc>
      </w:tr>
      <w:tr w:rsidR="00267C51" w:rsidRPr="00742B86" w:rsidTr="00D70BBF">
        <w:trPr>
          <w:trHeight w:val="145"/>
        </w:trPr>
        <w:tc>
          <w:tcPr>
            <w:tcW w:w="1583" w:type="dxa"/>
            <w:shd w:val="clear" w:color="auto" w:fill="auto"/>
            <w:tcMar>
              <w:left w:w="0" w:type="dxa"/>
            </w:tcMar>
          </w:tcPr>
          <w:p w:rsidR="00267C51" w:rsidRPr="00742B86" w:rsidRDefault="00262489" w:rsidP="00D932B8">
            <w:pPr>
              <w:pStyle w:val="Marginlie"/>
              <w:rPr>
                <w:lang w:val="en-GB"/>
              </w:rPr>
            </w:pPr>
            <w:r w:rsidRPr="00742B86">
              <w:rPr>
                <w:lang w:val="en-GB"/>
              </w:rPr>
              <w:t>State-wide</w:t>
            </w:r>
            <w:r w:rsidR="00EE0735" w:rsidRPr="00742B86">
              <w:rPr>
                <w:lang w:val="en-GB"/>
              </w:rPr>
              <w:t xml:space="preserve"> tax collection</w:t>
            </w:r>
            <w:r w:rsidRPr="00742B86">
              <w:rPr>
                <w:lang w:val="en-GB"/>
              </w:rPr>
              <w:t xml:space="preserve"> decreased by 5.7% for the whole last year</w:t>
            </w:r>
            <w:r w:rsidR="006B7153">
              <w:rPr>
                <w:lang w:val="en-GB"/>
              </w:rPr>
              <w:t>, mainly</w:t>
            </w:r>
            <w:r w:rsidRPr="00742B86">
              <w:rPr>
                <w:lang w:val="en-GB"/>
              </w:rPr>
              <w:t xml:space="preserve"> due to the slump in Q2. </w:t>
            </w:r>
          </w:p>
        </w:tc>
        <w:tc>
          <w:tcPr>
            <w:tcW w:w="176" w:type="dxa"/>
            <w:shd w:val="clear" w:color="auto" w:fill="auto"/>
            <w:tcMar>
              <w:left w:w="0" w:type="dxa"/>
            </w:tcMar>
          </w:tcPr>
          <w:p w:rsidR="00267C51" w:rsidRPr="00742B86" w:rsidRDefault="00267C51" w:rsidP="00D932B8">
            <w:pPr>
              <w:pStyle w:val="Textpoznpodarou"/>
              <w:jc w:val="both"/>
              <w:rPr>
                <w:spacing w:val="-4"/>
                <w:lang w:val="en-GB"/>
              </w:rPr>
            </w:pPr>
          </w:p>
        </w:tc>
        <w:tc>
          <w:tcPr>
            <w:tcW w:w="7910" w:type="dxa"/>
            <w:shd w:val="clear" w:color="auto" w:fill="auto"/>
            <w:tcMar>
              <w:left w:w="0" w:type="dxa"/>
            </w:tcMar>
          </w:tcPr>
          <w:p w:rsidR="00267C51" w:rsidRPr="00742B86" w:rsidRDefault="00934FF1" w:rsidP="00267C51">
            <w:pPr>
              <w:rPr>
                <w:spacing w:val="-4"/>
                <w:lang w:val="en-GB"/>
              </w:rPr>
            </w:pPr>
            <w:r w:rsidRPr="00742B86">
              <w:rPr>
                <w:spacing w:val="-4"/>
                <w:lang w:val="en-GB"/>
              </w:rPr>
              <w:t xml:space="preserve">Following two </w:t>
            </w:r>
            <w:r w:rsidR="006B7153">
              <w:rPr>
                <w:spacing w:val="-4"/>
                <w:lang w:val="en-GB"/>
              </w:rPr>
              <w:t xml:space="preserve">preceding </w:t>
            </w:r>
            <w:r w:rsidRPr="00742B86">
              <w:rPr>
                <w:spacing w:val="-4"/>
                <w:lang w:val="en-GB"/>
              </w:rPr>
              <w:t>years of strong growth, the total SB revenues decr</w:t>
            </w:r>
            <w:r w:rsidR="006B7153">
              <w:rPr>
                <w:spacing w:val="-4"/>
                <w:lang w:val="en-GB"/>
              </w:rPr>
              <w:t>eased by 3.1% year-on-year in</w:t>
            </w:r>
            <w:r w:rsidRPr="00742B86">
              <w:rPr>
                <w:spacing w:val="-4"/>
                <w:lang w:val="en-GB"/>
              </w:rPr>
              <w:t xml:space="preserve"> </w:t>
            </w:r>
            <w:r w:rsidR="00267C51" w:rsidRPr="00742B86">
              <w:rPr>
                <w:spacing w:val="-4"/>
                <w:lang w:val="en-GB"/>
              </w:rPr>
              <w:t>2020</w:t>
            </w:r>
            <w:r w:rsidRPr="00742B86">
              <w:rPr>
                <w:spacing w:val="-4"/>
                <w:lang w:val="en-GB"/>
              </w:rPr>
              <w:t xml:space="preserve">. </w:t>
            </w:r>
            <w:r w:rsidR="0070412F" w:rsidRPr="00742B86">
              <w:rPr>
                <w:spacing w:val="-4"/>
                <w:lang w:val="en-GB"/>
              </w:rPr>
              <w:t xml:space="preserve">Substantial fallout of tax incomes (in the amount of </w:t>
            </w:r>
            <w:r w:rsidR="00267C51" w:rsidRPr="00742B86">
              <w:rPr>
                <w:spacing w:val="-4"/>
                <w:lang w:val="en-GB"/>
              </w:rPr>
              <w:t>46</w:t>
            </w:r>
            <w:r w:rsidR="0070412F" w:rsidRPr="00742B86">
              <w:rPr>
                <w:spacing w:val="-4"/>
                <w:lang w:val="en-GB"/>
              </w:rPr>
              <w:t>.</w:t>
            </w:r>
            <w:r w:rsidR="00267C51" w:rsidRPr="00742B86">
              <w:rPr>
                <w:spacing w:val="-4"/>
                <w:lang w:val="en-GB"/>
              </w:rPr>
              <w:t>5</w:t>
            </w:r>
            <w:r w:rsidR="0070412F" w:rsidRPr="00742B86">
              <w:rPr>
                <w:spacing w:val="-4"/>
                <w:lang w:val="en-GB"/>
              </w:rPr>
              <w:t xml:space="preserve"> CZK bn</w:t>
            </w:r>
            <w:r w:rsidR="00267C51" w:rsidRPr="00742B86">
              <w:rPr>
                <w:spacing w:val="-4"/>
                <w:lang w:val="en-GB"/>
              </w:rPr>
              <w:t>)</w:t>
            </w:r>
            <w:r w:rsidR="0070412F" w:rsidRPr="00742B86">
              <w:rPr>
                <w:spacing w:val="-4"/>
                <w:lang w:val="en-GB"/>
              </w:rPr>
              <w:t xml:space="preserve"> as well as collection of insurance on social security </w:t>
            </w:r>
            <w:r w:rsidR="00267C51" w:rsidRPr="00742B86">
              <w:rPr>
                <w:spacing w:val="-4"/>
                <w:lang w:val="en-GB"/>
              </w:rPr>
              <w:t>(–11</w:t>
            </w:r>
            <w:r w:rsidR="0070412F" w:rsidRPr="00742B86">
              <w:rPr>
                <w:spacing w:val="-4"/>
                <w:lang w:val="en-GB"/>
              </w:rPr>
              <w:t>.</w:t>
            </w:r>
            <w:r w:rsidR="00267C51" w:rsidRPr="00742B86">
              <w:rPr>
                <w:spacing w:val="-4"/>
                <w:lang w:val="en-GB"/>
              </w:rPr>
              <w:t>3</w:t>
            </w:r>
            <w:r w:rsidR="0070412F" w:rsidRPr="00742B86">
              <w:rPr>
                <w:spacing w:val="-4"/>
                <w:lang w:val="en-GB"/>
              </w:rPr>
              <w:t xml:space="preserve"> bn</w:t>
            </w:r>
            <w:r w:rsidR="00267C51" w:rsidRPr="00742B86">
              <w:rPr>
                <w:spacing w:val="-4"/>
                <w:lang w:val="en-GB"/>
              </w:rPr>
              <w:t>.)</w:t>
            </w:r>
            <w:r w:rsidRPr="00742B86">
              <w:rPr>
                <w:spacing w:val="-4"/>
                <w:lang w:val="en-GB"/>
              </w:rPr>
              <w:t xml:space="preserve"> was evident</w:t>
            </w:r>
            <w:r w:rsidR="00267C51" w:rsidRPr="00742B86">
              <w:rPr>
                <w:spacing w:val="-4"/>
                <w:lang w:val="en-GB"/>
              </w:rPr>
              <w:t>.</w:t>
            </w:r>
            <w:r w:rsidRPr="00742B86">
              <w:rPr>
                <w:spacing w:val="-4"/>
                <w:lang w:val="en-GB"/>
              </w:rPr>
              <w:t xml:space="preserve"> Total </w:t>
            </w:r>
            <w:r w:rsidR="0070412F" w:rsidRPr="00742B86">
              <w:rPr>
                <w:spacing w:val="-4"/>
                <w:lang w:val="en-GB"/>
              </w:rPr>
              <w:t>state-wide</w:t>
            </w:r>
            <w:r w:rsidRPr="00742B86">
              <w:rPr>
                <w:spacing w:val="-4"/>
                <w:lang w:val="en-GB"/>
              </w:rPr>
              <w:t xml:space="preserve"> collection of taxes (without insurance) </w:t>
            </w:r>
            <w:r w:rsidR="0070412F" w:rsidRPr="00742B86">
              <w:rPr>
                <w:spacing w:val="-4"/>
                <w:lang w:val="en-GB"/>
              </w:rPr>
              <w:t xml:space="preserve">at the level of all public budgets fell by </w:t>
            </w:r>
            <w:r w:rsidR="00267C51" w:rsidRPr="00742B86">
              <w:rPr>
                <w:spacing w:val="-4"/>
                <w:lang w:val="en-GB"/>
              </w:rPr>
              <w:t>5</w:t>
            </w:r>
            <w:r w:rsidR="0070412F" w:rsidRPr="00742B86">
              <w:rPr>
                <w:spacing w:val="-4"/>
                <w:lang w:val="en-GB"/>
              </w:rPr>
              <w:t>.</w:t>
            </w:r>
            <w:r w:rsidR="00267C51" w:rsidRPr="00742B86">
              <w:rPr>
                <w:spacing w:val="-4"/>
                <w:lang w:val="en-GB"/>
              </w:rPr>
              <w:t>7%</w:t>
            </w:r>
            <w:r w:rsidR="00267C51" w:rsidRPr="00742B86">
              <w:rPr>
                <w:rStyle w:val="Znakapoznpodarou"/>
                <w:spacing w:val="-4"/>
                <w:lang w:val="en-GB"/>
              </w:rPr>
              <w:footnoteReference w:id="3"/>
            </w:r>
            <w:r w:rsidR="0070412F" w:rsidRPr="00742B86">
              <w:rPr>
                <w:spacing w:val="-4"/>
                <w:lang w:val="en-GB"/>
              </w:rPr>
              <w:t xml:space="preserve"> year-on-year for the first time since 2009 last year</w:t>
            </w:r>
            <w:r w:rsidR="00267C51" w:rsidRPr="00742B86">
              <w:rPr>
                <w:spacing w:val="-4"/>
                <w:lang w:val="en-GB"/>
              </w:rPr>
              <w:t xml:space="preserve">. </w:t>
            </w:r>
            <w:r w:rsidR="0070412F" w:rsidRPr="00742B86">
              <w:rPr>
                <w:spacing w:val="-4"/>
                <w:lang w:val="en-GB"/>
              </w:rPr>
              <w:t>While in Q</w:t>
            </w:r>
            <w:r w:rsidR="00267C51" w:rsidRPr="00742B86">
              <w:rPr>
                <w:spacing w:val="-4"/>
                <w:lang w:val="en-GB"/>
              </w:rPr>
              <w:t>1</w:t>
            </w:r>
            <w:r w:rsidR="0070412F" w:rsidRPr="00742B86">
              <w:rPr>
                <w:spacing w:val="-4"/>
                <w:lang w:val="en-GB"/>
              </w:rPr>
              <w:t xml:space="preserve"> </w:t>
            </w:r>
            <w:r w:rsidR="00267C51" w:rsidRPr="00742B86">
              <w:rPr>
                <w:spacing w:val="-4"/>
                <w:lang w:val="en-GB"/>
              </w:rPr>
              <w:t>2020</w:t>
            </w:r>
            <w:r w:rsidR="0070412F" w:rsidRPr="00742B86">
              <w:rPr>
                <w:spacing w:val="-4"/>
                <w:lang w:val="en-GB"/>
              </w:rPr>
              <w:t xml:space="preserve">, this collection was still growing </w:t>
            </w:r>
            <w:r w:rsidR="00267C51" w:rsidRPr="00742B86">
              <w:rPr>
                <w:spacing w:val="-4"/>
                <w:lang w:val="en-GB"/>
              </w:rPr>
              <w:t>(+4</w:t>
            </w:r>
            <w:r w:rsidR="0070412F" w:rsidRPr="00742B86">
              <w:rPr>
                <w:spacing w:val="-4"/>
                <w:lang w:val="en-GB"/>
              </w:rPr>
              <w:t>.</w:t>
            </w:r>
            <w:r w:rsidR="00267C51" w:rsidRPr="00742B86">
              <w:rPr>
                <w:spacing w:val="-4"/>
                <w:lang w:val="en-GB"/>
              </w:rPr>
              <w:t>6%),</w:t>
            </w:r>
            <w:r w:rsidR="0070412F" w:rsidRPr="00742B86">
              <w:rPr>
                <w:spacing w:val="-4"/>
                <w:lang w:val="en-GB"/>
              </w:rPr>
              <w:t xml:space="preserve"> in Q</w:t>
            </w:r>
            <w:r w:rsidR="00267C51" w:rsidRPr="00742B86">
              <w:rPr>
                <w:spacing w:val="-4"/>
                <w:lang w:val="en-GB"/>
              </w:rPr>
              <w:t>2</w:t>
            </w:r>
            <w:r w:rsidR="0070412F" w:rsidRPr="00742B86">
              <w:rPr>
                <w:spacing w:val="-4"/>
                <w:lang w:val="en-GB"/>
              </w:rPr>
              <w:t xml:space="preserve"> the slump already occurred </w:t>
            </w:r>
            <w:r w:rsidR="00267C51" w:rsidRPr="00742B86">
              <w:rPr>
                <w:spacing w:val="-4"/>
                <w:lang w:val="en-GB"/>
              </w:rPr>
              <w:t>(–12</w:t>
            </w:r>
            <w:r w:rsidR="0070412F" w:rsidRPr="00742B86">
              <w:rPr>
                <w:spacing w:val="-4"/>
                <w:lang w:val="en-GB"/>
              </w:rPr>
              <w:t>.</w:t>
            </w:r>
            <w:r w:rsidR="00267C51" w:rsidRPr="00742B86">
              <w:rPr>
                <w:spacing w:val="-4"/>
                <w:lang w:val="en-GB"/>
              </w:rPr>
              <w:t>6%).</w:t>
            </w:r>
            <w:r w:rsidR="0070412F" w:rsidRPr="00742B86">
              <w:rPr>
                <w:spacing w:val="-4"/>
                <w:lang w:val="en-GB"/>
              </w:rPr>
              <w:t xml:space="preserve"> Certain stabilisation eventuated in the subsequent quarter </w:t>
            </w:r>
            <w:r w:rsidR="00267C51" w:rsidRPr="00742B86">
              <w:rPr>
                <w:spacing w:val="-4"/>
                <w:lang w:val="en-GB"/>
              </w:rPr>
              <w:t>(+1</w:t>
            </w:r>
            <w:r w:rsidR="0070412F" w:rsidRPr="00742B86">
              <w:rPr>
                <w:spacing w:val="-4"/>
                <w:lang w:val="en-GB"/>
              </w:rPr>
              <w:t>.</w:t>
            </w:r>
            <w:r w:rsidR="00267C51" w:rsidRPr="00742B86">
              <w:rPr>
                <w:spacing w:val="-4"/>
                <w:lang w:val="en-GB"/>
              </w:rPr>
              <w:t>3%),</w:t>
            </w:r>
            <w:r w:rsidR="0070412F" w:rsidRPr="00742B86">
              <w:rPr>
                <w:spacing w:val="-4"/>
                <w:lang w:val="en-GB"/>
              </w:rPr>
              <w:t xml:space="preserve"> which despite repeated ado</w:t>
            </w:r>
            <w:r w:rsidR="00C12FBA">
              <w:rPr>
                <w:spacing w:val="-4"/>
                <w:lang w:val="en-GB"/>
              </w:rPr>
              <w:t>ption of anti-</w:t>
            </w:r>
            <w:r w:rsidR="0070412F" w:rsidRPr="00742B86">
              <w:rPr>
                <w:spacing w:val="-4"/>
                <w:lang w:val="en-GB"/>
              </w:rPr>
              <w:t xml:space="preserve">pandemic measures continued in the remaining part of the year </w:t>
            </w:r>
            <w:r w:rsidR="00267C51" w:rsidRPr="00742B86">
              <w:rPr>
                <w:spacing w:val="-4"/>
                <w:lang w:val="en-GB"/>
              </w:rPr>
              <w:t>(+0</w:t>
            </w:r>
            <w:r w:rsidR="0070412F" w:rsidRPr="00742B86">
              <w:rPr>
                <w:spacing w:val="-4"/>
                <w:lang w:val="en-GB"/>
              </w:rPr>
              <w:t>.</w:t>
            </w:r>
            <w:r w:rsidR="00267C51" w:rsidRPr="00742B86">
              <w:rPr>
                <w:spacing w:val="-4"/>
                <w:lang w:val="en-GB"/>
              </w:rPr>
              <w:t xml:space="preserve">3%). </w:t>
            </w:r>
            <w:r w:rsidR="00B5407D" w:rsidRPr="00742B86">
              <w:rPr>
                <w:spacing w:val="-4"/>
                <w:lang w:val="en-GB"/>
              </w:rPr>
              <w:t xml:space="preserve">Increasing inflow of funds from the EU budget and transfer of funds from the </w:t>
            </w:r>
            <w:r w:rsidR="004D3D9D" w:rsidRPr="00742B86">
              <w:rPr>
                <w:spacing w:val="-4"/>
                <w:lang w:val="en-GB"/>
              </w:rPr>
              <w:t>privatization</w:t>
            </w:r>
            <w:r w:rsidR="00B5407D" w:rsidRPr="00742B86">
              <w:rPr>
                <w:spacing w:val="-4"/>
                <w:lang w:val="en-GB"/>
              </w:rPr>
              <w:t xml:space="preserve"> account</w:t>
            </w:r>
            <w:r w:rsidR="00C12FBA">
              <w:rPr>
                <w:spacing w:val="-4"/>
                <w:lang w:val="en-GB"/>
              </w:rPr>
              <w:t xml:space="preserve"> supported last year (</w:t>
            </w:r>
            <w:r w:rsidR="004D3D9D" w:rsidRPr="00742B86">
              <w:rPr>
                <w:spacing w:val="-4"/>
                <w:lang w:val="en-GB"/>
              </w:rPr>
              <w:t>similarly to year 2019</w:t>
            </w:r>
            <w:r w:rsidR="00C12FBA">
              <w:rPr>
                <w:spacing w:val="-4"/>
                <w:lang w:val="en-GB"/>
              </w:rPr>
              <w:t>)</w:t>
            </w:r>
            <w:r w:rsidR="004D3D9D" w:rsidRPr="00742B86">
              <w:rPr>
                <w:spacing w:val="-4"/>
                <w:lang w:val="en-GB"/>
              </w:rPr>
              <w:t xml:space="preserve"> the SB </w:t>
            </w:r>
            <w:r w:rsidRPr="00742B86">
              <w:rPr>
                <w:spacing w:val="-4"/>
                <w:lang w:val="en-GB"/>
              </w:rPr>
              <w:t>revenue side</w:t>
            </w:r>
            <w:r w:rsidR="004D3D9D" w:rsidRPr="00742B86">
              <w:rPr>
                <w:spacing w:val="-4"/>
                <w:lang w:val="en-GB"/>
              </w:rPr>
              <w:t xml:space="preserve">. </w:t>
            </w:r>
          </w:p>
        </w:tc>
      </w:tr>
      <w:tr w:rsidR="00267C51" w:rsidRPr="00742B86" w:rsidTr="00D70BBF">
        <w:trPr>
          <w:trHeight w:val="145"/>
        </w:trPr>
        <w:tc>
          <w:tcPr>
            <w:tcW w:w="1583" w:type="dxa"/>
            <w:shd w:val="clear" w:color="auto" w:fill="auto"/>
            <w:tcMar>
              <w:left w:w="0" w:type="dxa"/>
            </w:tcMar>
          </w:tcPr>
          <w:p w:rsidR="00267C51" w:rsidRPr="00742B86" w:rsidRDefault="00E60A9D" w:rsidP="00D932B8">
            <w:pPr>
              <w:pStyle w:val="Marginlie"/>
              <w:rPr>
                <w:lang w:val="en-GB"/>
              </w:rPr>
            </w:pPr>
            <w:r w:rsidRPr="00742B86">
              <w:rPr>
                <w:lang w:val="en-GB"/>
              </w:rPr>
              <w:t>State-wide collection of corporate tax fell by one eight</w:t>
            </w:r>
            <w:r w:rsidR="00106EF4" w:rsidRPr="00742B86">
              <w:rPr>
                <w:lang w:val="en-GB"/>
              </w:rPr>
              <w:t>h</w:t>
            </w:r>
            <w:r w:rsidRPr="00742B86">
              <w:rPr>
                <w:lang w:val="en-GB"/>
              </w:rPr>
              <w:t xml:space="preserve"> last year, the most since year </w:t>
            </w:r>
            <w:r w:rsidR="00267C51" w:rsidRPr="00742B86">
              <w:rPr>
                <w:lang w:val="en-GB"/>
              </w:rPr>
              <w:t>2009.</w:t>
            </w:r>
          </w:p>
        </w:tc>
        <w:tc>
          <w:tcPr>
            <w:tcW w:w="176" w:type="dxa"/>
            <w:shd w:val="clear" w:color="auto" w:fill="auto"/>
            <w:tcMar>
              <w:left w:w="0" w:type="dxa"/>
            </w:tcMar>
          </w:tcPr>
          <w:p w:rsidR="00267C51" w:rsidRPr="00742B86" w:rsidRDefault="00267C51" w:rsidP="00D932B8">
            <w:pPr>
              <w:pStyle w:val="Textpoznpodarou"/>
              <w:jc w:val="both"/>
              <w:rPr>
                <w:spacing w:val="-4"/>
                <w:lang w:val="en-GB"/>
              </w:rPr>
            </w:pPr>
          </w:p>
        </w:tc>
        <w:tc>
          <w:tcPr>
            <w:tcW w:w="7910" w:type="dxa"/>
            <w:shd w:val="clear" w:color="auto" w:fill="auto"/>
            <w:tcMar>
              <w:left w:w="0" w:type="dxa"/>
            </w:tcMar>
          </w:tcPr>
          <w:p w:rsidR="00267C51" w:rsidRPr="00742B86" w:rsidRDefault="00D96AFE" w:rsidP="00267C51">
            <w:pPr>
              <w:rPr>
                <w:spacing w:val="-4"/>
                <w:lang w:val="en-GB"/>
              </w:rPr>
            </w:pPr>
            <w:r w:rsidRPr="00742B86">
              <w:rPr>
                <w:spacing w:val="-4"/>
                <w:lang w:val="en-GB"/>
              </w:rPr>
              <w:t>Fallout of the collection of corporate tax</w:t>
            </w:r>
            <w:r w:rsidR="004F63BE" w:rsidRPr="00742B86">
              <w:rPr>
                <w:spacing w:val="-4"/>
                <w:lang w:val="en-GB"/>
              </w:rPr>
              <w:t xml:space="preserve"> left the largest mark on the last year´s decrease of the total SB revenues. </w:t>
            </w:r>
            <w:r w:rsidRPr="00742B86">
              <w:rPr>
                <w:spacing w:val="-4"/>
                <w:lang w:val="en-GB"/>
              </w:rPr>
              <w:t xml:space="preserve">It was lower by </w:t>
            </w:r>
            <w:r w:rsidR="00267C51" w:rsidRPr="00742B86">
              <w:rPr>
                <w:spacing w:val="-4"/>
                <w:lang w:val="en-GB"/>
              </w:rPr>
              <w:t>15</w:t>
            </w:r>
            <w:r w:rsidRPr="00742B86">
              <w:rPr>
                <w:spacing w:val="-4"/>
                <w:lang w:val="en-GB"/>
              </w:rPr>
              <w:t>.</w:t>
            </w:r>
            <w:r w:rsidR="00267C51" w:rsidRPr="00742B86">
              <w:rPr>
                <w:spacing w:val="-4"/>
                <w:lang w:val="en-GB"/>
              </w:rPr>
              <w:t>1</w:t>
            </w:r>
            <w:r w:rsidRPr="00742B86">
              <w:rPr>
                <w:spacing w:val="-4"/>
                <w:lang w:val="en-GB"/>
              </w:rPr>
              <w:t xml:space="preserve"> CZK bn </w:t>
            </w:r>
            <w:r w:rsidR="00267C51" w:rsidRPr="00742B86">
              <w:rPr>
                <w:spacing w:val="-4"/>
                <w:lang w:val="en-GB"/>
              </w:rPr>
              <w:t>(</w:t>
            </w:r>
            <w:r w:rsidR="00E357BF">
              <w:rPr>
                <w:spacing w:val="-4"/>
                <w:lang w:val="en-GB"/>
              </w:rPr>
              <w:t xml:space="preserve">contrary, </w:t>
            </w:r>
            <w:r w:rsidRPr="00742B86">
              <w:rPr>
                <w:spacing w:val="-4"/>
                <w:lang w:val="en-GB"/>
              </w:rPr>
              <w:t xml:space="preserve">it grew by </w:t>
            </w:r>
            <w:r w:rsidR="00267C51" w:rsidRPr="00742B86">
              <w:rPr>
                <w:spacing w:val="-4"/>
                <w:lang w:val="en-GB"/>
              </w:rPr>
              <w:t>6</w:t>
            </w:r>
            <w:r w:rsidRPr="00742B86">
              <w:rPr>
                <w:spacing w:val="-4"/>
                <w:lang w:val="en-GB"/>
              </w:rPr>
              <w:t>.</w:t>
            </w:r>
            <w:r w:rsidR="00267C51" w:rsidRPr="00742B86">
              <w:rPr>
                <w:spacing w:val="-4"/>
                <w:lang w:val="en-GB"/>
              </w:rPr>
              <w:t>0</w:t>
            </w:r>
            <w:r w:rsidRPr="00742B86">
              <w:rPr>
                <w:spacing w:val="-4"/>
                <w:lang w:val="en-GB"/>
              </w:rPr>
              <w:t xml:space="preserve"> bn for year 2019</w:t>
            </w:r>
            <w:r w:rsidR="00267C51" w:rsidRPr="00742B86">
              <w:rPr>
                <w:spacing w:val="-4"/>
                <w:lang w:val="en-GB"/>
              </w:rPr>
              <w:t xml:space="preserve">). </w:t>
            </w:r>
            <w:r w:rsidR="008A2EB6" w:rsidRPr="00742B86">
              <w:rPr>
                <w:spacing w:val="-4"/>
                <w:lang w:val="en-GB"/>
              </w:rPr>
              <w:t xml:space="preserve">Waiver of the July tax advance payment as well as the option of individual </w:t>
            </w:r>
            <w:r w:rsidR="007313AE" w:rsidRPr="00742B86">
              <w:rPr>
                <w:spacing w:val="-4"/>
                <w:lang w:val="en-GB"/>
              </w:rPr>
              <w:t xml:space="preserve">setting of tax advance payment mainly had an impact </w:t>
            </w:r>
            <w:r w:rsidR="00267C51" w:rsidRPr="00742B86">
              <w:rPr>
                <w:spacing w:val="-4"/>
                <w:lang w:val="en-GB"/>
              </w:rPr>
              <w:t>(</w:t>
            </w:r>
            <w:r w:rsidR="004F63BE" w:rsidRPr="00742B86">
              <w:rPr>
                <w:spacing w:val="-4"/>
                <w:lang w:val="en-GB"/>
              </w:rPr>
              <w:t xml:space="preserve">total effect </w:t>
            </w:r>
            <w:r w:rsidR="00267C51" w:rsidRPr="00742B86">
              <w:rPr>
                <w:spacing w:val="-4"/>
                <w:lang w:val="en-GB"/>
              </w:rPr>
              <w:t>–20</w:t>
            </w:r>
            <w:r w:rsidR="004F63BE" w:rsidRPr="00742B86">
              <w:rPr>
                <w:spacing w:val="-4"/>
                <w:lang w:val="en-GB"/>
              </w:rPr>
              <w:t>.</w:t>
            </w:r>
            <w:r w:rsidR="00267C51" w:rsidRPr="00742B86">
              <w:rPr>
                <w:spacing w:val="-4"/>
                <w:lang w:val="en-GB"/>
              </w:rPr>
              <w:t>3 </w:t>
            </w:r>
            <w:r w:rsidR="004F63BE" w:rsidRPr="00742B86">
              <w:rPr>
                <w:spacing w:val="-4"/>
                <w:lang w:val="en-GB"/>
              </w:rPr>
              <w:t>bn</w:t>
            </w:r>
            <w:r w:rsidR="00267C51" w:rsidRPr="00742B86">
              <w:rPr>
                <w:spacing w:val="-4"/>
                <w:lang w:val="en-GB"/>
              </w:rPr>
              <w:t xml:space="preserve">). </w:t>
            </w:r>
            <w:r w:rsidR="004F63BE" w:rsidRPr="00742B86">
              <w:rPr>
                <w:spacing w:val="-4"/>
                <w:lang w:val="en-GB"/>
              </w:rPr>
              <w:t>State-wide</w:t>
            </w:r>
            <w:r w:rsidR="00107E91" w:rsidRPr="00742B86">
              <w:rPr>
                <w:spacing w:val="-4"/>
                <w:lang w:val="en-GB"/>
              </w:rPr>
              <w:t xml:space="preserve"> collection of the corporate tax decreased by </w:t>
            </w:r>
            <w:r w:rsidR="00267C51" w:rsidRPr="00742B86">
              <w:rPr>
                <w:spacing w:val="-4"/>
                <w:lang w:val="en-GB"/>
              </w:rPr>
              <w:t>12</w:t>
            </w:r>
            <w:r w:rsidR="00107E91" w:rsidRPr="00742B86">
              <w:rPr>
                <w:spacing w:val="-4"/>
                <w:lang w:val="en-GB"/>
              </w:rPr>
              <w:t>.</w:t>
            </w:r>
            <w:r w:rsidR="00267C51" w:rsidRPr="00742B86">
              <w:rPr>
                <w:spacing w:val="-4"/>
                <w:lang w:val="en-GB"/>
              </w:rPr>
              <w:t>2%</w:t>
            </w:r>
            <w:r w:rsidR="00107E91" w:rsidRPr="00742B86">
              <w:rPr>
                <w:spacing w:val="-4"/>
                <w:lang w:val="en-GB"/>
              </w:rPr>
              <w:t xml:space="preserve"> year-on-year</w:t>
            </w:r>
            <w:r w:rsidR="00267C51" w:rsidRPr="00742B86">
              <w:rPr>
                <w:spacing w:val="-4"/>
                <w:lang w:val="en-GB"/>
              </w:rPr>
              <w:t>,</w:t>
            </w:r>
            <w:r w:rsidR="00107E91" w:rsidRPr="00742B86">
              <w:rPr>
                <w:spacing w:val="-4"/>
                <w:lang w:val="en-GB"/>
              </w:rPr>
              <w:t xml:space="preserve"> that is more than in year </w:t>
            </w:r>
            <w:r w:rsidR="00267C51" w:rsidRPr="00742B86">
              <w:rPr>
                <w:spacing w:val="-4"/>
                <w:lang w:val="en-GB"/>
              </w:rPr>
              <w:t>2013 (–5</w:t>
            </w:r>
            <w:r w:rsidR="00107E91" w:rsidRPr="00742B86">
              <w:rPr>
                <w:spacing w:val="-4"/>
                <w:lang w:val="en-GB"/>
              </w:rPr>
              <w:t>.</w:t>
            </w:r>
            <w:r w:rsidR="00267C51" w:rsidRPr="00742B86">
              <w:rPr>
                <w:spacing w:val="-4"/>
                <w:lang w:val="en-GB"/>
              </w:rPr>
              <w:t>7%),</w:t>
            </w:r>
            <w:r w:rsidR="00107E91" w:rsidRPr="00742B86">
              <w:rPr>
                <w:spacing w:val="-4"/>
                <w:lang w:val="en-GB"/>
              </w:rPr>
              <w:t xml:space="preserve"> but at the same time much less than</w:t>
            </w:r>
            <w:r w:rsidR="00106EF4" w:rsidRPr="00742B86">
              <w:rPr>
                <w:spacing w:val="-4"/>
                <w:lang w:val="en-GB"/>
              </w:rPr>
              <w:t xml:space="preserve"> in</w:t>
            </w:r>
            <w:r w:rsidR="00107E91" w:rsidRPr="00742B86">
              <w:rPr>
                <w:spacing w:val="-4"/>
                <w:lang w:val="en-GB"/>
              </w:rPr>
              <w:t xml:space="preserve"> the crisis year </w:t>
            </w:r>
            <w:r w:rsidR="00267C51" w:rsidRPr="00742B86">
              <w:rPr>
                <w:spacing w:val="-4"/>
                <w:lang w:val="en-GB"/>
              </w:rPr>
              <w:t>2009 (–34</w:t>
            </w:r>
            <w:r w:rsidR="00107E91" w:rsidRPr="00742B86">
              <w:rPr>
                <w:spacing w:val="-4"/>
                <w:lang w:val="en-GB"/>
              </w:rPr>
              <w:t>.</w:t>
            </w:r>
            <w:r w:rsidR="00267C51" w:rsidRPr="00742B86">
              <w:rPr>
                <w:spacing w:val="-4"/>
                <w:lang w:val="en-GB"/>
              </w:rPr>
              <w:t>5%).</w:t>
            </w:r>
            <w:r w:rsidR="00107E91" w:rsidRPr="00742B86">
              <w:rPr>
                <w:spacing w:val="-4"/>
                <w:lang w:val="en-GB"/>
              </w:rPr>
              <w:t xml:space="preserve"> Positive fact was, that the collection of tax grew year-on-year in Q</w:t>
            </w:r>
            <w:r w:rsidR="00267C51" w:rsidRPr="00742B86">
              <w:rPr>
                <w:spacing w:val="-4"/>
                <w:lang w:val="en-GB"/>
              </w:rPr>
              <w:t>4</w:t>
            </w:r>
            <w:r w:rsidR="00107E91" w:rsidRPr="00742B86">
              <w:rPr>
                <w:spacing w:val="-4"/>
                <w:lang w:val="en-GB"/>
              </w:rPr>
              <w:t xml:space="preserve"> </w:t>
            </w:r>
            <w:r w:rsidR="00267C51" w:rsidRPr="00742B86">
              <w:rPr>
                <w:spacing w:val="-4"/>
                <w:lang w:val="en-GB"/>
              </w:rPr>
              <w:t>2020</w:t>
            </w:r>
            <w:r w:rsidR="00107E91" w:rsidRPr="00742B86">
              <w:rPr>
                <w:spacing w:val="-4"/>
                <w:lang w:val="en-GB"/>
              </w:rPr>
              <w:t xml:space="preserve"> itself </w:t>
            </w:r>
            <w:r w:rsidR="00267C51" w:rsidRPr="00742B86">
              <w:rPr>
                <w:spacing w:val="-4"/>
                <w:lang w:val="en-GB"/>
              </w:rPr>
              <w:t xml:space="preserve">(+16%). </w:t>
            </w:r>
            <w:r w:rsidR="004F63BE" w:rsidRPr="00742B86">
              <w:rPr>
                <w:spacing w:val="-4"/>
                <w:lang w:val="en-GB"/>
              </w:rPr>
              <w:t xml:space="preserve">It could have been linked to the recovery of industry. </w:t>
            </w:r>
            <w:r w:rsidR="00E357BF">
              <w:rPr>
                <w:spacing w:val="-4"/>
                <w:lang w:val="en-GB"/>
              </w:rPr>
              <w:t>However, a</w:t>
            </w:r>
            <w:r w:rsidR="004F63BE" w:rsidRPr="00742B86">
              <w:rPr>
                <w:spacing w:val="-4"/>
                <w:lang w:val="en-GB"/>
              </w:rPr>
              <w:t>dverse results of the budgets of businesses in the branches of servi</w:t>
            </w:r>
            <w:r w:rsidR="00E357BF">
              <w:rPr>
                <w:spacing w:val="-4"/>
                <w:lang w:val="en-GB"/>
              </w:rPr>
              <w:t>ces the most hit by the anti-</w:t>
            </w:r>
            <w:r w:rsidR="004F63BE" w:rsidRPr="00742B86">
              <w:rPr>
                <w:spacing w:val="-4"/>
                <w:lang w:val="en-GB"/>
              </w:rPr>
              <w:t>pandemic restrictions have not been fully reflected by far in the corporate tax collection</w:t>
            </w:r>
            <w:r w:rsidR="00267C51" w:rsidRPr="00742B86">
              <w:rPr>
                <w:rStyle w:val="Znakapoznpodarou"/>
                <w:spacing w:val="-4"/>
                <w:lang w:val="en-GB"/>
              </w:rPr>
              <w:footnoteReference w:id="4"/>
            </w:r>
            <w:r w:rsidR="00267C51" w:rsidRPr="00742B86">
              <w:rPr>
                <w:spacing w:val="-4"/>
                <w:lang w:val="en-GB"/>
              </w:rPr>
              <w:t>.</w:t>
            </w:r>
          </w:p>
        </w:tc>
      </w:tr>
      <w:tr w:rsidR="00267C51" w:rsidRPr="00742B86" w:rsidTr="00D70BBF">
        <w:trPr>
          <w:trHeight w:val="145"/>
        </w:trPr>
        <w:tc>
          <w:tcPr>
            <w:tcW w:w="1583" w:type="dxa"/>
            <w:shd w:val="clear" w:color="auto" w:fill="auto"/>
            <w:tcMar>
              <w:left w:w="0" w:type="dxa"/>
            </w:tcMar>
          </w:tcPr>
          <w:p w:rsidR="00267C51" w:rsidRPr="00742B86" w:rsidRDefault="009C55E4" w:rsidP="00F92102">
            <w:pPr>
              <w:pStyle w:val="Marginlie"/>
              <w:rPr>
                <w:lang w:val="en-GB"/>
              </w:rPr>
            </w:pPr>
            <w:r w:rsidRPr="00742B86">
              <w:rPr>
                <w:lang w:val="en-GB"/>
              </w:rPr>
              <w:t>Collection of income tax</w:t>
            </w:r>
            <w:r w:rsidR="00F92102">
              <w:rPr>
                <w:lang w:val="en-GB"/>
              </w:rPr>
              <w:t xml:space="preserve"> of natural persons was mainly </w:t>
            </w:r>
            <w:r w:rsidRPr="00742B86">
              <w:rPr>
                <w:lang w:val="en-GB"/>
              </w:rPr>
              <w:t>affected by the pai</w:t>
            </w:r>
            <w:r w:rsidR="00F92102">
              <w:rPr>
                <w:lang w:val="en-GB"/>
              </w:rPr>
              <w:t xml:space="preserve">d out compensation bonuses. </w:t>
            </w:r>
            <w:r w:rsidRPr="00742B86">
              <w:rPr>
                <w:lang w:val="en-GB"/>
              </w:rPr>
              <w:t>Tax collection mildly grew in H</w:t>
            </w:r>
            <w:r w:rsidR="00267C51" w:rsidRPr="00742B86">
              <w:rPr>
                <w:lang w:val="en-GB"/>
              </w:rPr>
              <w:t>2</w:t>
            </w:r>
            <w:r w:rsidRPr="00742B86">
              <w:rPr>
                <w:lang w:val="en-GB"/>
              </w:rPr>
              <w:t xml:space="preserve"> of the year. </w:t>
            </w:r>
          </w:p>
        </w:tc>
        <w:tc>
          <w:tcPr>
            <w:tcW w:w="176" w:type="dxa"/>
            <w:shd w:val="clear" w:color="auto" w:fill="auto"/>
            <w:tcMar>
              <w:left w:w="0" w:type="dxa"/>
            </w:tcMar>
          </w:tcPr>
          <w:p w:rsidR="00267C51" w:rsidRPr="00742B86" w:rsidRDefault="00267C51" w:rsidP="00D932B8">
            <w:pPr>
              <w:pStyle w:val="Textpoznpodarou"/>
              <w:jc w:val="both"/>
              <w:rPr>
                <w:spacing w:val="-4"/>
                <w:lang w:val="en-GB"/>
              </w:rPr>
            </w:pPr>
          </w:p>
        </w:tc>
        <w:tc>
          <w:tcPr>
            <w:tcW w:w="7910" w:type="dxa"/>
            <w:shd w:val="clear" w:color="auto" w:fill="auto"/>
            <w:tcMar>
              <w:left w:w="0" w:type="dxa"/>
            </w:tcMar>
          </w:tcPr>
          <w:p w:rsidR="00267C51" w:rsidRPr="00742B86" w:rsidRDefault="003F55CF" w:rsidP="00267C51">
            <w:pPr>
              <w:rPr>
                <w:spacing w:val="-4"/>
                <w:lang w:val="en-GB"/>
              </w:rPr>
            </w:pPr>
            <w:r w:rsidRPr="00742B86">
              <w:rPr>
                <w:spacing w:val="-4"/>
                <w:lang w:val="en-GB"/>
              </w:rPr>
              <w:t xml:space="preserve">SB gained by 5.3% (resp. 7.5 CZK bn) less year-on-year on the income tax of natural persons (NO) from the taxpayers. </w:t>
            </w:r>
            <w:r w:rsidR="006F1400" w:rsidRPr="00742B86">
              <w:rPr>
                <w:spacing w:val="-4"/>
                <w:lang w:val="en-GB"/>
              </w:rPr>
              <w:t>State-wide collection of this tax was decreasing by a similar rate of growth and thus fell for the first time in the last eleven years</w:t>
            </w:r>
            <w:r w:rsidR="00267C51" w:rsidRPr="00742B86">
              <w:rPr>
                <w:rStyle w:val="Znakapoznpodarou"/>
                <w:spacing w:val="-4"/>
                <w:lang w:val="en-GB"/>
              </w:rPr>
              <w:footnoteReference w:id="5"/>
            </w:r>
            <w:r w:rsidR="00267C51" w:rsidRPr="00742B86">
              <w:rPr>
                <w:spacing w:val="-4"/>
                <w:lang w:val="en-GB"/>
              </w:rPr>
              <w:t xml:space="preserve">. </w:t>
            </w:r>
            <w:r w:rsidR="000A0AA7" w:rsidRPr="00742B86">
              <w:rPr>
                <w:spacing w:val="-4"/>
                <w:lang w:val="en-GB"/>
              </w:rPr>
              <w:t xml:space="preserve">Direct support in the form of paid out compensation bonuses, especially to self-employed persons (in the total amount of </w:t>
            </w:r>
            <w:r w:rsidR="00267C51" w:rsidRPr="00742B86">
              <w:rPr>
                <w:spacing w:val="-4"/>
                <w:lang w:val="en-GB"/>
              </w:rPr>
              <w:t>16</w:t>
            </w:r>
            <w:r w:rsidR="000A0AA7" w:rsidRPr="00742B86">
              <w:rPr>
                <w:spacing w:val="-4"/>
                <w:lang w:val="en-GB"/>
              </w:rPr>
              <w:t>.</w:t>
            </w:r>
            <w:r w:rsidR="00267C51" w:rsidRPr="00742B86">
              <w:rPr>
                <w:spacing w:val="-4"/>
                <w:lang w:val="en-GB"/>
              </w:rPr>
              <w:t>1</w:t>
            </w:r>
            <w:r w:rsidR="000A0AA7" w:rsidRPr="00742B86">
              <w:rPr>
                <w:spacing w:val="-4"/>
                <w:lang w:val="en-GB"/>
              </w:rPr>
              <w:t xml:space="preserve"> CZK bn</w:t>
            </w:r>
            <w:r w:rsidR="00267C51" w:rsidRPr="00742B86">
              <w:rPr>
                <w:spacing w:val="-4"/>
                <w:lang w:val="en-GB"/>
              </w:rPr>
              <w:t>)</w:t>
            </w:r>
            <w:r w:rsidR="006F1400" w:rsidRPr="00742B86">
              <w:rPr>
                <w:spacing w:val="-4"/>
                <w:lang w:val="en-GB"/>
              </w:rPr>
              <w:t xml:space="preserve"> played a key </w:t>
            </w:r>
            <w:r w:rsidR="00F92102">
              <w:rPr>
                <w:spacing w:val="-4"/>
                <w:lang w:val="en-GB"/>
              </w:rPr>
              <w:t xml:space="preserve">negative </w:t>
            </w:r>
            <w:r w:rsidR="006F1400" w:rsidRPr="00742B86">
              <w:rPr>
                <w:spacing w:val="-4"/>
                <w:lang w:val="en-GB"/>
              </w:rPr>
              <w:t>role here</w:t>
            </w:r>
            <w:r w:rsidR="00F92102">
              <w:rPr>
                <w:spacing w:val="-4"/>
                <w:lang w:val="en-GB"/>
              </w:rPr>
              <w:t>. H</w:t>
            </w:r>
            <w:r w:rsidR="006F1400" w:rsidRPr="00742B86">
              <w:rPr>
                <w:spacing w:val="-4"/>
                <w:lang w:val="en-GB"/>
              </w:rPr>
              <w:t>igher number of p</w:t>
            </w:r>
            <w:r w:rsidR="000A0AA7" w:rsidRPr="00742B86">
              <w:rPr>
                <w:spacing w:val="-4"/>
                <w:lang w:val="en-GB"/>
              </w:rPr>
              <w:t>e</w:t>
            </w:r>
            <w:r w:rsidR="006F1400" w:rsidRPr="00742B86">
              <w:rPr>
                <w:spacing w:val="-4"/>
                <w:lang w:val="en-GB"/>
              </w:rPr>
              <w:t xml:space="preserve">rsons caring for a child in the period of closed schools, reduced </w:t>
            </w:r>
            <w:r w:rsidR="00F92102">
              <w:rPr>
                <w:spacing w:val="-4"/>
                <w:lang w:val="en-GB"/>
              </w:rPr>
              <w:t xml:space="preserve">total employment </w:t>
            </w:r>
            <w:r w:rsidR="006F1400" w:rsidRPr="00742B86">
              <w:rPr>
                <w:spacing w:val="-4"/>
                <w:lang w:val="en-GB"/>
              </w:rPr>
              <w:t>as well as the lower dynamics of the average wage growth in the economy</w:t>
            </w:r>
            <w:r w:rsidR="004D0EDF" w:rsidRPr="00742B86">
              <w:rPr>
                <w:spacing w:val="-4"/>
                <w:lang w:val="en-GB"/>
              </w:rPr>
              <w:t xml:space="preserve"> also had an effect</w:t>
            </w:r>
            <w:r w:rsidR="006F1400" w:rsidRPr="00742B86">
              <w:rPr>
                <w:spacing w:val="-4"/>
                <w:lang w:val="en-GB"/>
              </w:rPr>
              <w:t>. Annual collection was majorly affected by the slump in Q</w:t>
            </w:r>
            <w:r w:rsidR="00267C51" w:rsidRPr="00742B86">
              <w:rPr>
                <w:spacing w:val="-4"/>
                <w:lang w:val="en-GB"/>
              </w:rPr>
              <w:t>2</w:t>
            </w:r>
            <w:r w:rsidR="006F1400" w:rsidRPr="00742B86">
              <w:rPr>
                <w:spacing w:val="-4"/>
                <w:lang w:val="en-GB"/>
              </w:rPr>
              <w:t xml:space="preserve"> </w:t>
            </w:r>
            <w:r w:rsidR="00267C51" w:rsidRPr="00742B86">
              <w:rPr>
                <w:spacing w:val="-4"/>
                <w:lang w:val="en-GB"/>
              </w:rPr>
              <w:t xml:space="preserve">2020, </w:t>
            </w:r>
            <w:r w:rsidR="006F1400" w:rsidRPr="00742B86">
              <w:rPr>
                <w:spacing w:val="-4"/>
                <w:lang w:val="en-GB"/>
              </w:rPr>
              <w:t xml:space="preserve">the collection slightly increased year-on-year in the following two quarters </w:t>
            </w:r>
            <w:r w:rsidR="00267C51" w:rsidRPr="00742B86">
              <w:rPr>
                <w:spacing w:val="-4"/>
                <w:lang w:val="en-GB"/>
              </w:rPr>
              <w:t>(+4</w:t>
            </w:r>
            <w:r w:rsidR="004D0EDF" w:rsidRPr="00742B86">
              <w:rPr>
                <w:spacing w:val="-4"/>
                <w:lang w:val="en-GB"/>
              </w:rPr>
              <w:t>%</w:t>
            </w:r>
            <w:r w:rsidR="00267C51" w:rsidRPr="00742B86">
              <w:rPr>
                <w:spacing w:val="-4"/>
                <w:lang w:val="en-GB"/>
              </w:rPr>
              <w:t xml:space="preserve">). </w:t>
            </w:r>
            <w:r w:rsidR="006F1400" w:rsidRPr="00742B86">
              <w:rPr>
                <w:spacing w:val="-4"/>
                <w:lang w:val="en-GB"/>
              </w:rPr>
              <w:t>SB revenues from other taxes from NO reduced by one eight</w:t>
            </w:r>
            <w:r w:rsidR="004D0EDF" w:rsidRPr="00742B86">
              <w:rPr>
                <w:spacing w:val="-4"/>
                <w:lang w:val="en-GB"/>
              </w:rPr>
              <w:t>h</w:t>
            </w:r>
            <w:r w:rsidR="006F1400" w:rsidRPr="00742B86">
              <w:rPr>
                <w:spacing w:val="-4"/>
                <w:lang w:val="en-GB"/>
              </w:rPr>
              <w:t xml:space="preserve"> in year </w:t>
            </w:r>
            <w:r w:rsidR="00267C51" w:rsidRPr="00742B86">
              <w:rPr>
                <w:spacing w:val="-4"/>
                <w:lang w:val="en-GB"/>
              </w:rPr>
              <w:t>2020</w:t>
            </w:r>
            <w:r w:rsidR="006F1400" w:rsidRPr="00742B86">
              <w:rPr>
                <w:spacing w:val="-4"/>
                <w:lang w:val="en-GB"/>
              </w:rPr>
              <w:t xml:space="preserve">. </w:t>
            </w:r>
            <w:r w:rsidR="00F07BC3" w:rsidRPr="00742B86">
              <w:rPr>
                <w:spacing w:val="-4"/>
                <w:lang w:val="en-GB"/>
              </w:rPr>
              <w:t xml:space="preserve">Collection of taxes from tax returns (paid by taxpayers) was the lowest in the last four years </w:t>
            </w:r>
            <w:r w:rsidR="00267C51" w:rsidRPr="00742B86">
              <w:rPr>
                <w:spacing w:val="-4"/>
                <w:lang w:val="en-GB"/>
              </w:rPr>
              <w:t>(4</w:t>
            </w:r>
            <w:r w:rsidR="00F07BC3" w:rsidRPr="00742B86">
              <w:rPr>
                <w:spacing w:val="-4"/>
                <w:lang w:val="en-GB"/>
              </w:rPr>
              <w:t>.</w:t>
            </w:r>
            <w:r w:rsidR="00267C51" w:rsidRPr="00742B86">
              <w:rPr>
                <w:spacing w:val="-4"/>
                <w:lang w:val="en-GB"/>
              </w:rPr>
              <w:t>6</w:t>
            </w:r>
            <w:r w:rsidR="00F07BC3" w:rsidRPr="00742B86">
              <w:rPr>
                <w:spacing w:val="-4"/>
                <w:lang w:val="en-GB"/>
              </w:rPr>
              <w:t xml:space="preserve"> CZK bn</w:t>
            </w:r>
            <w:r w:rsidR="00267C51" w:rsidRPr="00742B86">
              <w:rPr>
                <w:spacing w:val="-4"/>
                <w:lang w:val="en-GB"/>
              </w:rPr>
              <w:t>),</w:t>
            </w:r>
            <w:r w:rsidR="00F07BC3" w:rsidRPr="00742B86">
              <w:rPr>
                <w:spacing w:val="-4"/>
                <w:lang w:val="en-GB"/>
              </w:rPr>
              <w:t xml:space="preserve"> mainly due to waiving part of advance tax payments (alternatively their lowering) and also by the repeated increase of outlay </w:t>
            </w:r>
            <w:r w:rsidR="00F62720" w:rsidRPr="00742B86">
              <w:rPr>
                <w:spacing w:val="-4"/>
                <w:lang w:val="en-GB"/>
              </w:rPr>
              <w:t xml:space="preserve">flat rates. On the contrary, the SB acquired by 3% </w:t>
            </w:r>
            <w:r w:rsidR="00F62720" w:rsidRPr="00742B86">
              <w:rPr>
                <w:spacing w:val="-4"/>
                <w:lang w:val="en-GB"/>
              </w:rPr>
              <w:lastRenderedPageBreak/>
              <w:t>more year-on-year</w:t>
            </w:r>
            <w:r w:rsidR="00267C51" w:rsidRPr="00742B86">
              <w:rPr>
                <w:rStyle w:val="Znakapoznpodarou"/>
                <w:spacing w:val="-4"/>
                <w:lang w:val="en-GB"/>
              </w:rPr>
              <w:footnoteReference w:id="6"/>
            </w:r>
            <w:r w:rsidR="00F62720" w:rsidRPr="00742B86">
              <w:rPr>
                <w:spacing w:val="-4"/>
                <w:lang w:val="en-GB"/>
              </w:rPr>
              <w:t xml:space="preserve"> on the revenue tax of NO</w:t>
            </w:r>
            <w:r w:rsidR="00F92102">
              <w:rPr>
                <w:spacing w:val="-4"/>
                <w:lang w:val="en-GB"/>
              </w:rPr>
              <w:t xml:space="preserve"> (</w:t>
            </w:r>
            <w:r w:rsidR="00F92102" w:rsidRPr="00F92102">
              <w:rPr>
                <w:spacing w:val="-4"/>
                <w:lang w:val="en-GB"/>
              </w:rPr>
              <w:t>withholding tax</w:t>
            </w:r>
            <w:r w:rsidR="00F92102">
              <w:rPr>
                <w:spacing w:val="-4"/>
                <w:lang w:val="en-GB"/>
              </w:rPr>
              <w:t>)</w:t>
            </w:r>
            <w:r w:rsidR="00267C51" w:rsidRPr="00742B86">
              <w:rPr>
                <w:spacing w:val="-4"/>
                <w:lang w:val="en-GB"/>
              </w:rPr>
              <w:t xml:space="preserve">. </w:t>
            </w:r>
            <w:r w:rsidR="002A24F6" w:rsidRPr="00742B86">
              <w:rPr>
                <w:spacing w:val="-4"/>
                <w:lang w:val="en-GB"/>
              </w:rPr>
              <w:t>Numbe</w:t>
            </w:r>
            <w:r w:rsidR="00247447" w:rsidRPr="00742B86">
              <w:rPr>
                <w:spacing w:val="-4"/>
                <w:lang w:val="en-GB"/>
              </w:rPr>
              <w:t>r</w:t>
            </w:r>
            <w:r w:rsidR="002A24F6" w:rsidRPr="00742B86">
              <w:rPr>
                <w:spacing w:val="-4"/>
                <w:lang w:val="en-GB"/>
              </w:rPr>
              <w:t xml:space="preserve"> of part time jobs (contracts for work</w:t>
            </w:r>
            <w:r w:rsidR="00267C51" w:rsidRPr="00742B86">
              <w:rPr>
                <w:spacing w:val="-4"/>
                <w:lang w:val="en-GB"/>
              </w:rPr>
              <w:t>) a</w:t>
            </w:r>
            <w:r w:rsidR="002A24F6" w:rsidRPr="00742B86">
              <w:rPr>
                <w:spacing w:val="-4"/>
                <w:lang w:val="en-GB"/>
              </w:rPr>
              <w:t xml:space="preserve">nd also the total amount of household savings and change of client interest rates had effect on the size of this tax. </w:t>
            </w:r>
          </w:p>
        </w:tc>
      </w:tr>
      <w:tr w:rsidR="00267C51" w:rsidRPr="00742B86" w:rsidTr="00D70BBF">
        <w:trPr>
          <w:trHeight w:val="145"/>
        </w:trPr>
        <w:tc>
          <w:tcPr>
            <w:tcW w:w="1583" w:type="dxa"/>
            <w:shd w:val="clear" w:color="auto" w:fill="auto"/>
            <w:tcMar>
              <w:left w:w="0" w:type="dxa"/>
            </w:tcMar>
          </w:tcPr>
          <w:p w:rsidR="00267C51" w:rsidRPr="00742B86" w:rsidRDefault="001874AB" w:rsidP="00D932B8">
            <w:pPr>
              <w:pStyle w:val="Marginlie"/>
              <w:rPr>
                <w:lang w:val="en-GB"/>
              </w:rPr>
            </w:pPr>
            <w:r w:rsidRPr="00742B86">
              <w:rPr>
                <w:lang w:val="en-GB"/>
              </w:rPr>
              <w:lastRenderedPageBreak/>
              <w:t xml:space="preserve">State wide collection of VAT mildly fell last year, for the first time since year </w:t>
            </w:r>
            <w:r w:rsidR="00267C51" w:rsidRPr="00742B86">
              <w:rPr>
                <w:lang w:val="en-GB"/>
              </w:rPr>
              <w:t>2009.</w:t>
            </w:r>
          </w:p>
          <w:p w:rsidR="00267C51" w:rsidRPr="00742B86" w:rsidRDefault="00267C51" w:rsidP="00D932B8">
            <w:pPr>
              <w:pStyle w:val="Marginlie"/>
              <w:rPr>
                <w:lang w:val="en-GB"/>
              </w:rPr>
            </w:pPr>
          </w:p>
          <w:p w:rsidR="00267C51" w:rsidRPr="00742B86" w:rsidRDefault="00267C51" w:rsidP="00D932B8">
            <w:pPr>
              <w:pStyle w:val="Marginlie"/>
              <w:rPr>
                <w:lang w:val="en-GB"/>
              </w:rPr>
            </w:pPr>
          </w:p>
          <w:p w:rsidR="00267C51" w:rsidRPr="00742B86" w:rsidRDefault="00267C51" w:rsidP="00D932B8">
            <w:pPr>
              <w:pStyle w:val="Marginlie"/>
              <w:rPr>
                <w:lang w:val="en-GB"/>
              </w:rPr>
            </w:pPr>
          </w:p>
          <w:p w:rsidR="00267C51" w:rsidRPr="00742B86" w:rsidRDefault="00267C51" w:rsidP="00D932B8">
            <w:pPr>
              <w:pStyle w:val="Marginlie"/>
              <w:rPr>
                <w:lang w:val="en-GB"/>
              </w:rPr>
            </w:pPr>
          </w:p>
          <w:p w:rsidR="00267C51" w:rsidRPr="00742B86" w:rsidRDefault="00267C51" w:rsidP="00D932B8">
            <w:pPr>
              <w:pStyle w:val="Marginlie"/>
              <w:rPr>
                <w:lang w:val="en-GB"/>
              </w:rPr>
            </w:pPr>
          </w:p>
          <w:p w:rsidR="00267C51" w:rsidRPr="00742B86" w:rsidRDefault="00267C51" w:rsidP="009C0B29">
            <w:pPr>
              <w:pStyle w:val="Marginlie"/>
              <w:rPr>
                <w:lang w:val="en-GB"/>
              </w:rPr>
            </w:pPr>
          </w:p>
        </w:tc>
        <w:tc>
          <w:tcPr>
            <w:tcW w:w="176" w:type="dxa"/>
            <w:shd w:val="clear" w:color="auto" w:fill="auto"/>
            <w:tcMar>
              <w:left w:w="0" w:type="dxa"/>
            </w:tcMar>
          </w:tcPr>
          <w:p w:rsidR="00267C51" w:rsidRPr="00742B86" w:rsidRDefault="00267C51" w:rsidP="00D932B8">
            <w:pPr>
              <w:pStyle w:val="Textpoznpodarou"/>
              <w:jc w:val="both"/>
              <w:rPr>
                <w:spacing w:val="-4"/>
                <w:lang w:val="en-GB"/>
              </w:rPr>
            </w:pPr>
          </w:p>
        </w:tc>
        <w:tc>
          <w:tcPr>
            <w:tcW w:w="7910" w:type="dxa"/>
            <w:shd w:val="clear" w:color="auto" w:fill="auto"/>
            <w:tcMar>
              <w:left w:w="0" w:type="dxa"/>
            </w:tcMar>
          </w:tcPr>
          <w:p w:rsidR="00267C51" w:rsidRPr="00742B86" w:rsidRDefault="001874AB" w:rsidP="009C0B29">
            <w:pPr>
              <w:spacing w:after="200"/>
              <w:rPr>
                <w:spacing w:val="-5"/>
                <w:lang w:val="en-GB"/>
              </w:rPr>
            </w:pPr>
            <w:r w:rsidRPr="00742B86">
              <w:rPr>
                <w:spacing w:val="-5"/>
                <w:lang w:val="en-GB"/>
              </w:rPr>
              <w:t xml:space="preserve">Total SB </w:t>
            </w:r>
            <w:r w:rsidR="00257B79" w:rsidRPr="00742B86">
              <w:rPr>
                <w:spacing w:val="-5"/>
                <w:lang w:val="en-GB"/>
              </w:rPr>
              <w:t>revenues</w:t>
            </w:r>
            <w:r w:rsidRPr="00742B86">
              <w:rPr>
                <w:spacing w:val="-5"/>
                <w:lang w:val="en-GB"/>
              </w:rPr>
              <w:t xml:space="preserve"> were negatively affected also by the slump of </w:t>
            </w:r>
            <w:r w:rsidR="00742B86" w:rsidRPr="00742B86">
              <w:rPr>
                <w:spacing w:val="-5"/>
                <w:lang w:val="en-GB"/>
              </w:rPr>
              <w:t>the property</w:t>
            </w:r>
            <w:r w:rsidR="004C7ED1" w:rsidRPr="00742B86">
              <w:rPr>
                <w:spacing w:val="-5"/>
                <w:lang w:val="en-GB"/>
              </w:rPr>
              <w:t xml:space="preserve"> tax collection </w:t>
            </w:r>
            <w:r w:rsidR="00267C51" w:rsidRPr="00742B86">
              <w:rPr>
                <w:spacing w:val="-5"/>
                <w:lang w:val="en-GB"/>
              </w:rPr>
              <w:t>(</w:t>
            </w:r>
            <w:r w:rsidR="004C7ED1" w:rsidRPr="00742B86">
              <w:rPr>
                <w:spacing w:val="-5"/>
                <w:lang w:val="en-GB"/>
              </w:rPr>
              <w:t>due to the cancelling</w:t>
            </w:r>
            <w:r w:rsidR="00742B86">
              <w:rPr>
                <w:spacing w:val="-5"/>
                <w:lang w:val="en-GB"/>
              </w:rPr>
              <w:t xml:space="preserve"> of real estate transfer tax</w:t>
            </w:r>
            <w:r w:rsidR="004C7ED1" w:rsidRPr="00742B86">
              <w:rPr>
                <w:spacing w:val="-5"/>
                <w:lang w:val="en-GB"/>
              </w:rPr>
              <w:t xml:space="preserve"> with</w:t>
            </w:r>
            <w:r w:rsidR="00742B86">
              <w:rPr>
                <w:spacing w:val="-5"/>
                <w:lang w:val="en-GB"/>
              </w:rPr>
              <w:t xml:space="preserve"> the</w:t>
            </w:r>
            <w:r w:rsidR="004C7ED1" w:rsidRPr="00742B86">
              <w:rPr>
                <w:spacing w:val="-5"/>
                <w:lang w:val="en-GB"/>
              </w:rPr>
              <w:t xml:space="preserve"> impact of </w:t>
            </w:r>
            <w:r w:rsidR="00267C51" w:rsidRPr="00742B86">
              <w:rPr>
                <w:spacing w:val="-5"/>
                <w:lang w:val="en-GB"/>
              </w:rPr>
              <w:t>–11 </w:t>
            </w:r>
            <w:r w:rsidR="004C7ED1" w:rsidRPr="00742B86">
              <w:rPr>
                <w:spacing w:val="-5"/>
                <w:lang w:val="en-GB"/>
              </w:rPr>
              <w:t>CZK bn</w:t>
            </w:r>
            <w:r w:rsidR="00267C51" w:rsidRPr="00742B86">
              <w:rPr>
                <w:spacing w:val="-5"/>
                <w:lang w:val="en-GB"/>
              </w:rPr>
              <w:t>)</w:t>
            </w:r>
            <w:r w:rsidRPr="00742B86">
              <w:rPr>
                <w:spacing w:val="-5"/>
                <w:lang w:val="en-GB"/>
              </w:rPr>
              <w:t xml:space="preserve"> in year 2020</w:t>
            </w:r>
            <w:r w:rsidR="00267C51" w:rsidRPr="00742B86">
              <w:rPr>
                <w:spacing w:val="-5"/>
                <w:lang w:val="en-GB"/>
              </w:rPr>
              <w:t>.</w:t>
            </w:r>
            <w:r w:rsidRPr="00742B86">
              <w:rPr>
                <w:spacing w:val="-5"/>
                <w:lang w:val="en-GB"/>
              </w:rPr>
              <w:t xml:space="preserve"> On the contrary, the influence of indirect taxes was smaller last year. </w:t>
            </w:r>
            <w:r w:rsidR="00257B79" w:rsidRPr="00742B86">
              <w:rPr>
                <w:spacing w:val="-5"/>
                <w:lang w:val="en-GB"/>
              </w:rPr>
              <w:t xml:space="preserve">From the weight dominant tax – VAT </w:t>
            </w:r>
            <w:r w:rsidR="004D0EDF" w:rsidRPr="00742B86">
              <w:rPr>
                <w:spacing w:val="-5"/>
                <w:lang w:val="en-GB"/>
              </w:rPr>
              <w:t>–</w:t>
            </w:r>
            <w:r w:rsidR="00257B79" w:rsidRPr="00742B86">
              <w:rPr>
                <w:spacing w:val="-5"/>
                <w:lang w:val="en-GB"/>
              </w:rPr>
              <w:t xml:space="preserve"> by </w:t>
            </w:r>
            <w:r w:rsidR="00267C51" w:rsidRPr="00742B86">
              <w:rPr>
                <w:spacing w:val="-5"/>
                <w:lang w:val="en-GB"/>
              </w:rPr>
              <w:t>1</w:t>
            </w:r>
            <w:r w:rsidR="00257B79" w:rsidRPr="00742B86">
              <w:rPr>
                <w:spacing w:val="-5"/>
                <w:lang w:val="en-GB"/>
              </w:rPr>
              <w:t>.</w:t>
            </w:r>
            <w:r w:rsidR="00267C51" w:rsidRPr="00742B86">
              <w:rPr>
                <w:spacing w:val="-5"/>
                <w:lang w:val="en-GB"/>
              </w:rPr>
              <w:t>2%</w:t>
            </w:r>
            <w:r w:rsidR="00257B79" w:rsidRPr="00742B86">
              <w:rPr>
                <w:spacing w:val="-5"/>
                <w:lang w:val="en-GB"/>
              </w:rPr>
              <w:t xml:space="preserve"> less year-on-year </w:t>
            </w:r>
            <w:r w:rsidR="00267C51" w:rsidRPr="00742B86">
              <w:rPr>
                <w:spacing w:val="-5"/>
                <w:lang w:val="en-GB"/>
              </w:rPr>
              <w:t xml:space="preserve">(resp. </w:t>
            </w:r>
            <w:r w:rsidR="00257B79" w:rsidRPr="00742B86">
              <w:rPr>
                <w:spacing w:val="-5"/>
                <w:lang w:val="en-GB"/>
              </w:rPr>
              <w:t xml:space="preserve">by </w:t>
            </w:r>
            <w:r w:rsidR="00267C51" w:rsidRPr="00742B86">
              <w:rPr>
                <w:spacing w:val="-5"/>
                <w:lang w:val="en-GB"/>
              </w:rPr>
              <w:t>3</w:t>
            </w:r>
            <w:r w:rsidR="00257B79" w:rsidRPr="00742B86">
              <w:rPr>
                <w:spacing w:val="-5"/>
                <w:lang w:val="en-GB"/>
              </w:rPr>
              <w:t>.</w:t>
            </w:r>
            <w:r w:rsidR="00267C51" w:rsidRPr="00742B86">
              <w:rPr>
                <w:spacing w:val="-5"/>
                <w:lang w:val="en-GB"/>
              </w:rPr>
              <w:t>5</w:t>
            </w:r>
            <w:r w:rsidR="00257B79" w:rsidRPr="00742B86">
              <w:rPr>
                <w:spacing w:val="-5"/>
                <w:lang w:val="en-GB"/>
              </w:rPr>
              <w:t xml:space="preserve"> CZK bn</w:t>
            </w:r>
            <w:r w:rsidR="00267C51" w:rsidRPr="00742B86">
              <w:rPr>
                <w:spacing w:val="-5"/>
                <w:lang w:val="en-GB"/>
              </w:rPr>
              <w:t>)</w:t>
            </w:r>
            <w:r w:rsidR="00257B79" w:rsidRPr="00742B86">
              <w:rPr>
                <w:spacing w:val="-5"/>
                <w:lang w:val="en-GB"/>
              </w:rPr>
              <w:t xml:space="preserve"> flew into the SB</w:t>
            </w:r>
            <w:r w:rsidR="00267C51" w:rsidRPr="00742B86">
              <w:rPr>
                <w:spacing w:val="-5"/>
                <w:lang w:val="en-GB"/>
              </w:rPr>
              <w:t xml:space="preserve">. </w:t>
            </w:r>
            <w:r w:rsidR="00863B2F" w:rsidRPr="00742B86">
              <w:rPr>
                <w:spacing w:val="-5"/>
                <w:lang w:val="en-GB"/>
              </w:rPr>
              <w:t xml:space="preserve">Annual reduction of the tax collection (at the level of all public budgets) occurred last in year </w:t>
            </w:r>
            <w:r w:rsidR="00267C51" w:rsidRPr="00742B86">
              <w:rPr>
                <w:spacing w:val="-5"/>
                <w:lang w:val="en-GB"/>
              </w:rPr>
              <w:t>2009.</w:t>
            </w:r>
            <w:r w:rsidR="00863B2F" w:rsidRPr="00742B86">
              <w:rPr>
                <w:spacing w:val="-5"/>
                <w:lang w:val="en-GB"/>
              </w:rPr>
              <w:t xml:space="preserve"> Last year´s </w:t>
            </w:r>
            <w:r w:rsidR="009C0B29">
              <w:rPr>
                <w:spacing w:val="-5"/>
                <w:lang w:val="en-GB"/>
              </w:rPr>
              <w:t xml:space="preserve">VAT </w:t>
            </w:r>
            <w:r w:rsidR="00863B2F" w:rsidRPr="00742B86">
              <w:rPr>
                <w:spacing w:val="-5"/>
                <w:lang w:val="en-GB"/>
              </w:rPr>
              <w:t>collection was apart fr</w:t>
            </w:r>
            <w:r w:rsidR="009C0B29">
              <w:rPr>
                <w:spacing w:val="-5"/>
                <w:lang w:val="en-GB"/>
              </w:rPr>
              <w:t>om the restriction of establishments</w:t>
            </w:r>
            <w:r w:rsidR="00863B2F" w:rsidRPr="00742B86">
              <w:rPr>
                <w:spacing w:val="-5"/>
                <w:lang w:val="en-GB"/>
              </w:rPr>
              <w:t xml:space="preserve"> also affected by the cut of tax rate for some services </w:t>
            </w:r>
            <w:r w:rsidR="00267C51" w:rsidRPr="00742B86">
              <w:rPr>
                <w:spacing w:val="-5"/>
                <w:lang w:val="en-GB"/>
              </w:rPr>
              <w:t>(</w:t>
            </w:r>
            <w:r w:rsidR="00863B2F" w:rsidRPr="00742B86">
              <w:rPr>
                <w:spacing w:val="-5"/>
                <w:lang w:val="en-GB"/>
              </w:rPr>
              <w:t>e.g. in food service</w:t>
            </w:r>
            <w:r w:rsidR="00267C51" w:rsidRPr="00742B86">
              <w:rPr>
                <w:spacing w:val="-5"/>
                <w:lang w:val="en-GB"/>
              </w:rPr>
              <w:t>).</w:t>
            </w:r>
            <w:r w:rsidR="00863B2F" w:rsidRPr="00742B86">
              <w:rPr>
                <w:spacing w:val="-5"/>
                <w:lang w:val="en-GB"/>
              </w:rPr>
              <w:t xml:space="preserve"> Retail sales in current prices slightly increased </w:t>
            </w:r>
            <w:r w:rsidR="00267C51" w:rsidRPr="00742B86">
              <w:rPr>
                <w:spacing w:val="-5"/>
                <w:lang w:val="en-GB"/>
              </w:rPr>
              <w:t>(+0</w:t>
            </w:r>
            <w:r w:rsidR="00863B2F" w:rsidRPr="00742B86">
              <w:rPr>
                <w:spacing w:val="-5"/>
                <w:lang w:val="en-GB"/>
              </w:rPr>
              <w:t>.</w:t>
            </w:r>
            <w:r w:rsidR="00267C51" w:rsidRPr="00742B86">
              <w:rPr>
                <w:spacing w:val="-5"/>
                <w:lang w:val="en-GB"/>
              </w:rPr>
              <w:t>3%)</w:t>
            </w:r>
            <w:r w:rsidR="00863B2F" w:rsidRPr="00742B86">
              <w:rPr>
                <w:spacing w:val="-5"/>
                <w:lang w:val="en-GB"/>
              </w:rPr>
              <w:t xml:space="preserve"> compared to year 2019</w:t>
            </w:r>
            <w:r w:rsidR="00267C51" w:rsidRPr="00742B86">
              <w:rPr>
                <w:spacing w:val="-5"/>
                <w:lang w:val="en-GB"/>
              </w:rPr>
              <w:t>.</w:t>
            </w:r>
            <w:r w:rsidR="00863B2F" w:rsidRPr="00742B86">
              <w:rPr>
                <w:spacing w:val="-5"/>
                <w:lang w:val="en-GB"/>
              </w:rPr>
              <w:t xml:space="preserve"> </w:t>
            </w:r>
          </w:p>
        </w:tc>
      </w:tr>
      <w:tr w:rsidR="009C0B29" w:rsidRPr="00742B86" w:rsidTr="00D70BBF">
        <w:trPr>
          <w:trHeight w:val="145"/>
        </w:trPr>
        <w:tc>
          <w:tcPr>
            <w:tcW w:w="1583" w:type="dxa"/>
            <w:shd w:val="clear" w:color="auto" w:fill="auto"/>
            <w:tcMar>
              <w:left w:w="0" w:type="dxa"/>
            </w:tcMar>
          </w:tcPr>
          <w:p w:rsidR="009C0B29" w:rsidRPr="00742B86" w:rsidRDefault="009C0B29" w:rsidP="009C0B29">
            <w:pPr>
              <w:pStyle w:val="Marginlie"/>
              <w:rPr>
                <w:lang w:val="en-GB"/>
              </w:rPr>
            </w:pPr>
            <w:r w:rsidRPr="00742B86">
              <w:rPr>
                <w:lang w:val="en-GB"/>
              </w:rPr>
              <w:t>Lower transport works, downturn of tourism as well as repeated closures of restaurants stood behind the decrease of the consumption tax collection.</w:t>
            </w:r>
          </w:p>
          <w:p w:rsidR="009C0B29" w:rsidRPr="00742B86" w:rsidRDefault="009C0B29" w:rsidP="00D932B8">
            <w:pPr>
              <w:pStyle w:val="Marginlie"/>
              <w:rPr>
                <w:lang w:val="en-GB"/>
              </w:rPr>
            </w:pPr>
          </w:p>
        </w:tc>
        <w:tc>
          <w:tcPr>
            <w:tcW w:w="176" w:type="dxa"/>
            <w:shd w:val="clear" w:color="auto" w:fill="auto"/>
            <w:tcMar>
              <w:left w:w="0" w:type="dxa"/>
            </w:tcMar>
          </w:tcPr>
          <w:p w:rsidR="009C0B29" w:rsidRPr="00742B86" w:rsidRDefault="009C0B29" w:rsidP="00D932B8">
            <w:pPr>
              <w:pStyle w:val="Textpoznpodarou"/>
              <w:jc w:val="both"/>
              <w:rPr>
                <w:spacing w:val="-4"/>
                <w:lang w:val="en-GB"/>
              </w:rPr>
            </w:pPr>
          </w:p>
        </w:tc>
        <w:tc>
          <w:tcPr>
            <w:tcW w:w="7910" w:type="dxa"/>
            <w:shd w:val="clear" w:color="auto" w:fill="auto"/>
            <w:tcMar>
              <w:left w:w="0" w:type="dxa"/>
            </w:tcMar>
          </w:tcPr>
          <w:p w:rsidR="009C0B29" w:rsidRPr="00742B86" w:rsidRDefault="009C0B29" w:rsidP="00E97F14">
            <w:pPr>
              <w:spacing w:after="200"/>
              <w:rPr>
                <w:spacing w:val="-5"/>
                <w:lang w:val="en-GB"/>
              </w:rPr>
            </w:pPr>
            <w:r w:rsidRPr="00742B86">
              <w:rPr>
                <w:spacing w:val="-5"/>
                <w:lang w:val="en-GB"/>
              </w:rPr>
              <w:t>Total last year SB collection from the consumption tax</w:t>
            </w:r>
            <w:r>
              <w:rPr>
                <w:spacing w:val="-5"/>
                <w:lang w:val="en-GB"/>
              </w:rPr>
              <w:t>es</w:t>
            </w:r>
            <w:r w:rsidRPr="00742B86">
              <w:rPr>
                <w:spacing w:val="-5"/>
                <w:lang w:val="en-GB"/>
              </w:rPr>
              <w:t xml:space="preserve"> shrank by </w:t>
            </w:r>
            <w:r w:rsidRPr="00742B86">
              <w:rPr>
                <w:color w:val="0D0D0D" w:themeColor="text1" w:themeTint="F2"/>
                <w:spacing w:val="-5"/>
                <w:lang w:val="en-GB"/>
              </w:rPr>
              <w:t xml:space="preserve">2.5% (resp. by 4 CZK bn), due to the year-on-year fallout in both Q2 and </w:t>
            </w:r>
            <w:r>
              <w:rPr>
                <w:color w:val="0D0D0D" w:themeColor="text1" w:themeTint="F2"/>
                <w:spacing w:val="-5"/>
                <w:lang w:val="en-GB"/>
              </w:rPr>
              <w:t>Q</w:t>
            </w:r>
            <w:r w:rsidRPr="00742B86">
              <w:rPr>
                <w:color w:val="0D0D0D" w:themeColor="text1" w:themeTint="F2"/>
                <w:spacing w:val="-5"/>
                <w:lang w:val="en-GB"/>
              </w:rPr>
              <w:t xml:space="preserve">4 (by 18.3%, resp. 3.2%). Substantial reduction of the transport work (including the transit traffic) for the whole year 2020 was reflected in the </w:t>
            </w:r>
            <w:r w:rsidRPr="00742B86">
              <w:rPr>
                <w:spacing w:val="-5"/>
                <w:lang w:val="en-GB"/>
              </w:rPr>
              <w:t>8.2% slump of collection of tax on mineral oils. Decrease of this tax manifested for the first time since year 2013. Despite the increase of tax rate, the collection of tax on alcohol also fell last year (–5.7%). Repeated closures of hospitality establishments amplified by the subdued arrival tourism for the prevailing part of the year proved to be the key factor. Similar factors also had effect on the collection of tax on tobacco products, which grew (+6.4%), but still did not</w:t>
            </w:r>
            <w:r w:rsidR="002E192A">
              <w:rPr>
                <w:spacing w:val="-5"/>
                <w:lang w:val="en-GB"/>
              </w:rPr>
              <w:t xml:space="preserve"> fulfil the budget anticipation</w:t>
            </w:r>
            <w:r w:rsidRPr="00742B86">
              <w:rPr>
                <w:spacing w:val="-5"/>
                <w:lang w:val="en-GB"/>
              </w:rPr>
              <w:t xml:space="preserve"> last year.</w:t>
            </w:r>
          </w:p>
        </w:tc>
      </w:tr>
      <w:tr w:rsidR="00267C51" w:rsidRPr="00742B86" w:rsidTr="00D70BBF">
        <w:trPr>
          <w:trHeight w:val="170"/>
        </w:trPr>
        <w:tc>
          <w:tcPr>
            <w:tcW w:w="1583" w:type="dxa"/>
            <w:vMerge w:val="restart"/>
            <w:shd w:val="clear" w:color="auto" w:fill="auto"/>
            <w:tcMar>
              <w:left w:w="0" w:type="dxa"/>
            </w:tcMar>
          </w:tcPr>
          <w:p w:rsidR="00267C51" w:rsidRPr="00742B86" w:rsidRDefault="00267C51" w:rsidP="00D932B8">
            <w:pPr>
              <w:pStyle w:val="Marginlie"/>
              <w:rPr>
                <w:lang w:val="en-GB"/>
              </w:rPr>
            </w:pPr>
          </w:p>
        </w:tc>
        <w:tc>
          <w:tcPr>
            <w:tcW w:w="176" w:type="dxa"/>
            <w:vMerge w:val="restart"/>
            <w:shd w:val="clear" w:color="auto" w:fill="auto"/>
            <w:tcMar>
              <w:left w:w="0" w:type="dxa"/>
            </w:tcMar>
          </w:tcPr>
          <w:p w:rsidR="00267C51" w:rsidRPr="00742B86" w:rsidRDefault="00267C51" w:rsidP="00D932B8">
            <w:pPr>
              <w:pStyle w:val="Textpoznpodarou"/>
              <w:jc w:val="both"/>
              <w:rPr>
                <w:spacing w:val="-4"/>
                <w:lang w:val="en-GB"/>
              </w:rPr>
            </w:pPr>
          </w:p>
        </w:tc>
        <w:tc>
          <w:tcPr>
            <w:tcW w:w="7910" w:type="dxa"/>
            <w:shd w:val="clear" w:color="auto" w:fill="auto"/>
            <w:tcMar>
              <w:left w:w="0" w:type="dxa"/>
            </w:tcMar>
          </w:tcPr>
          <w:p w:rsidR="00267C51" w:rsidRPr="00742B86" w:rsidRDefault="003D5A90" w:rsidP="00D932B8">
            <w:pPr>
              <w:spacing w:after="0" w:line="240" w:lineRule="auto"/>
              <w:rPr>
                <w:rFonts w:cs="Arial"/>
                <w:bCs/>
                <w:lang w:val="en-GB"/>
              </w:rPr>
            </w:pPr>
            <w:r w:rsidRPr="00742B86">
              <w:rPr>
                <w:rFonts w:cs="Arial"/>
                <w:b/>
                <w:bCs/>
                <w:color w:val="000000"/>
                <w:szCs w:val="20"/>
                <w:lang w:val="en-GB"/>
              </w:rPr>
              <w:t xml:space="preserve">Chart </w:t>
            </w:r>
            <w:r w:rsidR="00D152E7">
              <w:rPr>
                <w:rFonts w:cs="Arial"/>
                <w:b/>
                <w:bCs/>
                <w:color w:val="000000"/>
                <w:szCs w:val="20"/>
                <w:lang w:val="en-GB"/>
              </w:rPr>
              <w:t>16</w:t>
            </w:r>
            <w:r w:rsidR="00267C51" w:rsidRPr="00742B86">
              <w:rPr>
                <w:rFonts w:cs="Arial"/>
                <w:b/>
                <w:bCs/>
                <w:color w:val="000000"/>
                <w:sz w:val="18"/>
                <w:szCs w:val="18"/>
                <w:lang w:val="en-GB"/>
              </w:rPr>
              <w:t xml:space="preserve">  </w:t>
            </w:r>
            <w:r w:rsidR="004D0EDF" w:rsidRPr="00742B86">
              <w:rPr>
                <w:rFonts w:cs="Arial"/>
                <w:b/>
                <w:bCs/>
                <w:spacing w:val="-2"/>
                <w:lang w:val="en-GB"/>
              </w:rPr>
              <w:t>State wide collection of selected tax incomes</w:t>
            </w:r>
            <w:r w:rsidR="004D0EDF" w:rsidRPr="00742B86">
              <w:rPr>
                <w:rFonts w:cs="Arial"/>
                <w:b/>
                <w:bCs/>
                <w:color w:val="000000"/>
                <w:spacing w:val="-2"/>
                <w:sz w:val="18"/>
                <w:lang w:val="en-GB"/>
              </w:rPr>
              <w:t xml:space="preserve"> </w:t>
            </w:r>
            <w:r w:rsidR="004D0EDF" w:rsidRPr="00742B86">
              <w:rPr>
                <w:rFonts w:cs="Arial"/>
                <w:bCs/>
                <w:spacing w:val="-2"/>
                <w:lang w:val="en-GB"/>
              </w:rPr>
              <w:t xml:space="preserve">(year-on-year in </w:t>
            </w:r>
            <w:r w:rsidR="004D0EDF" w:rsidRPr="00742B86">
              <w:rPr>
                <w:bCs/>
                <w:spacing w:val="-2"/>
                <w:lang w:val="en-GB"/>
              </w:rPr>
              <w:t>%)</w:t>
            </w:r>
            <w:r w:rsidR="004D0EDF" w:rsidRPr="00742B86">
              <w:rPr>
                <w:bCs/>
                <w:spacing w:val="-2"/>
                <w:lang w:val="en-GB"/>
              </w:rPr>
              <w:br/>
            </w:r>
            <w:r w:rsidR="004D0EDF" w:rsidRPr="00742B86">
              <w:rPr>
                <w:rFonts w:cs="Arial"/>
                <w:b/>
                <w:bCs/>
                <w:spacing w:val="-2"/>
                <w:lang w:val="en-GB"/>
              </w:rPr>
              <w:t xml:space="preserve">and state budget balance </w:t>
            </w:r>
            <w:r w:rsidR="004D0EDF" w:rsidRPr="00742B86">
              <w:rPr>
                <w:rFonts w:cs="Arial"/>
                <w:bCs/>
                <w:spacing w:val="-6"/>
                <w:lang w:val="en-GB"/>
              </w:rPr>
              <w:t xml:space="preserve">(in CZK bn, right axis) </w:t>
            </w:r>
          </w:p>
        </w:tc>
      </w:tr>
      <w:tr w:rsidR="00267C51" w:rsidRPr="00742B86" w:rsidTr="00AE0C9E">
        <w:tblPrEx>
          <w:tblCellMar>
            <w:left w:w="70" w:type="dxa"/>
            <w:right w:w="70" w:type="dxa"/>
          </w:tblCellMar>
        </w:tblPrEx>
        <w:trPr>
          <w:trHeight w:val="170"/>
        </w:trPr>
        <w:tc>
          <w:tcPr>
            <w:tcW w:w="1583" w:type="dxa"/>
            <w:vMerge/>
            <w:shd w:val="clear" w:color="auto" w:fill="auto"/>
          </w:tcPr>
          <w:p w:rsidR="00267C51" w:rsidRPr="00742B86" w:rsidRDefault="00267C51" w:rsidP="00D932B8">
            <w:pPr>
              <w:pStyle w:val="Marginlie"/>
              <w:rPr>
                <w:lang w:val="en-GB"/>
              </w:rPr>
            </w:pPr>
          </w:p>
        </w:tc>
        <w:tc>
          <w:tcPr>
            <w:tcW w:w="176" w:type="dxa"/>
            <w:vMerge/>
            <w:shd w:val="clear" w:color="auto" w:fill="auto"/>
          </w:tcPr>
          <w:p w:rsidR="00267C51" w:rsidRPr="00742B86" w:rsidRDefault="00267C51" w:rsidP="00D932B8">
            <w:pPr>
              <w:pStyle w:val="Textpoznpodarou"/>
              <w:jc w:val="both"/>
              <w:rPr>
                <w:spacing w:val="-4"/>
                <w:lang w:val="en-GB"/>
              </w:rPr>
            </w:pPr>
          </w:p>
        </w:tc>
        <w:tc>
          <w:tcPr>
            <w:tcW w:w="7910" w:type="dxa"/>
            <w:shd w:val="clear" w:color="auto" w:fill="auto"/>
          </w:tcPr>
          <w:p w:rsidR="00267C51" w:rsidRPr="00742B86" w:rsidRDefault="00AE0C9E" w:rsidP="00E97F14">
            <w:pPr>
              <w:spacing w:after="0" w:line="240" w:lineRule="auto"/>
              <w:rPr>
                <w:spacing w:val="-6"/>
                <w:lang w:val="en-GB"/>
              </w:rPr>
            </w:pPr>
            <w:r>
              <w:rPr>
                <w:noProof/>
              </w:rPr>
              <w:drawing>
                <wp:inline distT="0" distB="0" distL="0" distR="0" wp14:anchorId="6F1AC58B" wp14:editId="3F9BF8C2">
                  <wp:extent cx="4888865" cy="3182815"/>
                  <wp:effectExtent l="0" t="0" r="6985" b="0"/>
                  <wp:docPr id="45" name="Graf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267C51" w:rsidRPr="00742B86" w:rsidTr="00D70BBF">
        <w:trPr>
          <w:trHeight w:val="170"/>
        </w:trPr>
        <w:tc>
          <w:tcPr>
            <w:tcW w:w="1583" w:type="dxa"/>
            <w:vMerge/>
            <w:shd w:val="clear" w:color="auto" w:fill="auto"/>
            <w:tcMar>
              <w:left w:w="0" w:type="dxa"/>
            </w:tcMar>
          </w:tcPr>
          <w:p w:rsidR="00267C51" w:rsidRPr="00742B86" w:rsidRDefault="00267C51" w:rsidP="00D932B8">
            <w:pPr>
              <w:pStyle w:val="Marginlie"/>
              <w:rPr>
                <w:lang w:val="en-GB"/>
              </w:rPr>
            </w:pPr>
          </w:p>
        </w:tc>
        <w:tc>
          <w:tcPr>
            <w:tcW w:w="176" w:type="dxa"/>
            <w:vMerge/>
            <w:shd w:val="clear" w:color="auto" w:fill="auto"/>
            <w:tcMar>
              <w:left w:w="0" w:type="dxa"/>
            </w:tcMar>
          </w:tcPr>
          <w:p w:rsidR="00267C51" w:rsidRPr="00742B86" w:rsidRDefault="00267C51" w:rsidP="00D932B8">
            <w:pPr>
              <w:pStyle w:val="Textpoznpodarou"/>
              <w:jc w:val="both"/>
              <w:rPr>
                <w:spacing w:val="-4"/>
                <w:lang w:val="en-GB"/>
              </w:rPr>
            </w:pPr>
          </w:p>
        </w:tc>
        <w:tc>
          <w:tcPr>
            <w:tcW w:w="7910" w:type="dxa"/>
            <w:shd w:val="clear" w:color="auto" w:fill="auto"/>
            <w:tcMar>
              <w:left w:w="0" w:type="dxa"/>
            </w:tcMar>
          </w:tcPr>
          <w:p w:rsidR="002B4194" w:rsidRDefault="00267C51" w:rsidP="002B4194">
            <w:pPr>
              <w:spacing w:after="0" w:line="240" w:lineRule="auto"/>
              <w:jc w:val="left"/>
              <w:rPr>
                <w:spacing w:val="-2"/>
                <w:sz w:val="14"/>
                <w:szCs w:val="14"/>
                <w:lang w:val="en-GB"/>
              </w:rPr>
            </w:pPr>
            <w:r w:rsidRPr="00742B86">
              <w:rPr>
                <w:spacing w:val="-2"/>
                <w:sz w:val="14"/>
                <w:szCs w:val="14"/>
                <w:lang w:val="en-GB"/>
              </w:rPr>
              <w:t>*</w:t>
            </w:r>
            <w:r w:rsidR="001F0928" w:rsidRPr="00742B86">
              <w:rPr>
                <w:spacing w:val="-2"/>
                <w:sz w:val="14"/>
                <w:szCs w:val="14"/>
                <w:lang w:val="en-GB"/>
              </w:rPr>
              <w:t xml:space="preserve">Balance adjusted for funds on programmes and projects from the EU budget </w:t>
            </w:r>
            <w:r w:rsidRPr="00742B86">
              <w:rPr>
                <w:spacing w:val="-2"/>
                <w:sz w:val="14"/>
                <w:szCs w:val="14"/>
                <w:lang w:val="en-GB"/>
              </w:rPr>
              <w:t>(</w:t>
            </w:r>
            <w:r w:rsidR="001F0928" w:rsidRPr="00742B86">
              <w:rPr>
                <w:spacing w:val="-2"/>
                <w:sz w:val="14"/>
                <w:szCs w:val="14"/>
                <w:lang w:val="en-GB"/>
              </w:rPr>
              <w:t>including financial mechanisms), which</w:t>
            </w:r>
            <w:r w:rsidR="0016093A" w:rsidRPr="00742B86">
              <w:rPr>
                <w:spacing w:val="-2"/>
                <w:sz w:val="14"/>
                <w:szCs w:val="14"/>
                <w:lang w:val="en-GB"/>
              </w:rPr>
              <w:t xml:space="preserve"> </w:t>
            </w:r>
            <w:r w:rsidR="001F0928" w:rsidRPr="00742B86">
              <w:rPr>
                <w:spacing w:val="-2"/>
                <w:sz w:val="14"/>
                <w:szCs w:val="14"/>
                <w:lang w:val="en-GB"/>
              </w:rPr>
              <w:t xml:space="preserve">were pre-financed from the SB and are </w:t>
            </w:r>
            <w:r w:rsidR="0016093A" w:rsidRPr="00742B86">
              <w:rPr>
                <w:spacing w:val="-2"/>
                <w:sz w:val="14"/>
                <w:szCs w:val="14"/>
                <w:lang w:val="en-GB"/>
              </w:rPr>
              <w:t>subsequently</w:t>
            </w:r>
            <w:r w:rsidR="001F0928" w:rsidRPr="00742B86">
              <w:rPr>
                <w:spacing w:val="-2"/>
                <w:sz w:val="14"/>
                <w:szCs w:val="14"/>
                <w:lang w:val="en-GB"/>
              </w:rPr>
              <w:t xml:space="preserve"> </w:t>
            </w:r>
            <w:r w:rsidR="0016093A" w:rsidRPr="00742B86">
              <w:rPr>
                <w:spacing w:val="-2"/>
                <w:sz w:val="14"/>
                <w:szCs w:val="14"/>
                <w:lang w:val="en-GB"/>
              </w:rPr>
              <w:t xml:space="preserve">reimbursed </w:t>
            </w:r>
            <w:r w:rsidR="001F0928" w:rsidRPr="00742B86">
              <w:rPr>
                <w:spacing w:val="-2"/>
                <w:sz w:val="14"/>
                <w:szCs w:val="14"/>
                <w:lang w:val="en-GB"/>
              </w:rPr>
              <w:t>from t</w:t>
            </w:r>
            <w:r w:rsidR="0016093A" w:rsidRPr="00742B86">
              <w:rPr>
                <w:spacing w:val="-2"/>
                <w:sz w:val="14"/>
                <w:szCs w:val="14"/>
                <w:lang w:val="en-GB"/>
              </w:rPr>
              <w:t>he</w:t>
            </w:r>
            <w:r w:rsidR="002B4194">
              <w:rPr>
                <w:spacing w:val="-2"/>
                <w:sz w:val="14"/>
                <w:szCs w:val="14"/>
                <w:lang w:val="en-GB"/>
              </w:rPr>
              <w:t xml:space="preserve"> EU budget and </w:t>
            </w:r>
            <w:r w:rsidR="002B4194" w:rsidRPr="00742B86">
              <w:rPr>
                <w:spacing w:val="-2"/>
                <w:sz w:val="14"/>
                <w:szCs w:val="14"/>
                <w:lang w:val="en-GB"/>
              </w:rPr>
              <w:t>financial mechanisms</w:t>
            </w:r>
            <w:r w:rsidR="002B4194">
              <w:rPr>
                <w:spacing w:val="-2"/>
                <w:sz w:val="14"/>
                <w:szCs w:val="14"/>
                <w:lang w:val="en-GB"/>
              </w:rPr>
              <w:t>.</w:t>
            </w:r>
          </w:p>
          <w:p w:rsidR="002002F3" w:rsidRPr="002B4194" w:rsidRDefault="00440ECB" w:rsidP="002B4194">
            <w:pPr>
              <w:spacing w:line="240" w:lineRule="auto"/>
              <w:jc w:val="left"/>
              <w:rPr>
                <w:spacing w:val="-2"/>
                <w:sz w:val="14"/>
                <w:szCs w:val="14"/>
                <w:lang w:val="en-GB"/>
              </w:rPr>
            </w:pPr>
            <w:r w:rsidRPr="00742B86">
              <w:rPr>
                <w:spacing w:val="-2"/>
                <w:sz w:val="14"/>
                <w:szCs w:val="14"/>
                <w:lang w:val="en-GB"/>
              </w:rPr>
              <w:t>Source</w:t>
            </w:r>
            <w:r w:rsidR="00267C51" w:rsidRPr="00742B86">
              <w:rPr>
                <w:spacing w:val="-2"/>
                <w:sz w:val="14"/>
                <w:szCs w:val="14"/>
                <w:lang w:val="en-GB"/>
              </w:rPr>
              <w:t>:</w:t>
            </w:r>
            <w:r w:rsidR="00AE0C9E">
              <w:rPr>
                <w:spacing w:val="-2"/>
                <w:sz w:val="14"/>
                <w:szCs w:val="14"/>
                <w:lang w:val="en-GB"/>
              </w:rPr>
              <w:t xml:space="preserve"> MF C</w:t>
            </w:r>
            <w:r w:rsidR="002B4194">
              <w:rPr>
                <w:spacing w:val="-2"/>
                <w:sz w:val="14"/>
                <w:szCs w:val="14"/>
                <w:lang w:val="en-GB"/>
              </w:rPr>
              <w:t>R</w:t>
            </w:r>
          </w:p>
        </w:tc>
      </w:tr>
      <w:tr w:rsidR="00267C51" w:rsidRPr="00742B86" w:rsidTr="00D70BBF">
        <w:trPr>
          <w:trHeight w:val="145"/>
        </w:trPr>
        <w:tc>
          <w:tcPr>
            <w:tcW w:w="1583" w:type="dxa"/>
            <w:shd w:val="clear" w:color="auto" w:fill="auto"/>
            <w:tcMar>
              <w:left w:w="0" w:type="dxa"/>
            </w:tcMar>
          </w:tcPr>
          <w:p w:rsidR="00267C51" w:rsidRPr="00742B86" w:rsidRDefault="00206390" w:rsidP="00D932B8">
            <w:pPr>
              <w:pStyle w:val="Marginlie"/>
              <w:rPr>
                <w:lang w:val="en-GB"/>
              </w:rPr>
            </w:pPr>
            <w:r w:rsidRPr="00742B86">
              <w:rPr>
                <w:lang w:val="en-GB"/>
              </w:rPr>
              <w:t xml:space="preserve">Pace of SB outlays accelerated to record </w:t>
            </w:r>
            <w:r w:rsidR="00267C51" w:rsidRPr="00742B86">
              <w:rPr>
                <w:lang w:val="en-GB"/>
              </w:rPr>
              <w:t>18</w:t>
            </w:r>
            <w:r w:rsidRPr="00742B86">
              <w:rPr>
                <w:lang w:val="en-GB"/>
              </w:rPr>
              <w:t>.</w:t>
            </w:r>
            <w:r w:rsidR="00267C51" w:rsidRPr="00742B86">
              <w:rPr>
                <w:lang w:val="en-GB"/>
              </w:rPr>
              <w:t>8%</w:t>
            </w:r>
            <w:r w:rsidRPr="00742B86">
              <w:rPr>
                <w:lang w:val="en-GB"/>
              </w:rPr>
              <w:t xml:space="preserve"> last year</w:t>
            </w:r>
            <w:r w:rsidR="00267C51" w:rsidRPr="00742B86">
              <w:rPr>
                <w:lang w:val="en-GB"/>
              </w:rPr>
              <w:t>.</w:t>
            </w:r>
          </w:p>
          <w:p w:rsidR="00267C51" w:rsidRPr="00742B86" w:rsidRDefault="00267C51" w:rsidP="00D932B8">
            <w:pPr>
              <w:pStyle w:val="Marginlie"/>
              <w:rPr>
                <w:lang w:val="en-GB"/>
              </w:rPr>
            </w:pPr>
          </w:p>
          <w:p w:rsidR="00267C51" w:rsidRPr="00742B86" w:rsidRDefault="00267C51" w:rsidP="00D932B8">
            <w:pPr>
              <w:pStyle w:val="Marginlie"/>
              <w:rPr>
                <w:lang w:val="en-GB"/>
              </w:rPr>
            </w:pPr>
          </w:p>
          <w:p w:rsidR="00267C51" w:rsidRPr="00742B86" w:rsidRDefault="00267C51" w:rsidP="00D932B8">
            <w:pPr>
              <w:pStyle w:val="Marginlie"/>
              <w:rPr>
                <w:lang w:val="en-GB"/>
              </w:rPr>
            </w:pPr>
          </w:p>
          <w:p w:rsidR="002B4194" w:rsidRDefault="00206390" w:rsidP="00206390">
            <w:pPr>
              <w:pStyle w:val="Marginlie"/>
              <w:rPr>
                <w:lang w:val="en-GB"/>
              </w:rPr>
            </w:pPr>
            <w:r w:rsidRPr="00742B86">
              <w:rPr>
                <w:lang w:val="en-GB"/>
              </w:rPr>
              <w:lastRenderedPageBreak/>
              <w:t>More than one half of the year-on-year addition to current outlays was c</w:t>
            </w:r>
            <w:r w:rsidR="003B0ECE">
              <w:rPr>
                <w:lang w:val="en-GB"/>
              </w:rPr>
              <w:t>losely connected to the anti-</w:t>
            </w:r>
            <w:r w:rsidRPr="00742B86">
              <w:rPr>
                <w:lang w:val="en-GB"/>
              </w:rPr>
              <w:t xml:space="preserve">pandemic measures. </w:t>
            </w:r>
          </w:p>
          <w:p w:rsidR="002B4194" w:rsidRDefault="002B4194" w:rsidP="00206390">
            <w:pPr>
              <w:pStyle w:val="Marginlie"/>
              <w:rPr>
                <w:lang w:val="en-GB"/>
              </w:rPr>
            </w:pPr>
          </w:p>
          <w:p w:rsidR="002B4194" w:rsidRDefault="002B4194" w:rsidP="00206390">
            <w:pPr>
              <w:pStyle w:val="Marginlie"/>
              <w:rPr>
                <w:lang w:val="en-GB"/>
              </w:rPr>
            </w:pPr>
          </w:p>
          <w:p w:rsidR="002B4194" w:rsidRDefault="002B4194" w:rsidP="00206390">
            <w:pPr>
              <w:pStyle w:val="Marginlie"/>
              <w:rPr>
                <w:lang w:val="en-GB"/>
              </w:rPr>
            </w:pPr>
          </w:p>
          <w:p w:rsidR="00267C51" w:rsidRPr="00742B86" w:rsidRDefault="00206390" w:rsidP="00206390">
            <w:pPr>
              <w:pStyle w:val="Marginlie"/>
              <w:rPr>
                <w:lang w:val="en-GB"/>
              </w:rPr>
            </w:pPr>
            <w:r w:rsidRPr="00742B86">
              <w:rPr>
                <w:lang w:val="en-GB"/>
              </w:rPr>
              <w:t>Outlays on wages especially in the prima</w:t>
            </w:r>
            <w:r w:rsidR="002B4194">
              <w:rPr>
                <w:lang w:val="en-GB"/>
              </w:rPr>
              <w:t xml:space="preserve">ry and secondary education </w:t>
            </w:r>
            <w:r w:rsidRPr="00742B86">
              <w:rPr>
                <w:lang w:val="en-GB"/>
              </w:rPr>
              <w:t>g</w:t>
            </w:r>
            <w:r w:rsidR="002B4194">
              <w:rPr>
                <w:lang w:val="en-GB"/>
              </w:rPr>
              <w:t xml:space="preserve">rew swiftly. Their </w:t>
            </w:r>
            <w:r w:rsidRPr="00742B86">
              <w:rPr>
                <w:lang w:val="en-GB"/>
              </w:rPr>
              <w:t xml:space="preserve">strengthening in health care also had an effect. </w:t>
            </w:r>
          </w:p>
          <w:p w:rsidR="00267C51" w:rsidRPr="00742B86" w:rsidRDefault="00267C51" w:rsidP="00D932B8">
            <w:pPr>
              <w:pStyle w:val="Marginlie"/>
              <w:rPr>
                <w:lang w:val="en-GB"/>
              </w:rPr>
            </w:pPr>
          </w:p>
        </w:tc>
        <w:tc>
          <w:tcPr>
            <w:tcW w:w="176" w:type="dxa"/>
            <w:shd w:val="clear" w:color="auto" w:fill="auto"/>
            <w:tcMar>
              <w:left w:w="0" w:type="dxa"/>
            </w:tcMar>
          </w:tcPr>
          <w:p w:rsidR="00267C51" w:rsidRPr="00742B86" w:rsidRDefault="00267C51" w:rsidP="00D932B8">
            <w:pPr>
              <w:pStyle w:val="Textpoznpodarou"/>
              <w:jc w:val="both"/>
              <w:rPr>
                <w:spacing w:val="-4"/>
                <w:lang w:val="en-GB"/>
              </w:rPr>
            </w:pPr>
          </w:p>
        </w:tc>
        <w:tc>
          <w:tcPr>
            <w:tcW w:w="7910" w:type="dxa"/>
            <w:shd w:val="clear" w:color="auto" w:fill="auto"/>
            <w:tcMar>
              <w:left w:w="0" w:type="dxa"/>
            </w:tcMar>
          </w:tcPr>
          <w:p w:rsidR="00267C51" w:rsidRPr="00742B86" w:rsidRDefault="00206390" w:rsidP="00267C51">
            <w:pPr>
              <w:rPr>
                <w:spacing w:val="-5"/>
                <w:lang w:val="en-GB"/>
              </w:rPr>
            </w:pPr>
            <w:r w:rsidRPr="00742B86">
              <w:rPr>
                <w:spacing w:val="-5"/>
                <w:lang w:val="en-GB"/>
              </w:rPr>
              <w:t>Total SB outl</w:t>
            </w:r>
            <w:r w:rsidR="00010B4A" w:rsidRPr="00742B86">
              <w:rPr>
                <w:spacing w:val="-5"/>
                <w:lang w:val="en-GB"/>
              </w:rPr>
              <w:t xml:space="preserve">ays shot by </w:t>
            </w:r>
            <w:r w:rsidR="00267C51" w:rsidRPr="00742B86">
              <w:rPr>
                <w:spacing w:val="-5"/>
                <w:lang w:val="en-GB"/>
              </w:rPr>
              <w:t>18</w:t>
            </w:r>
            <w:r w:rsidR="00010B4A" w:rsidRPr="00742B86">
              <w:rPr>
                <w:spacing w:val="-5"/>
                <w:lang w:val="en-GB"/>
              </w:rPr>
              <w:t>.</w:t>
            </w:r>
            <w:r w:rsidR="00267C51" w:rsidRPr="00742B86">
              <w:rPr>
                <w:spacing w:val="-5"/>
                <w:lang w:val="en-GB"/>
              </w:rPr>
              <w:t>8%</w:t>
            </w:r>
            <w:r w:rsidR="00010B4A" w:rsidRPr="00742B86">
              <w:rPr>
                <w:spacing w:val="-5"/>
                <w:lang w:val="en-GB"/>
              </w:rPr>
              <w:t xml:space="preserve"> year-on-year</w:t>
            </w:r>
            <w:r w:rsidR="00267C51" w:rsidRPr="00742B86">
              <w:rPr>
                <w:spacing w:val="-5"/>
                <w:lang w:val="en-GB"/>
              </w:rPr>
              <w:t xml:space="preserve"> (resp. 291 </w:t>
            </w:r>
            <w:r w:rsidR="00010B4A" w:rsidRPr="00742B86">
              <w:rPr>
                <w:spacing w:val="-5"/>
                <w:lang w:val="en-GB"/>
              </w:rPr>
              <w:t>CZK bn</w:t>
            </w:r>
            <w:r w:rsidR="00267C51" w:rsidRPr="00742B86">
              <w:rPr>
                <w:spacing w:val="-5"/>
                <w:lang w:val="en-GB"/>
              </w:rPr>
              <w:t>),</w:t>
            </w:r>
            <w:r w:rsidR="00010B4A" w:rsidRPr="00742B86">
              <w:rPr>
                <w:spacing w:val="-5"/>
                <w:lang w:val="en-GB"/>
              </w:rPr>
              <w:t xml:space="preserve"> record rate of growth in the current millennium. Outlays exceeded the original budget anticipations by </w:t>
            </w:r>
            <w:r w:rsidR="00267C51" w:rsidRPr="00742B86">
              <w:rPr>
                <w:spacing w:val="-5"/>
                <w:lang w:val="en-GB"/>
              </w:rPr>
              <w:t>225</w:t>
            </w:r>
            <w:r w:rsidR="00010B4A" w:rsidRPr="00742B86">
              <w:rPr>
                <w:spacing w:val="-5"/>
                <w:lang w:val="en-GB"/>
              </w:rPr>
              <w:t xml:space="preserve"> </w:t>
            </w:r>
            <w:r w:rsidR="002E192A">
              <w:rPr>
                <w:spacing w:val="-5"/>
                <w:lang w:val="en-GB"/>
              </w:rPr>
              <w:t xml:space="preserve">CZK </w:t>
            </w:r>
            <w:r w:rsidR="00010B4A" w:rsidRPr="00742B86">
              <w:rPr>
                <w:spacing w:val="-5"/>
                <w:lang w:val="en-GB"/>
              </w:rPr>
              <w:t xml:space="preserve">bn. Pace of outlays strengthened by a fourth year in a row. Mainly current outlays contributed to the growth last year </w:t>
            </w:r>
            <w:r w:rsidR="00267C51" w:rsidRPr="00742B86">
              <w:rPr>
                <w:spacing w:val="-5"/>
                <w:lang w:val="en-GB"/>
              </w:rPr>
              <w:t>(+258</w:t>
            </w:r>
            <w:r w:rsidR="00010B4A" w:rsidRPr="00742B86">
              <w:rPr>
                <w:spacing w:val="-5"/>
                <w:lang w:val="en-GB"/>
              </w:rPr>
              <w:t xml:space="preserve"> bn</w:t>
            </w:r>
            <w:r w:rsidR="00267C51" w:rsidRPr="00742B86">
              <w:rPr>
                <w:spacing w:val="-5"/>
                <w:lang w:val="en-GB"/>
              </w:rPr>
              <w:t>).</w:t>
            </w:r>
            <w:r w:rsidR="00010B4A" w:rsidRPr="00742B86">
              <w:rPr>
                <w:spacing w:val="-5"/>
                <w:lang w:val="en-GB"/>
              </w:rPr>
              <w:t xml:space="preserve"> More than one half of their </w:t>
            </w:r>
            <w:r w:rsidR="003B0ECE">
              <w:rPr>
                <w:spacing w:val="-5"/>
                <w:lang w:val="en-GB"/>
              </w:rPr>
              <w:t xml:space="preserve">last year </w:t>
            </w:r>
            <w:r w:rsidR="00010B4A" w:rsidRPr="00742B86">
              <w:rPr>
                <w:spacing w:val="-5"/>
                <w:lang w:val="en-GB"/>
              </w:rPr>
              <w:t xml:space="preserve">addition was attributed to the </w:t>
            </w:r>
            <w:r w:rsidR="006E0C7B" w:rsidRPr="00742B86">
              <w:rPr>
                <w:spacing w:val="-5"/>
                <w:lang w:val="en-GB"/>
              </w:rPr>
              <w:t xml:space="preserve">outlays associated with the compensation measures </w:t>
            </w:r>
            <w:r w:rsidR="00267C51" w:rsidRPr="00742B86">
              <w:rPr>
                <w:spacing w:val="-5"/>
                <w:lang w:val="en-GB"/>
              </w:rPr>
              <w:t>(</w:t>
            </w:r>
            <w:r w:rsidR="006E0C7B" w:rsidRPr="00742B86">
              <w:rPr>
                <w:spacing w:val="-5"/>
                <w:lang w:val="en-GB"/>
              </w:rPr>
              <w:t xml:space="preserve">to businesses, individuals as well as </w:t>
            </w:r>
            <w:r w:rsidR="006E0C7B" w:rsidRPr="00742B86">
              <w:rPr>
                <w:spacing w:val="-5"/>
                <w:lang w:val="en-GB"/>
              </w:rPr>
              <w:lastRenderedPageBreak/>
              <w:t>municipalities</w:t>
            </w:r>
            <w:r w:rsidR="00267C51" w:rsidRPr="00742B86">
              <w:rPr>
                <w:spacing w:val="-5"/>
                <w:lang w:val="en-GB"/>
              </w:rPr>
              <w:t>)</w:t>
            </w:r>
            <w:r w:rsidR="006E0C7B" w:rsidRPr="00742B86">
              <w:rPr>
                <w:spacing w:val="-5"/>
                <w:lang w:val="en-GB"/>
              </w:rPr>
              <w:t xml:space="preserve"> or support of the burdened both health and social system</w:t>
            </w:r>
            <w:r w:rsidR="00267C51" w:rsidRPr="00742B86">
              <w:rPr>
                <w:rStyle w:val="Znakapoznpodarou"/>
                <w:spacing w:val="-5"/>
                <w:lang w:val="en-GB"/>
              </w:rPr>
              <w:footnoteReference w:id="7"/>
            </w:r>
            <w:r w:rsidR="00267C51" w:rsidRPr="00742B86">
              <w:rPr>
                <w:spacing w:val="-5"/>
                <w:lang w:val="en-GB"/>
              </w:rPr>
              <w:t xml:space="preserve">. </w:t>
            </w:r>
            <w:r w:rsidR="006E0C7B" w:rsidRPr="00742B86">
              <w:rPr>
                <w:spacing w:val="-5"/>
                <w:lang w:val="en-GB"/>
              </w:rPr>
              <w:t xml:space="preserve">Year-on-year rate of growth of the current outlays gained intensity during the year </w:t>
            </w:r>
            <w:r w:rsidR="00267C51" w:rsidRPr="00742B86">
              <w:rPr>
                <w:spacing w:val="-5"/>
                <w:lang w:val="en-GB"/>
              </w:rPr>
              <w:t xml:space="preserve">– </w:t>
            </w:r>
            <w:r w:rsidR="006E0C7B" w:rsidRPr="00742B86">
              <w:rPr>
                <w:spacing w:val="-5"/>
                <w:lang w:val="en-GB"/>
              </w:rPr>
              <w:t xml:space="preserve">from </w:t>
            </w:r>
            <w:r w:rsidR="00267C51" w:rsidRPr="00742B86">
              <w:rPr>
                <w:spacing w:val="-5"/>
                <w:lang w:val="en-GB"/>
              </w:rPr>
              <w:t>12</w:t>
            </w:r>
            <w:r w:rsidR="006E0C7B" w:rsidRPr="00742B86">
              <w:rPr>
                <w:spacing w:val="-5"/>
                <w:lang w:val="en-GB"/>
              </w:rPr>
              <w:t>.</w:t>
            </w:r>
            <w:r w:rsidR="00267C51" w:rsidRPr="00742B86">
              <w:rPr>
                <w:spacing w:val="-5"/>
                <w:lang w:val="en-GB"/>
              </w:rPr>
              <w:t>4%</w:t>
            </w:r>
            <w:r w:rsidR="006E0C7B" w:rsidRPr="00742B86">
              <w:rPr>
                <w:spacing w:val="-5"/>
                <w:lang w:val="en-GB"/>
              </w:rPr>
              <w:t xml:space="preserve"> in Q</w:t>
            </w:r>
            <w:r w:rsidR="00267C51" w:rsidRPr="00742B86">
              <w:rPr>
                <w:spacing w:val="-5"/>
                <w:lang w:val="en-GB"/>
              </w:rPr>
              <w:t>1</w:t>
            </w:r>
            <w:r w:rsidR="006E0C7B" w:rsidRPr="00742B86">
              <w:rPr>
                <w:spacing w:val="-5"/>
                <w:lang w:val="en-GB"/>
              </w:rPr>
              <w:t xml:space="preserve"> to </w:t>
            </w:r>
            <w:r w:rsidR="00267C51" w:rsidRPr="00742B86">
              <w:rPr>
                <w:spacing w:val="-5"/>
                <w:lang w:val="en-GB"/>
              </w:rPr>
              <w:t>24</w:t>
            </w:r>
            <w:r w:rsidR="006E0C7B" w:rsidRPr="00742B86">
              <w:rPr>
                <w:spacing w:val="-5"/>
                <w:lang w:val="en-GB"/>
              </w:rPr>
              <w:t>.</w:t>
            </w:r>
            <w:r w:rsidR="00267C51" w:rsidRPr="00742B86">
              <w:rPr>
                <w:spacing w:val="-5"/>
                <w:lang w:val="en-GB"/>
              </w:rPr>
              <w:t>5%</w:t>
            </w:r>
            <w:r w:rsidR="006E0C7B" w:rsidRPr="00742B86">
              <w:rPr>
                <w:spacing w:val="-5"/>
                <w:lang w:val="en-GB"/>
              </w:rPr>
              <w:t xml:space="preserve"> in the last quarter of the year. </w:t>
            </w:r>
            <w:r w:rsidR="001D62E0" w:rsidRPr="00742B86">
              <w:rPr>
                <w:spacing w:val="-5"/>
                <w:lang w:val="en-GB"/>
              </w:rPr>
              <w:t xml:space="preserve">Non-investment transfers to business entities </w:t>
            </w:r>
            <w:r w:rsidR="00267C51" w:rsidRPr="00742B86">
              <w:rPr>
                <w:color w:val="0D0D0D" w:themeColor="text1" w:themeTint="F2"/>
                <w:spacing w:val="-5"/>
                <w:lang w:val="en-GB"/>
              </w:rPr>
              <w:t>(+</w:t>
            </w:r>
            <w:r w:rsidR="00267C51" w:rsidRPr="00742B86">
              <w:rPr>
                <w:spacing w:val="-5"/>
                <w:lang w:val="en-GB"/>
              </w:rPr>
              <w:t>84%, resp. 49 </w:t>
            </w:r>
            <w:r w:rsidR="001D62E0" w:rsidRPr="00742B86">
              <w:rPr>
                <w:spacing w:val="-5"/>
                <w:lang w:val="en-GB"/>
              </w:rPr>
              <w:t>CZK bn</w:t>
            </w:r>
            <w:r w:rsidR="00267C51" w:rsidRPr="00742B86">
              <w:rPr>
                <w:spacing w:val="-5"/>
                <w:lang w:val="en-GB"/>
              </w:rPr>
              <w:t>),</w:t>
            </w:r>
            <w:r w:rsidR="001D62E0" w:rsidRPr="00742B86">
              <w:rPr>
                <w:spacing w:val="-5"/>
                <w:lang w:val="en-GB"/>
              </w:rPr>
              <w:t xml:space="preserve"> which concentrated </w:t>
            </w:r>
            <w:r w:rsidR="003B0ECE">
              <w:rPr>
                <w:spacing w:val="-5"/>
                <w:lang w:val="en-GB"/>
              </w:rPr>
              <w:t>significant part of the anti-</w:t>
            </w:r>
            <w:r w:rsidR="001D62E0" w:rsidRPr="00742B86">
              <w:rPr>
                <w:spacing w:val="-5"/>
                <w:lang w:val="en-GB"/>
              </w:rPr>
              <w:t xml:space="preserve">pandemic support measures </w:t>
            </w:r>
            <w:r w:rsidR="00267C51" w:rsidRPr="00742B86">
              <w:rPr>
                <w:spacing w:val="-5"/>
                <w:lang w:val="en-GB"/>
              </w:rPr>
              <w:t>(</w:t>
            </w:r>
            <w:r w:rsidR="001D62E0" w:rsidRPr="00742B86">
              <w:rPr>
                <w:spacing w:val="-5"/>
                <w:lang w:val="en-GB"/>
              </w:rPr>
              <w:t xml:space="preserve">compensation of part of the wage to employees within the Antivirus programme, support of businesses in the most hit branches, extraordinary wage growth in the private </w:t>
            </w:r>
            <w:r w:rsidR="00FA6084" w:rsidRPr="00742B86">
              <w:rPr>
                <w:spacing w:val="-5"/>
                <w:lang w:val="en-GB"/>
              </w:rPr>
              <w:t>hospitals</w:t>
            </w:r>
            <w:r w:rsidR="00267C51" w:rsidRPr="00742B86">
              <w:rPr>
                <w:spacing w:val="-5"/>
                <w:lang w:val="en-GB"/>
              </w:rPr>
              <w:t>)</w:t>
            </w:r>
            <w:r w:rsidR="001D62E0" w:rsidRPr="00742B86">
              <w:rPr>
                <w:spacing w:val="-5"/>
                <w:lang w:val="en-GB"/>
              </w:rPr>
              <w:t xml:space="preserve"> grew the most among the current outlays for the whole year 2020</w:t>
            </w:r>
            <w:r w:rsidR="00267C51" w:rsidRPr="00742B86">
              <w:rPr>
                <w:spacing w:val="-5"/>
                <w:lang w:val="en-GB"/>
              </w:rPr>
              <w:t xml:space="preserve">. </w:t>
            </w:r>
            <w:r w:rsidR="001D62E0" w:rsidRPr="00742B86">
              <w:rPr>
                <w:spacing w:val="-5"/>
                <w:lang w:val="en-GB"/>
              </w:rPr>
              <w:t xml:space="preserve">Current transfers to regional budgets also increased </w:t>
            </w:r>
            <w:r w:rsidR="00267C51" w:rsidRPr="00742B86">
              <w:rPr>
                <w:spacing w:val="-5"/>
                <w:lang w:val="en-GB"/>
              </w:rPr>
              <w:t>(+40 </w:t>
            </w:r>
            <w:r w:rsidR="001D62E0" w:rsidRPr="00742B86">
              <w:rPr>
                <w:spacing w:val="-5"/>
                <w:lang w:val="en-GB"/>
              </w:rPr>
              <w:t>bn</w:t>
            </w:r>
            <w:r w:rsidR="00267C51" w:rsidRPr="00742B86">
              <w:rPr>
                <w:spacing w:val="-5"/>
                <w:lang w:val="en-GB"/>
              </w:rPr>
              <w:t>),</w:t>
            </w:r>
            <w:r w:rsidR="001D62E0" w:rsidRPr="00742B86">
              <w:rPr>
                <w:spacing w:val="-5"/>
                <w:lang w:val="en-GB"/>
              </w:rPr>
              <w:t xml:space="preserve"> primarily thanks to the planned </w:t>
            </w:r>
            <w:r w:rsidR="00FA6084" w:rsidRPr="00742B86">
              <w:rPr>
                <w:spacing w:val="-5"/>
                <w:lang w:val="en-GB"/>
              </w:rPr>
              <w:t xml:space="preserve">increase of the outlays on wages of primary and secondary education employees and also in the area of social care. </w:t>
            </w:r>
            <w:r w:rsidR="001978BE" w:rsidRPr="00742B86">
              <w:rPr>
                <w:spacing w:val="-5"/>
                <w:lang w:val="en-GB"/>
              </w:rPr>
              <w:t xml:space="preserve">Provision of extraordinary allowance to municipalities to mitigate the impacts of the reduced tax incomes also had an effect. By 25 </w:t>
            </w:r>
            <w:r w:rsidR="003B0ECE">
              <w:rPr>
                <w:spacing w:val="-5"/>
                <w:lang w:val="en-GB"/>
              </w:rPr>
              <w:t xml:space="preserve">CZK </w:t>
            </w:r>
            <w:r w:rsidR="001978BE" w:rsidRPr="00742B86">
              <w:rPr>
                <w:spacing w:val="-5"/>
                <w:lang w:val="en-GB"/>
              </w:rPr>
              <w:t>bn more were channelled into the funds of the state and public health insurance</w:t>
            </w:r>
            <w:r w:rsidR="00267C51" w:rsidRPr="00742B86">
              <w:rPr>
                <w:spacing w:val="-5"/>
                <w:lang w:val="en-GB"/>
              </w:rPr>
              <w:t xml:space="preserve">, </w:t>
            </w:r>
            <w:r w:rsidR="001978BE" w:rsidRPr="00742B86">
              <w:rPr>
                <w:spacing w:val="-5"/>
                <w:lang w:val="en-GB"/>
              </w:rPr>
              <w:t>mainly thanks to the increased payments per so called person with state medical insurance</w:t>
            </w:r>
            <w:r w:rsidR="003B0ECE">
              <w:rPr>
                <w:spacing w:val="-5"/>
                <w:lang w:val="en-GB"/>
              </w:rPr>
              <w:t xml:space="preserve"> (e.g. children, students, old-age pensioners)</w:t>
            </w:r>
            <w:r w:rsidR="001978BE" w:rsidRPr="00742B86">
              <w:rPr>
                <w:spacing w:val="-5"/>
                <w:lang w:val="en-GB"/>
              </w:rPr>
              <w:t xml:space="preserve">. Current outlays on state funds </w:t>
            </w:r>
            <w:r w:rsidR="00267C51" w:rsidRPr="00742B86">
              <w:rPr>
                <w:spacing w:val="-5"/>
                <w:lang w:val="en-GB"/>
              </w:rPr>
              <w:t>(</w:t>
            </w:r>
            <w:r w:rsidR="001978BE" w:rsidRPr="00742B86">
              <w:rPr>
                <w:spacing w:val="-5"/>
                <w:lang w:val="en-GB"/>
              </w:rPr>
              <w:t>mainly into the transport  infrastructure and agriculture</w:t>
            </w:r>
            <w:r w:rsidR="00267C51" w:rsidRPr="00742B86">
              <w:rPr>
                <w:spacing w:val="-5"/>
                <w:lang w:val="en-GB"/>
              </w:rPr>
              <w:t xml:space="preserve">) </w:t>
            </w:r>
            <w:r w:rsidR="001978BE" w:rsidRPr="00742B86">
              <w:rPr>
                <w:spacing w:val="-5"/>
                <w:lang w:val="en-GB"/>
              </w:rPr>
              <w:t xml:space="preserve">and state funded organisations </w:t>
            </w:r>
            <w:r w:rsidR="00267C51" w:rsidRPr="00742B86">
              <w:rPr>
                <w:spacing w:val="-5"/>
                <w:lang w:val="en-GB"/>
              </w:rPr>
              <w:t>(</w:t>
            </w:r>
            <w:r w:rsidR="001978BE" w:rsidRPr="00742B86">
              <w:rPr>
                <w:spacing w:val="-5"/>
                <w:lang w:val="en-GB"/>
              </w:rPr>
              <w:t xml:space="preserve">debt relief of selected hospitals and also extraordinary increase of wage outlays in the </w:t>
            </w:r>
            <w:r w:rsidR="006B4A4F" w:rsidRPr="00742B86">
              <w:rPr>
                <w:spacing w:val="-5"/>
                <w:lang w:val="en-GB"/>
              </w:rPr>
              <w:t>inpatient hospital care)</w:t>
            </w:r>
            <w:r w:rsidR="001978BE" w:rsidRPr="00742B86">
              <w:rPr>
                <w:spacing w:val="-5"/>
                <w:lang w:val="en-GB"/>
              </w:rPr>
              <w:t xml:space="preserve"> strengthened similarly by 15 bn</w:t>
            </w:r>
            <w:r w:rsidR="00267C51" w:rsidRPr="00742B86">
              <w:rPr>
                <w:spacing w:val="-5"/>
                <w:lang w:val="en-GB"/>
              </w:rPr>
              <w:t xml:space="preserve">. </w:t>
            </w:r>
            <w:r w:rsidR="005278E5" w:rsidRPr="00742B86">
              <w:rPr>
                <w:spacing w:val="-5"/>
                <w:lang w:val="en-GB"/>
              </w:rPr>
              <w:t>Higher outlays on non-investment purchases</w:t>
            </w:r>
            <w:r w:rsidR="00FC4431">
              <w:rPr>
                <w:spacing w:val="-5"/>
                <w:lang w:val="en-GB"/>
              </w:rPr>
              <w:t xml:space="preserve"> were also linked to the anti-</w:t>
            </w:r>
            <w:r w:rsidR="005278E5" w:rsidRPr="00742B86">
              <w:rPr>
                <w:spacing w:val="-5"/>
                <w:lang w:val="en-GB"/>
              </w:rPr>
              <w:t xml:space="preserve"> pandemic measures</w:t>
            </w:r>
            <w:r w:rsidR="00267C51" w:rsidRPr="00742B86">
              <w:rPr>
                <w:rStyle w:val="Znakapoznpodarou"/>
                <w:spacing w:val="-5"/>
                <w:lang w:val="en-GB"/>
              </w:rPr>
              <w:footnoteReference w:id="8"/>
            </w:r>
            <w:r w:rsidR="00267C51" w:rsidRPr="00742B86">
              <w:rPr>
                <w:spacing w:val="-5"/>
                <w:lang w:val="en-GB"/>
              </w:rPr>
              <w:t xml:space="preserve"> (+11 </w:t>
            </w:r>
            <w:r w:rsidR="00396F82" w:rsidRPr="00742B86">
              <w:rPr>
                <w:spacing w:val="-5"/>
                <w:lang w:val="en-GB"/>
              </w:rPr>
              <w:t>bn</w:t>
            </w:r>
            <w:r w:rsidR="00267C51" w:rsidRPr="00742B86">
              <w:rPr>
                <w:spacing w:val="-5"/>
                <w:lang w:val="en-GB"/>
              </w:rPr>
              <w:t>),</w:t>
            </w:r>
            <w:r w:rsidR="005278E5" w:rsidRPr="00742B86">
              <w:rPr>
                <w:spacing w:val="-5"/>
                <w:lang w:val="en-GB"/>
              </w:rPr>
              <w:t xml:space="preserve"> </w:t>
            </w:r>
            <w:r w:rsidR="00267C51" w:rsidRPr="00742B86">
              <w:rPr>
                <w:spacing w:val="-5"/>
                <w:lang w:val="en-GB"/>
              </w:rPr>
              <w:t>prim</w:t>
            </w:r>
            <w:r w:rsidR="005278E5" w:rsidRPr="00742B86">
              <w:rPr>
                <w:spacing w:val="-5"/>
                <w:lang w:val="en-GB"/>
              </w:rPr>
              <w:t xml:space="preserve">arily on the acquirement of protective aids. Higher outlays on the wages in the </w:t>
            </w:r>
            <w:r w:rsidR="00396F82" w:rsidRPr="00742B86">
              <w:rPr>
                <w:spacing w:val="-5"/>
                <w:lang w:val="en-GB"/>
              </w:rPr>
              <w:t xml:space="preserve">state organisation divisions </w:t>
            </w:r>
            <w:r w:rsidR="00267C51" w:rsidRPr="00742B86">
              <w:rPr>
                <w:spacing w:val="-5"/>
                <w:lang w:val="en-GB"/>
              </w:rPr>
              <w:t>(+6 </w:t>
            </w:r>
            <w:r w:rsidR="00396F82" w:rsidRPr="00742B86">
              <w:rPr>
                <w:spacing w:val="-5"/>
                <w:lang w:val="en-GB"/>
              </w:rPr>
              <w:t>bn</w:t>
            </w:r>
            <w:r w:rsidR="00267C51" w:rsidRPr="00742B86">
              <w:rPr>
                <w:spacing w:val="-5"/>
                <w:lang w:val="en-GB"/>
              </w:rPr>
              <w:t>)</w:t>
            </w:r>
            <w:r w:rsidR="00396F82" w:rsidRPr="00742B86">
              <w:rPr>
                <w:spacing w:val="-5"/>
                <w:lang w:val="en-GB"/>
              </w:rPr>
              <w:t xml:space="preserve"> were partially associated with higher work performance in the selected areas </w:t>
            </w:r>
            <w:r w:rsidR="00267C51" w:rsidRPr="00742B86">
              <w:rPr>
                <w:spacing w:val="-5"/>
                <w:lang w:val="en-GB"/>
              </w:rPr>
              <w:t>(polic</w:t>
            </w:r>
            <w:r w:rsidR="00396F82" w:rsidRPr="00742B86">
              <w:rPr>
                <w:spacing w:val="-5"/>
                <w:lang w:val="en-GB"/>
              </w:rPr>
              <w:t>e, army, hygienic station</w:t>
            </w:r>
            <w:r w:rsidR="00FC4431">
              <w:rPr>
                <w:spacing w:val="-5"/>
                <w:lang w:val="en-GB"/>
              </w:rPr>
              <w:t>s</w:t>
            </w:r>
            <w:r w:rsidR="00267C51" w:rsidRPr="00742B86">
              <w:rPr>
                <w:spacing w:val="-5"/>
                <w:lang w:val="en-GB"/>
              </w:rPr>
              <w:t xml:space="preserve">). </w:t>
            </w:r>
            <w:r w:rsidR="00396F82" w:rsidRPr="00742B86">
              <w:rPr>
                <w:spacing w:val="-5"/>
                <w:lang w:val="en-GB"/>
              </w:rPr>
              <w:t xml:space="preserve"> Transfers of own SB resources into the EU budget grew by more than one fifth </w:t>
            </w:r>
            <w:r w:rsidR="00267C51" w:rsidRPr="00742B86">
              <w:rPr>
                <w:spacing w:val="-5"/>
                <w:lang w:val="en-GB"/>
              </w:rPr>
              <w:t>(</w:t>
            </w:r>
            <w:r w:rsidR="00396F82" w:rsidRPr="00742B86">
              <w:rPr>
                <w:spacing w:val="-5"/>
                <w:lang w:val="en-GB"/>
              </w:rPr>
              <w:t xml:space="preserve">to </w:t>
            </w:r>
            <w:r w:rsidR="00267C51" w:rsidRPr="00742B86">
              <w:rPr>
                <w:spacing w:val="-5"/>
                <w:lang w:val="en-GB"/>
              </w:rPr>
              <w:t>54</w:t>
            </w:r>
            <w:r w:rsidR="00396F82" w:rsidRPr="00742B86">
              <w:rPr>
                <w:spacing w:val="-5"/>
                <w:lang w:val="en-GB"/>
              </w:rPr>
              <w:t xml:space="preserve"> CZK bn</w:t>
            </w:r>
            <w:r w:rsidR="00267C51" w:rsidRPr="00742B86">
              <w:rPr>
                <w:spacing w:val="-5"/>
                <w:lang w:val="en-GB"/>
              </w:rPr>
              <w:t>).</w:t>
            </w:r>
          </w:p>
        </w:tc>
      </w:tr>
      <w:tr w:rsidR="00267C51" w:rsidRPr="00742B86" w:rsidTr="00D70BBF">
        <w:trPr>
          <w:trHeight w:val="145"/>
        </w:trPr>
        <w:tc>
          <w:tcPr>
            <w:tcW w:w="1583" w:type="dxa"/>
            <w:shd w:val="clear" w:color="auto" w:fill="auto"/>
            <w:tcMar>
              <w:left w:w="0" w:type="dxa"/>
            </w:tcMar>
          </w:tcPr>
          <w:p w:rsidR="00267C51" w:rsidRPr="00742B86" w:rsidRDefault="002264F7" w:rsidP="00D932B8">
            <w:pPr>
              <w:pStyle w:val="Marginlie"/>
              <w:rPr>
                <w:lang w:val="en-GB"/>
              </w:rPr>
            </w:pPr>
            <w:r w:rsidRPr="00742B86">
              <w:rPr>
                <w:lang w:val="en-GB"/>
              </w:rPr>
              <w:lastRenderedPageBreak/>
              <w:t xml:space="preserve">Growth pace of the outlays on social benefits strengthened. Their proportion on all SB outlays however fell for the fourth year in a row. </w:t>
            </w:r>
          </w:p>
          <w:p w:rsidR="00267C51" w:rsidRPr="00742B86" w:rsidRDefault="00267C51" w:rsidP="00D932B8">
            <w:pPr>
              <w:pStyle w:val="Marginlie"/>
              <w:rPr>
                <w:lang w:val="en-GB"/>
              </w:rPr>
            </w:pPr>
          </w:p>
          <w:p w:rsidR="00267C51" w:rsidRPr="00742B86" w:rsidRDefault="00267C51" w:rsidP="00D932B8">
            <w:pPr>
              <w:pStyle w:val="Marginlie"/>
              <w:rPr>
                <w:lang w:val="en-GB"/>
              </w:rPr>
            </w:pPr>
          </w:p>
          <w:p w:rsidR="00267C51" w:rsidRPr="00742B86" w:rsidRDefault="00267C51" w:rsidP="00D932B8">
            <w:pPr>
              <w:pStyle w:val="Marginlie"/>
              <w:rPr>
                <w:lang w:val="en-GB"/>
              </w:rPr>
            </w:pPr>
          </w:p>
          <w:p w:rsidR="00267C51" w:rsidRPr="00742B86" w:rsidRDefault="00267C51" w:rsidP="00D932B8">
            <w:pPr>
              <w:pStyle w:val="Marginlie"/>
              <w:rPr>
                <w:lang w:val="en-GB"/>
              </w:rPr>
            </w:pPr>
          </w:p>
          <w:p w:rsidR="00267C51" w:rsidRPr="00742B86" w:rsidRDefault="002264F7" w:rsidP="00D932B8">
            <w:pPr>
              <w:pStyle w:val="Marginlie"/>
              <w:rPr>
                <w:lang w:val="en-GB"/>
              </w:rPr>
            </w:pPr>
            <w:r w:rsidRPr="00742B86">
              <w:rPr>
                <w:lang w:val="en-GB"/>
              </w:rPr>
              <w:t xml:space="preserve">Outlays on pensions accelerated, revenues of the pension insurance in contrast fell for the first time since year </w:t>
            </w:r>
            <w:r w:rsidR="00267C51" w:rsidRPr="00742B86">
              <w:rPr>
                <w:lang w:val="en-GB"/>
              </w:rPr>
              <w:t>2009.</w:t>
            </w:r>
          </w:p>
        </w:tc>
        <w:tc>
          <w:tcPr>
            <w:tcW w:w="176" w:type="dxa"/>
            <w:shd w:val="clear" w:color="auto" w:fill="auto"/>
            <w:tcMar>
              <w:left w:w="0" w:type="dxa"/>
            </w:tcMar>
          </w:tcPr>
          <w:p w:rsidR="00267C51" w:rsidRPr="00742B86" w:rsidRDefault="00267C51" w:rsidP="00D932B8">
            <w:pPr>
              <w:pStyle w:val="Textpoznpodarou"/>
              <w:jc w:val="both"/>
              <w:rPr>
                <w:spacing w:val="-4"/>
                <w:lang w:val="en-GB"/>
              </w:rPr>
            </w:pPr>
          </w:p>
        </w:tc>
        <w:tc>
          <w:tcPr>
            <w:tcW w:w="7910" w:type="dxa"/>
            <w:shd w:val="clear" w:color="auto" w:fill="auto"/>
            <w:tcMar>
              <w:left w:w="0" w:type="dxa"/>
            </w:tcMar>
          </w:tcPr>
          <w:p w:rsidR="00267C51" w:rsidRPr="00742B86" w:rsidRDefault="001E3E5B" w:rsidP="00267C51">
            <w:pPr>
              <w:rPr>
                <w:spacing w:val="-5"/>
                <w:highlight w:val="yellow"/>
                <w:lang w:val="en-GB"/>
              </w:rPr>
            </w:pPr>
            <w:r w:rsidRPr="00742B86">
              <w:rPr>
                <w:spacing w:val="-5"/>
                <w:lang w:val="en-GB"/>
              </w:rPr>
              <w:t xml:space="preserve">Social benefits, whose volume was by </w:t>
            </w:r>
            <w:r w:rsidR="00267C51" w:rsidRPr="00742B86">
              <w:rPr>
                <w:spacing w:val="-5"/>
                <w:lang w:val="en-GB"/>
              </w:rPr>
              <w:t>14</w:t>
            </w:r>
            <w:r w:rsidRPr="00742B86">
              <w:rPr>
                <w:spacing w:val="-5"/>
                <w:lang w:val="en-GB"/>
              </w:rPr>
              <w:t>.</w:t>
            </w:r>
            <w:r w:rsidR="00267C51" w:rsidRPr="00742B86">
              <w:rPr>
                <w:spacing w:val="-5"/>
                <w:lang w:val="en-GB"/>
              </w:rPr>
              <w:t>2%</w:t>
            </w:r>
            <w:r w:rsidRPr="00742B86">
              <w:rPr>
                <w:spacing w:val="-5"/>
                <w:lang w:val="en-GB"/>
              </w:rPr>
              <w:t xml:space="preserve"> </w:t>
            </w:r>
            <w:r w:rsidR="00267C51" w:rsidRPr="00742B86">
              <w:rPr>
                <w:spacing w:val="-5"/>
                <w:lang w:val="en-GB"/>
              </w:rPr>
              <w:t>(resp. 85</w:t>
            </w:r>
            <w:r w:rsidRPr="00742B86">
              <w:rPr>
                <w:spacing w:val="-5"/>
                <w:lang w:val="en-GB"/>
              </w:rPr>
              <w:t>.</w:t>
            </w:r>
            <w:r w:rsidR="00267C51" w:rsidRPr="00742B86">
              <w:rPr>
                <w:spacing w:val="-5"/>
                <w:lang w:val="en-GB"/>
              </w:rPr>
              <w:t>2</w:t>
            </w:r>
            <w:r w:rsidRPr="00742B86">
              <w:rPr>
                <w:spacing w:val="-5"/>
                <w:lang w:val="en-GB"/>
              </w:rPr>
              <w:t xml:space="preserve"> CZK bn</w:t>
            </w:r>
            <w:r w:rsidR="00267C51" w:rsidRPr="00742B86">
              <w:rPr>
                <w:spacing w:val="-5"/>
                <w:lang w:val="en-GB"/>
              </w:rPr>
              <w:t xml:space="preserve">) </w:t>
            </w:r>
            <w:r w:rsidRPr="00742B86">
              <w:rPr>
                <w:spacing w:val="-5"/>
                <w:lang w:val="en-GB"/>
              </w:rPr>
              <w:t>higher year-on-year, significantly contributed to the current SB outlays last year</w:t>
            </w:r>
            <w:r w:rsidR="00267C51" w:rsidRPr="00742B86">
              <w:rPr>
                <w:spacing w:val="-5"/>
                <w:lang w:val="en-GB"/>
              </w:rPr>
              <w:t xml:space="preserve">. </w:t>
            </w:r>
            <w:r w:rsidRPr="00742B86">
              <w:rPr>
                <w:spacing w:val="-5"/>
                <w:lang w:val="en-GB"/>
              </w:rPr>
              <w:t xml:space="preserve">Even though it represented a record pace in the current millennium, the proportion of social benefits on all SB outlays has been decreasing for the fourth year in a row </w:t>
            </w:r>
            <w:r w:rsidR="00267C51" w:rsidRPr="00742B86">
              <w:rPr>
                <w:spacing w:val="-5"/>
                <w:lang w:val="en-GB"/>
              </w:rPr>
              <w:t>(</w:t>
            </w:r>
            <w:r w:rsidRPr="00742B86">
              <w:rPr>
                <w:spacing w:val="-5"/>
                <w:lang w:val="en-GB"/>
              </w:rPr>
              <w:t xml:space="preserve">to </w:t>
            </w:r>
            <w:r w:rsidR="00267C51" w:rsidRPr="00742B86">
              <w:rPr>
                <w:spacing w:val="-5"/>
                <w:lang w:val="en-GB"/>
              </w:rPr>
              <w:t>37</w:t>
            </w:r>
            <w:r w:rsidRPr="00742B86">
              <w:rPr>
                <w:spacing w:val="-5"/>
                <w:lang w:val="en-GB"/>
              </w:rPr>
              <w:t>.</w:t>
            </w:r>
            <w:r w:rsidR="00267C51" w:rsidRPr="00742B86">
              <w:rPr>
                <w:spacing w:val="-5"/>
                <w:lang w:val="en-GB"/>
              </w:rPr>
              <w:t>3%).</w:t>
            </w:r>
            <w:r w:rsidRPr="00742B86">
              <w:rPr>
                <w:spacing w:val="-5"/>
                <w:lang w:val="en-GB"/>
              </w:rPr>
              <w:t xml:space="preserve"> While in both Q</w:t>
            </w:r>
            <w:r w:rsidR="00267C51" w:rsidRPr="00742B86">
              <w:rPr>
                <w:spacing w:val="-5"/>
                <w:lang w:val="en-GB"/>
              </w:rPr>
              <w:t>1</w:t>
            </w:r>
            <w:r w:rsidRPr="00742B86">
              <w:rPr>
                <w:spacing w:val="-5"/>
                <w:lang w:val="en-GB"/>
              </w:rPr>
              <w:t xml:space="preserve"> to </w:t>
            </w:r>
            <w:r w:rsidR="00FC4431">
              <w:rPr>
                <w:spacing w:val="-5"/>
                <w:lang w:val="en-GB"/>
              </w:rPr>
              <w:t>Q</w:t>
            </w:r>
            <w:r w:rsidR="00267C51" w:rsidRPr="00742B86">
              <w:rPr>
                <w:spacing w:val="-5"/>
                <w:lang w:val="en-GB"/>
              </w:rPr>
              <w:t>3</w:t>
            </w:r>
            <w:r w:rsidRPr="00742B86">
              <w:rPr>
                <w:spacing w:val="-5"/>
                <w:lang w:val="en-GB"/>
              </w:rPr>
              <w:t xml:space="preserve"> </w:t>
            </w:r>
            <w:r w:rsidR="00267C51" w:rsidRPr="00742B86">
              <w:rPr>
                <w:spacing w:val="-5"/>
                <w:lang w:val="en-GB"/>
              </w:rPr>
              <w:t>2020</w:t>
            </w:r>
            <w:r w:rsidRPr="00742B86">
              <w:rPr>
                <w:spacing w:val="-5"/>
                <w:lang w:val="en-GB"/>
              </w:rPr>
              <w:t>, their growth was driven by the non-pension benefits</w:t>
            </w:r>
            <w:r w:rsidR="00742B86" w:rsidRPr="00742B86">
              <w:rPr>
                <w:spacing w:val="-5"/>
                <w:lang w:val="en-GB"/>
              </w:rPr>
              <w:t>, in</w:t>
            </w:r>
            <w:r w:rsidR="00C32C4E" w:rsidRPr="00742B86">
              <w:rPr>
                <w:spacing w:val="-5"/>
                <w:lang w:val="en-GB"/>
              </w:rPr>
              <w:t xml:space="preserve"> the annual total the role of outlays on pensions proved dominant. It occurred due to the one-off benefit payment </w:t>
            </w:r>
            <w:r w:rsidR="00267C51" w:rsidRPr="00742B86">
              <w:rPr>
                <w:spacing w:val="-5"/>
                <w:lang w:val="en-GB"/>
              </w:rPr>
              <w:t>(</w:t>
            </w:r>
            <w:r w:rsidR="00C32C4E" w:rsidRPr="00742B86">
              <w:rPr>
                <w:spacing w:val="-5"/>
                <w:lang w:val="en-GB"/>
              </w:rPr>
              <w:t>paid out to pension benefits in December</w:t>
            </w:r>
            <w:r w:rsidR="00267C51" w:rsidRPr="00742B86">
              <w:rPr>
                <w:spacing w:val="-5"/>
                <w:lang w:val="en-GB"/>
              </w:rPr>
              <w:t xml:space="preserve">) </w:t>
            </w:r>
            <w:r w:rsidR="00C32C4E" w:rsidRPr="00742B86">
              <w:rPr>
                <w:spacing w:val="-5"/>
                <w:lang w:val="en-GB"/>
              </w:rPr>
              <w:t xml:space="preserve">in the amount of </w:t>
            </w:r>
            <w:r w:rsidR="00267C51" w:rsidRPr="00742B86">
              <w:rPr>
                <w:spacing w:val="-5"/>
                <w:lang w:val="en-GB"/>
              </w:rPr>
              <w:t>15</w:t>
            </w:r>
            <w:r w:rsidR="00C32C4E" w:rsidRPr="00742B86">
              <w:rPr>
                <w:spacing w:val="-5"/>
                <w:lang w:val="en-GB"/>
              </w:rPr>
              <w:t xml:space="preserve"> CZK bn</w:t>
            </w:r>
            <w:r w:rsidR="00267C51" w:rsidRPr="00742B86">
              <w:rPr>
                <w:spacing w:val="-5"/>
                <w:lang w:val="en-GB"/>
              </w:rPr>
              <w:t>.</w:t>
            </w:r>
            <w:r w:rsidR="00C32C4E" w:rsidRPr="00742B86">
              <w:rPr>
                <w:spacing w:val="-5"/>
                <w:lang w:val="en-GB"/>
              </w:rPr>
              <w:t xml:space="preserve"> Outlays on pensions thus with the view to the regular pension adjustment expanded by </w:t>
            </w:r>
            <w:r w:rsidR="00267C51" w:rsidRPr="00742B86">
              <w:rPr>
                <w:spacing w:val="-5"/>
                <w:lang w:val="en-GB"/>
              </w:rPr>
              <w:t>10</w:t>
            </w:r>
            <w:r w:rsidR="00C32C4E" w:rsidRPr="00742B86">
              <w:rPr>
                <w:spacing w:val="-5"/>
                <w:lang w:val="en-GB"/>
              </w:rPr>
              <w:t>.</w:t>
            </w:r>
            <w:r w:rsidR="00267C51" w:rsidRPr="00742B86">
              <w:rPr>
                <w:spacing w:val="-5"/>
                <w:lang w:val="en-GB"/>
              </w:rPr>
              <w:t>2%</w:t>
            </w:r>
            <w:r w:rsidR="00C32C4E" w:rsidRPr="00742B86">
              <w:rPr>
                <w:spacing w:val="-5"/>
                <w:lang w:val="en-GB"/>
              </w:rPr>
              <w:t xml:space="preserve"> last year, the most in the last fourteen years. Number of pension recipients lowered by 0.6% compared to the end of year </w:t>
            </w:r>
            <w:r w:rsidR="00267C51" w:rsidRPr="00742B86">
              <w:rPr>
                <w:spacing w:val="-5"/>
                <w:lang w:val="en-GB"/>
              </w:rPr>
              <w:t>2019</w:t>
            </w:r>
            <w:r w:rsidR="00C32C4E" w:rsidRPr="00742B86">
              <w:rPr>
                <w:spacing w:val="-5"/>
                <w:lang w:val="en-GB"/>
              </w:rPr>
              <w:t xml:space="preserve">, partially presumably as a consequence of heightened mortality. </w:t>
            </w:r>
            <w:r w:rsidR="00046559" w:rsidRPr="00742B86">
              <w:rPr>
                <w:spacing w:val="-5"/>
                <w:lang w:val="en-GB"/>
              </w:rPr>
              <w:t xml:space="preserve">The revenues of the pension insurance decreased last year </w:t>
            </w:r>
            <w:r w:rsidR="00267C51" w:rsidRPr="00742B86">
              <w:rPr>
                <w:rFonts w:cs="Arial"/>
                <w:color w:val="0D0D0D" w:themeColor="text1" w:themeTint="F2"/>
                <w:spacing w:val="-5"/>
                <w:lang w:val="en-GB"/>
              </w:rPr>
              <w:t>(</w:t>
            </w:r>
            <w:r w:rsidR="00046559" w:rsidRPr="00742B86">
              <w:rPr>
                <w:rFonts w:cs="Arial"/>
                <w:color w:val="0D0D0D" w:themeColor="text1" w:themeTint="F2"/>
                <w:spacing w:val="-5"/>
                <w:lang w:val="en-GB"/>
              </w:rPr>
              <w:t xml:space="preserve">by </w:t>
            </w:r>
            <w:r w:rsidR="00267C51" w:rsidRPr="00742B86">
              <w:rPr>
                <w:rFonts w:cs="Arial"/>
                <w:color w:val="0D0D0D" w:themeColor="text1" w:themeTint="F2"/>
                <w:spacing w:val="-5"/>
                <w:lang w:val="en-GB"/>
              </w:rPr>
              <w:t>2</w:t>
            </w:r>
            <w:r w:rsidR="00046559" w:rsidRPr="00742B86">
              <w:rPr>
                <w:rFonts w:cs="Arial"/>
                <w:color w:val="0D0D0D" w:themeColor="text1" w:themeTint="F2"/>
                <w:spacing w:val="-5"/>
                <w:lang w:val="en-GB"/>
              </w:rPr>
              <w:t>.</w:t>
            </w:r>
            <w:r w:rsidR="00267C51" w:rsidRPr="00742B86">
              <w:rPr>
                <w:rFonts w:cs="Arial"/>
                <w:color w:val="0D0D0D" w:themeColor="text1" w:themeTint="F2"/>
                <w:spacing w:val="-5"/>
                <w:lang w:val="en-GB"/>
              </w:rPr>
              <w:t xml:space="preserve">1%) – </w:t>
            </w:r>
            <w:r w:rsidR="00046559" w:rsidRPr="00742B86">
              <w:rPr>
                <w:rFonts w:cs="Arial"/>
                <w:color w:val="0D0D0D" w:themeColor="text1" w:themeTint="F2"/>
                <w:spacing w:val="-5"/>
                <w:lang w:val="en-GB"/>
              </w:rPr>
              <w:t xml:space="preserve">for the first time since year </w:t>
            </w:r>
            <w:r w:rsidR="00267C51" w:rsidRPr="00742B86">
              <w:rPr>
                <w:rFonts w:cs="Arial"/>
                <w:color w:val="0D0D0D" w:themeColor="text1" w:themeTint="F2"/>
                <w:spacing w:val="-5"/>
                <w:lang w:val="en-GB"/>
              </w:rPr>
              <w:t xml:space="preserve">2009, </w:t>
            </w:r>
            <w:r w:rsidR="00046559" w:rsidRPr="00742B86">
              <w:rPr>
                <w:rFonts w:cs="Arial"/>
                <w:color w:val="0D0D0D" w:themeColor="text1" w:themeTint="F2"/>
                <w:spacing w:val="-5"/>
                <w:lang w:val="en-GB"/>
              </w:rPr>
              <w:t xml:space="preserve">when the decrease amounted even to </w:t>
            </w:r>
            <w:r w:rsidR="00267C51" w:rsidRPr="00742B86">
              <w:rPr>
                <w:rFonts w:cs="Arial"/>
                <w:color w:val="0D0D0D" w:themeColor="text1" w:themeTint="F2"/>
                <w:spacing w:val="-5"/>
                <w:lang w:val="en-GB"/>
              </w:rPr>
              <w:t>3</w:t>
            </w:r>
            <w:r w:rsidR="00046559" w:rsidRPr="00742B86">
              <w:rPr>
                <w:rFonts w:cs="Arial"/>
                <w:color w:val="0D0D0D" w:themeColor="text1" w:themeTint="F2"/>
                <w:spacing w:val="-5"/>
                <w:lang w:val="en-GB"/>
              </w:rPr>
              <w:t>.</w:t>
            </w:r>
            <w:r w:rsidR="00267C51" w:rsidRPr="00742B86">
              <w:rPr>
                <w:rFonts w:cs="Arial"/>
                <w:color w:val="0D0D0D" w:themeColor="text1" w:themeTint="F2"/>
                <w:spacing w:val="-5"/>
                <w:lang w:val="en-GB"/>
              </w:rPr>
              <w:t>0%.</w:t>
            </w:r>
            <w:r w:rsidR="00046559" w:rsidRPr="00742B86">
              <w:rPr>
                <w:rFonts w:cs="Arial"/>
                <w:color w:val="0D0D0D" w:themeColor="text1" w:themeTint="F2"/>
                <w:spacing w:val="-5"/>
                <w:lang w:val="en-GB"/>
              </w:rPr>
              <w:t xml:space="preserve"> </w:t>
            </w:r>
            <w:r w:rsidR="00267C51" w:rsidRPr="00742B86">
              <w:rPr>
                <w:rFonts w:cs="Arial"/>
                <w:color w:val="0D0D0D" w:themeColor="text1" w:themeTint="F2"/>
                <w:spacing w:val="-5"/>
                <w:lang w:val="en-GB"/>
              </w:rPr>
              <w:t xml:space="preserve"> </w:t>
            </w:r>
            <w:r w:rsidR="007B00A4" w:rsidRPr="00742B86">
              <w:rPr>
                <w:rFonts w:cs="Arial"/>
                <w:color w:val="0D0D0D" w:themeColor="text1" w:themeTint="F2"/>
                <w:spacing w:val="-5"/>
                <w:lang w:val="en-GB"/>
              </w:rPr>
              <w:t>Measures to support the small entrepreneurs as well as employers played a major role here</w:t>
            </w:r>
            <w:r w:rsidR="00267C51" w:rsidRPr="00742B86">
              <w:rPr>
                <w:rStyle w:val="Znakapoznpodarou"/>
                <w:color w:val="0D0D0D" w:themeColor="text1" w:themeTint="F2"/>
                <w:spacing w:val="-5"/>
                <w:lang w:val="en-GB"/>
              </w:rPr>
              <w:footnoteReference w:id="9"/>
            </w:r>
            <w:r w:rsidR="00267C51" w:rsidRPr="00742B86">
              <w:rPr>
                <w:rFonts w:cs="Arial"/>
                <w:color w:val="0D0D0D" w:themeColor="text1" w:themeTint="F2"/>
                <w:spacing w:val="-5"/>
                <w:lang w:val="en-GB"/>
              </w:rPr>
              <w:t xml:space="preserve">. </w:t>
            </w:r>
            <w:r w:rsidR="00046559" w:rsidRPr="00742B86">
              <w:rPr>
                <w:rFonts w:cs="Arial"/>
                <w:color w:val="0D0D0D" w:themeColor="text1" w:themeTint="F2"/>
                <w:spacing w:val="-5"/>
                <w:lang w:val="en-GB"/>
              </w:rPr>
              <w:t>Deteriorated situation on the labour market</w:t>
            </w:r>
            <w:r w:rsidR="007B00A4" w:rsidRPr="00742B86">
              <w:rPr>
                <w:rFonts w:cs="Arial"/>
                <w:color w:val="0D0D0D" w:themeColor="text1" w:themeTint="F2"/>
                <w:spacing w:val="-5"/>
                <w:lang w:val="en-GB"/>
              </w:rPr>
              <w:t xml:space="preserve"> (employment reduction, slowdown of the average wage growth</w:t>
            </w:r>
            <w:r w:rsidR="00267C51" w:rsidRPr="00742B86">
              <w:rPr>
                <w:rFonts w:cs="Arial"/>
                <w:color w:val="0D0D0D" w:themeColor="text1" w:themeTint="F2"/>
                <w:spacing w:val="-5"/>
                <w:lang w:val="en-GB"/>
              </w:rPr>
              <w:t>)</w:t>
            </w:r>
            <w:r w:rsidR="00046559" w:rsidRPr="00742B86">
              <w:rPr>
                <w:rFonts w:cs="Arial"/>
                <w:color w:val="0D0D0D" w:themeColor="text1" w:themeTint="F2"/>
                <w:spacing w:val="-5"/>
                <w:lang w:val="en-GB"/>
              </w:rPr>
              <w:t xml:space="preserve"> also played a role</w:t>
            </w:r>
            <w:r w:rsidR="00267C51" w:rsidRPr="00742B86">
              <w:rPr>
                <w:rFonts w:cs="Arial"/>
                <w:color w:val="0D0D0D" w:themeColor="text1" w:themeTint="F2"/>
                <w:spacing w:val="-5"/>
                <w:lang w:val="en-GB"/>
              </w:rPr>
              <w:t>.</w:t>
            </w:r>
            <w:r w:rsidR="00046559" w:rsidRPr="00742B86">
              <w:rPr>
                <w:rFonts w:cs="Arial"/>
                <w:color w:val="0D0D0D" w:themeColor="text1" w:themeTint="F2"/>
                <w:spacing w:val="-5"/>
                <w:lang w:val="en-GB"/>
              </w:rPr>
              <w:t xml:space="preserve"> Pension account balance</w:t>
            </w:r>
            <w:r w:rsidR="00267C51" w:rsidRPr="00742B86">
              <w:rPr>
                <w:rStyle w:val="Znakapoznpodarou"/>
                <w:color w:val="0D0D0D" w:themeColor="text1" w:themeTint="F2"/>
                <w:spacing w:val="-5"/>
                <w:lang w:val="en-GB"/>
              </w:rPr>
              <w:footnoteReference w:id="10"/>
            </w:r>
            <w:r w:rsidR="00046559" w:rsidRPr="00742B86">
              <w:rPr>
                <w:rFonts w:cs="Arial"/>
                <w:color w:val="0D0D0D" w:themeColor="text1" w:themeTint="F2"/>
                <w:spacing w:val="-5"/>
                <w:lang w:val="en-GB"/>
              </w:rPr>
              <w:t xml:space="preserve"> thus following the three surplus </w:t>
            </w:r>
            <w:r w:rsidR="00822F67">
              <w:rPr>
                <w:rFonts w:cs="Arial"/>
                <w:color w:val="0D0D0D" w:themeColor="text1" w:themeTint="F2"/>
                <w:spacing w:val="-5"/>
                <w:lang w:val="en-GB"/>
              </w:rPr>
              <w:t xml:space="preserve">preceding </w:t>
            </w:r>
            <w:r w:rsidR="00046559" w:rsidRPr="00742B86">
              <w:rPr>
                <w:rFonts w:cs="Arial"/>
                <w:color w:val="0D0D0D" w:themeColor="text1" w:themeTint="F2"/>
                <w:spacing w:val="-5"/>
                <w:lang w:val="en-GB"/>
              </w:rPr>
              <w:t xml:space="preserve">years returned to deficit </w:t>
            </w:r>
            <w:r w:rsidR="00267C51" w:rsidRPr="00742B86">
              <w:rPr>
                <w:rFonts w:cs="Arial"/>
                <w:color w:val="0D0D0D" w:themeColor="text1" w:themeTint="F2"/>
                <w:spacing w:val="-5"/>
                <w:lang w:val="en-GB"/>
              </w:rPr>
              <w:t>(35</w:t>
            </w:r>
            <w:r w:rsidR="00046559" w:rsidRPr="00742B86">
              <w:rPr>
                <w:rFonts w:cs="Arial"/>
                <w:color w:val="0D0D0D" w:themeColor="text1" w:themeTint="F2"/>
                <w:spacing w:val="-5"/>
                <w:lang w:val="en-GB"/>
              </w:rPr>
              <w:t>.</w:t>
            </w:r>
            <w:r w:rsidR="00267C51" w:rsidRPr="00742B86">
              <w:rPr>
                <w:rFonts w:cs="Arial"/>
                <w:color w:val="0D0D0D" w:themeColor="text1" w:themeTint="F2"/>
                <w:spacing w:val="-5"/>
                <w:lang w:val="en-GB"/>
              </w:rPr>
              <w:t>9</w:t>
            </w:r>
            <w:r w:rsidR="00046559" w:rsidRPr="00742B86">
              <w:rPr>
                <w:rFonts w:cs="Arial"/>
                <w:color w:val="0D0D0D" w:themeColor="text1" w:themeTint="F2"/>
                <w:spacing w:val="-5"/>
                <w:lang w:val="en-GB"/>
              </w:rPr>
              <w:t xml:space="preserve"> CZK bn</w:t>
            </w:r>
            <w:r w:rsidR="00267C51" w:rsidRPr="00742B86">
              <w:rPr>
                <w:rFonts w:cs="Arial"/>
                <w:color w:val="0D0D0D" w:themeColor="text1" w:themeTint="F2"/>
                <w:spacing w:val="-5"/>
                <w:lang w:val="en-GB"/>
              </w:rPr>
              <w:t xml:space="preserve">), </w:t>
            </w:r>
            <w:r w:rsidRPr="00742B86">
              <w:rPr>
                <w:rFonts w:cs="Arial"/>
                <w:color w:val="0D0D0D" w:themeColor="text1" w:themeTint="F2"/>
                <w:spacing w:val="-5"/>
                <w:lang w:val="en-GB"/>
              </w:rPr>
              <w:t xml:space="preserve">the highest in the last six years. </w:t>
            </w:r>
          </w:p>
        </w:tc>
      </w:tr>
      <w:tr w:rsidR="00267C51" w:rsidRPr="00742B86" w:rsidTr="00F757FC">
        <w:trPr>
          <w:trHeight w:val="145"/>
        </w:trPr>
        <w:tc>
          <w:tcPr>
            <w:tcW w:w="1583" w:type="dxa"/>
            <w:shd w:val="clear" w:color="auto" w:fill="auto"/>
            <w:tcMar>
              <w:left w:w="0" w:type="dxa"/>
            </w:tcMar>
          </w:tcPr>
          <w:p w:rsidR="00267C51" w:rsidRPr="00742B86" w:rsidRDefault="00DC0138" w:rsidP="00D932B8">
            <w:pPr>
              <w:pStyle w:val="Marginlie"/>
              <w:rPr>
                <w:spacing w:val="0"/>
                <w:lang w:val="en-GB"/>
              </w:rPr>
            </w:pPr>
            <w:r w:rsidRPr="00742B86">
              <w:rPr>
                <w:spacing w:val="0"/>
                <w:lang w:val="en-GB"/>
              </w:rPr>
              <w:t>Payment of care benefits, increase of sickness and raised parental allowance contributed</w:t>
            </w:r>
            <w:r w:rsidR="00CE0FE9">
              <w:rPr>
                <w:spacing w:val="0"/>
                <w:lang w:val="en-GB"/>
              </w:rPr>
              <w:t xml:space="preserve"> the most to the growth of </w:t>
            </w:r>
            <w:r w:rsidR="00A428B2">
              <w:rPr>
                <w:spacing w:val="0"/>
                <w:lang w:val="en-GB"/>
              </w:rPr>
              <w:t>“</w:t>
            </w:r>
            <w:r w:rsidR="00CE0FE9">
              <w:rPr>
                <w:spacing w:val="0"/>
                <w:lang w:val="en-GB"/>
              </w:rPr>
              <w:t>non-</w:t>
            </w:r>
            <w:r w:rsidR="00CE0FE9">
              <w:rPr>
                <w:spacing w:val="0"/>
                <w:lang w:val="en-GB"/>
              </w:rPr>
              <w:lastRenderedPageBreak/>
              <w:t>pension</w:t>
            </w:r>
            <w:r w:rsidR="00A428B2">
              <w:rPr>
                <w:spacing w:val="0"/>
                <w:lang w:val="en-GB"/>
              </w:rPr>
              <w:t>”</w:t>
            </w:r>
            <w:r w:rsidRPr="00742B86">
              <w:rPr>
                <w:spacing w:val="0"/>
                <w:lang w:val="en-GB"/>
              </w:rPr>
              <w:t xml:space="preserve"> social benefits.</w:t>
            </w:r>
          </w:p>
        </w:tc>
        <w:tc>
          <w:tcPr>
            <w:tcW w:w="176" w:type="dxa"/>
            <w:shd w:val="clear" w:color="auto" w:fill="auto"/>
            <w:tcMar>
              <w:left w:w="0" w:type="dxa"/>
            </w:tcMar>
          </w:tcPr>
          <w:p w:rsidR="00267C51" w:rsidRPr="00742B86" w:rsidRDefault="00267C51" w:rsidP="00D932B8">
            <w:pPr>
              <w:pStyle w:val="Textpoznpodarou"/>
              <w:jc w:val="both"/>
              <w:rPr>
                <w:spacing w:val="-4"/>
                <w:lang w:val="en-GB"/>
              </w:rPr>
            </w:pPr>
          </w:p>
        </w:tc>
        <w:tc>
          <w:tcPr>
            <w:tcW w:w="7910" w:type="dxa"/>
            <w:shd w:val="clear" w:color="auto" w:fill="auto"/>
            <w:tcMar>
              <w:left w:w="0" w:type="dxa"/>
            </w:tcMar>
          </w:tcPr>
          <w:p w:rsidR="00267C51" w:rsidRPr="00742B86" w:rsidRDefault="00267C51" w:rsidP="00267C51">
            <w:pPr>
              <w:rPr>
                <w:spacing w:val="-4"/>
                <w:lang w:val="en-GB"/>
              </w:rPr>
            </w:pPr>
            <w:r w:rsidRPr="00742B86">
              <w:rPr>
                <w:spacing w:val="-4"/>
                <w:lang w:val="en-GB"/>
              </w:rPr>
              <w:t>S</w:t>
            </w:r>
            <w:r w:rsidR="0065392C" w:rsidRPr="00742B86">
              <w:rPr>
                <w:spacing w:val="-4"/>
                <w:lang w:val="en-GB"/>
              </w:rPr>
              <w:t>B also expended more</w:t>
            </w:r>
            <w:r w:rsidR="00CE0FE9">
              <w:rPr>
                <w:spacing w:val="-4"/>
                <w:lang w:val="en-GB"/>
              </w:rPr>
              <w:t xml:space="preserve"> on almost </w:t>
            </w:r>
            <w:r w:rsidR="00DC0138" w:rsidRPr="00742B86">
              <w:rPr>
                <w:spacing w:val="-4"/>
                <w:lang w:val="en-GB"/>
              </w:rPr>
              <w:t xml:space="preserve">all other more significant types of social benefits </w:t>
            </w:r>
            <w:r w:rsidR="0065392C" w:rsidRPr="00742B86">
              <w:rPr>
                <w:spacing w:val="-4"/>
                <w:lang w:val="en-GB"/>
              </w:rPr>
              <w:t>compared to year 2019 last year</w:t>
            </w:r>
            <w:r w:rsidRPr="00742B86">
              <w:rPr>
                <w:spacing w:val="-4"/>
                <w:lang w:val="en-GB"/>
              </w:rPr>
              <w:t>.</w:t>
            </w:r>
            <w:r w:rsidR="0065392C" w:rsidRPr="00742B86">
              <w:rPr>
                <w:spacing w:val="-4"/>
                <w:lang w:val="en-GB"/>
              </w:rPr>
              <w:t xml:space="preserve"> Sickness benefits accelerated </w:t>
            </w:r>
            <w:r w:rsidRPr="00742B86">
              <w:rPr>
                <w:spacing w:val="-4"/>
                <w:lang w:val="en-GB"/>
              </w:rPr>
              <w:t>(+42%, resp. 55</w:t>
            </w:r>
            <w:r w:rsidR="0065392C" w:rsidRPr="00742B86">
              <w:rPr>
                <w:spacing w:val="-4"/>
                <w:lang w:val="en-GB"/>
              </w:rPr>
              <w:t>.</w:t>
            </w:r>
            <w:r w:rsidRPr="00742B86">
              <w:rPr>
                <w:spacing w:val="-4"/>
                <w:lang w:val="en-GB"/>
              </w:rPr>
              <w:t>4</w:t>
            </w:r>
            <w:r w:rsidR="0065392C" w:rsidRPr="00742B86">
              <w:rPr>
                <w:spacing w:val="-4"/>
                <w:lang w:val="en-GB"/>
              </w:rPr>
              <w:t xml:space="preserve"> CZK bn</w:t>
            </w:r>
            <w:r w:rsidRPr="00742B86">
              <w:rPr>
                <w:spacing w:val="-4"/>
                <w:lang w:val="en-GB"/>
              </w:rPr>
              <w:t>),</w:t>
            </w:r>
            <w:r w:rsidR="0065392C" w:rsidRPr="00742B86">
              <w:rPr>
                <w:spacing w:val="-4"/>
                <w:lang w:val="en-GB"/>
              </w:rPr>
              <w:t xml:space="preserve"> primarily due to the payment of the care benefits provided for the reasons of closure of schools and other </w:t>
            </w:r>
            <w:r w:rsidR="000C242B" w:rsidRPr="00742B86">
              <w:rPr>
                <w:spacing w:val="-4"/>
                <w:lang w:val="en-GB"/>
              </w:rPr>
              <w:t>establishments</w:t>
            </w:r>
            <w:r w:rsidR="0065392C" w:rsidRPr="00742B86">
              <w:rPr>
                <w:spacing w:val="-4"/>
                <w:lang w:val="en-GB"/>
              </w:rPr>
              <w:t>.</w:t>
            </w:r>
            <w:r w:rsidR="00193A1D" w:rsidRPr="00742B86">
              <w:rPr>
                <w:spacing w:val="-4"/>
                <w:lang w:val="en-GB"/>
              </w:rPr>
              <w:t xml:space="preserve"> Growth of the total sickness</w:t>
            </w:r>
            <w:r w:rsidRPr="00742B86">
              <w:rPr>
                <w:rStyle w:val="Znakapoznpodarou"/>
                <w:spacing w:val="-4"/>
                <w:lang w:val="en-GB"/>
              </w:rPr>
              <w:footnoteReference w:id="11"/>
            </w:r>
            <w:r w:rsidR="00193A1D" w:rsidRPr="00742B86">
              <w:rPr>
                <w:spacing w:val="-4"/>
                <w:lang w:val="en-GB"/>
              </w:rPr>
              <w:t xml:space="preserve"> as well as higher number of reimbur</w:t>
            </w:r>
            <w:r w:rsidR="00233E81" w:rsidRPr="00742B86">
              <w:rPr>
                <w:spacing w:val="-4"/>
                <w:lang w:val="en-GB"/>
              </w:rPr>
              <w:t>s</w:t>
            </w:r>
            <w:r w:rsidR="00193A1D" w:rsidRPr="00742B86">
              <w:rPr>
                <w:spacing w:val="-4"/>
                <w:lang w:val="en-GB"/>
              </w:rPr>
              <w:t xml:space="preserve">ed days due to the cancelled </w:t>
            </w:r>
            <w:r w:rsidR="00476990">
              <w:rPr>
                <w:spacing w:val="-4"/>
                <w:lang w:val="en-GB"/>
              </w:rPr>
              <w:t>“</w:t>
            </w:r>
            <w:r w:rsidR="00233E81" w:rsidRPr="00742B86">
              <w:rPr>
                <w:spacing w:val="-4"/>
                <w:lang w:val="en-GB"/>
              </w:rPr>
              <w:t>waiting period</w:t>
            </w:r>
            <w:r w:rsidR="00476990">
              <w:rPr>
                <w:spacing w:val="-4"/>
                <w:lang w:val="en-GB"/>
              </w:rPr>
              <w:t>”</w:t>
            </w:r>
            <w:r w:rsidR="00233E81" w:rsidRPr="00742B86">
              <w:rPr>
                <w:spacing w:val="-4"/>
                <w:lang w:val="en-GB"/>
              </w:rPr>
              <w:t xml:space="preserve"> </w:t>
            </w:r>
            <w:r w:rsidR="00193A1D" w:rsidRPr="00742B86">
              <w:rPr>
                <w:spacing w:val="-4"/>
                <w:lang w:val="en-GB"/>
              </w:rPr>
              <w:t>were also evident</w:t>
            </w:r>
            <w:r w:rsidRPr="00742B86">
              <w:rPr>
                <w:spacing w:val="-4"/>
                <w:lang w:val="en-GB"/>
              </w:rPr>
              <w:t>.</w:t>
            </w:r>
            <w:r w:rsidR="00E844D4" w:rsidRPr="00742B86">
              <w:rPr>
                <w:spacing w:val="-4"/>
                <w:lang w:val="en-GB"/>
              </w:rPr>
              <w:t xml:space="preserve"> Volume significant outlays on state </w:t>
            </w:r>
            <w:r w:rsidR="00E844D4" w:rsidRPr="00742B86">
              <w:rPr>
                <w:spacing w:val="-4"/>
                <w:lang w:val="en-GB"/>
              </w:rPr>
              <w:lastRenderedPageBreak/>
              <w:t xml:space="preserve">social support </w:t>
            </w:r>
            <w:r w:rsidRPr="00742B86">
              <w:rPr>
                <w:spacing w:val="-4"/>
                <w:lang w:val="en-GB"/>
              </w:rPr>
              <w:t>(+36</w:t>
            </w:r>
            <w:r w:rsidR="00E844D4" w:rsidRPr="00742B86">
              <w:rPr>
                <w:spacing w:val="-4"/>
                <w:lang w:val="en-GB"/>
              </w:rPr>
              <w:t>.</w:t>
            </w:r>
            <w:r w:rsidRPr="00742B86">
              <w:rPr>
                <w:spacing w:val="-4"/>
                <w:lang w:val="en-GB"/>
              </w:rPr>
              <w:t>5%)</w:t>
            </w:r>
            <w:r w:rsidR="00E844D4" w:rsidRPr="00742B86">
              <w:rPr>
                <w:spacing w:val="-4"/>
                <w:lang w:val="en-GB"/>
              </w:rPr>
              <w:t xml:space="preserve"> also expanded</w:t>
            </w:r>
            <w:r w:rsidRPr="00742B86">
              <w:rPr>
                <w:spacing w:val="-4"/>
                <w:lang w:val="en-GB"/>
              </w:rPr>
              <w:t>,</w:t>
            </w:r>
            <w:r w:rsidR="00E844D4" w:rsidRPr="00742B86">
              <w:rPr>
                <w:spacing w:val="-4"/>
                <w:lang w:val="en-GB"/>
              </w:rPr>
              <w:t xml:space="preserve"> nearly exclusively due to the regulator</w:t>
            </w:r>
            <w:r w:rsidR="007017D3" w:rsidRPr="00742B86">
              <w:rPr>
                <w:spacing w:val="-4"/>
                <w:lang w:val="en-GB"/>
              </w:rPr>
              <w:t>y</w:t>
            </w:r>
            <w:r w:rsidR="00E844D4" w:rsidRPr="00742B86">
              <w:rPr>
                <w:spacing w:val="-4"/>
                <w:lang w:val="en-GB"/>
              </w:rPr>
              <w:t xml:space="preserve"> increase of the parental allowance, since the drawing of income tested benefits </w:t>
            </w:r>
            <w:r w:rsidRPr="00742B86">
              <w:rPr>
                <w:spacing w:val="-4"/>
                <w:lang w:val="en-GB"/>
              </w:rPr>
              <w:t>(</w:t>
            </w:r>
            <w:r w:rsidR="00E844D4" w:rsidRPr="00742B86">
              <w:rPr>
                <w:spacing w:val="-4"/>
                <w:lang w:val="en-GB"/>
              </w:rPr>
              <w:t>child allowance, housing allowance</w:t>
            </w:r>
            <w:r w:rsidRPr="00742B86">
              <w:rPr>
                <w:spacing w:val="-4"/>
                <w:lang w:val="en-GB"/>
              </w:rPr>
              <w:t>)</w:t>
            </w:r>
            <w:r w:rsidR="00E844D4" w:rsidRPr="00742B86">
              <w:rPr>
                <w:spacing w:val="-4"/>
                <w:lang w:val="en-GB"/>
              </w:rPr>
              <w:t xml:space="preserve"> fell further</w:t>
            </w:r>
            <w:r w:rsidRPr="00742B86">
              <w:rPr>
                <w:spacing w:val="-4"/>
                <w:lang w:val="en-GB"/>
              </w:rPr>
              <w:t xml:space="preserve">. </w:t>
            </w:r>
            <w:r w:rsidR="00E844D4" w:rsidRPr="00742B86">
              <w:rPr>
                <w:spacing w:val="-4"/>
                <w:lang w:val="en-GB"/>
              </w:rPr>
              <w:t xml:space="preserve">Long term growing social care benefits also strengthened by one tenth last year, for the first time since year </w:t>
            </w:r>
            <w:r w:rsidRPr="00742B86">
              <w:rPr>
                <w:spacing w:val="-4"/>
                <w:lang w:val="en-GB"/>
              </w:rPr>
              <w:t>2014</w:t>
            </w:r>
            <w:r w:rsidR="00E844D4" w:rsidRPr="00742B86">
              <w:rPr>
                <w:spacing w:val="-4"/>
                <w:lang w:val="en-GB"/>
              </w:rPr>
              <w:t xml:space="preserve"> also due to the higher volume of paid out materiality deprivation benefits </w:t>
            </w:r>
            <w:r w:rsidRPr="00742B86">
              <w:rPr>
                <w:spacing w:val="-4"/>
                <w:lang w:val="en-GB"/>
              </w:rPr>
              <w:t>(+8</w:t>
            </w:r>
            <w:r w:rsidR="00E844D4" w:rsidRPr="00742B86">
              <w:rPr>
                <w:spacing w:val="-4"/>
                <w:lang w:val="en-GB"/>
              </w:rPr>
              <w:t>.</w:t>
            </w:r>
            <w:r w:rsidRPr="00742B86">
              <w:rPr>
                <w:spacing w:val="-4"/>
                <w:lang w:val="en-GB"/>
              </w:rPr>
              <w:t>6%).</w:t>
            </w:r>
            <w:r w:rsidR="00E844D4" w:rsidRPr="00742B86">
              <w:rPr>
                <w:spacing w:val="-4"/>
                <w:lang w:val="en-GB"/>
              </w:rPr>
              <w:t xml:space="preserve"> State expended more on the unemployment benefits already second year in a row </w:t>
            </w:r>
            <w:r w:rsidRPr="00742B86">
              <w:rPr>
                <w:spacing w:val="-4"/>
                <w:lang w:val="en-GB"/>
              </w:rPr>
              <w:t>(</w:t>
            </w:r>
            <w:r w:rsidR="00E844D4" w:rsidRPr="00742B86">
              <w:rPr>
                <w:spacing w:val="-4"/>
                <w:lang w:val="en-GB"/>
              </w:rPr>
              <w:t xml:space="preserve">in total by </w:t>
            </w:r>
            <w:r w:rsidRPr="00742B86">
              <w:rPr>
                <w:spacing w:val="-4"/>
                <w:lang w:val="en-GB"/>
              </w:rPr>
              <w:t>2</w:t>
            </w:r>
            <w:r w:rsidR="00E844D4" w:rsidRPr="00742B86">
              <w:rPr>
                <w:spacing w:val="-4"/>
                <w:lang w:val="en-GB"/>
              </w:rPr>
              <w:t>.</w:t>
            </w:r>
            <w:r w:rsidRPr="00742B86">
              <w:rPr>
                <w:spacing w:val="-4"/>
                <w:lang w:val="en-GB"/>
              </w:rPr>
              <w:t>4</w:t>
            </w:r>
            <w:r w:rsidR="00E844D4" w:rsidRPr="00742B86">
              <w:rPr>
                <w:spacing w:val="-4"/>
                <w:lang w:val="en-GB"/>
              </w:rPr>
              <w:t xml:space="preserve"> CZK bn</w:t>
            </w:r>
            <w:r w:rsidRPr="00742B86">
              <w:rPr>
                <w:spacing w:val="-4"/>
                <w:lang w:val="en-GB"/>
              </w:rPr>
              <w:t>).</w:t>
            </w:r>
          </w:p>
        </w:tc>
      </w:tr>
      <w:tr w:rsidR="00267C51" w:rsidRPr="00742B86" w:rsidTr="00F757FC">
        <w:trPr>
          <w:trHeight w:val="145"/>
        </w:trPr>
        <w:tc>
          <w:tcPr>
            <w:tcW w:w="1583" w:type="dxa"/>
            <w:shd w:val="clear" w:color="auto" w:fill="auto"/>
            <w:tcMar>
              <w:left w:w="0" w:type="dxa"/>
            </w:tcMar>
          </w:tcPr>
          <w:p w:rsidR="00267C51" w:rsidRPr="00742B86" w:rsidRDefault="002171C1" w:rsidP="00233E81">
            <w:pPr>
              <w:pStyle w:val="Marginlie"/>
              <w:rPr>
                <w:lang w:val="en-GB"/>
              </w:rPr>
            </w:pPr>
            <w:r>
              <w:rPr>
                <w:spacing w:val="-5"/>
                <w:lang w:val="en-GB"/>
              </w:rPr>
              <w:lastRenderedPageBreak/>
              <w:t xml:space="preserve">Higher </w:t>
            </w:r>
            <w:r w:rsidRPr="00742B86">
              <w:rPr>
                <w:spacing w:val="-5"/>
                <w:lang w:val="en-GB"/>
              </w:rPr>
              <w:t>investment from national resources</w:t>
            </w:r>
            <w:r>
              <w:rPr>
                <w:spacing w:val="-5"/>
                <w:lang w:val="en-GB"/>
              </w:rPr>
              <w:t xml:space="preserve"> stood mainly behind last year SB capital outlays growth.</w:t>
            </w:r>
          </w:p>
          <w:p w:rsidR="00267C51" w:rsidRPr="00742B86" w:rsidRDefault="00267C51" w:rsidP="00D932B8">
            <w:pPr>
              <w:pStyle w:val="Marginlie"/>
              <w:rPr>
                <w:lang w:val="en-GB"/>
              </w:rPr>
            </w:pPr>
          </w:p>
        </w:tc>
        <w:tc>
          <w:tcPr>
            <w:tcW w:w="176" w:type="dxa"/>
            <w:shd w:val="clear" w:color="auto" w:fill="auto"/>
            <w:tcMar>
              <w:left w:w="0" w:type="dxa"/>
            </w:tcMar>
          </w:tcPr>
          <w:p w:rsidR="00267C51" w:rsidRPr="00742B86" w:rsidRDefault="00267C51" w:rsidP="00D932B8">
            <w:pPr>
              <w:pStyle w:val="Textpoznpodarou"/>
              <w:jc w:val="both"/>
              <w:rPr>
                <w:spacing w:val="-4"/>
                <w:lang w:val="en-GB"/>
              </w:rPr>
            </w:pPr>
          </w:p>
        </w:tc>
        <w:tc>
          <w:tcPr>
            <w:tcW w:w="7910" w:type="dxa"/>
            <w:shd w:val="clear" w:color="auto" w:fill="auto"/>
            <w:tcMar>
              <w:left w:w="0" w:type="dxa"/>
            </w:tcMar>
          </w:tcPr>
          <w:p w:rsidR="002171C1" w:rsidRPr="00742B86" w:rsidRDefault="000D151D" w:rsidP="00E97F14">
            <w:pPr>
              <w:spacing w:after="0"/>
              <w:rPr>
                <w:spacing w:val="-5"/>
                <w:lang w:val="en-GB"/>
              </w:rPr>
            </w:pPr>
            <w:r w:rsidRPr="00742B86">
              <w:rPr>
                <w:spacing w:val="-5"/>
                <w:lang w:val="en-GB"/>
              </w:rPr>
              <w:t xml:space="preserve">SB capital outlays grew by nearly one quarter year-on-year. </w:t>
            </w:r>
            <w:r w:rsidR="008E54EB" w:rsidRPr="00742B86">
              <w:rPr>
                <w:spacing w:val="-5"/>
                <w:lang w:val="en-GB"/>
              </w:rPr>
              <w:t xml:space="preserve">They amounted to </w:t>
            </w:r>
            <w:r w:rsidR="00267C51" w:rsidRPr="00742B86">
              <w:rPr>
                <w:spacing w:val="-5"/>
                <w:lang w:val="en-GB"/>
              </w:rPr>
              <w:t>172</w:t>
            </w:r>
            <w:r w:rsidR="008E54EB" w:rsidRPr="00742B86">
              <w:rPr>
                <w:spacing w:val="-5"/>
                <w:lang w:val="en-GB"/>
              </w:rPr>
              <w:t>.</w:t>
            </w:r>
            <w:r w:rsidR="00267C51" w:rsidRPr="00742B86">
              <w:rPr>
                <w:spacing w:val="-5"/>
                <w:lang w:val="en-GB"/>
              </w:rPr>
              <w:t>7</w:t>
            </w:r>
            <w:r w:rsidR="008E54EB" w:rsidRPr="00742B86">
              <w:rPr>
                <w:spacing w:val="-5"/>
                <w:lang w:val="en-GB"/>
              </w:rPr>
              <w:t xml:space="preserve"> CZK bn and nearly matched the record size from year </w:t>
            </w:r>
            <w:r w:rsidR="00267C51" w:rsidRPr="00742B86">
              <w:rPr>
                <w:spacing w:val="-5"/>
                <w:lang w:val="en-GB"/>
              </w:rPr>
              <w:t>2015,</w:t>
            </w:r>
            <w:r w:rsidR="008E54EB" w:rsidRPr="00742B86">
              <w:rPr>
                <w:spacing w:val="-5"/>
                <w:lang w:val="en-GB"/>
              </w:rPr>
              <w:t xml:space="preserve"> when the drawing </w:t>
            </w:r>
            <w:r w:rsidR="001D0F1C">
              <w:rPr>
                <w:spacing w:val="-5"/>
                <w:lang w:val="en-GB"/>
              </w:rPr>
              <w:t>(</w:t>
            </w:r>
            <w:r w:rsidR="008E54EB" w:rsidRPr="00742B86">
              <w:rPr>
                <w:spacing w:val="-5"/>
                <w:lang w:val="en-GB"/>
              </w:rPr>
              <w:t>at the end of the EU programme period</w:t>
            </w:r>
            <w:r w:rsidR="001D0F1C">
              <w:rPr>
                <w:spacing w:val="-5"/>
                <w:lang w:val="en-GB"/>
              </w:rPr>
              <w:t>)</w:t>
            </w:r>
            <w:r w:rsidR="001D0F1C" w:rsidRPr="00742B86">
              <w:rPr>
                <w:spacing w:val="-5"/>
                <w:lang w:val="en-GB"/>
              </w:rPr>
              <w:t xml:space="preserve"> culminated</w:t>
            </w:r>
            <w:r w:rsidR="008E54EB" w:rsidRPr="00742B86">
              <w:rPr>
                <w:spacing w:val="-5"/>
                <w:lang w:val="en-GB"/>
              </w:rPr>
              <w:t xml:space="preserve">. </w:t>
            </w:r>
            <w:r w:rsidR="00941C4A" w:rsidRPr="00742B86">
              <w:rPr>
                <w:spacing w:val="-5"/>
                <w:lang w:val="en-GB"/>
              </w:rPr>
              <w:t xml:space="preserve">Strengthening investment from national resources </w:t>
            </w:r>
            <w:r w:rsidR="00480906" w:rsidRPr="00742B86">
              <w:rPr>
                <w:spacing w:val="-5"/>
                <w:lang w:val="en-GB"/>
              </w:rPr>
              <w:t>(to 101 CZK bn</w:t>
            </w:r>
            <w:r w:rsidR="00480906">
              <w:rPr>
                <w:spacing w:val="-5"/>
                <w:lang w:val="en-GB"/>
              </w:rPr>
              <w:t>)</w:t>
            </w:r>
            <w:r w:rsidR="00480906" w:rsidRPr="00742B86">
              <w:rPr>
                <w:spacing w:val="-5"/>
                <w:lang w:val="en-GB"/>
              </w:rPr>
              <w:t xml:space="preserve"> </w:t>
            </w:r>
            <w:r w:rsidR="00941C4A" w:rsidRPr="00742B86">
              <w:rPr>
                <w:spacing w:val="-5"/>
                <w:lang w:val="en-GB"/>
              </w:rPr>
              <w:t>contributed from ne</w:t>
            </w:r>
            <w:r w:rsidR="00965424" w:rsidRPr="00742B86">
              <w:rPr>
                <w:spacing w:val="-5"/>
                <w:lang w:val="en-GB"/>
              </w:rPr>
              <w:t>a</w:t>
            </w:r>
            <w:r w:rsidR="00941C4A" w:rsidRPr="00742B86">
              <w:rPr>
                <w:spacing w:val="-5"/>
                <w:lang w:val="en-GB"/>
              </w:rPr>
              <w:t xml:space="preserve">rly three quarters to the </w:t>
            </w:r>
            <w:r w:rsidR="00480906">
              <w:rPr>
                <w:spacing w:val="-5"/>
                <w:lang w:val="en-GB"/>
              </w:rPr>
              <w:t xml:space="preserve">total </w:t>
            </w:r>
            <w:r w:rsidR="00941C4A" w:rsidRPr="00742B86">
              <w:rPr>
                <w:spacing w:val="-5"/>
                <w:lang w:val="en-GB"/>
              </w:rPr>
              <w:t>last year´s growth</w:t>
            </w:r>
            <w:r w:rsidR="00480906">
              <w:rPr>
                <w:spacing w:val="-5"/>
                <w:lang w:val="en-GB"/>
              </w:rPr>
              <w:t>.</w:t>
            </w:r>
            <w:r w:rsidR="00941C4A" w:rsidRPr="00742B86">
              <w:rPr>
                <w:spacing w:val="-5"/>
                <w:lang w:val="en-GB"/>
              </w:rPr>
              <w:t xml:space="preserve"> </w:t>
            </w:r>
            <w:r w:rsidR="00480906">
              <w:rPr>
                <w:spacing w:val="-5"/>
                <w:lang w:val="en-GB"/>
              </w:rPr>
              <w:t>Higher outlays aimed at the</w:t>
            </w:r>
            <w:r w:rsidR="00B27948" w:rsidRPr="00742B86">
              <w:rPr>
                <w:spacing w:val="-5"/>
                <w:lang w:val="en-GB"/>
              </w:rPr>
              <w:t xml:space="preserve"> transport infrastructure </w:t>
            </w:r>
            <w:r w:rsidR="00267C51" w:rsidRPr="00742B86">
              <w:rPr>
                <w:spacing w:val="-5"/>
                <w:lang w:val="en-GB"/>
              </w:rPr>
              <w:t>(+18</w:t>
            </w:r>
            <w:r w:rsidR="007F41AD" w:rsidRPr="00742B86">
              <w:rPr>
                <w:spacing w:val="-5"/>
                <w:lang w:val="en-GB"/>
              </w:rPr>
              <w:t xml:space="preserve"> bn</w:t>
            </w:r>
            <w:r w:rsidR="00267C51" w:rsidRPr="00742B86">
              <w:rPr>
                <w:spacing w:val="-5"/>
                <w:lang w:val="en-GB"/>
              </w:rPr>
              <w:t>)</w:t>
            </w:r>
            <w:r w:rsidR="00B27948" w:rsidRPr="00742B86">
              <w:rPr>
                <w:spacing w:val="-5"/>
                <w:lang w:val="en-GB"/>
              </w:rPr>
              <w:t xml:space="preserve"> held a key role</w:t>
            </w:r>
            <w:r w:rsidR="00267C51" w:rsidRPr="00742B86">
              <w:rPr>
                <w:spacing w:val="-5"/>
                <w:lang w:val="en-GB"/>
              </w:rPr>
              <w:t>.</w:t>
            </w:r>
            <w:r w:rsidR="00B27948" w:rsidRPr="00742B86">
              <w:rPr>
                <w:spacing w:val="-5"/>
                <w:lang w:val="en-GB"/>
              </w:rPr>
              <w:t xml:space="preserve"> </w:t>
            </w:r>
          </w:p>
          <w:p w:rsidR="00233E81" w:rsidRPr="00742B86" w:rsidRDefault="00233E81" w:rsidP="00E97F14">
            <w:pPr>
              <w:spacing w:after="0"/>
              <w:rPr>
                <w:spacing w:val="-5"/>
                <w:lang w:val="en-GB"/>
              </w:rPr>
            </w:pPr>
          </w:p>
        </w:tc>
      </w:tr>
      <w:tr w:rsidR="002171C1" w:rsidRPr="00742B86" w:rsidTr="00F757FC">
        <w:trPr>
          <w:trHeight w:val="145"/>
        </w:trPr>
        <w:tc>
          <w:tcPr>
            <w:tcW w:w="1583" w:type="dxa"/>
            <w:shd w:val="clear" w:color="auto" w:fill="auto"/>
            <w:tcMar>
              <w:left w:w="0" w:type="dxa"/>
            </w:tcMar>
          </w:tcPr>
          <w:p w:rsidR="002171C1" w:rsidRPr="00742B86" w:rsidRDefault="002171C1" w:rsidP="002171C1">
            <w:pPr>
              <w:pStyle w:val="Marginlie"/>
              <w:rPr>
                <w:lang w:val="en-GB"/>
              </w:rPr>
            </w:pPr>
            <w:r w:rsidRPr="00742B86">
              <w:rPr>
                <w:lang w:val="en-GB"/>
              </w:rPr>
              <w:t>Net position of the CR towards the EU budget increased to 86 CZK bn last year</w:t>
            </w:r>
            <w:r w:rsidR="00F757FC">
              <w:rPr>
                <w:lang w:val="en-GB"/>
              </w:rPr>
              <w:t>.</w:t>
            </w:r>
          </w:p>
        </w:tc>
        <w:tc>
          <w:tcPr>
            <w:tcW w:w="176" w:type="dxa"/>
            <w:shd w:val="clear" w:color="auto" w:fill="auto"/>
            <w:tcMar>
              <w:left w:w="0" w:type="dxa"/>
            </w:tcMar>
          </w:tcPr>
          <w:p w:rsidR="002171C1" w:rsidRPr="00742B86" w:rsidRDefault="002171C1" w:rsidP="00D932B8">
            <w:pPr>
              <w:pStyle w:val="Textpoznpodarou"/>
              <w:jc w:val="both"/>
              <w:rPr>
                <w:spacing w:val="-4"/>
                <w:lang w:val="en-GB"/>
              </w:rPr>
            </w:pPr>
          </w:p>
        </w:tc>
        <w:tc>
          <w:tcPr>
            <w:tcW w:w="7910" w:type="dxa"/>
            <w:shd w:val="clear" w:color="auto" w:fill="auto"/>
            <w:tcMar>
              <w:left w:w="0" w:type="dxa"/>
            </w:tcMar>
          </w:tcPr>
          <w:p w:rsidR="002171C1" w:rsidRPr="00742B86" w:rsidRDefault="002171C1" w:rsidP="00E97F14">
            <w:pPr>
              <w:spacing w:after="0"/>
              <w:rPr>
                <w:spacing w:val="-5"/>
                <w:lang w:val="en-GB"/>
              </w:rPr>
            </w:pPr>
            <w:r w:rsidRPr="00742B86">
              <w:rPr>
                <w:spacing w:val="-5"/>
                <w:lang w:val="en-GB"/>
              </w:rPr>
              <w:t xml:space="preserve">Share of </w:t>
            </w:r>
            <w:r>
              <w:rPr>
                <w:spacing w:val="-5"/>
                <w:lang w:val="en-GB"/>
              </w:rPr>
              <w:t xml:space="preserve">total </w:t>
            </w:r>
            <w:r w:rsidRPr="00742B86">
              <w:rPr>
                <w:spacing w:val="-5"/>
                <w:lang w:val="en-GB"/>
              </w:rPr>
              <w:t xml:space="preserve">investment on all SB outlays increased for the third year in a row and attained 9.4%. It is also connected to the approaching end of the drawing on „European“ investment in the current programme period. Total SB revenues from the EU reached 145.9 CZK bn last year and strengthened by one fifth year-on-year. </w:t>
            </w:r>
            <w:r w:rsidR="00F757FC">
              <w:rPr>
                <w:spacing w:val="-5"/>
                <w:lang w:val="en-GB"/>
              </w:rPr>
              <w:t>Higher allocation into the S</w:t>
            </w:r>
            <w:r w:rsidRPr="00742B86">
              <w:rPr>
                <w:spacing w:val="-5"/>
                <w:lang w:val="en-GB"/>
              </w:rPr>
              <w:t>tructural funds (+13 bn)</w:t>
            </w:r>
            <w:r w:rsidR="00F757FC">
              <w:rPr>
                <w:spacing w:val="-5"/>
                <w:lang w:val="en-GB"/>
              </w:rPr>
              <w:t xml:space="preserve"> and also the C</w:t>
            </w:r>
            <w:r w:rsidRPr="00742B86">
              <w:rPr>
                <w:spacing w:val="-5"/>
                <w:lang w:val="en-GB"/>
              </w:rPr>
              <w:t>ohesion fund (+10 bn) stood behind it. Despite significant increase of payments into the Union budget, the total positive balance of the CR with the EU budget increased to 85.7 CZK bn, i.e. the highest value in the last four years.</w:t>
            </w:r>
          </w:p>
        </w:tc>
      </w:tr>
      <w:tr w:rsidR="002171C1" w:rsidRPr="00742B86" w:rsidTr="00F757FC">
        <w:trPr>
          <w:trHeight w:val="145"/>
        </w:trPr>
        <w:tc>
          <w:tcPr>
            <w:tcW w:w="1583" w:type="dxa"/>
            <w:shd w:val="clear" w:color="auto" w:fill="auto"/>
            <w:tcMar>
              <w:left w:w="0" w:type="dxa"/>
            </w:tcMar>
          </w:tcPr>
          <w:p w:rsidR="002171C1" w:rsidRPr="00742B86" w:rsidRDefault="002171C1" w:rsidP="00233E81">
            <w:pPr>
              <w:pStyle w:val="Marginlie"/>
              <w:rPr>
                <w:lang w:val="en-GB"/>
              </w:rPr>
            </w:pPr>
          </w:p>
        </w:tc>
        <w:tc>
          <w:tcPr>
            <w:tcW w:w="176" w:type="dxa"/>
            <w:shd w:val="clear" w:color="auto" w:fill="auto"/>
            <w:tcMar>
              <w:left w:w="0" w:type="dxa"/>
            </w:tcMar>
          </w:tcPr>
          <w:p w:rsidR="002171C1" w:rsidRPr="00742B86" w:rsidRDefault="002171C1" w:rsidP="00D932B8">
            <w:pPr>
              <w:pStyle w:val="Textpoznpodarou"/>
              <w:jc w:val="both"/>
              <w:rPr>
                <w:spacing w:val="-4"/>
                <w:lang w:val="en-GB"/>
              </w:rPr>
            </w:pPr>
          </w:p>
        </w:tc>
        <w:tc>
          <w:tcPr>
            <w:tcW w:w="7910" w:type="dxa"/>
            <w:shd w:val="clear" w:color="auto" w:fill="auto"/>
            <w:tcMar>
              <w:left w:w="0" w:type="dxa"/>
            </w:tcMar>
          </w:tcPr>
          <w:p w:rsidR="002171C1" w:rsidRPr="00742B86" w:rsidRDefault="002171C1" w:rsidP="00E97F14">
            <w:pPr>
              <w:spacing w:after="0"/>
              <w:rPr>
                <w:spacing w:val="-5"/>
                <w:lang w:val="en-GB"/>
              </w:rPr>
            </w:pPr>
          </w:p>
        </w:tc>
      </w:tr>
      <w:tr w:rsidR="00267C51" w:rsidRPr="00742B86" w:rsidTr="00D70BBF">
        <w:trPr>
          <w:trHeight w:val="170"/>
        </w:trPr>
        <w:tc>
          <w:tcPr>
            <w:tcW w:w="1583" w:type="dxa"/>
            <w:vMerge w:val="restart"/>
            <w:shd w:val="clear" w:color="auto" w:fill="auto"/>
            <w:tcMar>
              <w:left w:w="0" w:type="dxa"/>
            </w:tcMar>
          </w:tcPr>
          <w:p w:rsidR="00267C51" w:rsidRPr="00742B86" w:rsidRDefault="00267C51" w:rsidP="00D932B8">
            <w:pPr>
              <w:pStyle w:val="Marginlie"/>
              <w:rPr>
                <w:lang w:val="en-GB"/>
              </w:rPr>
            </w:pPr>
          </w:p>
        </w:tc>
        <w:tc>
          <w:tcPr>
            <w:tcW w:w="176" w:type="dxa"/>
            <w:vMerge w:val="restart"/>
            <w:shd w:val="clear" w:color="auto" w:fill="auto"/>
            <w:tcMar>
              <w:left w:w="0" w:type="dxa"/>
            </w:tcMar>
          </w:tcPr>
          <w:p w:rsidR="00267C51" w:rsidRPr="00742B86" w:rsidRDefault="00267C51" w:rsidP="00D932B8">
            <w:pPr>
              <w:pStyle w:val="Textpoznpodarou"/>
              <w:jc w:val="both"/>
              <w:rPr>
                <w:spacing w:val="-4"/>
                <w:lang w:val="en-GB"/>
              </w:rPr>
            </w:pPr>
          </w:p>
        </w:tc>
        <w:tc>
          <w:tcPr>
            <w:tcW w:w="7910" w:type="dxa"/>
            <w:shd w:val="clear" w:color="auto" w:fill="auto"/>
            <w:tcMar>
              <w:left w:w="0" w:type="dxa"/>
            </w:tcMar>
          </w:tcPr>
          <w:p w:rsidR="00267C51" w:rsidRPr="00742B86" w:rsidRDefault="00F07BC3" w:rsidP="00D932B8">
            <w:pPr>
              <w:spacing w:after="20" w:line="240" w:lineRule="auto"/>
              <w:jc w:val="left"/>
              <w:rPr>
                <w:rFonts w:cs="Arial"/>
                <w:bCs/>
                <w:lang w:val="en-GB"/>
              </w:rPr>
            </w:pPr>
            <w:r w:rsidRPr="00742B86">
              <w:rPr>
                <w:b/>
                <w:lang w:val="en-GB"/>
              </w:rPr>
              <w:t xml:space="preserve">Chart </w:t>
            </w:r>
            <w:r w:rsidR="00D152E7">
              <w:rPr>
                <w:b/>
                <w:lang w:val="en-GB"/>
              </w:rPr>
              <w:t>17</w:t>
            </w:r>
            <w:r w:rsidR="00267C51" w:rsidRPr="00742B86">
              <w:rPr>
                <w:b/>
                <w:lang w:val="en-GB"/>
              </w:rPr>
              <w:t xml:space="preserve">  </w:t>
            </w:r>
            <w:r w:rsidR="00E3518F" w:rsidRPr="00742B86">
              <w:rPr>
                <w:rFonts w:cs="Arial"/>
                <w:b/>
                <w:bCs/>
                <w:spacing w:val="-6"/>
                <w:lang w:val="en-GB"/>
              </w:rPr>
              <w:t xml:space="preserve">Selected expenditures of the state budget </w:t>
            </w:r>
            <w:r w:rsidR="00E3518F" w:rsidRPr="00742B86">
              <w:rPr>
                <w:rFonts w:cs="Arial"/>
                <w:bCs/>
                <w:spacing w:val="-6"/>
                <w:lang w:val="en-GB"/>
              </w:rPr>
              <w:t xml:space="preserve">(in CZK bn) </w:t>
            </w:r>
          </w:p>
        </w:tc>
      </w:tr>
      <w:tr w:rsidR="00267C51" w:rsidRPr="00742B86" w:rsidTr="00D70BBF">
        <w:tblPrEx>
          <w:tblCellMar>
            <w:left w:w="70" w:type="dxa"/>
            <w:right w:w="70" w:type="dxa"/>
          </w:tblCellMar>
        </w:tblPrEx>
        <w:trPr>
          <w:trHeight w:val="170"/>
        </w:trPr>
        <w:tc>
          <w:tcPr>
            <w:tcW w:w="1583" w:type="dxa"/>
            <w:vMerge/>
            <w:shd w:val="clear" w:color="auto" w:fill="auto"/>
          </w:tcPr>
          <w:p w:rsidR="00267C51" w:rsidRPr="00742B86" w:rsidRDefault="00267C51" w:rsidP="00D932B8">
            <w:pPr>
              <w:pStyle w:val="Marginlie"/>
              <w:rPr>
                <w:lang w:val="en-GB"/>
              </w:rPr>
            </w:pPr>
          </w:p>
        </w:tc>
        <w:tc>
          <w:tcPr>
            <w:tcW w:w="176" w:type="dxa"/>
            <w:vMerge/>
            <w:shd w:val="clear" w:color="auto" w:fill="auto"/>
          </w:tcPr>
          <w:p w:rsidR="00267C51" w:rsidRPr="00742B86" w:rsidRDefault="00267C51" w:rsidP="00D932B8">
            <w:pPr>
              <w:pStyle w:val="Textpoznpodarou"/>
              <w:jc w:val="both"/>
              <w:rPr>
                <w:spacing w:val="-4"/>
                <w:lang w:val="en-GB"/>
              </w:rPr>
            </w:pPr>
          </w:p>
        </w:tc>
        <w:tc>
          <w:tcPr>
            <w:tcW w:w="7910" w:type="dxa"/>
            <w:shd w:val="clear" w:color="auto" w:fill="auto"/>
          </w:tcPr>
          <w:p w:rsidR="00267C51" w:rsidRPr="00742B86" w:rsidRDefault="00D70BBF" w:rsidP="00D932B8">
            <w:pPr>
              <w:spacing w:after="0"/>
              <w:rPr>
                <w:spacing w:val="-6"/>
                <w:lang w:val="en-GB"/>
              </w:rPr>
            </w:pPr>
            <w:r>
              <w:rPr>
                <w:noProof/>
              </w:rPr>
              <w:drawing>
                <wp:inline distT="0" distB="0" distL="0" distR="0" wp14:anchorId="1A953C67" wp14:editId="7D580B19">
                  <wp:extent cx="4933101" cy="3334569"/>
                  <wp:effectExtent l="0" t="0" r="1270" b="0"/>
                  <wp:docPr id="44" name="Graf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267C51" w:rsidRPr="00742B86" w:rsidTr="00D70BBF">
        <w:trPr>
          <w:trHeight w:val="170"/>
        </w:trPr>
        <w:tc>
          <w:tcPr>
            <w:tcW w:w="1583" w:type="dxa"/>
            <w:vMerge/>
            <w:shd w:val="clear" w:color="auto" w:fill="auto"/>
            <w:tcMar>
              <w:left w:w="0" w:type="dxa"/>
            </w:tcMar>
          </w:tcPr>
          <w:p w:rsidR="00267C51" w:rsidRPr="00742B86" w:rsidRDefault="00267C51" w:rsidP="00D932B8">
            <w:pPr>
              <w:pStyle w:val="Marginlie"/>
              <w:rPr>
                <w:lang w:val="en-GB"/>
              </w:rPr>
            </w:pPr>
          </w:p>
        </w:tc>
        <w:tc>
          <w:tcPr>
            <w:tcW w:w="176" w:type="dxa"/>
            <w:vMerge/>
            <w:shd w:val="clear" w:color="auto" w:fill="auto"/>
            <w:tcMar>
              <w:left w:w="0" w:type="dxa"/>
            </w:tcMar>
          </w:tcPr>
          <w:p w:rsidR="00267C51" w:rsidRPr="00742B86" w:rsidRDefault="00267C51" w:rsidP="00D932B8">
            <w:pPr>
              <w:pStyle w:val="Textpoznpodarou"/>
              <w:jc w:val="both"/>
              <w:rPr>
                <w:spacing w:val="-4"/>
                <w:lang w:val="en-GB"/>
              </w:rPr>
            </w:pPr>
          </w:p>
        </w:tc>
        <w:tc>
          <w:tcPr>
            <w:tcW w:w="7910" w:type="dxa"/>
            <w:shd w:val="clear" w:color="auto" w:fill="auto"/>
            <w:tcMar>
              <w:left w:w="0" w:type="dxa"/>
            </w:tcMar>
          </w:tcPr>
          <w:p w:rsidR="00E3518F" w:rsidRPr="00F757FC" w:rsidRDefault="00E3518F" w:rsidP="00D932B8">
            <w:pPr>
              <w:pStyle w:val="Textpoznpodarou"/>
              <w:rPr>
                <w:sz w:val="14"/>
                <w:szCs w:val="14"/>
                <w:lang w:val="en-GB"/>
              </w:rPr>
            </w:pPr>
            <w:r w:rsidRPr="00F757FC">
              <w:rPr>
                <w:sz w:val="14"/>
                <w:szCs w:val="14"/>
                <w:lang w:val="en-GB"/>
              </w:rPr>
              <w:t>*Covers expenditures on salaries in central government institutions. Does not include e.g. wage costs of regional education.</w:t>
            </w:r>
          </w:p>
          <w:p w:rsidR="00D70BBF" w:rsidRPr="00F757FC" w:rsidRDefault="00E3518F" w:rsidP="00E3518F">
            <w:pPr>
              <w:pStyle w:val="Textpoznpodarou"/>
              <w:rPr>
                <w:sz w:val="14"/>
                <w:szCs w:val="14"/>
                <w:lang w:val="en-GB"/>
              </w:rPr>
            </w:pPr>
            <w:r w:rsidRPr="00F757FC">
              <w:rPr>
                <w:sz w:val="14"/>
                <w:szCs w:val="14"/>
                <w:lang w:val="en-GB"/>
              </w:rPr>
              <w:t>**Also includes the foster care benefits.</w:t>
            </w:r>
          </w:p>
          <w:p w:rsidR="00E3518F" w:rsidRPr="00F757FC" w:rsidRDefault="00E3518F" w:rsidP="00E3518F">
            <w:pPr>
              <w:pStyle w:val="Textpoznpodarou"/>
              <w:rPr>
                <w:sz w:val="14"/>
                <w:szCs w:val="14"/>
                <w:lang w:val="en-GB"/>
              </w:rPr>
            </w:pPr>
            <w:r w:rsidRPr="00F757FC">
              <w:rPr>
                <w:sz w:val="14"/>
                <w:szCs w:val="14"/>
                <w:lang w:val="en-GB"/>
              </w:rPr>
              <w:t>***Includes Material deprivation assistance benefits, Benefits for people with disabilities, Care benefits based on Act on State Social Support.</w:t>
            </w:r>
          </w:p>
          <w:p w:rsidR="00D70BBF" w:rsidRPr="00F757FC" w:rsidRDefault="00E3518F" w:rsidP="00E3518F">
            <w:pPr>
              <w:pStyle w:val="Textpoznpodarou"/>
              <w:rPr>
                <w:sz w:val="14"/>
                <w:szCs w:val="14"/>
                <w:lang w:val="en-GB"/>
              </w:rPr>
            </w:pPr>
            <w:r w:rsidRPr="00F757FC">
              <w:rPr>
                <w:sz w:val="14"/>
                <w:szCs w:val="14"/>
                <w:lang w:val="en-GB"/>
              </w:rPr>
              <w:t>****Contains mainly expenditures on purchase of services, materials, energies or other services (e.g. expenditu</w:t>
            </w:r>
            <w:r w:rsidR="00D70BBF" w:rsidRPr="00F757FC">
              <w:rPr>
                <w:sz w:val="14"/>
                <w:szCs w:val="14"/>
                <w:lang w:val="en-GB"/>
              </w:rPr>
              <w:t>res on repairs and maintenance)</w:t>
            </w:r>
          </w:p>
          <w:p w:rsidR="00E3518F" w:rsidRPr="00F757FC" w:rsidRDefault="00E3518F" w:rsidP="00E3518F">
            <w:pPr>
              <w:pStyle w:val="Textpoznpodarou"/>
              <w:rPr>
                <w:sz w:val="14"/>
                <w:szCs w:val="14"/>
                <w:lang w:val="en-GB"/>
              </w:rPr>
            </w:pPr>
            <w:r w:rsidRPr="00F757FC">
              <w:rPr>
                <w:sz w:val="14"/>
                <w:szCs w:val="14"/>
                <w:lang w:val="en-GB"/>
              </w:rPr>
              <w:t xml:space="preserve"> </w:t>
            </w:r>
            <w:r w:rsidR="00B10594" w:rsidRPr="00F757FC">
              <w:rPr>
                <w:sz w:val="14"/>
                <w:szCs w:val="14"/>
                <w:lang w:val="en-GB"/>
              </w:rPr>
              <w:t>*****Expresses</w:t>
            </w:r>
            <w:r w:rsidRPr="00F757FC">
              <w:rPr>
                <w:sz w:val="14"/>
                <w:szCs w:val="14"/>
                <w:lang w:val="en-GB"/>
              </w:rPr>
              <w:t xml:space="preserve"> the balance of the budget chapter State debt. </w:t>
            </w:r>
            <w:r w:rsidR="00D0686E" w:rsidRPr="00F757FC">
              <w:rPr>
                <w:sz w:val="14"/>
                <w:szCs w:val="14"/>
                <w:lang w:val="en-GB"/>
              </w:rPr>
              <w:t>Consists of net interest outlays and also fees.</w:t>
            </w:r>
          </w:p>
          <w:p w:rsidR="00E3518F" w:rsidRPr="00D70BBF" w:rsidRDefault="00D70BBF" w:rsidP="00D70BBF">
            <w:pPr>
              <w:spacing w:after="220" w:line="240" w:lineRule="auto"/>
              <w:rPr>
                <w:spacing w:val="-6"/>
                <w:sz w:val="14"/>
                <w:szCs w:val="14"/>
                <w:lang w:val="en-GB"/>
              </w:rPr>
            </w:pPr>
            <w:r w:rsidRPr="00F757FC">
              <w:rPr>
                <w:sz w:val="14"/>
                <w:szCs w:val="14"/>
                <w:lang w:val="en-GB"/>
              </w:rPr>
              <w:t>Source: MF CR, MLSA</w:t>
            </w:r>
          </w:p>
        </w:tc>
      </w:tr>
      <w:tr w:rsidR="00267C51" w:rsidRPr="00742B86" w:rsidTr="00D70BBF">
        <w:trPr>
          <w:trHeight w:val="170"/>
        </w:trPr>
        <w:tc>
          <w:tcPr>
            <w:tcW w:w="1583" w:type="dxa"/>
            <w:shd w:val="clear" w:color="auto" w:fill="auto"/>
            <w:tcMar>
              <w:left w:w="0" w:type="dxa"/>
            </w:tcMar>
          </w:tcPr>
          <w:p w:rsidR="00267C51" w:rsidRPr="00742B86" w:rsidRDefault="00267C51" w:rsidP="00267C51">
            <w:pPr>
              <w:pStyle w:val="Marginlie"/>
              <w:spacing w:after="240"/>
              <w:rPr>
                <w:lang w:val="en-GB"/>
              </w:rPr>
            </w:pPr>
            <w:r w:rsidRPr="00742B86">
              <w:rPr>
                <w:lang w:val="en-GB"/>
              </w:rPr>
              <w:t>St</w:t>
            </w:r>
            <w:r w:rsidR="000E2DA8" w:rsidRPr="00742B86">
              <w:rPr>
                <w:lang w:val="en-GB"/>
              </w:rPr>
              <w:t xml:space="preserve">ate debt increased by one quarter last year, i.e. more than in years </w:t>
            </w:r>
            <w:r w:rsidRPr="00742B86">
              <w:rPr>
                <w:lang w:val="en-GB"/>
              </w:rPr>
              <w:t>2009</w:t>
            </w:r>
            <w:r w:rsidR="000E2DA8" w:rsidRPr="00742B86">
              <w:rPr>
                <w:lang w:val="en-GB"/>
              </w:rPr>
              <w:t xml:space="preserve"> and </w:t>
            </w:r>
            <w:r w:rsidRPr="00742B86">
              <w:rPr>
                <w:lang w:val="en-GB"/>
              </w:rPr>
              <w:t>2010.</w:t>
            </w:r>
          </w:p>
          <w:p w:rsidR="00267C51" w:rsidRPr="00742B86" w:rsidRDefault="00F87619" w:rsidP="00267C51">
            <w:pPr>
              <w:pStyle w:val="Marginlie"/>
              <w:spacing w:after="240"/>
              <w:rPr>
                <w:lang w:val="en-GB"/>
              </w:rPr>
            </w:pPr>
            <w:r w:rsidRPr="00742B86">
              <w:rPr>
                <w:lang w:val="en-GB"/>
              </w:rPr>
              <w:lastRenderedPageBreak/>
              <w:t xml:space="preserve">Interest outlays on state debt stagnated in the last years. </w:t>
            </w:r>
          </w:p>
        </w:tc>
        <w:tc>
          <w:tcPr>
            <w:tcW w:w="176" w:type="dxa"/>
            <w:shd w:val="clear" w:color="auto" w:fill="auto"/>
            <w:tcMar>
              <w:left w:w="0" w:type="dxa"/>
            </w:tcMar>
          </w:tcPr>
          <w:p w:rsidR="00267C51" w:rsidRPr="00742B86" w:rsidRDefault="00267C51" w:rsidP="00267C51">
            <w:pPr>
              <w:pStyle w:val="Textpoznpodarou"/>
              <w:spacing w:after="240"/>
              <w:jc w:val="both"/>
              <w:rPr>
                <w:spacing w:val="-4"/>
                <w:lang w:val="en-GB"/>
              </w:rPr>
            </w:pPr>
          </w:p>
        </w:tc>
        <w:tc>
          <w:tcPr>
            <w:tcW w:w="7910" w:type="dxa"/>
            <w:shd w:val="clear" w:color="auto" w:fill="auto"/>
            <w:tcMar>
              <w:left w:w="0" w:type="dxa"/>
            </w:tcMar>
          </w:tcPr>
          <w:p w:rsidR="00267C51" w:rsidRPr="00742B86" w:rsidRDefault="00267C51" w:rsidP="00E97F14">
            <w:pPr>
              <w:spacing w:after="220"/>
              <w:rPr>
                <w:spacing w:val="-4"/>
                <w:lang w:val="en-GB"/>
              </w:rPr>
            </w:pPr>
            <w:r w:rsidRPr="00742B86">
              <w:rPr>
                <w:spacing w:val="-4"/>
                <w:lang w:val="en-GB"/>
              </w:rPr>
              <w:t>S</w:t>
            </w:r>
            <w:r w:rsidR="00F87619" w:rsidRPr="00742B86">
              <w:rPr>
                <w:spacing w:val="-4"/>
                <w:lang w:val="en-GB"/>
              </w:rPr>
              <w:t>trongly growing needed for financing linked to the necessity to cover the crisis SB deficit led to the acceleration of the amount of the state debt. It amounted to</w:t>
            </w:r>
            <w:r w:rsidR="00734FAF" w:rsidRPr="00742B86">
              <w:rPr>
                <w:spacing w:val="-4"/>
                <w:lang w:val="en-GB"/>
              </w:rPr>
              <w:t xml:space="preserve"> </w:t>
            </w:r>
            <w:r w:rsidRPr="00742B86">
              <w:rPr>
                <w:spacing w:val="-4"/>
                <w:lang w:val="en-GB"/>
              </w:rPr>
              <w:t>2</w:t>
            </w:r>
            <w:r w:rsidR="00734FAF" w:rsidRPr="00742B86">
              <w:rPr>
                <w:spacing w:val="-4"/>
                <w:lang w:val="en-GB"/>
              </w:rPr>
              <w:t> </w:t>
            </w:r>
            <w:r w:rsidRPr="00742B86">
              <w:rPr>
                <w:spacing w:val="-4"/>
                <w:lang w:val="en-GB"/>
              </w:rPr>
              <w:t>050</w:t>
            </w:r>
            <w:r w:rsidR="00734FAF" w:rsidRPr="00742B86">
              <w:rPr>
                <w:spacing w:val="-4"/>
                <w:lang w:val="en-GB"/>
              </w:rPr>
              <w:t xml:space="preserve"> CZK bn a</w:t>
            </w:r>
            <w:r w:rsidR="00F87619" w:rsidRPr="00742B86">
              <w:rPr>
                <w:spacing w:val="-4"/>
                <w:lang w:val="en-GB"/>
              </w:rPr>
              <w:t>t the end of the last year</w:t>
            </w:r>
            <w:r w:rsidRPr="00742B86">
              <w:rPr>
                <w:spacing w:val="-4"/>
                <w:lang w:val="en-GB"/>
              </w:rPr>
              <w:t>,</w:t>
            </w:r>
            <w:r w:rsidR="00F87619" w:rsidRPr="00742B86">
              <w:rPr>
                <w:spacing w:val="-4"/>
                <w:lang w:val="en-GB"/>
              </w:rPr>
              <w:t xml:space="preserve"> grew by one quarter year-on-year</w:t>
            </w:r>
            <w:r w:rsidRPr="00742B86">
              <w:rPr>
                <w:rStyle w:val="Znakapoznpodarou"/>
                <w:spacing w:val="-4"/>
                <w:lang w:val="en-GB"/>
              </w:rPr>
              <w:footnoteReference w:id="12"/>
            </w:r>
            <w:r w:rsidRPr="00742B86">
              <w:rPr>
                <w:spacing w:val="-4"/>
                <w:lang w:val="en-GB"/>
              </w:rPr>
              <w:t xml:space="preserve">. </w:t>
            </w:r>
            <w:r w:rsidR="00734FAF" w:rsidRPr="00742B86">
              <w:rPr>
                <w:spacing w:val="-4"/>
                <w:lang w:val="en-GB"/>
              </w:rPr>
              <w:t xml:space="preserve">Traditionally issued </w:t>
            </w:r>
            <w:r w:rsidR="0003090A" w:rsidRPr="00742B86">
              <w:rPr>
                <w:spacing w:val="-4"/>
                <w:lang w:val="en-GB"/>
              </w:rPr>
              <w:t xml:space="preserve">medium and long-term state bonds </w:t>
            </w:r>
            <w:r w:rsidR="00734FAF" w:rsidRPr="00742B86">
              <w:rPr>
                <w:spacing w:val="-4"/>
                <w:lang w:val="en-GB"/>
              </w:rPr>
              <w:t>were the key debt instruments</w:t>
            </w:r>
            <w:r w:rsidRPr="00742B86">
              <w:rPr>
                <w:spacing w:val="-4"/>
                <w:lang w:val="en-GB"/>
              </w:rPr>
              <w:t>,</w:t>
            </w:r>
            <w:r w:rsidR="00734FAF" w:rsidRPr="00742B86">
              <w:rPr>
                <w:spacing w:val="-4"/>
                <w:lang w:val="en-GB"/>
              </w:rPr>
              <w:t xml:space="preserve"> last year attained record </w:t>
            </w:r>
            <w:r w:rsidRPr="00742B86">
              <w:rPr>
                <w:spacing w:val="-4"/>
                <w:lang w:val="en-GB"/>
              </w:rPr>
              <w:t>600</w:t>
            </w:r>
            <w:r w:rsidR="00734FAF" w:rsidRPr="00742B86">
              <w:rPr>
                <w:spacing w:val="-4"/>
                <w:lang w:val="en-GB"/>
              </w:rPr>
              <w:t xml:space="preserve"> CZK bn</w:t>
            </w:r>
            <w:r w:rsidRPr="00742B86">
              <w:rPr>
                <w:spacing w:val="-4"/>
                <w:lang w:val="en-GB"/>
              </w:rPr>
              <w:t>.</w:t>
            </w:r>
            <w:r w:rsidR="00734FAF" w:rsidRPr="00742B86">
              <w:rPr>
                <w:spacing w:val="-4"/>
                <w:lang w:val="en-GB"/>
              </w:rPr>
              <w:t xml:space="preserve"> More than </w:t>
            </w:r>
            <w:r w:rsidR="00734FAF" w:rsidRPr="00742B86">
              <w:rPr>
                <w:spacing w:val="-4"/>
                <w:lang w:val="en-GB"/>
              </w:rPr>
              <w:lastRenderedPageBreak/>
              <w:t xml:space="preserve">three quarters of this issue </w:t>
            </w:r>
            <w:r w:rsidR="0003090A" w:rsidRPr="00742B86">
              <w:rPr>
                <w:spacing w:val="-4"/>
                <w:lang w:val="en-GB"/>
              </w:rPr>
              <w:t>were allotted only to H</w:t>
            </w:r>
            <w:r w:rsidRPr="00742B86">
              <w:rPr>
                <w:spacing w:val="-4"/>
                <w:lang w:val="en-GB"/>
              </w:rPr>
              <w:t>1</w:t>
            </w:r>
            <w:r w:rsidR="0003090A" w:rsidRPr="00742B86">
              <w:rPr>
                <w:spacing w:val="-4"/>
                <w:lang w:val="en-GB"/>
              </w:rPr>
              <w:t xml:space="preserve"> </w:t>
            </w:r>
            <w:r w:rsidRPr="00742B86">
              <w:rPr>
                <w:spacing w:val="-4"/>
                <w:lang w:val="en-GB"/>
              </w:rPr>
              <w:t xml:space="preserve">2020. </w:t>
            </w:r>
            <w:r w:rsidR="0003090A" w:rsidRPr="00742B86">
              <w:rPr>
                <w:spacing w:val="-4"/>
                <w:lang w:val="en-GB"/>
              </w:rPr>
              <w:t xml:space="preserve">Especially the domestic financial institutions created the demand for the bonds, and thus held already nearly two thirds of the total domestic state bonds at the end of the year. </w:t>
            </w:r>
            <w:r w:rsidR="00F757FC">
              <w:rPr>
                <w:spacing w:val="-4"/>
                <w:lang w:val="en-GB"/>
              </w:rPr>
              <w:t xml:space="preserve">Almost </w:t>
            </w:r>
            <w:r w:rsidRPr="00742B86">
              <w:rPr>
                <w:spacing w:val="-4"/>
                <w:lang w:val="en-GB"/>
              </w:rPr>
              <w:t>31%</w:t>
            </w:r>
            <w:r w:rsidR="0003090A" w:rsidRPr="00742B86">
              <w:rPr>
                <w:spacing w:val="-4"/>
                <w:lang w:val="en-GB"/>
              </w:rPr>
              <w:t xml:space="preserve"> was attributed to non-residents</w:t>
            </w:r>
            <w:r w:rsidRPr="00742B86">
              <w:rPr>
                <w:spacing w:val="-4"/>
                <w:lang w:val="en-GB"/>
              </w:rPr>
              <w:t>,</w:t>
            </w:r>
            <w:r w:rsidR="0003090A" w:rsidRPr="00742B86">
              <w:rPr>
                <w:spacing w:val="-4"/>
                <w:lang w:val="en-GB"/>
              </w:rPr>
              <w:t xml:space="preserve"> the least in the last four years</w:t>
            </w:r>
            <w:r w:rsidRPr="00742B86">
              <w:rPr>
                <w:spacing w:val="-4"/>
                <w:lang w:val="en-GB"/>
              </w:rPr>
              <w:t xml:space="preserve">. </w:t>
            </w:r>
            <w:r w:rsidR="0003090A" w:rsidRPr="00742B86">
              <w:rPr>
                <w:spacing w:val="-4"/>
                <w:lang w:val="en-GB"/>
              </w:rPr>
              <w:t>Borr</w:t>
            </w:r>
            <w:r w:rsidR="00F757FC">
              <w:rPr>
                <w:spacing w:val="-4"/>
                <w:lang w:val="en-GB"/>
              </w:rPr>
              <w:t>owing need of the state was</w:t>
            </w:r>
            <w:r w:rsidR="0003090A" w:rsidRPr="00742B86">
              <w:rPr>
                <w:spacing w:val="-4"/>
                <w:lang w:val="en-GB"/>
              </w:rPr>
              <w:t xml:space="preserve"> nearly exclusively focused o</w:t>
            </w:r>
            <w:r w:rsidR="00545073" w:rsidRPr="00742B86">
              <w:rPr>
                <w:spacing w:val="-4"/>
                <w:lang w:val="en-GB"/>
              </w:rPr>
              <w:t>n</w:t>
            </w:r>
            <w:r w:rsidR="0003090A" w:rsidRPr="00742B86">
              <w:rPr>
                <w:spacing w:val="-4"/>
                <w:lang w:val="en-GB"/>
              </w:rPr>
              <w:t xml:space="preserve"> the domestic market last year. </w:t>
            </w:r>
            <w:r w:rsidRPr="00742B86">
              <w:rPr>
                <w:spacing w:val="-4"/>
                <w:lang w:val="en-GB"/>
              </w:rPr>
              <w:t>Korun</w:t>
            </w:r>
            <w:r w:rsidR="00882ACE" w:rsidRPr="00742B86">
              <w:rPr>
                <w:spacing w:val="-4"/>
                <w:lang w:val="en-GB"/>
              </w:rPr>
              <w:t xml:space="preserve">a value of the external debt thus shrank already seventh year in a row </w:t>
            </w:r>
            <w:r w:rsidRPr="00742B86">
              <w:rPr>
                <w:spacing w:val="-4"/>
                <w:lang w:val="en-GB"/>
              </w:rPr>
              <w:t>(</w:t>
            </w:r>
            <w:r w:rsidR="00882ACE" w:rsidRPr="00742B86">
              <w:rPr>
                <w:spacing w:val="-4"/>
                <w:lang w:val="en-GB"/>
              </w:rPr>
              <w:t xml:space="preserve">by </w:t>
            </w:r>
            <w:r w:rsidRPr="00742B86">
              <w:rPr>
                <w:spacing w:val="-4"/>
                <w:lang w:val="en-GB"/>
              </w:rPr>
              <w:t>6%</w:t>
            </w:r>
            <w:r w:rsidR="00882ACE" w:rsidRPr="00742B86">
              <w:rPr>
                <w:spacing w:val="-4"/>
                <w:lang w:val="en-GB"/>
              </w:rPr>
              <w:t xml:space="preserve"> last year</w:t>
            </w:r>
            <w:r w:rsidRPr="00742B86">
              <w:rPr>
                <w:spacing w:val="-4"/>
                <w:lang w:val="en-GB"/>
              </w:rPr>
              <w:t>).</w:t>
            </w:r>
            <w:r w:rsidR="00882ACE" w:rsidRPr="00742B86">
              <w:rPr>
                <w:spacing w:val="-4"/>
                <w:lang w:val="en-GB"/>
              </w:rPr>
              <w:t xml:space="preserve"> External debt comprised only </w:t>
            </w:r>
            <w:r w:rsidRPr="00742B86">
              <w:rPr>
                <w:rFonts w:cs="Arial"/>
                <w:color w:val="0D0D0D" w:themeColor="text1" w:themeTint="F2"/>
                <w:spacing w:val="-4"/>
                <w:lang w:val="en-GB"/>
              </w:rPr>
              <w:t>8</w:t>
            </w:r>
            <w:r w:rsidR="00460C42" w:rsidRPr="00742B86">
              <w:rPr>
                <w:rFonts w:cs="Arial"/>
                <w:color w:val="0D0D0D" w:themeColor="text1" w:themeTint="F2"/>
                <w:spacing w:val="-4"/>
                <w:lang w:val="en-GB"/>
              </w:rPr>
              <w:t>.</w:t>
            </w:r>
            <w:r w:rsidRPr="00742B86">
              <w:rPr>
                <w:rFonts w:cs="Arial"/>
                <w:color w:val="0D0D0D" w:themeColor="text1" w:themeTint="F2"/>
                <w:spacing w:val="-4"/>
                <w:lang w:val="en-GB"/>
              </w:rPr>
              <w:t>2%</w:t>
            </w:r>
            <w:r w:rsidR="00460C42" w:rsidRPr="00742B86">
              <w:rPr>
                <w:rFonts w:cs="Arial"/>
                <w:color w:val="0D0D0D" w:themeColor="text1" w:themeTint="F2"/>
                <w:spacing w:val="-4"/>
                <w:lang w:val="en-GB"/>
              </w:rPr>
              <w:t xml:space="preserve"> of the total state debt </w:t>
            </w:r>
            <w:r w:rsidR="00882ACE" w:rsidRPr="00742B86">
              <w:rPr>
                <w:rFonts w:cs="Arial"/>
                <w:color w:val="0D0D0D" w:themeColor="text1" w:themeTint="F2"/>
                <w:spacing w:val="-4"/>
                <w:lang w:val="en-GB"/>
              </w:rPr>
              <w:t>at the end of Q4 2020</w:t>
            </w:r>
            <w:r w:rsidRPr="00742B86">
              <w:rPr>
                <w:rFonts w:cs="Arial"/>
                <w:color w:val="0D0D0D" w:themeColor="text1" w:themeTint="F2"/>
                <w:spacing w:val="-4"/>
                <w:lang w:val="en-GB"/>
              </w:rPr>
              <w:t xml:space="preserve">. </w:t>
            </w:r>
            <w:r w:rsidR="00416968">
              <w:rPr>
                <w:rFonts w:cs="Arial"/>
                <w:color w:val="0D0D0D" w:themeColor="text1" w:themeTint="F2"/>
                <w:spacing w:val="-4"/>
                <w:lang w:val="en-GB"/>
              </w:rPr>
              <w:t xml:space="preserve">Net SB outlays to </w:t>
            </w:r>
            <w:r w:rsidR="00882ACE" w:rsidRPr="00742B86">
              <w:rPr>
                <w:rFonts w:cs="Arial"/>
                <w:color w:val="0D0D0D" w:themeColor="text1" w:themeTint="F2"/>
                <w:spacing w:val="-4"/>
                <w:lang w:val="en-GB"/>
              </w:rPr>
              <w:t xml:space="preserve">the state debt </w:t>
            </w:r>
            <w:r w:rsidR="00416968">
              <w:rPr>
                <w:rFonts w:cs="Arial"/>
                <w:color w:val="0D0D0D" w:themeColor="text1" w:themeTint="F2"/>
                <w:spacing w:val="-4"/>
                <w:lang w:val="en-GB"/>
              </w:rPr>
              <w:t xml:space="preserve">service </w:t>
            </w:r>
            <w:r w:rsidR="00882ACE" w:rsidRPr="00742B86">
              <w:rPr>
                <w:rFonts w:cs="Arial"/>
                <w:color w:val="0D0D0D" w:themeColor="text1" w:themeTint="F2"/>
                <w:spacing w:val="-4"/>
                <w:lang w:val="en-GB"/>
              </w:rPr>
              <w:t xml:space="preserve">amounted to </w:t>
            </w:r>
            <w:r w:rsidRPr="00742B86">
              <w:rPr>
                <w:rFonts w:cs="Arial"/>
                <w:color w:val="0D0D0D" w:themeColor="text1" w:themeTint="F2"/>
                <w:spacing w:val="-4"/>
                <w:lang w:val="en-GB"/>
              </w:rPr>
              <w:t>40</w:t>
            </w:r>
            <w:r w:rsidR="00882ACE" w:rsidRPr="00742B86">
              <w:rPr>
                <w:rFonts w:cs="Arial"/>
                <w:color w:val="0D0D0D" w:themeColor="text1" w:themeTint="F2"/>
                <w:spacing w:val="-4"/>
                <w:lang w:val="en-GB"/>
              </w:rPr>
              <w:t>.</w:t>
            </w:r>
            <w:r w:rsidRPr="00742B86">
              <w:rPr>
                <w:rFonts w:cs="Arial"/>
                <w:color w:val="0D0D0D" w:themeColor="text1" w:themeTint="F2"/>
                <w:spacing w:val="-4"/>
                <w:lang w:val="en-GB"/>
              </w:rPr>
              <w:t>1</w:t>
            </w:r>
            <w:r w:rsidR="00882ACE" w:rsidRPr="00742B86">
              <w:rPr>
                <w:rFonts w:cs="Arial"/>
                <w:color w:val="0D0D0D" w:themeColor="text1" w:themeTint="F2"/>
                <w:spacing w:val="-4"/>
                <w:lang w:val="en-GB"/>
              </w:rPr>
              <w:t xml:space="preserve"> CZK bn last year and stagnated year-on-year </w:t>
            </w:r>
            <w:r w:rsidRPr="00742B86">
              <w:rPr>
                <w:rFonts w:cs="Arial"/>
                <w:color w:val="0D0D0D" w:themeColor="text1" w:themeTint="F2"/>
                <w:spacing w:val="-4"/>
                <w:lang w:val="en-GB"/>
              </w:rPr>
              <w:t>(</w:t>
            </w:r>
            <w:r w:rsidR="00882ACE" w:rsidRPr="00742B86">
              <w:rPr>
                <w:rFonts w:cs="Arial"/>
                <w:color w:val="0D0D0D" w:themeColor="text1" w:themeTint="F2"/>
                <w:spacing w:val="-4"/>
                <w:lang w:val="en-GB"/>
              </w:rPr>
              <w:t>already for the fourth time in a row</w:t>
            </w:r>
            <w:r w:rsidRPr="00742B86">
              <w:rPr>
                <w:rFonts w:cs="Arial"/>
                <w:color w:val="0D0D0D" w:themeColor="text1" w:themeTint="F2"/>
                <w:spacing w:val="-4"/>
                <w:lang w:val="en-GB"/>
              </w:rPr>
              <w:t>).</w:t>
            </w:r>
            <w:r w:rsidR="00882ACE" w:rsidRPr="00742B86">
              <w:rPr>
                <w:rFonts w:cs="Arial"/>
                <w:color w:val="0D0D0D" w:themeColor="text1" w:themeTint="F2"/>
                <w:spacing w:val="-4"/>
                <w:lang w:val="en-GB"/>
              </w:rPr>
              <w:t xml:space="preserve"> </w:t>
            </w:r>
            <w:r w:rsidR="00460C42" w:rsidRPr="00742B86">
              <w:rPr>
                <w:rFonts w:cs="Arial"/>
                <w:color w:val="0D0D0D" w:themeColor="text1" w:themeTint="F2"/>
                <w:spacing w:val="-4"/>
                <w:lang w:val="en-GB"/>
              </w:rPr>
              <w:t xml:space="preserve">The decline of the bond yields as well as lowering of the interest rates on the part of CNB also had an effect. </w:t>
            </w:r>
          </w:p>
        </w:tc>
      </w:tr>
      <w:tr w:rsidR="00267C51" w:rsidRPr="00742B86" w:rsidTr="00D70BBF">
        <w:trPr>
          <w:trHeight w:val="170"/>
        </w:trPr>
        <w:tc>
          <w:tcPr>
            <w:tcW w:w="1583" w:type="dxa"/>
            <w:shd w:val="clear" w:color="auto" w:fill="auto"/>
            <w:tcMar>
              <w:left w:w="0" w:type="dxa"/>
            </w:tcMar>
          </w:tcPr>
          <w:p w:rsidR="00267C51" w:rsidRPr="00742B86" w:rsidRDefault="00811875" w:rsidP="00267C51">
            <w:pPr>
              <w:pStyle w:val="Marginlie"/>
              <w:spacing w:after="240"/>
              <w:rPr>
                <w:lang w:val="en-GB"/>
              </w:rPr>
            </w:pPr>
            <w:r>
              <w:rPr>
                <w:lang w:val="en-GB"/>
              </w:rPr>
              <w:lastRenderedPageBreak/>
              <w:t>C</w:t>
            </w:r>
            <w:r w:rsidR="00F94E96">
              <w:rPr>
                <w:lang w:val="en-GB"/>
              </w:rPr>
              <w:t>entral government institutions</w:t>
            </w:r>
            <w:r w:rsidR="00FC529C" w:rsidRPr="00742B86">
              <w:rPr>
                <w:lang w:val="en-GB"/>
              </w:rPr>
              <w:t xml:space="preserve"> </w:t>
            </w:r>
            <w:r>
              <w:rPr>
                <w:lang w:val="en-GB"/>
              </w:rPr>
              <w:t xml:space="preserve">deficit </w:t>
            </w:r>
            <w:r w:rsidR="00FC529C" w:rsidRPr="00742B86">
              <w:rPr>
                <w:lang w:val="en-GB"/>
              </w:rPr>
              <w:t>substantially deepened. Regional go</w:t>
            </w:r>
            <w:r>
              <w:rPr>
                <w:lang w:val="en-GB"/>
              </w:rPr>
              <w:t>vernment institutions and</w:t>
            </w:r>
            <w:r w:rsidR="00FC529C" w:rsidRPr="00742B86">
              <w:rPr>
                <w:lang w:val="en-GB"/>
              </w:rPr>
              <w:t xml:space="preserve"> health insurance companies preserved a surplus. </w:t>
            </w:r>
          </w:p>
        </w:tc>
        <w:tc>
          <w:tcPr>
            <w:tcW w:w="176" w:type="dxa"/>
            <w:shd w:val="clear" w:color="auto" w:fill="auto"/>
            <w:tcMar>
              <w:left w:w="0" w:type="dxa"/>
            </w:tcMar>
          </w:tcPr>
          <w:p w:rsidR="00267C51" w:rsidRPr="00742B86" w:rsidRDefault="00267C51" w:rsidP="00267C51">
            <w:pPr>
              <w:pStyle w:val="Textpoznpodarou"/>
              <w:spacing w:after="240"/>
              <w:jc w:val="both"/>
              <w:rPr>
                <w:spacing w:val="-4"/>
                <w:lang w:val="en-GB"/>
              </w:rPr>
            </w:pPr>
          </w:p>
        </w:tc>
        <w:tc>
          <w:tcPr>
            <w:tcW w:w="7910" w:type="dxa"/>
            <w:shd w:val="clear" w:color="auto" w:fill="auto"/>
            <w:tcMar>
              <w:left w:w="0" w:type="dxa"/>
            </w:tcMar>
          </w:tcPr>
          <w:p w:rsidR="00267C51" w:rsidRPr="00742B86" w:rsidRDefault="00267C51" w:rsidP="00811875">
            <w:pPr>
              <w:pStyle w:val="Textpoznpodarou"/>
              <w:spacing w:after="240" w:line="276" w:lineRule="auto"/>
              <w:jc w:val="both"/>
              <w:rPr>
                <w:rFonts w:cs="Arial"/>
                <w:color w:val="0D0D0D" w:themeColor="text1" w:themeTint="F2"/>
                <w:spacing w:val="-6"/>
                <w:lang w:val="en-GB"/>
              </w:rPr>
            </w:pPr>
            <w:r w:rsidRPr="00742B86">
              <w:rPr>
                <w:rFonts w:cs="Arial"/>
                <w:color w:val="0D0D0D" w:themeColor="text1" w:themeTint="F2"/>
                <w:spacing w:val="-6"/>
                <w:lang w:val="en-GB"/>
              </w:rPr>
              <w:t>S</w:t>
            </w:r>
            <w:r w:rsidR="00781FC6" w:rsidRPr="00742B86">
              <w:rPr>
                <w:rFonts w:cs="Arial"/>
                <w:color w:val="0D0D0D" w:themeColor="text1" w:themeTint="F2"/>
                <w:spacing w:val="-6"/>
                <w:lang w:val="en-GB"/>
              </w:rPr>
              <w:t xml:space="preserve">ector of government institutions </w:t>
            </w:r>
            <w:r w:rsidRPr="00742B86">
              <w:rPr>
                <w:rFonts w:cs="Arial"/>
                <w:color w:val="0D0D0D" w:themeColor="text1" w:themeTint="F2"/>
                <w:spacing w:val="-6"/>
                <w:lang w:val="en-GB"/>
              </w:rPr>
              <w:t>(VI)</w:t>
            </w:r>
            <w:r w:rsidR="00233364">
              <w:rPr>
                <w:rFonts w:cs="Arial"/>
                <w:color w:val="0D0D0D" w:themeColor="text1" w:themeTint="F2"/>
                <w:spacing w:val="-6"/>
                <w:lang w:val="en-GB"/>
              </w:rPr>
              <w:t xml:space="preserve"> recorded</w:t>
            </w:r>
            <w:r w:rsidR="00781FC6" w:rsidRPr="00742B86">
              <w:rPr>
                <w:rFonts w:cs="Arial"/>
                <w:color w:val="0D0D0D" w:themeColor="text1" w:themeTint="F2"/>
                <w:spacing w:val="-6"/>
                <w:lang w:val="en-GB"/>
              </w:rPr>
              <w:t xml:space="preserve"> a deficit of </w:t>
            </w:r>
            <w:r w:rsidRPr="00742B86">
              <w:rPr>
                <w:rFonts w:cs="Arial"/>
                <w:color w:val="0D0D0D" w:themeColor="text1" w:themeTint="F2"/>
                <w:spacing w:val="-6"/>
                <w:lang w:val="en-GB"/>
              </w:rPr>
              <w:t>195</w:t>
            </w:r>
            <w:r w:rsidR="00781FC6" w:rsidRPr="00742B86">
              <w:rPr>
                <w:rFonts w:cs="Arial"/>
                <w:color w:val="0D0D0D" w:themeColor="text1" w:themeTint="F2"/>
                <w:spacing w:val="-6"/>
                <w:lang w:val="en-GB"/>
              </w:rPr>
              <w:t xml:space="preserve"> CZK bn in the CR during Q1 to Q3 2020. </w:t>
            </w:r>
            <w:r w:rsidR="00FC529C" w:rsidRPr="00742B86">
              <w:rPr>
                <w:rFonts w:cs="Arial"/>
                <w:color w:val="0D0D0D" w:themeColor="text1" w:themeTint="F2"/>
                <w:spacing w:val="-6"/>
                <w:lang w:val="en-GB"/>
              </w:rPr>
              <w:t xml:space="preserve">Revenues </w:t>
            </w:r>
            <w:r w:rsidRPr="00742B86">
              <w:rPr>
                <w:rFonts w:cs="Arial"/>
                <w:color w:val="0D0D0D" w:themeColor="text1" w:themeTint="F2"/>
                <w:spacing w:val="-6"/>
                <w:lang w:val="en-GB"/>
              </w:rPr>
              <w:t>VI</w:t>
            </w:r>
            <w:r w:rsidR="00FC529C" w:rsidRPr="00742B86">
              <w:rPr>
                <w:rFonts w:cs="Arial"/>
                <w:color w:val="0D0D0D" w:themeColor="text1" w:themeTint="F2"/>
                <w:spacing w:val="-6"/>
                <w:lang w:val="en-GB"/>
              </w:rPr>
              <w:t xml:space="preserve"> reduced by </w:t>
            </w:r>
            <w:r w:rsidRPr="00742B86">
              <w:rPr>
                <w:rFonts w:cs="Arial"/>
                <w:color w:val="0D0D0D" w:themeColor="text1" w:themeTint="F2"/>
                <w:spacing w:val="-6"/>
                <w:lang w:val="en-GB"/>
              </w:rPr>
              <w:t>2</w:t>
            </w:r>
            <w:r w:rsidR="00FC529C" w:rsidRPr="00742B86">
              <w:rPr>
                <w:rFonts w:cs="Arial"/>
                <w:color w:val="0D0D0D" w:themeColor="text1" w:themeTint="F2"/>
                <w:spacing w:val="-6"/>
                <w:lang w:val="en-GB"/>
              </w:rPr>
              <w:t>.</w:t>
            </w:r>
            <w:r w:rsidRPr="00742B86">
              <w:rPr>
                <w:rFonts w:cs="Arial"/>
                <w:color w:val="0D0D0D" w:themeColor="text1" w:themeTint="F2"/>
                <w:spacing w:val="-6"/>
                <w:lang w:val="en-GB"/>
              </w:rPr>
              <w:t>8%</w:t>
            </w:r>
            <w:r w:rsidR="00FC529C" w:rsidRPr="00742B86">
              <w:rPr>
                <w:rFonts w:cs="Arial"/>
                <w:color w:val="0D0D0D" w:themeColor="text1" w:themeTint="F2"/>
                <w:spacing w:val="-6"/>
                <w:lang w:val="en-GB"/>
              </w:rPr>
              <w:t xml:space="preserve"> year-on-year</w:t>
            </w:r>
            <w:r w:rsidR="00FC35DD" w:rsidRPr="00742B86">
              <w:rPr>
                <w:rFonts w:cs="Arial"/>
                <w:color w:val="0D0D0D" w:themeColor="text1" w:themeTint="F2"/>
                <w:spacing w:val="-6"/>
                <w:lang w:val="en-GB"/>
              </w:rPr>
              <w:t>,</w:t>
            </w:r>
            <w:r w:rsidRPr="00742B86">
              <w:rPr>
                <w:rFonts w:cs="Arial"/>
                <w:color w:val="0D0D0D" w:themeColor="text1" w:themeTint="F2"/>
                <w:spacing w:val="-6"/>
                <w:lang w:val="en-GB"/>
              </w:rPr>
              <w:t xml:space="preserve"> </w:t>
            </w:r>
            <w:r w:rsidR="00FC529C" w:rsidRPr="00742B86">
              <w:rPr>
                <w:rFonts w:cs="Arial"/>
                <w:color w:val="0D0D0D" w:themeColor="text1" w:themeTint="F2"/>
                <w:spacing w:val="-6"/>
                <w:lang w:val="en-GB"/>
              </w:rPr>
              <w:t xml:space="preserve">growth of outlays hiked up to </w:t>
            </w:r>
            <w:r w:rsidRPr="00742B86">
              <w:rPr>
                <w:rFonts w:cs="Arial"/>
                <w:color w:val="0D0D0D" w:themeColor="text1" w:themeTint="F2"/>
                <w:spacing w:val="-6"/>
                <w:lang w:val="en-GB"/>
              </w:rPr>
              <w:t>10</w:t>
            </w:r>
            <w:r w:rsidR="00FC529C" w:rsidRPr="00742B86">
              <w:rPr>
                <w:rFonts w:cs="Arial"/>
                <w:color w:val="0D0D0D" w:themeColor="text1" w:themeTint="F2"/>
                <w:spacing w:val="-6"/>
                <w:lang w:val="en-GB"/>
              </w:rPr>
              <w:t>.</w:t>
            </w:r>
            <w:r w:rsidRPr="00742B86">
              <w:rPr>
                <w:rFonts w:cs="Arial"/>
                <w:color w:val="0D0D0D" w:themeColor="text1" w:themeTint="F2"/>
                <w:spacing w:val="-6"/>
                <w:lang w:val="en-GB"/>
              </w:rPr>
              <w:t>7% (</w:t>
            </w:r>
            <w:r w:rsidR="00FC529C" w:rsidRPr="00742B86">
              <w:rPr>
                <w:rFonts w:cs="Arial"/>
                <w:color w:val="0D0D0D" w:themeColor="text1" w:themeTint="F2"/>
                <w:spacing w:val="-6"/>
                <w:lang w:val="en-GB"/>
              </w:rPr>
              <w:t>in both cases it presented a record paces for the last decade</w:t>
            </w:r>
            <w:r w:rsidRPr="00742B86">
              <w:rPr>
                <w:rFonts w:cs="Arial"/>
                <w:color w:val="0D0D0D" w:themeColor="text1" w:themeTint="F2"/>
                <w:spacing w:val="-6"/>
                <w:lang w:val="en-GB"/>
              </w:rPr>
              <w:t>).</w:t>
            </w:r>
            <w:r w:rsidR="00FC529C" w:rsidRPr="00742B86">
              <w:rPr>
                <w:rFonts w:cs="Arial"/>
                <w:color w:val="0D0D0D" w:themeColor="text1" w:themeTint="F2"/>
                <w:spacing w:val="-6"/>
                <w:lang w:val="en-GB"/>
              </w:rPr>
              <w:t xml:space="preserve"> Budget balance worsened</w:t>
            </w:r>
            <w:r w:rsidR="00C74874" w:rsidRPr="00742B86">
              <w:rPr>
                <w:rFonts w:cs="Arial"/>
                <w:color w:val="0D0D0D" w:themeColor="text1" w:themeTint="F2"/>
                <w:spacing w:val="-6"/>
                <w:lang w:val="en-GB"/>
              </w:rPr>
              <w:t xml:space="preserve"> year-on-year in all subsectors </w:t>
            </w:r>
            <w:r w:rsidRPr="00742B86">
              <w:rPr>
                <w:rFonts w:cs="Arial"/>
                <w:color w:val="0D0D0D" w:themeColor="text1" w:themeTint="F2"/>
                <w:spacing w:val="-6"/>
                <w:lang w:val="en-GB"/>
              </w:rPr>
              <w:t>VI,</w:t>
            </w:r>
            <w:r w:rsidR="00C74874" w:rsidRPr="00742B86">
              <w:rPr>
                <w:rFonts w:cs="Arial"/>
                <w:color w:val="0D0D0D" w:themeColor="text1" w:themeTint="F2"/>
                <w:spacing w:val="-6"/>
                <w:lang w:val="en-GB"/>
              </w:rPr>
              <w:t xml:space="preserve"> the most however in central institutions </w:t>
            </w:r>
            <w:r w:rsidRPr="00742B86">
              <w:rPr>
                <w:rFonts w:cs="Arial"/>
                <w:color w:val="0D0D0D" w:themeColor="text1" w:themeTint="F2"/>
                <w:spacing w:val="-6"/>
                <w:lang w:val="en-GB"/>
              </w:rPr>
              <w:t>VI,</w:t>
            </w:r>
            <w:r w:rsidR="00811875">
              <w:rPr>
                <w:rFonts w:cs="Arial"/>
                <w:color w:val="0D0D0D" w:themeColor="text1" w:themeTint="F2"/>
                <w:spacing w:val="-6"/>
                <w:lang w:val="en-GB"/>
              </w:rPr>
              <w:t xml:space="preserve"> which bore the decisive part of the costs of anti-</w:t>
            </w:r>
            <w:r w:rsidR="00C74874" w:rsidRPr="00742B86">
              <w:rPr>
                <w:rFonts w:cs="Arial"/>
                <w:color w:val="0D0D0D" w:themeColor="text1" w:themeTint="F2"/>
                <w:spacing w:val="-6"/>
                <w:lang w:val="en-GB"/>
              </w:rPr>
              <w:t xml:space="preserve">pandemic measures. Health insurance companies as well as local institutions </w:t>
            </w:r>
            <w:r w:rsidRPr="00742B86">
              <w:rPr>
                <w:rFonts w:cs="Arial"/>
                <w:color w:val="0D0D0D" w:themeColor="text1" w:themeTint="F2"/>
                <w:spacing w:val="-6"/>
                <w:lang w:val="en-GB"/>
              </w:rPr>
              <w:t xml:space="preserve">VI </w:t>
            </w:r>
            <w:r w:rsidR="00C74874" w:rsidRPr="00742B86">
              <w:rPr>
                <w:rFonts w:cs="Arial"/>
                <w:color w:val="0D0D0D" w:themeColor="text1" w:themeTint="F2"/>
                <w:spacing w:val="-6"/>
                <w:lang w:val="en-GB"/>
              </w:rPr>
              <w:t xml:space="preserve">preserved a surplus budget, partially thanks to lower investment activity. Seasonally adjusted balance of sector VI budget plunged to </w:t>
            </w:r>
            <w:r w:rsidRPr="00742B86">
              <w:rPr>
                <w:spacing w:val="-6"/>
                <w:lang w:val="en-GB"/>
              </w:rPr>
              <w:t>–</w:t>
            </w:r>
            <w:r w:rsidRPr="00742B86">
              <w:rPr>
                <w:rFonts w:cs="Arial"/>
                <w:color w:val="0D0D0D" w:themeColor="text1" w:themeTint="F2"/>
                <w:spacing w:val="-6"/>
                <w:lang w:val="en-GB"/>
              </w:rPr>
              <w:t>4</w:t>
            </w:r>
            <w:r w:rsidR="00C74874" w:rsidRPr="00742B86">
              <w:rPr>
                <w:rFonts w:cs="Arial"/>
                <w:color w:val="0D0D0D" w:themeColor="text1" w:themeTint="F2"/>
                <w:spacing w:val="-6"/>
                <w:lang w:val="en-GB"/>
              </w:rPr>
              <w:t>.</w:t>
            </w:r>
            <w:r w:rsidRPr="00742B86">
              <w:rPr>
                <w:rFonts w:cs="Arial"/>
                <w:color w:val="0D0D0D" w:themeColor="text1" w:themeTint="F2"/>
                <w:spacing w:val="-6"/>
                <w:lang w:val="en-GB"/>
              </w:rPr>
              <w:t>5% HDP</w:t>
            </w:r>
            <w:r w:rsidR="00811875">
              <w:rPr>
                <w:rFonts w:cs="Arial"/>
                <w:color w:val="0D0D0D" w:themeColor="text1" w:themeTint="F2"/>
                <w:spacing w:val="-6"/>
                <w:lang w:val="en-GB"/>
              </w:rPr>
              <w:t xml:space="preserve"> in period Q1 to Q3.</w:t>
            </w:r>
            <w:r w:rsidRPr="00742B86">
              <w:rPr>
                <w:rFonts w:cs="Arial"/>
                <w:color w:val="0D0D0D" w:themeColor="text1" w:themeTint="F2"/>
                <w:spacing w:val="-6"/>
                <w:lang w:val="en-GB"/>
              </w:rPr>
              <w:t xml:space="preserve"> </w:t>
            </w:r>
            <w:r w:rsidR="00C74874" w:rsidRPr="00742B86">
              <w:rPr>
                <w:rFonts w:cs="Arial"/>
                <w:color w:val="0D0D0D" w:themeColor="text1" w:themeTint="F2"/>
                <w:spacing w:val="-6"/>
                <w:lang w:val="en-GB"/>
              </w:rPr>
              <w:t xml:space="preserve">It thus recorded a first deficit after five years and at the same time the worst result since year </w:t>
            </w:r>
            <w:r w:rsidRPr="00742B86">
              <w:rPr>
                <w:rFonts w:cs="Arial"/>
                <w:color w:val="0D0D0D" w:themeColor="text1" w:themeTint="F2"/>
                <w:spacing w:val="-6"/>
                <w:lang w:val="en-GB"/>
              </w:rPr>
              <w:t>2009 (</w:t>
            </w:r>
            <w:r w:rsidRPr="00742B86">
              <w:rPr>
                <w:spacing w:val="-6"/>
                <w:lang w:val="en-GB"/>
              </w:rPr>
              <w:t>–</w:t>
            </w:r>
            <w:r w:rsidRPr="00742B86">
              <w:rPr>
                <w:rFonts w:cs="Arial"/>
                <w:color w:val="0D0D0D" w:themeColor="text1" w:themeTint="F2"/>
                <w:spacing w:val="-6"/>
                <w:lang w:val="en-GB"/>
              </w:rPr>
              <w:t>5</w:t>
            </w:r>
            <w:r w:rsidR="00C74874" w:rsidRPr="00742B86">
              <w:rPr>
                <w:rFonts w:cs="Arial"/>
                <w:color w:val="0D0D0D" w:themeColor="text1" w:themeTint="F2"/>
                <w:spacing w:val="-6"/>
                <w:lang w:val="en-GB"/>
              </w:rPr>
              <w:t>.</w:t>
            </w:r>
            <w:r w:rsidR="00F35211">
              <w:rPr>
                <w:rFonts w:cs="Arial"/>
                <w:color w:val="0D0D0D" w:themeColor="text1" w:themeTint="F2"/>
                <w:spacing w:val="-6"/>
                <w:lang w:val="en-GB"/>
              </w:rPr>
              <w:t>5%</w:t>
            </w:r>
            <w:r w:rsidRPr="00742B86">
              <w:rPr>
                <w:rFonts w:cs="Arial"/>
                <w:color w:val="0D0D0D" w:themeColor="text1" w:themeTint="F2"/>
                <w:spacing w:val="-6"/>
                <w:lang w:val="en-GB"/>
              </w:rPr>
              <w:t xml:space="preserve">). </w:t>
            </w:r>
          </w:p>
        </w:tc>
      </w:tr>
      <w:tr w:rsidR="00811875" w:rsidRPr="00742B86" w:rsidTr="00D70BBF">
        <w:trPr>
          <w:trHeight w:val="170"/>
        </w:trPr>
        <w:tc>
          <w:tcPr>
            <w:tcW w:w="1583" w:type="dxa"/>
            <w:shd w:val="clear" w:color="auto" w:fill="auto"/>
            <w:tcMar>
              <w:left w:w="0" w:type="dxa"/>
            </w:tcMar>
          </w:tcPr>
          <w:p w:rsidR="00811875" w:rsidRPr="00742B86" w:rsidRDefault="00811875" w:rsidP="00267C51">
            <w:pPr>
              <w:pStyle w:val="Marginlie"/>
              <w:spacing w:after="240"/>
              <w:rPr>
                <w:lang w:val="en-GB"/>
              </w:rPr>
            </w:pPr>
            <w:r w:rsidRPr="00742B86">
              <w:rPr>
                <w:lang w:val="en-GB"/>
              </w:rPr>
              <w:t>Both budget deficit and increase of indebtedness of the CR were among the smaller in the EU countries.</w:t>
            </w:r>
          </w:p>
        </w:tc>
        <w:tc>
          <w:tcPr>
            <w:tcW w:w="176" w:type="dxa"/>
            <w:shd w:val="clear" w:color="auto" w:fill="auto"/>
            <w:tcMar>
              <w:left w:w="0" w:type="dxa"/>
            </w:tcMar>
          </w:tcPr>
          <w:p w:rsidR="00811875" w:rsidRPr="00742B86" w:rsidRDefault="00811875" w:rsidP="00267C51">
            <w:pPr>
              <w:pStyle w:val="Textpoznpodarou"/>
              <w:spacing w:after="240"/>
              <w:jc w:val="both"/>
              <w:rPr>
                <w:spacing w:val="-4"/>
                <w:lang w:val="en-GB"/>
              </w:rPr>
            </w:pPr>
          </w:p>
        </w:tc>
        <w:tc>
          <w:tcPr>
            <w:tcW w:w="7910" w:type="dxa"/>
            <w:shd w:val="clear" w:color="auto" w:fill="auto"/>
            <w:tcMar>
              <w:left w:w="0" w:type="dxa"/>
            </w:tcMar>
          </w:tcPr>
          <w:p w:rsidR="00811875" w:rsidRPr="00742B86" w:rsidRDefault="00811875" w:rsidP="00E97F14">
            <w:pPr>
              <w:pStyle w:val="Textpoznpodarou"/>
              <w:spacing w:line="276" w:lineRule="auto"/>
              <w:jc w:val="both"/>
              <w:rPr>
                <w:rFonts w:cs="Arial"/>
                <w:color w:val="0D0D0D" w:themeColor="text1" w:themeTint="F2"/>
                <w:spacing w:val="-6"/>
                <w:lang w:val="en-GB"/>
              </w:rPr>
            </w:pPr>
            <w:r w:rsidRPr="00742B86">
              <w:rPr>
                <w:rFonts w:cs="Arial"/>
                <w:color w:val="0D0D0D" w:themeColor="text1" w:themeTint="F2"/>
                <w:spacing w:val="-6"/>
                <w:lang w:val="en-GB"/>
              </w:rPr>
              <w:t>Still, it represented more positive value than in the EU (</w:t>
            </w:r>
            <w:r w:rsidRPr="00742B86">
              <w:rPr>
                <w:spacing w:val="-6"/>
                <w:lang w:val="en-GB"/>
              </w:rPr>
              <w:t>–</w:t>
            </w:r>
            <w:r w:rsidRPr="00742B86">
              <w:rPr>
                <w:rFonts w:cs="Arial"/>
                <w:color w:val="0D0D0D" w:themeColor="text1" w:themeTint="F2"/>
                <w:spacing w:val="-6"/>
                <w:lang w:val="en-GB"/>
              </w:rPr>
              <w:t xml:space="preserve">6.6%) or all central European states (e.g. Germany </w:t>
            </w:r>
            <w:r w:rsidRPr="00742B86">
              <w:rPr>
                <w:spacing w:val="-6"/>
                <w:lang w:val="en-GB"/>
              </w:rPr>
              <w:t>–</w:t>
            </w:r>
            <w:r w:rsidRPr="00742B86">
              <w:rPr>
                <w:rFonts w:cs="Arial"/>
                <w:color w:val="0D0D0D" w:themeColor="text1" w:themeTint="F2"/>
                <w:spacing w:val="-6"/>
                <w:lang w:val="en-GB"/>
              </w:rPr>
              <w:t xml:space="preserve">4.6%, Poland </w:t>
            </w:r>
            <w:r w:rsidRPr="00742B86">
              <w:rPr>
                <w:spacing w:val="-6"/>
                <w:lang w:val="en-GB"/>
              </w:rPr>
              <w:t>–</w:t>
            </w:r>
            <w:r w:rsidRPr="00742B86">
              <w:rPr>
                <w:rFonts w:cs="Arial"/>
                <w:color w:val="0D0D0D" w:themeColor="text1" w:themeTint="F2"/>
                <w:spacing w:val="-6"/>
                <w:lang w:val="en-GB"/>
              </w:rPr>
              <w:t>8.5%). This deep budget must have been reflected in the debt acceleration. The indebtedness rate overtook the record level from year 2014 in the EU, at the end of Q3 2020</w:t>
            </w:r>
            <w:r>
              <w:rPr>
                <w:rFonts w:cs="Arial"/>
                <w:color w:val="0D0D0D" w:themeColor="text1" w:themeTint="F2"/>
                <w:spacing w:val="-6"/>
                <w:lang w:val="en-GB"/>
              </w:rPr>
              <w:t>,</w:t>
            </w:r>
            <w:r w:rsidRPr="00742B86">
              <w:rPr>
                <w:rFonts w:cs="Arial"/>
                <w:color w:val="0D0D0D" w:themeColor="text1" w:themeTint="F2"/>
                <w:spacing w:val="-6"/>
                <w:lang w:val="en-GB"/>
              </w:rPr>
              <w:t xml:space="preserve"> it closely approached the value of 90% of GDP. It increased in all Union countries year-on-year – by more than 15 p.p. in Cyprus, Italy, Greece, Spain and France. Growth in the CR (+6.9 p.p., to 38.4% of GDP) was weaker compared to the whole EU (+10.6 p.p.). Also thanks to this, the CR still belonged among the four less indebted countries of the EU.</w:t>
            </w:r>
          </w:p>
        </w:tc>
      </w:tr>
      <w:bookmarkEnd w:id="1"/>
    </w:tbl>
    <w:p w:rsidR="000663F0" w:rsidRPr="00742B86" w:rsidRDefault="000663F0" w:rsidP="00E97F14">
      <w:pPr>
        <w:pStyle w:val="Nadpis11"/>
        <w:spacing w:after="0"/>
        <w:rPr>
          <w:b w:val="0"/>
          <w:sz w:val="2"/>
          <w:szCs w:val="2"/>
          <w:lang w:val="en-GB"/>
        </w:rPr>
      </w:pPr>
    </w:p>
    <w:sectPr w:rsidR="000663F0" w:rsidRPr="00742B86" w:rsidSect="00902D53">
      <w:headerReference w:type="even" r:id="rId11"/>
      <w:headerReference w:type="default" r:id="rId12"/>
      <w:footerReference w:type="even" r:id="rId13"/>
      <w:footerReference w:type="default" r:id="rId14"/>
      <w:pgSz w:w="11906" w:h="16838" w:code="9"/>
      <w:pgMar w:top="1134" w:right="1134" w:bottom="1418" w:left="1134" w:header="680" w:footer="737" w:gutter="0"/>
      <w:pgNumType w:start="3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5C8" w:rsidRDefault="003F15C8" w:rsidP="00E71A58">
      <w:r>
        <w:separator/>
      </w:r>
    </w:p>
  </w:endnote>
  <w:endnote w:type="continuationSeparator" w:id="0">
    <w:p w:rsidR="003F15C8" w:rsidRDefault="003F15C8"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5C8" w:rsidRPr="00932443" w:rsidRDefault="003F15C8" w:rsidP="00A418BC">
    <w:pPr>
      <w:pStyle w:val="Zpat"/>
      <w:rPr>
        <w:szCs w:val="16"/>
      </w:rPr>
    </w:pPr>
    <w:r>
      <w:rPr>
        <w:szCs w:val="16"/>
        <w:lang w:eastAsia="cs-CZ"/>
      </w:rPr>
      <w:drawing>
        <wp:anchor distT="0" distB="0" distL="114300" distR="114300" simplePos="0" relativeHeight="251667968" behindDoc="0" locked="0" layoutInCell="1" allowOverlap="1" wp14:anchorId="71F0B6E3" wp14:editId="3AA519D4">
          <wp:simplePos x="0" y="0"/>
          <wp:positionH relativeFrom="column">
            <wp:align>right</wp:align>
          </wp:positionH>
          <wp:positionV relativeFrom="paragraph">
            <wp:posOffset>-64770</wp:posOffset>
          </wp:positionV>
          <wp:extent cx="428625" cy="201295"/>
          <wp:effectExtent l="0" t="0" r="3175" b="1905"/>
          <wp:wrapNone/>
          <wp:docPr id="22" name="Picture 15" descr="CSU RG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SU RGB CZ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201295"/>
                  </a:xfrm>
                  <a:prstGeom prst="rect">
                    <a:avLst/>
                  </a:prstGeom>
                  <a:noFill/>
                  <a:ln>
                    <a:noFill/>
                  </a:ln>
                </pic:spPr>
              </pic:pic>
            </a:graphicData>
          </a:graphic>
        </wp:anchor>
      </w:drawing>
    </w:r>
    <w:r w:rsidRPr="00932443">
      <w:rPr>
        <w:szCs w:val="16"/>
      </w:rPr>
      <w:fldChar w:fldCharType="begin"/>
    </w:r>
    <w:r w:rsidRPr="00932443">
      <w:rPr>
        <w:szCs w:val="16"/>
      </w:rPr>
      <w:instrText>PAGE   \* MERGEFORMAT</w:instrText>
    </w:r>
    <w:r w:rsidRPr="00932443">
      <w:rPr>
        <w:szCs w:val="16"/>
      </w:rPr>
      <w:fldChar w:fldCharType="separate"/>
    </w:r>
    <w:r w:rsidR="00902D53">
      <w:rPr>
        <w:szCs w:val="16"/>
      </w:rPr>
      <w:t>38</w:t>
    </w:r>
    <w:r w:rsidRPr="00932443">
      <w:rPr>
        <w:szCs w:val="16"/>
      </w:rPr>
      <w:fldChar w:fldCharType="end"/>
    </w:r>
    <w:r w:rsidRPr="00932443">
      <w:rPr>
        <w:szCs w:val="16"/>
      </w:rPr>
      <w:tab/>
    </w:r>
    <w:r w:rsidRPr="006B1E91">
      <w:rPr>
        <w:szCs w:val="16"/>
        <w:lang w:val="en-GB"/>
      </w:rPr>
      <w:t xml:space="preserve">year </w:t>
    </w:r>
    <w:r>
      <w:rPr>
        <w:szCs w:val="16"/>
      </w:rPr>
      <w:t>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5C8" w:rsidRPr="00932443" w:rsidRDefault="003F15C8" w:rsidP="00FA6CB6">
    <w:pPr>
      <w:pStyle w:val="Zpat"/>
      <w:rPr>
        <w:szCs w:val="16"/>
      </w:rPr>
    </w:pPr>
    <w:r w:rsidRPr="009743B9">
      <w:rPr>
        <w:lang w:eastAsia="cs-CZ"/>
      </w:rPr>
      <w:drawing>
        <wp:anchor distT="0" distB="0" distL="114300" distR="114300" simplePos="0" relativeHeight="251670016" behindDoc="0" locked="0" layoutInCell="1" allowOverlap="1" wp14:anchorId="191D17F9" wp14:editId="22DEAB6E">
          <wp:simplePos x="0" y="0"/>
          <wp:positionH relativeFrom="margin">
            <wp:align>left</wp:align>
          </wp:positionH>
          <wp:positionV relativeFrom="paragraph">
            <wp:posOffset>-47625</wp:posOffset>
          </wp:positionV>
          <wp:extent cx="690633" cy="204716"/>
          <wp:effectExtent l="0" t="0" r="0" b="5080"/>
          <wp:wrapNone/>
          <wp:docPr id="5" name="obrázek 7" descr="CSU RGB EN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SU RGB EN logo-02"/>
                  <pic:cNvPicPr>
                    <a:picLocks noChangeAspect="1" noChangeArrowheads="1"/>
                  </pic:cNvPicPr>
                </pic:nvPicPr>
                <pic:blipFill>
                  <a:blip r:embed="rId1"/>
                  <a:srcRect/>
                  <a:stretch>
                    <a:fillRect/>
                  </a:stretch>
                </pic:blipFill>
                <pic:spPr bwMode="auto">
                  <a:xfrm>
                    <a:off x="0" y="0"/>
                    <a:ext cx="690633" cy="204716"/>
                  </a:xfrm>
                  <a:prstGeom prst="rect">
                    <a:avLst/>
                  </a:prstGeom>
                  <a:noFill/>
                  <a:ln w="9525">
                    <a:noFill/>
                    <a:miter lim="800000"/>
                    <a:headEnd/>
                    <a:tailEnd/>
                  </a:ln>
                </pic:spPr>
              </pic:pic>
            </a:graphicData>
          </a:graphic>
        </wp:anchor>
      </w:drawing>
    </w:r>
    <w:r w:rsidRPr="00FA6CB6">
      <w:rPr>
        <w:szCs w:val="16"/>
      </w:rPr>
      <w:tab/>
    </w:r>
    <w:r w:rsidRPr="00443A47">
      <w:rPr>
        <w:szCs w:val="16"/>
        <w:lang w:val="en-GB"/>
      </w:rPr>
      <w:t>year</w:t>
    </w:r>
    <w:r>
      <w:rPr>
        <w:szCs w:val="16"/>
      </w:rPr>
      <w:t xml:space="preserve"> 2</w:t>
    </w:r>
    <w:r>
      <w:t>020</w:t>
    </w:r>
    <w:r w:rsidRPr="00932443">
      <w:rPr>
        <w:szCs w:val="16"/>
      </w:rPr>
      <w:tab/>
    </w:r>
    <w:r w:rsidRPr="00932443">
      <w:rPr>
        <w:rStyle w:val="ZpatChar"/>
        <w:szCs w:val="16"/>
      </w:rPr>
      <w:fldChar w:fldCharType="begin"/>
    </w:r>
    <w:r w:rsidRPr="00932443">
      <w:rPr>
        <w:rStyle w:val="ZpatChar"/>
        <w:szCs w:val="16"/>
      </w:rPr>
      <w:instrText>PAGE   \* MERGEFORMAT</w:instrText>
    </w:r>
    <w:r w:rsidRPr="00932443">
      <w:rPr>
        <w:rStyle w:val="ZpatChar"/>
        <w:szCs w:val="16"/>
      </w:rPr>
      <w:fldChar w:fldCharType="separate"/>
    </w:r>
    <w:r w:rsidR="00902D53">
      <w:rPr>
        <w:rStyle w:val="ZpatChar"/>
        <w:szCs w:val="16"/>
      </w:rPr>
      <w:t>39</w:t>
    </w:r>
    <w:r w:rsidRPr="00932443">
      <w:rPr>
        <w:rStyle w:val="ZpatCha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5C8" w:rsidRDefault="003F15C8" w:rsidP="00A21B4D">
      <w:pPr>
        <w:spacing w:after="0"/>
      </w:pPr>
      <w:r>
        <w:separator/>
      </w:r>
    </w:p>
  </w:footnote>
  <w:footnote w:type="continuationSeparator" w:id="0">
    <w:p w:rsidR="003F15C8" w:rsidRDefault="003F15C8" w:rsidP="00E71A58">
      <w:r>
        <w:continuationSeparator/>
      </w:r>
    </w:p>
  </w:footnote>
  <w:footnote w:id="1">
    <w:p w:rsidR="003F15C8" w:rsidRPr="007313AE" w:rsidRDefault="003F15C8" w:rsidP="00267C51">
      <w:pPr>
        <w:pStyle w:val="Textpoznpodarou"/>
        <w:jc w:val="both"/>
        <w:rPr>
          <w:spacing w:val="-2"/>
          <w:sz w:val="16"/>
          <w:szCs w:val="16"/>
          <w:lang w:val="en-GB"/>
        </w:rPr>
      </w:pPr>
      <w:r w:rsidRPr="00E915E7">
        <w:rPr>
          <w:rStyle w:val="Znakapoznpodarou"/>
          <w:spacing w:val="-2"/>
          <w:sz w:val="16"/>
          <w:szCs w:val="16"/>
        </w:rPr>
        <w:footnoteRef/>
      </w:r>
      <w:r w:rsidRPr="00E915E7">
        <w:rPr>
          <w:spacing w:val="-2"/>
          <w:sz w:val="16"/>
          <w:szCs w:val="16"/>
        </w:rPr>
        <w:t xml:space="preserve"> </w:t>
      </w:r>
      <w:r w:rsidRPr="007313AE">
        <w:rPr>
          <w:spacing w:val="-2"/>
          <w:sz w:val="16"/>
          <w:szCs w:val="16"/>
          <w:lang w:val="en-GB"/>
        </w:rPr>
        <w:t xml:space="preserve">Unless stated otherwise, </w:t>
      </w:r>
      <w:r>
        <w:rPr>
          <w:spacing w:val="-2"/>
          <w:sz w:val="16"/>
          <w:szCs w:val="16"/>
          <w:lang w:val="en-GB"/>
        </w:rPr>
        <w:t>all figures r</w:t>
      </w:r>
      <w:r w:rsidRPr="00D73C26">
        <w:rPr>
          <w:sz w:val="16"/>
          <w:szCs w:val="16"/>
          <w:lang w:val="en-GB"/>
        </w:rPr>
        <w:t>elated to the state budget stem from the data of the Ministry of Finance</w:t>
      </w:r>
      <w:r w:rsidR="00730D0A">
        <w:rPr>
          <w:sz w:val="16"/>
          <w:szCs w:val="16"/>
          <w:lang w:val="en-GB"/>
        </w:rPr>
        <w:t xml:space="preserve"> of the CR</w:t>
      </w:r>
      <w:r w:rsidRPr="00D73C26">
        <w:rPr>
          <w:sz w:val="16"/>
          <w:szCs w:val="16"/>
          <w:lang w:val="en-GB"/>
        </w:rPr>
        <w:t xml:space="preserve"> regarding the cash fulfilment</w:t>
      </w:r>
      <w:r>
        <w:rPr>
          <w:sz w:val="16"/>
          <w:szCs w:val="16"/>
          <w:lang w:val="en-GB"/>
        </w:rPr>
        <w:t xml:space="preserve">. </w:t>
      </w:r>
    </w:p>
  </w:footnote>
  <w:footnote w:id="2">
    <w:p w:rsidR="003F15C8" w:rsidRPr="007313AE" w:rsidRDefault="003F15C8" w:rsidP="00267C51">
      <w:pPr>
        <w:pStyle w:val="Textpoznpodarou"/>
        <w:rPr>
          <w:spacing w:val="-2"/>
          <w:sz w:val="16"/>
          <w:szCs w:val="16"/>
          <w:lang w:val="en-GB"/>
        </w:rPr>
      </w:pPr>
      <w:r w:rsidRPr="007313AE">
        <w:rPr>
          <w:rStyle w:val="Znakapoznpodarou"/>
          <w:spacing w:val="-2"/>
          <w:sz w:val="16"/>
          <w:szCs w:val="16"/>
          <w:lang w:val="en-GB"/>
        </w:rPr>
        <w:footnoteRef/>
      </w:r>
      <w:r w:rsidRPr="007313AE">
        <w:rPr>
          <w:spacing w:val="-2"/>
          <w:sz w:val="16"/>
          <w:szCs w:val="16"/>
          <w:lang w:val="en-GB"/>
        </w:rPr>
        <w:t xml:space="preserve"> </w:t>
      </w:r>
      <w:r>
        <w:rPr>
          <w:spacing w:val="-2"/>
          <w:sz w:val="16"/>
          <w:szCs w:val="16"/>
          <w:lang w:val="en-GB"/>
        </w:rPr>
        <w:t xml:space="preserve">SB deficit deepened by </w:t>
      </w:r>
      <w:r w:rsidRPr="007313AE">
        <w:rPr>
          <w:spacing w:val="-2"/>
          <w:sz w:val="16"/>
          <w:szCs w:val="16"/>
          <w:lang w:val="en-GB"/>
        </w:rPr>
        <w:t>63</w:t>
      </w:r>
      <w:r>
        <w:rPr>
          <w:spacing w:val="-2"/>
          <w:sz w:val="16"/>
          <w:szCs w:val="16"/>
          <w:lang w:val="en-GB"/>
        </w:rPr>
        <w:t>.</w:t>
      </w:r>
      <w:r w:rsidRPr="007313AE">
        <w:rPr>
          <w:spacing w:val="-2"/>
          <w:sz w:val="16"/>
          <w:szCs w:val="16"/>
          <w:lang w:val="en-GB"/>
        </w:rPr>
        <w:t>7</w:t>
      </w:r>
      <w:r>
        <w:rPr>
          <w:spacing w:val="-2"/>
          <w:sz w:val="16"/>
          <w:szCs w:val="16"/>
          <w:lang w:val="en-GB"/>
        </w:rPr>
        <w:t xml:space="preserve"> CZK bn during May only</w:t>
      </w:r>
      <w:r w:rsidRPr="007313AE">
        <w:rPr>
          <w:spacing w:val="-2"/>
          <w:sz w:val="16"/>
          <w:szCs w:val="16"/>
          <w:lang w:val="en-GB"/>
        </w:rPr>
        <w:t>,</w:t>
      </w:r>
      <w:r>
        <w:rPr>
          <w:spacing w:val="-2"/>
          <w:sz w:val="16"/>
          <w:szCs w:val="16"/>
          <w:lang w:val="en-GB"/>
        </w:rPr>
        <w:t xml:space="preserve"> by further </w:t>
      </w:r>
      <w:r w:rsidRPr="007313AE">
        <w:rPr>
          <w:spacing w:val="-2"/>
          <w:sz w:val="16"/>
          <w:szCs w:val="16"/>
          <w:lang w:val="en-GB"/>
        </w:rPr>
        <w:t>67</w:t>
      </w:r>
      <w:r>
        <w:rPr>
          <w:spacing w:val="-2"/>
          <w:sz w:val="16"/>
          <w:szCs w:val="16"/>
          <w:lang w:val="en-GB"/>
        </w:rPr>
        <w:t>.</w:t>
      </w:r>
      <w:r w:rsidRPr="007313AE">
        <w:rPr>
          <w:spacing w:val="-2"/>
          <w:sz w:val="16"/>
          <w:szCs w:val="16"/>
          <w:lang w:val="en-GB"/>
        </w:rPr>
        <w:t>5</w:t>
      </w:r>
      <w:r>
        <w:rPr>
          <w:spacing w:val="-2"/>
          <w:sz w:val="16"/>
          <w:szCs w:val="16"/>
          <w:lang w:val="en-GB"/>
        </w:rPr>
        <w:t xml:space="preserve"> bn in November</w:t>
      </w:r>
      <w:r w:rsidRPr="007313AE">
        <w:rPr>
          <w:spacing w:val="-2"/>
          <w:sz w:val="16"/>
          <w:szCs w:val="16"/>
          <w:lang w:val="en-GB"/>
        </w:rPr>
        <w:t>.</w:t>
      </w:r>
    </w:p>
  </w:footnote>
  <w:footnote w:id="3">
    <w:p w:rsidR="003F15C8" w:rsidRPr="007313AE" w:rsidRDefault="003F15C8" w:rsidP="00267C51">
      <w:pPr>
        <w:pStyle w:val="Textpoznpodarou"/>
        <w:rPr>
          <w:spacing w:val="-2"/>
          <w:sz w:val="16"/>
          <w:szCs w:val="16"/>
          <w:lang w:val="en-GB"/>
        </w:rPr>
      </w:pPr>
      <w:r w:rsidRPr="007313AE">
        <w:rPr>
          <w:rStyle w:val="Znakapoznpodarou"/>
          <w:spacing w:val="-2"/>
          <w:sz w:val="16"/>
          <w:szCs w:val="16"/>
          <w:lang w:val="en-GB"/>
        </w:rPr>
        <w:footnoteRef/>
      </w:r>
      <w:r w:rsidRPr="007313AE">
        <w:rPr>
          <w:spacing w:val="-2"/>
          <w:sz w:val="16"/>
          <w:szCs w:val="16"/>
          <w:lang w:val="en-GB"/>
        </w:rPr>
        <w:t xml:space="preserve"> </w:t>
      </w:r>
      <w:r>
        <w:rPr>
          <w:spacing w:val="-2"/>
          <w:sz w:val="16"/>
          <w:szCs w:val="16"/>
          <w:lang w:val="en-GB"/>
        </w:rPr>
        <w:t xml:space="preserve">The depth of slump in 2009 was however compared to the last year more than double </w:t>
      </w:r>
      <w:r w:rsidRPr="007313AE">
        <w:rPr>
          <w:spacing w:val="-2"/>
          <w:sz w:val="16"/>
          <w:szCs w:val="16"/>
          <w:lang w:val="en-GB"/>
        </w:rPr>
        <w:t>(–11</w:t>
      </w:r>
      <w:r>
        <w:rPr>
          <w:spacing w:val="-2"/>
          <w:sz w:val="16"/>
          <w:szCs w:val="16"/>
          <w:lang w:val="en-GB"/>
        </w:rPr>
        <w:t>.</w:t>
      </w:r>
      <w:r w:rsidRPr="007313AE">
        <w:rPr>
          <w:spacing w:val="-2"/>
          <w:sz w:val="16"/>
          <w:szCs w:val="16"/>
          <w:lang w:val="en-GB"/>
        </w:rPr>
        <w:t>6%).</w:t>
      </w:r>
    </w:p>
  </w:footnote>
  <w:footnote w:id="4">
    <w:p w:rsidR="003F15C8" w:rsidRPr="009A5F39" w:rsidRDefault="003F15C8" w:rsidP="0049030E">
      <w:pPr>
        <w:pStyle w:val="Textpoznpodarou"/>
        <w:jc w:val="both"/>
        <w:rPr>
          <w:spacing w:val="-2"/>
          <w:sz w:val="16"/>
          <w:szCs w:val="16"/>
          <w:lang w:val="en-GB"/>
        </w:rPr>
      </w:pPr>
      <w:r w:rsidRPr="00E915E7">
        <w:rPr>
          <w:rStyle w:val="Znakapoznpodarou"/>
          <w:spacing w:val="-2"/>
          <w:sz w:val="16"/>
          <w:szCs w:val="16"/>
        </w:rPr>
        <w:footnoteRef/>
      </w:r>
      <w:r w:rsidRPr="00E915E7">
        <w:rPr>
          <w:spacing w:val="-2"/>
          <w:sz w:val="16"/>
          <w:szCs w:val="16"/>
        </w:rPr>
        <w:t xml:space="preserve"> </w:t>
      </w:r>
      <w:r w:rsidRPr="009A5F39">
        <w:rPr>
          <w:spacing w:val="-2"/>
          <w:sz w:val="16"/>
          <w:szCs w:val="16"/>
          <w:lang w:val="en-GB"/>
        </w:rPr>
        <w:t xml:space="preserve">Small and medium businesses are more frequently represented in this segment, who with the view to the size of their sales </w:t>
      </w:r>
      <w:r>
        <w:rPr>
          <w:spacing w:val="-2"/>
          <w:sz w:val="16"/>
          <w:szCs w:val="16"/>
          <w:lang w:val="en-GB"/>
        </w:rPr>
        <w:t xml:space="preserve">often do </w:t>
      </w:r>
      <w:r w:rsidRPr="009A5F39">
        <w:rPr>
          <w:spacing w:val="-2"/>
          <w:sz w:val="16"/>
          <w:szCs w:val="16"/>
          <w:lang w:val="en-GB"/>
        </w:rPr>
        <w:t>not</w:t>
      </w:r>
      <w:r>
        <w:rPr>
          <w:spacing w:val="-2"/>
          <w:sz w:val="16"/>
          <w:szCs w:val="16"/>
          <w:lang w:val="en-GB"/>
        </w:rPr>
        <w:t xml:space="preserve"> </w:t>
      </w:r>
      <w:r w:rsidRPr="009A5F39">
        <w:rPr>
          <w:spacing w:val="-2"/>
          <w:sz w:val="16"/>
          <w:szCs w:val="16"/>
          <w:lang w:val="en-GB"/>
        </w:rPr>
        <w:t>have to be regular payers of the tax advances.</w:t>
      </w:r>
      <w:r>
        <w:rPr>
          <w:spacing w:val="-2"/>
          <w:sz w:val="16"/>
          <w:szCs w:val="16"/>
          <w:lang w:val="en-GB"/>
        </w:rPr>
        <w:t xml:space="preserve"> Their adverse economic re</w:t>
      </w:r>
      <w:r w:rsidR="00730D0A">
        <w:rPr>
          <w:spacing w:val="-2"/>
          <w:sz w:val="16"/>
          <w:szCs w:val="16"/>
          <w:lang w:val="en-GB"/>
        </w:rPr>
        <w:t>sults will thus be fully reflected</w:t>
      </w:r>
      <w:r>
        <w:rPr>
          <w:spacing w:val="-2"/>
          <w:sz w:val="16"/>
          <w:szCs w:val="16"/>
          <w:lang w:val="en-GB"/>
        </w:rPr>
        <w:t xml:space="preserve"> in </w:t>
      </w:r>
      <w:r w:rsidR="00730D0A">
        <w:rPr>
          <w:spacing w:val="-2"/>
          <w:sz w:val="16"/>
          <w:szCs w:val="16"/>
          <w:lang w:val="en-GB"/>
        </w:rPr>
        <w:t xml:space="preserve">tax </w:t>
      </w:r>
      <w:r>
        <w:rPr>
          <w:spacing w:val="-2"/>
          <w:sz w:val="16"/>
          <w:szCs w:val="16"/>
          <w:lang w:val="en-GB"/>
        </w:rPr>
        <w:t xml:space="preserve">collection only in summer </w:t>
      </w:r>
      <w:r w:rsidRPr="009A5F39">
        <w:rPr>
          <w:spacing w:val="-2"/>
          <w:sz w:val="16"/>
          <w:szCs w:val="16"/>
          <w:lang w:val="en-GB"/>
        </w:rPr>
        <w:t>2021 (</w:t>
      </w:r>
      <w:r>
        <w:rPr>
          <w:spacing w:val="-2"/>
          <w:sz w:val="16"/>
          <w:szCs w:val="16"/>
          <w:lang w:val="en-GB"/>
        </w:rPr>
        <w:t>at annual tax settlement</w:t>
      </w:r>
      <w:r w:rsidRPr="009A5F39">
        <w:rPr>
          <w:spacing w:val="-2"/>
          <w:sz w:val="16"/>
          <w:szCs w:val="16"/>
          <w:lang w:val="en-GB"/>
        </w:rPr>
        <w:t>).</w:t>
      </w:r>
    </w:p>
  </w:footnote>
  <w:footnote w:id="5">
    <w:p w:rsidR="003F15C8" w:rsidRPr="009A5F39" w:rsidRDefault="003F15C8" w:rsidP="0049030E">
      <w:pPr>
        <w:pStyle w:val="Textpoznpodarou"/>
        <w:jc w:val="both"/>
        <w:rPr>
          <w:spacing w:val="-2"/>
          <w:lang w:val="en-GB"/>
        </w:rPr>
      </w:pPr>
      <w:r w:rsidRPr="009A5F39">
        <w:rPr>
          <w:rStyle w:val="Znakapoznpodarou"/>
          <w:spacing w:val="-2"/>
          <w:sz w:val="16"/>
          <w:szCs w:val="16"/>
          <w:lang w:val="en-GB"/>
        </w:rPr>
        <w:footnoteRef/>
      </w:r>
      <w:r w:rsidRPr="009A5F39">
        <w:rPr>
          <w:spacing w:val="-2"/>
          <w:sz w:val="16"/>
          <w:szCs w:val="16"/>
          <w:lang w:val="en-GB"/>
        </w:rPr>
        <w:t xml:space="preserve"> </w:t>
      </w:r>
      <w:r>
        <w:rPr>
          <w:spacing w:val="-2"/>
          <w:sz w:val="16"/>
          <w:szCs w:val="16"/>
          <w:lang w:val="en-GB"/>
        </w:rPr>
        <w:t xml:space="preserve">Deeper year-on-year plunge of the collection of this tax occurred last in year </w:t>
      </w:r>
      <w:r w:rsidRPr="009A5F39">
        <w:rPr>
          <w:spacing w:val="-2"/>
          <w:sz w:val="16"/>
          <w:szCs w:val="16"/>
          <w:lang w:val="en-GB"/>
        </w:rPr>
        <w:t>2008 (</w:t>
      </w:r>
      <w:r>
        <w:rPr>
          <w:spacing w:val="-2"/>
          <w:sz w:val="16"/>
          <w:szCs w:val="16"/>
          <w:lang w:val="en-GB"/>
        </w:rPr>
        <w:t xml:space="preserve">by </w:t>
      </w:r>
      <w:r w:rsidRPr="009A5F39">
        <w:rPr>
          <w:spacing w:val="-2"/>
          <w:sz w:val="16"/>
          <w:szCs w:val="16"/>
          <w:lang w:val="en-GB"/>
        </w:rPr>
        <w:t>8</w:t>
      </w:r>
      <w:r>
        <w:rPr>
          <w:spacing w:val="-2"/>
          <w:sz w:val="16"/>
          <w:szCs w:val="16"/>
          <w:lang w:val="en-GB"/>
        </w:rPr>
        <w:t>.</w:t>
      </w:r>
      <w:r w:rsidRPr="009A5F39">
        <w:rPr>
          <w:spacing w:val="-2"/>
          <w:sz w:val="16"/>
          <w:szCs w:val="16"/>
          <w:lang w:val="en-GB"/>
        </w:rPr>
        <w:t>9%).</w:t>
      </w:r>
      <w:r>
        <w:rPr>
          <w:spacing w:val="-2"/>
          <w:sz w:val="16"/>
          <w:szCs w:val="16"/>
          <w:lang w:val="en-GB"/>
        </w:rPr>
        <w:t xml:space="preserve"> The introduction of even 15% tax from the super-gross wage had a major effect at that time. </w:t>
      </w:r>
    </w:p>
  </w:footnote>
  <w:footnote w:id="6">
    <w:p w:rsidR="003F15C8" w:rsidRPr="009A5F39" w:rsidRDefault="003F15C8" w:rsidP="0049030E">
      <w:pPr>
        <w:pStyle w:val="Textpoznpodarou"/>
        <w:jc w:val="both"/>
        <w:rPr>
          <w:sz w:val="16"/>
          <w:szCs w:val="16"/>
          <w:lang w:val="en-GB"/>
        </w:rPr>
      </w:pPr>
      <w:r w:rsidRPr="009A5F39">
        <w:rPr>
          <w:rStyle w:val="Znakapoznpodarou"/>
          <w:spacing w:val="-2"/>
          <w:sz w:val="16"/>
          <w:szCs w:val="16"/>
          <w:lang w:val="en-GB"/>
        </w:rPr>
        <w:footnoteRef/>
      </w:r>
      <w:r w:rsidRPr="009A5F39">
        <w:rPr>
          <w:spacing w:val="-2"/>
          <w:sz w:val="16"/>
          <w:szCs w:val="16"/>
          <w:lang w:val="en-GB"/>
        </w:rPr>
        <w:t xml:space="preserve"> </w:t>
      </w:r>
      <w:r>
        <w:rPr>
          <w:spacing w:val="-2"/>
          <w:sz w:val="16"/>
          <w:szCs w:val="16"/>
          <w:lang w:val="en-GB"/>
        </w:rPr>
        <w:t>It was the only more significant by volume tax</w:t>
      </w:r>
      <w:r w:rsidRPr="009A5F39">
        <w:rPr>
          <w:spacing w:val="-2"/>
          <w:sz w:val="16"/>
          <w:szCs w:val="16"/>
          <w:lang w:val="en-GB"/>
        </w:rPr>
        <w:t xml:space="preserve">, </w:t>
      </w:r>
      <w:r>
        <w:rPr>
          <w:spacing w:val="-2"/>
          <w:sz w:val="16"/>
          <w:szCs w:val="16"/>
          <w:lang w:val="en-GB"/>
        </w:rPr>
        <w:t xml:space="preserve">whose collection exceeded the original budget anticipation in year </w:t>
      </w:r>
      <w:r w:rsidRPr="009A5F39">
        <w:rPr>
          <w:spacing w:val="-2"/>
          <w:sz w:val="16"/>
          <w:szCs w:val="16"/>
          <w:lang w:val="en-GB"/>
        </w:rPr>
        <w:t>2020</w:t>
      </w:r>
      <w:r>
        <w:rPr>
          <w:spacing w:val="-2"/>
          <w:sz w:val="16"/>
          <w:szCs w:val="16"/>
          <w:lang w:val="en-GB"/>
        </w:rPr>
        <w:t xml:space="preserve"> </w:t>
      </w:r>
      <w:r w:rsidRPr="009A5F39">
        <w:rPr>
          <w:spacing w:val="-2"/>
          <w:sz w:val="16"/>
          <w:szCs w:val="16"/>
          <w:lang w:val="en-GB"/>
        </w:rPr>
        <w:t>(</w:t>
      </w:r>
      <w:r>
        <w:rPr>
          <w:spacing w:val="-2"/>
          <w:sz w:val="16"/>
          <w:szCs w:val="16"/>
          <w:lang w:val="en-GB"/>
        </w:rPr>
        <w:t xml:space="preserve">based on the State Budget Act approved on </w:t>
      </w:r>
      <w:r w:rsidRPr="009A5F39">
        <w:rPr>
          <w:spacing w:val="-2"/>
          <w:sz w:val="16"/>
          <w:szCs w:val="16"/>
          <w:lang w:val="en-GB"/>
        </w:rPr>
        <w:t>4</w:t>
      </w:r>
      <w:r w:rsidRPr="006B47C8">
        <w:rPr>
          <w:spacing w:val="-2"/>
          <w:sz w:val="16"/>
          <w:szCs w:val="16"/>
          <w:vertAlign w:val="superscript"/>
          <w:lang w:val="en-GB"/>
        </w:rPr>
        <w:t>th</w:t>
      </w:r>
      <w:r>
        <w:rPr>
          <w:spacing w:val="-2"/>
          <w:sz w:val="16"/>
          <w:szCs w:val="16"/>
          <w:lang w:val="en-GB"/>
        </w:rPr>
        <w:t xml:space="preserve"> December </w:t>
      </w:r>
      <w:r w:rsidRPr="009A5F39">
        <w:rPr>
          <w:spacing w:val="-2"/>
          <w:sz w:val="16"/>
          <w:szCs w:val="16"/>
          <w:lang w:val="en-GB"/>
        </w:rPr>
        <w:t xml:space="preserve">2019 </w:t>
      </w:r>
      <w:r>
        <w:rPr>
          <w:spacing w:val="-2"/>
          <w:sz w:val="16"/>
          <w:szCs w:val="16"/>
          <w:lang w:val="en-GB"/>
        </w:rPr>
        <w:t xml:space="preserve">with budget deficit of </w:t>
      </w:r>
      <w:r w:rsidRPr="009A5F39">
        <w:rPr>
          <w:spacing w:val="-2"/>
          <w:sz w:val="16"/>
          <w:szCs w:val="16"/>
          <w:lang w:val="en-GB"/>
        </w:rPr>
        <w:t>40</w:t>
      </w:r>
      <w:r>
        <w:rPr>
          <w:spacing w:val="-2"/>
          <w:sz w:val="16"/>
          <w:szCs w:val="16"/>
          <w:lang w:val="en-GB"/>
        </w:rPr>
        <w:t xml:space="preserve"> CZK bn</w:t>
      </w:r>
      <w:r w:rsidRPr="009A5F39">
        <w:rPr>
          <w:spacing w:val="-2"/>
          <w:sz w:val="16"/>
          <w:szCs w:val="16"/>
          <w:lang w:val="en-GB"/>
        </w:rPr>
        <w:t>).</w:t>
      </w:r>
    </w:p>
  </w:footnote>
  <w:footnote w:id="7">
    <w:p w:rsidR="003F15C8" w:rsidRPr="00D86273" w:rsidRDefault="003F15C8" w:rsidP="00D86273">
      <w:pPr>
        <w:pStyle w:val="Textpoznpodarou"/>
        <w:jc w:val="both"/>
        <w:rPr>
          <w:spacing w:val="-5"/>
          <w:sz w:val="16"/>
          <w:szCs w:val="16"/>
          <w:lang w:val="en-GB"/>
        </w:rPr>
      </w:pPr>
      <w:r w:rsidRPr="00E97F14">
        <w:rPr>
          <w:rStyle w:val="Znakapoznpodarou"/>
          <w:spacing w:val="-5"/>
          <w:sz w:val="16"/>
          <w:szCs w:val="16"/>
        </w:rPr>
        <w:footnoteRef/>
      </w:r>
      <w:r w:rsidRPr="00E97F14">
        <w:rPr>
          <w:spacing w:val="-5"/>
          <w:sz w:val="16"/>
          <w:szCs w:val="16"/>
        </w:rPr>
        <w:t xml:space="preserve"> </w:t>
      </w:r>
      <w:r>
        <w:rPr>
          <w:spacing w:val="-5"/>
          <w:sz w:val="16"/>
          <w:szCs w:val="16"/>
          <w:lang w:val="en-GB"/>
        </w:rPr>
        <w:t xml:space="preserve">It primarily concerned outlays on health care </w:t>
      </w:r>
      <w:r w:rsidRPr="00D86273">
        <w:rPr>
          <w:color w:val="0D0D0D" w:themeColor="text1" w:themeTint="F2"/>
          <w:spacing w:val="-5"/>
          <w:sz w:val="16"/>
          <w:szCs w:val="16"/>
          <w:lang w:val="en-GB"/>
        </w:rPr>
        <w:t>(54</w:t>
      </w:r>
      <w:r>
        <w:rPr>
          <w:color w:val="0D0D0D" w:themeColor="text1" w:themeTint="F2"/>
          <w:spacing w:val="-5"/>
          <w:sz w:val="16"/>
          <w:szCs w:val="16"/>
          <w:lang w:val="en-GB"/>
        </w:rPr>
        <w:t>.</w:t>
      </w:r>
      <w:r w:rsidRPr="00D86273">
        <w:rPr>
          <w:color w:val="0D0D0D" w:themeColor="text1" w:themeTint="F2"/>
          <w:spacing w:val="-5"/>
          <w:sz w:val="16"/>
          <w:szCs w:val="16"/>
          <w:lang w:val="en-GB"/>
        </w:rPr>
        <w:t>8</w:t>
      </w:r>
      <w:r>
        <w:rPr>
          <w:color w:val="0D0D0D" w:themeColor="text1" w:themeTint="F2"/>
          <w:spacing w:val="-5"/>
          <w:sz w:val="16"/>
          <w:szCs w:val="16"/>
          <w:lang w:val="en-GB"/>
        </w:rPr>
        <w:t xml:space="preserve"> CZK bn, especially purchase of protective aids in connection to </w:t>
      </w:r>
      <w:r w:rsidRPr="00D86273">
        <w:rPr>
          <w:color w:val="0D0D0D" w:themeColor="text1" w:themeTint="F2"/>
          <w:spacing w:val="-5"/>
          <w:sz w:val="16"/>
          <w:szCs w:val="16"/>
          <w:lang w:val="en-GB"/>
        </w:rPr>
        <w:t xml:space="preserve">covid-19, </w:t>
      </w:r>
      <w:r>
        <w:rPr>
          <w:color w:val="0D0D0D" w:themeColor="text1" w:themeTint="F2"/>
          <w:spacing w:val="-5"/>
          <w:sz w:val="16"/>
          <w:szCs w:val="16"/>
          <w:lang w:val="en-GB"/>
        </w:rPr>
        <w:t>debt relief of selected hospitals</w:t>
      </w:r>
      <w:r w:rsidRPr="00D86273">
        <w:rPr>
          <w:color w:val="0D0D0D" w:themeColor="text1" w:themeTint="F2"/>
          <w:spacing w:val="-5"/>
          <w:sz w:val="16"/>
          <w:szCs w:val="16"/>
          <w:lang w:val="en-GB"/>
        </w:rPr>
        <w:t xml:space="preserve">, </w:t>
      </w:r>
      <w:r>
        <w:rPr>
          <w:color w:val="0D0D0D" w:themeColor="text1" w:themeTint="F2"/>
          <w:spacing w:val="-5"/>
          <w:sz w:val="16"/>
          <w:szCs w:val="16"/>
          <w:lang w:val="en-GB"/>
        </w:rPr>
        <w:t>enhanced payment of the state per the state insured persons and increase of personal costs of workers in the health care</w:t>
      </w:r>
      <w:r w:rsidRPr="00D86273">
        <w:rPr>
          <w:color w:val="0D0D0D" w:themeColor="text1" w:themeTint="F2"/>
          <w:spacing w:val="-5"/>
          <w:sz w:val="16"/>
          <w:szCs w:val="16"/>
          <w:lang w:val="en-GB"/>
        </w:rPr>
        <w:t>),</w:t>
      </w:r>
      <w:r>
        <w:rPr>
          <w:color w:val="0D0D0D" w:themeColor="text1" w:themeTint="F2"/>
          <w:spacing w:val="-5"/>
          <w:sz w:val="16"/>
          <w:szCs w:val="16"/>
          <w:lang w:val="en-GB"/>
        </w:rPr>
        <w:t xml:space="preserve"> further programme A</w:t>
      </w:r>
      <w:r w:rsidRPr="00D86273">
        <w:rPr>
          <w:color w:val="0D0D0D" w:themeColor="text1" w:themeTint="F2"/>
          <w:spacing w:val="-5"/>
          <w:sz w:val="16"/>
          <w:szCs w:val="16"/>
          <w:lang w:val="en-GB"/>
        </w:rPr>
        <w:t>ntivirus A + B (23</w:t>
      </w:r>
      <w:r>
        <w:rPr>
          <w:color w:val="0D0D0D" w:themeColor="text1" w:themeTint="F2"/>
          <w:spacing w:val="-5"/>
          <w:sz w:val="16"/>
          <w:szCs w:val="16"/>
          <w:lang w:val="en-GB"/>
        </w:rPr>
        <w:t>.</w:t>
      </w:r>
      <w:r w:rsidRPr="00D86273">
        <w:rPr>
          <w:color w:val="0D0D0D" w:themeColor="text1" w:themeTint="F2"/>
          <w:spacing w:val="-5"/>
          <w:sz w:val="16"/>
          <w:szCs w:val="16"/>
          <w:lang w:val="en-GB"/>
        </w:rPr>
        <w:t>7 </w:t>
      </w:r>
      <w:r>
        <w:rPr>
          <w:color w:val="0D0D0D" w:themeColor="text1" w:themeTint="F2"/>
          <w:spacing w:val="-5"/>
          <w:sz w:val="16"/>
          <w:szCs w:val="16"/>
          <w:lang w:val="en-GB"/>
        </w:rPr>
        <w:t>bn</w:t>
      </w:r>
      <w:r w:rsidRPr="00D86273">
        <w:rPr>
          <w:color w:val="0D0D0D" w:themeColor="text1" w:themeTint="F2"/>
          <w:spacing w:val="-5"/>
          <w:sz w:val="16"/>
          <w:szCs w:val="16"/>
          <w:lang w:val="en-GB"/>
        </w:rPr>
        <w:t>),</w:t>
      </w:r>
      <w:r>
        <w:rPr>
          <w:color w:val="0D0D0D" w:themeColor="text1" w:themeTint="F2"/>
          <w:spacing w:val="-5"/>
          <w:sz w:val="16"/>
          <w:szCs w:val="16"/>
          <w:lang w:val="en-GB"/>
        </w:rPr>
        <w:t xml:space="preserve"> care benefits for employees and self-employed </w:t>
      </w:r>
      <w:r w:rsidRPr="00D86273">
        <w:rPr>
          <w:color w:val="0D0D0D" w:themeColor="text1" w:themeTint="F2"/>
          <w:spacing w:val="-5"/>
          <w:sz w:val="16"/>
          <w:szCs w:val="16"/>
          <w:lang w:val="en-GB"/>
        </w:rPr>
        <w:t>(12</w:t>
      </w:r>
      <w:r>
        <w:rPr>
          <w:color w:val="0D0D0D" w:themeColor="text1" w:themeTint="F2"/>
          <w:spacing w:val="-5"/>
          <w:sz w:val="16"/>
          <w:szCs w:val="16"/>
          <w:lang w:val="en-GB"/>
        </w:rPr>
        <w:t>.</w:t>
      </w:r>
      <w:r w:rsidRPr="00D86273">
        <w:rPr>
          <w:color w:val="0D0D0D" w:themeColor="text1" w:themeTint="F2"/>
          <w:spacing w:val="-5"/>
          <w:sz w:val="16"/>
          <w:szCs w:val="16"/>
          <w:lang w:val="en-GB"/>
        </w:rPr>
        <w:t>0</w:t>
      </w:r>
      <w:r>
        <w:rPr>
          <w:color w:val="0D0D0D" w:themeColor="text1" w:themeTint="F2"/>
          <w:spacing w:val="-5"/>
          <w:sz w:val="16"/>
          <w:szCs w:val="16"/>
          <w:lang w:val="en-GB"/>
        </w:rPr>
        <w:t xml:space="preserve"> bn</w:t>
      </w:r>
      <w:r w:rsidRPr="00D86273">
        <w:rPr>
          <w:color w:val="0D0D0D" w:themeColor="text1" w:themeTint="F2"/>
          <w:spacing w:val="-5"/>
          <w:sz w:val="16"/>
          <w:szCs w:val="16"/>
          <w:lang w:val="en-GB"/>
        </w:rPr>
        <w:t xml:space="preserve">), </w:t>
      </w:r>
      <w:r>
        <w:rPr>
          <w:color w:val="0D0D0D" w:themeColor="text1" w:themeTint="F2"/>
          <w:spacing w:val="-5"/>
          <w:sz w:val="16"/>
          <w:szCs w:val="16"/>
          <w:lang w:val="en-GB"/>
        </w:rPr>
        <w:t xml:space="preserve">one-off compensation for the income fallout for municipalities and cities </w:t>
      </w:r>
      <w:r w:rsidRPr="00D86273">
        <w:rPr>
          <w:color w:val="0D0D0D" w:themeColor="text1" w:themeTint="F2"/>
          <w:spacing w:val="-5"/>
          <w:sz w:val="16"/>
          <w:szCs w:val="16"/>
          <w:lang w:val="en-GB"/>
        </w:rPr>
        <w:t>(13</w:t>
      </w:r>
      <w:r>
        <w:rPr>
          <w:color w:val="0D0D0D" w:themeColor="text1" w:themeTint="F2"/>
          <w:spacing w:val="-5"/>
          <w:sz w:val="16"/>
          <w:szCs w:val="16"/>
          <w:lang w:val="en-GB"/>
        </w:rPr>
        <w:t>.</w:t>
      </w:r>
      <w:r w:rsidRPr="00D86273">
        <w:rPr>
          <w:color w:val="0D0D0D" w:themeColor="text1" w:themeTint="F2"/>
          <w:spacing w:val="-5"/>
          <w:sz w:val="16"/>
          <w:szCs w:val="16"/>
          <w:lang w:val="en-GB"/>
        </w:rPr>
        <w:t>4</w:t>
      </w:r>
      <w:r>
        <w:rPr>
          <w:color w:val="0D0D0D" w:themeColor="text1" w:themeTint="F2"/>
          <w:spacing w:val="-5"/>
          <w:sz w:val="16"/>
          <w:szCs w:val="16"/>
          <w:lang w:val="en-GB"/>
        </w:rPr>
        <w:t xml:space="preserve"> bn</w:t>
      </w:r>
      <w:r w:rsidRPr="00D86273">
        <w:rPr>
          <w:color w:val="0D0D0D" w:themeColor="text1" w:themeTint="F2"/>
          <w:spacing w:val="-5"/>
          <w:sz w:val="16"/>
          <w:szCs w:val="16"/>
          <w:lang w:val="en-GB"/>
        </w:rPr>
        <w:t xml:space="preserve">), </w:t>
      </w:r>
      <w:r>
        <w:rPr>
          <w:color w:val="0D0D0D" w:themeColor="text1" w:themeTint="F2"/>
          <w:spacing w:val="-5"/>
          <w:sz w:val="16"/>
          <w:szCs w:val="16"/>
          <w:lang w:val="en-GB"/>
        </w:rPr>
        <w:t xml:space="preserve">increase of funds on wages and bonuses in social works and further selected areas of the public sector outside the health care </w:t>
      </w:r>
      <w:r w:rsidRPr="00D86273">
        <w:rPr>
          <w:color w:val="0D0D0D" w:themeColor="text1" w:themeTint="F2"/>
          <w:spacing w:val="-5"/>
          <w:sz w:val="16"/>
          <w:szCs w:val="16"/>
          <w:lang w:val="en-GB"/>
        </w:rPr>
        <w:t>(3</w:t>
      </w:r>
      <w:r>
        <w:rPr>
          <w:color w:val="0D0D0D" w:themeColor="text1" w:themeTint="F2"/>
          <w:spacing w:val="-5"/>
          <w:sz w:val="16"/>
          <w:szCs w:val="16"/>
          <w:lang w:val="en-GB"/>
        </w:rPr>
        <w:t>.</w:t>
      </w:r>
      <w:r w:rsidRPr="00D86273">
        <w:rPr>
          <w:color w:val="0D0D0D" w:themeColor="text1" w:themeTint="F2"/>
          <w:spacing w:val="-5"/>
          <w:sz w:val="16"/>
          <w:szCs w:val="16"/>
          <w:lang w:val="en-GB"/>
        </w:rPr>
        <w:t>3</w:t>
      </w:r>
      <w:r>
        <w:rPr>
          <w:color w:val="0D0D0D" w:themeColor="text1" w:themeTint="F2"/>
          <w:spacing w:val="-5"/>
          <w:sz w:val="16"/>
          <w:szCs w:val="16"/>
          <w:lang w:val="en-GB"/>
        </w:rPr>
        <w:t xml:space="preserve"> bn</w:t>
      </w:r>
      <w:r w:rsidRPr="00D86273">
        <w:rPr>
          <w:color w:val="0D0D0D" w:themeColor="text1" w:themeTint="F2"/>
          <w:spacing w:val="-5"/>
          <w:sz w:val="16"/>
          <w:szCs w:val="16"/>
          <w:lang w:val="en-GB"/>
        </w:rPr>
        <w:t>)</w:t>
      </w:r>
      <w:r>
        <w:rPr>
          <w:color w:val="0D0D0D" w:themeColor="text1" w:themeTint="F2"/>
          <w:spacing w:val="-5"/>
          <w:sz w:val="16"/>
          <w:szCs w:val="16"/>
          <w:lang w:val="en-GB"/>
        </w:rPr>
        <w:t xml:space="preserve"> or other programmes on direct support of hit businesses as well as branches </w:t>
      </w:r>
      <w:r w:rsidRPr="00D86273">
        <w:rPr>
          <w:color w:val="0D0D0D" w:themeColor="text1" w:themeTint="F2"/>
          <w:spacing w:val="-5"/>
          <w:sz w:val="16"/>
          <w:szCs w:val="16"/>
          <w:lang w:val="en-GB"/>
        </w:rPr>
        <w:t xml:space="preserve">– </w:t>
      </w:r>
      <w:r>
        <w:rPr>
          <w:color w:val="0D0D0D" w:themeColor="text1" w:themeTint="F2"/>
          <w:spacing w:val="-5"/>
          <w:sz w:val="16"/>
          <w:szCs w:val="16"/>
          <w:lang w:val="en-GB"/>
        </w:rPr>
        <w:t xml:space="preserve">e.g. </w:t>
      </w:r>
      <w:r w:rsidRPr="00D86273">
        <w:rPr>
          <w:color w:val="0D0D0D" w:themeColor="text1" w:themeTint="F2"/>
          <w:spacing w:val="-5"/>
          <w:sz w:val="16"/>
          <w:szCs w:val="16"/>
          <w:lang w:val="en-GB"/>
        </w:rPr>
        <w:t xml:space="preserve">COVID </w:t>
      </w:r>
      <w:r>
        <w:rPr>
          <w:color w:val="0D0D0D" w:themeColor="text1" w:themeTint="F2"/>
          <w:spacing w:val="-5"/>
          <w:sz w:val="16"/>
          <w:szCs w:val="16"/>
          <w:lang w:val="en-GB"/>
        </w:rPr>
        <w:t xml:space="preserve">Rent </w:t>
      </w:r>
      <w:r w:rsidRPr="00D86273">
        <w:rPr>
          <w:color w:val="0D0D0D" w:themeColor="text1" w:themeTint="F2"/>
          <w:spacing w:val="-5"/>
          <w:sz w:val="16"/>
          <w:szCs w:val="16"/>
          <w:lang w:val="en-GB"/>
        </w:rPr>
        <w:t>(4</w:t>
      </w:r>
      <w:r>
        <w:rPr>
          <w:color w:val="0D0D0D" w:themeColor="text1" w:themeTint="F2"/>
          <w:spacing w:val="-5"/>
          <w:sz w:val="16"/>
          <w:szCs w:val="16"/>
          <w:lang w:val="en-GB"/>
        </w:rPr>
        <w:t>.</w:t>
      </w:r>
      <w:r w:rsidRPr="00D86273">
        <w:rPr>
          <w:color w:val="0D0D0D" w:themeColor="text1" w:themeTint="F2"/>
          <w:spacing w:val="-5"/>
          <w:sz w:val="16"/>
          <w:szCs w:val="16"/>
          <w:lang w:val="en-GB"/>
        </w:rPr>
        <w:t>1</w:t>
      </w:r>
      <w:r>
        <w:rPr>
          <w:color w:val="0D0D0D" w:themeColor="text1" w:themeTint="F2"/>
          <w:spacing w:val="-5"/>
          <w:sz w:val="16"/>
          <w:szCs w:val="16"/>
          <w:lang w:val="en-GB"/>
        </w:rPr>
        <w:t xml:space="preserve"> bn</w:t>
      </w:r>
      <w:r w:rsidRPr="00D86273">
        <w:rPr>
          <w:color w:val="0D0D0D" w:themeColor="text1" w:themeTint="F2"/>
          <w:spacing w:val="-5"/>
          <w:sz w:val="16"/>
          <w:szCs w:val="16"/>
          <w:lang w:val="en-GB"/>
        </w:rPr>
        <w:t>) a</w:t>
      </w:r>
      <w:r>
        <w:rPr>
          <w:color w:val="0D0D0D" w:themeColor="text1" w:themeTint="F2"/>
          <w:spacing w:val="-5"/>
          <w:sz w:val="16"/>
          <w:szCs w:val="16"/>
          <w:lang w:val="en-GB"/>
        </w:rPr>
        <w:t>nd</w:t>
      </w:r>
      <w:r w:rsidRPr="00D86273">
        <w:rPr>
          <w:color w:val="0D0D0D" w:themeColor="text1" w:themeTint="F2"/>
          <w:spacing w:val="-5"/>
          <w:sz w:val="16"/>
          <w:szCs w:val="16"/>
          <w:lang w:val="en-GB"/>
        </w:rPr>
        <w:t> COVID</w:t>
      </w:r>
      <w:r>
        <w:rPr>
          <w:color w:val="0D0D0D" w:themeColor="text1" w:themeTint="F2"/>
          <w:spacing w:val="-5"/>
          <w:sz w:val="16"/>
          <w:szCs w:val="16"/>
          <w:lang w:val="en-GB"/>
        </w:rPr>
        <w:t xml:space="preserve"> Accommodation </w:t>
      </w:r>
      <w:r w:rsidRPr="00D86273">
        <w:rPr>
          <w:color w:val="0D0D0D" w:themeColor="text1" w:themeTint="F2"/>
          <w:spacing w:val="-5"/>
          <w:sz w:val="16"/>
          <w:szCs w:val="16"/>
          <w:lang w:val="en-GB"/>
        </w:rPr>
        <w:t>(2</w:t>
      </w:r>
      <w:r>
        <w:rPr>
          <w:color w:val="0D0D0D" w:themeColor="text1" w:themeTint="F2"/>
          <w:spacing w:val="-5"/>
          <w:sz w:val="16"/>
          <w:szCs w:val="16"/>
          <w:lang w:val="en-GB"/>
        </w:rPr>
        <w:t>.</w:t>
      </w:r>
      <w:r w:rsidRPr="00D86273">
        <w:rPr>
          <w:color w:val="0D0D0D" w:themeColor="text1" w:themeTint="F2"/>
          <w:spacing w:val="-5"/>
          <w:sz w:val="16"/>
          <w:szCs w:val="16"/>
          <w:lang w:val="en-GB"/>
        </w:rPr>
        <w:t>3</w:t>
      </w:r>
      <w:r>
        <w:rPr>
          <w:color w:val="0D0D0D" w:themeColor="text1" w:themeTint="F2"/>
          <w:spacing w:val="-5"/>
          <w:sz w:val="16"/>
          <w:szCs w:val="16"/>
          <w:lang w:val="en-GB"/>
        </w:rPr>
        <w:t xml:space="preserve"> CZK bn</w:t>
      </w:r>
      <w:r w:rsidRPr="00D86273">
        <w:rPr>
          <w:color w:val="0D0D0D" w:themeColor="text1" w:themeTint="F2"/>
          <w:spacing w:val="-5"/>
          <w:sz w:val="16"/>
          <w:szCs w:val="16"/>
          <w:lang w:val="en-GB"/>
        </w:rPr>
        <w:t>).</w:t>
      </w:r>
    </w:p>
  </w:footnote>
  <w:footnote w:id="8">
    <w:p w:rsidR="003F15C8" w:rsidRPr="000D493D" w:rsidRDefault="003F15C8" w:rsidP="00EB7712">
      <w:pPr>
        <w:pStyle w:val="Textpoznpodarou"/>
        <w:jc w:val="both"/>
        <w:rPr>
          <w:spacing w:val="-2"/>
          <w:sz w:val="16"/>
          <w:szCs w:val="16"/>
          <w:lang w:val="en-GB"/>
        </w:rPr>
      </w:pPr>
      <w:r w:rsidRPr="002802FF">
        <w:rPr>
          <w:rStyle w:val="Znakapoznpodarou"/>
          <w:spacing w:val="-2"/>
          <w:sz w:val="16"/>
          <w:szCs w:val="16"/>
        </w:rPr>
        <w:footnoteRef/>
      </w:r>
      <w:r w:rsidRPr="002802FF">
        <w:rPr>
          <w:spacing w:val="-2"/>
          <w:sz w:val="16"/>
          <w:szCs w:val="16"/>
        </w:rPr>
        <w:t xml:space="preserve"> </w:t>
      </w:r>
      <w:r w:rsidRPr="000D493D">
        <w:rPr>
          <w:spacing w:val="-2"/>
          <w:sz w:val="16"/>
          <w:szCs w:val="16"/>
          <w:lang w:val="en-GB"/>
        </w:rPr>
        <w:t xml:space="preserve">Total outlays on non-investment purchases (excluding outlays servicing the state debt) amounted to 78 CZK bn last year and overtook the so far record size </w:t>
      </w:r>
      <w:r>
        <w:rPr>
          <w:spacing w:val="-2"/>
          <w:sz w:val="16"/>
          <w:szCs w:val="16"/>
          <w:lang w:val="en-GB"/>
        </w:rPr>
        <w:t>f</w:t>
      </w:r>
      <w:r w:rsidRPr="000D493D">
        <w:rPr>
          <w:spacing w:val="-2"/>
          <w:sz w:val="16"/>
          <w:szCs w:val="16"/>
          <w:lang w:val="en-GB"/>
        </w:rPr>
        <w:t xml:space="preserve">rom year 2008 (72 bn). These outlays were significantly reduced in ties to the austerity measures in the first half of the last decade. </w:t>
      </w:r>
    </w:p>
  </w:footnote>
  <w:footnote w:id="9">
    <w:p w:rsidR="003F15C8" w:rsidRPr="000D493D" w:rsidRDefault="003F15C8" w:rsidP="00EB7712">
      <w:pPr>
        <w:pStyle w:val="Textpoznpodarou"/>
        <w:jc w:val="both"/>
        <w:rPr>
          <w:spacing w:val="-2"/>
          <w:lang w:val="en-GB"/>
        </w:rPr>
      </w:pPr>
      <w:r w:rsidRPr="000D493D">
        <w:rPr>
          <w:rStyle w:val="Znakapoznpodarou"/>
          <w:spacing w:val="-2"/>
          <w:sz w:val="16"/>
          <w:szCs w:val="16"/>
          <w:lang w:val="en-GB"/>
        </w:rPr>
        <w:footnoteRef/>
      </w:r>
      <w:r w:rsidRPr="000D493D">
        <w:rPr>
          <w:spacing w:val="-2"/>
          <w:sz w:val="16"/>
          <w:szCs w:val="16"/>
          <w:lang w:val="en-GB"/>
        </w:rPr>
        <w:t xml:space="preserve"> </w:t>
      </w:r>
      <w:r>
        <w:rPr>
          <w:spacing w:val="-2"/>
          <w:sz w:val="16"/>
          <w:szCs w:val="16"/>
          <w:lang w:val="en-GB"/>
        </w:rPr>
        <w:t xml:space="preserve">It concerned the cancellation of minimal advance payments for self-employed persons on social insurance with estimated budget impact of </w:t>
      </w:r>
      <w:r w:rsidRPr="000D493D">
        <w:rPr>
          <w:color w:val="0D0D0D" w:themeColor="text1" w:themeTint="F2"/>
          <w:spacing w:val="-2"/>
          <w:sz w:val="16"/>
          <w:szCs w:val="16"/>
          <w:lang w:val="en-GB"/>
        </w:rPr>
        <w:t>7</w:t>
      </w:r>
      <w:r>
        <w:rPr>
          <w:color w:val="0D0D0D" w:themeColor="text1" w:themeTint="F2"/>
          <w:spacing w:val="-2"/>
          <w:sz w:val="16"/>
          <w:szCs w:val="16"/>
          <w:lang w:val="en-GB"/>
        </w:rPr>
        <w:t>.</w:t>
      </w:r>
      <w:r w:rsidRPr="000D493D">
        <w:rPr>
          <w:color w:val="0D0D0D" w:themeColor="text1" w:themeTint="F2"/>
          <w:spacing w:val="-2"/>
          <w:sz w:val="16"/>
          <w:szCs w:val="16"/>
          <w:lang w:val="en-GB"/>
        </w:rPr>
        <w:t>4</w:t>
      </w:r>
      <w:r>
        <w:rPr>
          <w:color w:val="0D0D0D" w:themeColor="text1" w:themeTint="F2"/>
          <w:spacing w:val="-2"/>
          <w:sz w:val="16"/>
          <w:szCs w:val="16"/>
          <w:lang w:val="en-GB"/>
        </w:rPr>
        <w:t xml:space="preserve"> CZK bn and further the waiver of insurance on social security and employment policy paid by the employer </w:t>
      </w:r>
      <w:r w:rsidRPr="000D493D">
        <w:rPr>
          <w:color w:val="0D0D0D" w:themeColor="text1" w:themeTint="F2"/>
          <w:spacing w:val="-2"/>
          <w:sz w:val="16"/>
          <w:szCs w:val="16"/>
          <w:lang w:val="en-GB"/>
        </w:rPr>
        <w:t>(13</w:t>
      </w:r>
      <w:r>
        <w:rPr>
          <w:color w:val="0D0D0D" w:themeColor="text1" w:themeTint="F2"/>
          <w:spacing w:val="-2"/>
          <w:sz w:val="16"/>
          <w:szCs w:val="16"/>
          <w:lang w:val="en-GB"/>
        </w:rPr>
        <w:t>.</w:t>
      </w:r>
      <w:r w:rsidRPr="000D493D">
        <w:rPr>
          <w:color w:val="0D0D0D" w:themeColor="text1" w:themeTint="F2"/>
          <w:spacing w:val="-2"/>
          <w:sz w:val="16"/>
          <w:szCs w:val="16"/>
          <w:lang w:val="en-GB"/>
        </w:rPr>
        <w:t>3</w:t>
      </w:r>
      <w:r>
        <w:rPr>
          <w:color w:val="0D0D0D" w:themeColor="text1" w:themeTint="F2"/>
          <w:spacing w:val="-2"/>
          <w:sz w:val="16"/>
          <w:szCs w:val="16"/>
          <w:lang w:val="en-GB"/>
        </w:rPr>
        <w:t xml:space="preserve"> bn</w:t>
      </w:r>
      <w:r w:rsidRPr="000D493D">
        <w:rPr>
          <w:color w:val="0D0D0D" w:themeColor="text1" w:themeTint="F2"/>
          <w:spacing w:val="-2"/>
          <w:sz w:val="16"/>
          <w:szCs w:val="16"/>
          <w:lang w:val="en-GB"/>
        </w:rPr>
        <w:t>).</w:t>
      </w:r>
    </w:p>
  </w:footnote>
  <w:footnote w:id="10">
    <w:p w:rsidR="003F15C8" w:rsidRPr="000D493D" w:rsidRDefault="003F15C8" w:rsidP="00EB7712">
      <w:pPr>
        <w:pStyle w:val="Textpoznpodarou"/>
        <w:jc w:val="both"/>
        <w:rPr>
          <w:spacing w:val="-2"/>
          <w:lang w:val="en-GB"/>
        </w:rPr>
      </w:pPr>
      <w:r w:rsidRPr="000D493D">
        <w:rPr>
          <w:rStyle w:val="Znakapoznpodarou"/>
          <w:spacing w:val="-2"/>
          <w:sz w:val="16"/>
          <w:szCs w:val="16"/>
          <w:lang w:val="en-GB"/>
        </w:rPr>
        <w:footnoteRef/>
      </w:r>
      <w:r w:rsidRPr="000D493D">
        <w:rPr>
          <w:spacing w:val="-2"/>
          <w:sz w:val="16"/>
          <w:szCs w:val="16"/>
          <w:lang w:val="en-GB"/>
        </w:rPr>
        <w:t xml:space="preserve"> </w:t>
      </w:r>
      <w:r>
        <w:rPr>
          <w:spacing w:val="-2"/>
          <w:sz w:val="16"/>
          <w:szCs w:val="16"/>
          <w:lang w:val="en-GB"/>
        </w:rPr>
        <w:t xml:space="preserve">Expresses the difference between revenues and outlays on pensions from the SB. Outlays do not include the costs of the management of the pension insurance system. </w:t>
      </w:r>
    </w:p>
  </w:footnote>
  <w:footnote w:id="11">
    <w:p w:rsidR="003F15C8" w:rsidRPr="000D493D" w:rsidRDefault="003F15C8" w:rsidP="00EB7712">
      <w:pPr>
        <w:pStyle w:val="Textpoznpodarou"/>
        <w:jc w:val="both"/>
        <w:rPr>
          <w:sz w:val="16"/>
          <w:szCs w:val="16"/>
          <w:lang w:val="en-GB"/>
        </w:rPr>
      </w:pPr>
      <w:r w:rsidRPr="000D493D">
        <w:rPr>
          <w:rStyle w:val="Znakapoznpodarou"/>
          <w:spacing w:val="-2"/>
          <w:sz w:val="16"/>
          <w:szCs w:val="16"/>
          <w:lang w:val="en-GB"/>
        </w:rPr>
        <w:footnoteRef/>
      </w:r>
      <w:r w:rsidRPr="000D493D">
        <w:rPr>
          <w:spacing w:val="-2"/>
          <w:sz w:val="16"/>
          <w:szCs w:val="16"/>
          <w:lang w:val="en-GB"/>
        </w:rPr>
        <w:t xml:space="preserve"> </w:t>
      </w:r>
      <w:r>
        <w:rPr>
          <w:spacing w:val="-2"/>
          <w:sz w:val="16"/>
          <w:szCs w:val="16"/>
          <w:lang w:val="en-GB"/>
        </w:rPr>
        <w:t>The CSSA data regarding the temporary inability to work show, that while in Q</w:t>
      </w:r>
      <w:r w:rsidRPr="000D493D">
        <w:rPr>
          <w:spacing w:val="-2"/>
          <w:sz w:val="16"/>
          <w:szCs w:val="16"/>
          <w:lang w:val="en-GB"/>
        </w:rPr>
        <w:t>1</w:t>
      </w:r>
      <w:r>
        <w:rPr>
          <w:spacing w:val="-2"/>
          <w:sz w:val="16"/>
          <w:szCs w:val="16"/>
          <w:lang w:val="en-GB"/>
        </w:rPr>
        <w:t xml:space="preserve"> </w:t>
      </w:r>
      <w:r w:rsidRPr="000D493D">
        <w:rPr>
          <w:spacing w:val="-2"/>
          <w:sz w:val="16"/>
          <w:szCs w:val="16"/>
          <w:lang w:val="en-GB"/>
        </w:rPr>
        <w:t>2020</w:t>
      </w:r>
      <w:r>
        <w:rPr>
          <w:spacing w:val="-2"/>
          <w:sz w:val="16"/>
          <w:szCs w:val="16"/>
          <w:lang w:val="en-GB"/>
        </w:rPr>
        <w:t xml:space="preserve">, the number of sickness days fell by </w:t>
      </w:r>
      <w:r w:rsidRPr="000D493D">
        <w:rPr>
          <w:spacing w:val="-2"/>
          <w:sz w:val="16"/>
          <w:szCs w:val="16"/>
          <w:lang w:val="en-GB"/>
        </w:rPr>
        <w:t>1</w:t>
      </w:r>
      <w:r>
        <w:rPr>
          <w:spacing w:val="-2"/>
          <w:sz w:val="16"/>
          <w:szCs w:val="16"/>
          <w:lang w:val="en-GB"/>
        </w:rPr>
        <w:t>.</w:t>
      </w:r>
      <w:r w:rsidRPr="000D493D">
        <w:rPr>
          <w:spacing w:val="-2"/>
          <w:sz w:val="16"/>
          <w:szCs w:val="16"/>
          <w:lang w:val="en-GB"/>
        </w:rPr>
        <w:t>5%</w:t>
      </w:r>
      <w:r>
        <w:rPr>
          <w:spacing w:val="-2"/>
          <w:sz w:val="16"/>
          <w:szCs w:val="16"/>
          <w:lang w:val="en-GB"/>
        </w:rPr>
        <w:t xml:space="preserve"> year-on-year</w:t>
      </w:r>
      <w:r w:rsidRPr="000D493D">
        <w:rPr>
          <w:spacing w:val="-2"/>
          <w:sz w:val="16"/>
          <w:szCs w:val="16"/>
          <w:lang w:val="en-GB"/>
        </w:rPr>
        <w:t>,</w:t>
      </w:r>
      <w:r>
        <w:rPr>
          <w:spacing w:val="-2"/>
          <w:sz w:val="16"/>
          <w:szCs w:val="16"/>
          <w:lang w:val="en-GB"/>
        </w:rPr>
        <w:t xml:space="preserve"> it grew by </w:t>
      </w:r>
      <w:r w:rsidRPr="000D493D">
        <w:rPr>
          <w:spacing w:val="-2"/>
          <w:sz w:val="16"/>
          <w:szCs w:val="16"/>
          <w:lang w:val="en-GB"/>
        </w:rPr>
        <w:t>15</w:t>
      </w:r>
      <w:r>
        <w:rPr>
          <w:spacing w:val="-2"/>
          <w:sz w:val="16"/>
          <w:szCs w:val="16"/>
          <w:lang w:val="en-GB"/>
        </w:rPr>
        <w:t>.</w:t>
      </w:r>
      <w:r w:rsidRPr="000D493D">
        <w:rPr>
          <w:spacing w:val="-2"/>
          <w:sz w:val="16"/>
          <w:szCs w:val="16"/>
          <w:lang w:val="en-GB"/>
        </w:rPr>
        <w:t>8%</w:t>
      </w:r>
      <w:r>
        <w:rPr>
          <w:spacing w:val="-2"/>
          <w:sz w:val="16"/>
          <w:szCs w:val="16"/>
          <w:lang w:val="en-GB"/>
        </w:rPr>
        <w:t xml:space="preserve"> in Q2 and by </w:t>
      </w:r>
      <w:r w:rsidRPr="000D493D">
        <w:rPr>
          <w:spacing w:val="-2"/>
          <w:sz w:val="16"/>
          <w:szCs w:val="16"/>
          <w:lang w:val="en-GB"/>
        </w:rPr>
        <w:t>13</w:t>
      </w:r>
      <w:r>
        <w:rPr>
          <w:spacing w:val="-2"/>
          <w:sz w:val="16"/>
          <w:szCs w:val="16"/>
          <w:lang w:val="en-GB"/>
        </w:rPr>
        <w:t>.</w:t>
      </w:r>
      <w:r w:rsidRPr="000D493D">
        <w:rPr>
          <w:spacing w:val="-2"/>
          <w:sz w:val="16"/>
          <w:szCs w:val="16"/>
          <w:lang w:val="en-GB"/>
        </w:rPr>
        <w:t>4%</w:t>
      </w:r>
      <w:r>
        <w:rPr>
          <w:spacing w:val="-2"/>
          <w:sz w:val="16"/>
          <w:szCs w:val="16"/>
          <w:lang w:val="en-GB"/>
        </w:rPr>
        <w:t xml:space="preserve"> in the subsequent quarter</w:t>
      </w:r>
      <w:r w:rsidRPr="000D493D">
        <w:rPr>
          <w:spacing w:val="-2"/>
          <w:sz w:val="16"/>
          <w:szCs w:val="16"/>
          <w:lang w:val="en-GB"/>
        </w:rPr>
        <w:t>.</w:t>
      </w:r>
    </w:p>
  </w:footnote>
  <w:footnote w:id="12">
    <w:p w:rsidR="003F15C8" w:rsidRPr="005001BE" w:rsidRDefault="003F15C8" w:rsidP="005001BE">
      <w:pPr>
        <w:pStyle w:val="Textpoznpodarou"/>
        <w:jc w:val="both"/>
        <w:rPr>
          <w:sz w:val="16"/>
          <w:szCs w:val="16"/>
          <w:lang w:val="en-GB"/>
        </w:rPr>
      </w:pPr>
      <w:r w:rsidRPr="000D151F">
        <w:rPr>
          <w:rStyle w:val="Znakapoznpodarou"/>
          <w:sz w:val="16"/>
          <w:szCs w:val="16"/>
        </w:rPr>
        <w:footnoteRef/>
      </w:r>
      <w:r w:rsidRPr="000D151F">
        <w:rPr>
          <w:sz w:val="16"/>
          <w:szCs w:val="16"/>
        </w:rPr>
        <w:t xml:space="preserve"> </w:t>
      </w:r>
      <w:r w:rsidR="00F757FC">
        <w:rPr>
          <w:sz w:val="16"/>
          <w:szCs w:val="16"/>
          <w:lang w:val="en-GB"/>
        </w:rPr>
        <w:t>The state debt expanded</w:t>
      </w:r>
      <w:r w:rsidRPr="005001BE">
        <w:rPr>
          <w:sz w:val="16"/>
          <w:szCs w:val="16"/>
          <w:lang w:val="en-GB"/>
        </w:rPr>
        <w:t xml:space="preserve"> by 18% in the crisis year 2009, by 14% in the subsequent year.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5C8" w:rsidRPr="006B1E91" w:rsidRDefault="003F15C8" w:rsidP="00937AE2">
    <w:pPr>
      <w:pStyle w:val="Zhlav"/>
      <w:rPr>
        <w:lang w:val="en-GB"/>
      </w:rPr>
    </w:pPr>
    <w:r w:rsidRPr="006B1E91">
      <w:rPr>
        <w:lang w:val="en-GB"/>
      </w:rPr>
      <w:t>The Czech Economy Development</w:t>
    </w:r>
  </w:p>
  <w:p w:rsidR="003F15C8" w:rsidRPr="006F5416" w:rsidRDefault="003F15C8" w:rsidP="00937AE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5C8" w:rsidRPr="00443A47" w:rsidRDefault="003F15C8" w:rsidP="00937AE2">
    <w:pPr>
      <w:pStyle w:val="Zhlav"/>
      <w:rPr>
        <w:lang w:val="en-GB"/>
      </w:rPr>
    </w:pPr>
    <w:r w:rsidRPr="00443A47">
      <w:rPr>
        <w:lang w:val="en-GB"/>
      </w:rPr>
      <w:t>The Czech Economy Development</w:t>
    </w:r>
  </w:p>
  <w:p w:rsidR="003F15C8" w:rsidRPr="006F5416" w:rsidRDefault="003F15C8" w:rsidP="00937A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pt;height:11.2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C5946"/>
    <w:multiLevelType w:val="hybridMultilevel"/>
    <w:tmpl w:val="4C1C2D78"/>
    <w:lvl w:ilvl="0" w:tplc="B01A56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361065"/>
    <w:multiLevelType w:val="hybridMultilevel"/>
    <w:tmpl w:val="991072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18B35353"/>
    <w:multiLevelType w:val="multilevel"/>
    <w:tmpl w:val="1C0E9EAE"/>
    <w:name w:val="Analyza"/>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pStyle w:val="Nadpis5"/>
      <w:suff w:val="space"/>
      <w:lvlText w:val="%1.%2.%3.%4.%5"/>
      <w:lvlJc w:val="left"/>
      <w:pPr>
        <w:ind w:left="1008" w:hanging="1008"/>
      </w:pPr>
      <w:rPr>
        <w:rFonts w:hint="default"/>
      </w:rPr>
    </w:lvl>
    <w:lvl w:ilvl="5">
      <w:start w:val="1"/>
      <w:numFmt w:val="decimal"/>
      <w:pStyle w:val="Nadpis6"/>
      <w:suff w:val="space"/>
      <w:lvlText w:val="%1.%2.%3.%4.%5.%6"/>
      <w:lvlJc w:val="left"/>
      <w:pPr>
        <w:ind w:left="1152" w:hanging="1152"/>
      </w:pPr>
      <w:rPr>
        <w:rFonts w:hint="default"/>
      </w:rPr>
    </w:lvl>
    <w:lvl w:ilvl="6">
      <w:start w:val="1"/>
      <w:numFmt w:val="decimal"/>
      <w:pStyle w:val="Nadpis7"/>
      <w:suff w:val="space"/>
      <w:lvlText w:val="%1.%2.%3.%4.%5.%6.%7"/>
      <w:lvlJc w:val="left"/>
      <w:pPr>
        <w:ind w:left="1296" w:hanging="1296"/>
      </w:pPr>
      <w:rPr>
        <w:rFonts w:hint="default"/>
      </w:rPr>
    </w:lvl>
    <w:lvl w:ilvl="7">
      <w:start w:val="1"/>
      <w:numFmt w:val="decimal"/>
      <w:pStyle w:val="Nadpis8"/>
      <w:suff w:val="space"/>
      <w:lvlText w:val="%1.%2.%3.%4.%5.%6.%7.%8"/>
      <w:lvlJc w:val="left"/>
      <w:pPr>
        <w:ind w:left="1440" w:hanging="1440"/>
      </w:pPr>
      <w:rPr>
        <w:rFonts w:hint="default"/>
      </w:rPr>
    </w:lvl>
    <w:lvl w:ilvl="8">
      <w:start w:val="1"/>
      <w:numFmt w:val="decimal"/>
      <w:pStyle w:val="Nadpis9"/>
      <w:suff w:val="space"/>
      <w:lvlText w:val="%1.%2.%3.%4.%5.%6.%7.%8.%9"/>
      <w:lvlJc w:val="left"/>
      <w:pPr>
        <w:ind w:left="1584" w:hanging="1584"/>
      </w:pPr>
      <w:rPr>
        <w:rFonts w:hint="default"/>
      </w:rPr>
    </w:lvl>
  </w:abstractNum>
  <w:abstractNum w:abstractNumId="13"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8352333"/>
    <w:multiLevelType w:val="multilevel"/>
    <w:tmpl w:val="D0ACFA4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2A5A7A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C2420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D106EA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11355C0"/>
    <w:multiLevelType w:val="multilevel"/>
    <w:tmpl w:val="697E8BE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39914012"/>
    <w:multiLevelType w:val="multilevel"/>
    <w:tmpl w:val="F380FB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C7C1667"/>
    <w:multiLevelType w:val="hybridMultilevel"/>
    <w:tmpl w:val="735E7570"/>
    <w:lvl w:ilvl="0" w:tplc="5588AF8E">
      <w:start w:val="1"/>
      <w:numFmt w:val="decimal"/>
      <w:lvlText w:val="%1."/>
      <w:lvlJc w:val="left"/>
      <w:pPr>
        <w:ind w:left="4800" w:hanging="360"/>
      </w:pPr>
      <w:rPr>
        <w:rFonts w:hint="default"/>
      </w:rPr>
    </w:lvl>
    <w:lvl w:ilvl="1" w:tplc="04050019" w:tentative="1">
      <w:start w:val="1"/>
      <w:numFmt w:val="lowerLetter"/>
      <w:lvlText w:val="%2."/>
      <w:lvlJc w:val="left"/>
      <w:pPr>
        <w:ind w:left="5520" w:hanging="360"/>
      </w:pPr>
    </w:lvl>
    <w:lvl w:ilvl="2" w:tplc="0405001B" w:tentative="1">
      <w:start w:val="1"/>
      <w:numFmt w:val="lowerRoman"/>
      <w:lvlText w:val="%3."/>
      <w:lvlJc w:val="right"/>
      <w:pPr>
        <w:ind w:left="6240" w:hanging="180"/>
      </w:pPr>
    </w:lvl>
    <w:lvl w:ilvl="3" w:tplc="0405000F" w:tentative="1">
      <w:start w:val="1"/>
      <w:numFmt w:val="decimal"/>
      <w:lvlText w:val="%4."/>
      <w:lvlJc w:val="left"/>
      <w:pPr>
        <w:ind w:left="6960" w:hanging="360"/>
      </w:pPr>
    </w:lvl>
    <w:lvl w:ilvl="4" w:tplc="04050019" w:tentative="1">
      <w:start w:val="1"/>
      <w:numFmt w:val="lowerLetter"/>
      <w:lvlText w:val="%5."/>
      <w:lvlJc w:val="left"/>
      <w:pPr>
        <w:ind w:left="7680" w:hanging="360"/>
      </w:pPr>
    </w:lvl>
    <w:lvl w:ilvl="5" w:tplc="0405001B" w:tentative="1">
      <w:start w:val="1"/>
      <w:numFmt w:val="lowerRoman"/>
      <w:lvlText w:val="%6."/>
      <w:lvlJc w:val="right"/>
      <w:pPr>
        <w:ind w:left="8400" w:hanging="180"/>
      </w:pPr>
    </w:lvl>
    <w:lvl w:ilvl="6" w:tplc="0405000F" w:tentative="1">
      <w:start w:val="1"/>
      <w:numFmt w:val="decimal"/>
      <w:lvlText w:val="%7."/>
      <w:lvlJc w:val="left"/>
      <w:pPr>
        <w:ind w:left="9120" w:hanging="360"/>
      </w:pPr>
    </w:lvl>
    <w:lvl w:ilvl="7" w:tplc="04050019" w:tentative="1">
      <w:start w:val="1"/>
      <w:numFmt w:val="lowerLetter"/>
      <w:lvlText w:val="%8."/>
      <w:lvlJc w:val="left"/>
      <w:pPr>
        <w:ind w:left="9840" w:hanging="360"/>
      </w:pPr>
    </w:lvl>
    <w:lvl w:ilvl="8" w:tplc="0405001B" w:tentative="1">
      <w:start w:val="1"/>
      <w:numFmt w:val="lowerRoman"/>
      <w:lvlText w:val="%9."/>
      <w:lvlJc w:val="right"/>
      <w:pPr>
        <w:ind w:left="10560" w:hanging="180"/>
      </w:pPr>
    </w:lvl>
  </w:abstractNum>
  <w:abstractNum w:abstractNumId="21" w15:restartNumberingAfterBreak="0">
    <w:nsid w:val="3D4D0562"/>
    <w:multiLevelType w:val="hybridMultilevel"/>
    <w:tmpl w:val="E8A8F2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3BB1D16"/>
    <w:multiLevelType w:val="hybridMultilevel"/>
    <w:tmpl w:val="CA4409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ADA4287"/>
    <w:multiLevelType w:val="multilevel"/>
    <w:tmpl w:val="1C0E9EAE"/>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5"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E490F3B"/>
    <w:multiLevelType w:val="hybridMultilevel"/>
    <w:tmpl w:val="D64CB604"/>
    <w:lvl w:ilvl="0" w:tplc="67AC8A1C">
      <w:start w:val="1"/>
      <w:numFmt w:val="bullet"/>
      <w:lvlText w:val=""/>
      <w:lvlJc w:val="left"/>
      <w:pPr>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CB210F"/>
    <w:multiLevelType w:val="multilevel"/>
    <w:tmpl w:val="D64CB604"/>
    <w:lvl w:ilvl="0">
      <w:start w:val="1"/>
      <w:numFmt w:val="bullet"/>
      <w:lvlText w:val=""/>
      <w:lvlJc w:val="left"/>
      <w:pPr>
        <w:ind w:left="357" w:hanging="35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B651B2D"/>
    <w:multiLevelType w:val="hybridMultilevel"/>
    <w:tmpl w:val="4C1C2D78"/>
    <w:lvl w:ilvl="0" w:tplc="B01A5632">
      <w:start w:val="1"/>
      <w:numFmt w:val="bullet"/>
      <w:pStyle w:val="Normalodrk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25"/>
  </w:num>
  <w:num w:numId="14">
    <w:abstractNumId w:val="12"/>
  </w:num>
  <w:num w:numId="15">
    <w:abstractNumId w:val="18"/>
  </w:num>
  <w:num w:numId="16">
    <w:abstractNumId w:val="14"/>
  </w:num>
  <w:num w:numId="17">
    <w:abstractNumId w:val="26"/>
  </w:num>
  <w:num w:numId="18">
    <w:abstractNumId w:val="19"/>
  </w:num>
  <w:num w:numId="19">
    <w:abstractNumId w:val="27"/>
  </w:num>
  <w:num w:numId="20">
    <w:abstractNumId w:val="28"/>
  </w:num>
  <w:num w:numId="21">
    <w:abstractNumId w:val="24"/>
  </w:num>
  <w:num w:numId="22">
    <w:abstractNumId w:val="17"/>
  </w:num>
  <w:num w:numId="23">
    <w:abstractNumId w:val="15"/>
  </w:num>
  <w:num w:numId="24">
    <w:abstractNumId w:val="16"/>
  </w:num>
  <w:num w:numId="25">
    <w:abstractNumId w:val="11"/>
  </w:num>
  <w:num w:numId="26">
    <w:abstractNumId w:val="21"/>
  </w:num>
  <w:num w:numId="27">
    <w:abstractNumId w:val="20"/>
  </w:num>
  <w:num w:numId="28">
    <w:abstractNumId w:val="10"/>
  </w:num>
  <w:num w:numId="29">
    <w:abstractNumId w:val="28"/>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en-GB" w:vendorID="64" w:dllVersion="131078" w:nlCheck="1" w:checkStyle="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828"/>
    <w:rsid w:val="000005AF"/>
    <w:rsid w:val="00000B55"/>
    <w:rsid w:val="0000209D"/>
    <w:rsid w:val="00002566"/>
    <w:rsid w:val="00003849"/>
    <w:rsid w:val="00003E04"/>
    <w:rsid w:val="00003F5C"/>
    <w:rsid w:val="00004D5A"/>
    <w:rsid w:val="000056D5"/>
    <w:rsid w:val="00005D9E"/>
    <w:rsid w:val="000063D5"/>
    <w:rsid w:val="00006625"/>
    <w:rsid w:val="00006ABD"/>
    <w:rsid w:val="00006B67"/>
    <w:rsid w:val="00006C0B"/>
    <w:rsid w:val="000073A0"/>
    <w:rsid w:val="0000767A"/>
    <w:rsid w:val="00007ABE"/>
    <w:rsid w:val="00010256"/>
    <w:rsid w:val="00010359"/>
    <w:rsid w:val="00010702"/>
    <w:rsid w:val="00010B4A"/>
    <w:rsid w:val="0001128E"/>
    <w:rsid w:val="00011912"/>
    <w:rsid w:val="00011FFF"/>
    <w:rsid w:val="0001248D"/>
    <w:rsid w:val="000129B7"/>
    <w:rsid w:val="0001387D"/>
    <w:rsid w:val="00014ED0"/>
    <w:rsid w:val="00015CDD"/>
    <w:rsid w:val="00016420"/>
    <w:rsid w:val="0001711F"/>
    <w:rsid w:val="000173F0"/>
    <w:rsid w:val="00017B01"/>
    <w:rsid w:val="000205D1"/>
    <w:rsid w:val="00020F22"/>
    <w:rsid w:val="0002195D"/>
    <w:rsid w:val="00021DDB"/>
    <w:rsid w:val="000228AE"/>
    <w:rsid w:val="000233D1"/>
    <w:rsid w:val="000234D6"/>
    <w:rsid w:val="00023D29"/>
    <w:rsid w:val="00024348"/>
    <w:rsid w:val="00026389"/>
    <w:rsid w:val="0002669F"/>
    <w:rsid w:val="000279E5"/>
    <w:rsid w:val="00027C1F"/>
    <w:rsid w:val="000308B6"/>
    <w:rsid w:val="0003090A"/>
    <w:rsid w:val="00031AE0"/>
    <w:rsid w:val="00031BB2"/>
    <w:rsid w:val="00031C4B"/>
    <w:rsid w:val="000322EF"/>
    <w:rsid w:val="00033FCD"/>
    <w:rsid w:val="00034015"/>
    <w:rsid w:val="000348AF"/>
    <w:rsid w:val="00034DF7"/>
    <w:rsid w:val="00034E68"/>
    <w:rsid w:val="000350C8"/>
    <w:rsid w:val="00036195"/>
    <w:rsid w:val="000374B2"/>
    <w:rsid w:val="000376C0"/>
    <w:rsid w:val="000376E9"/>
    <w:rsid w:val="000403A7"/>
    <w:rsid w:val="00040632"/>
    <w:rsid w:val="0004094F"/>
    <w:rsid w:val="000419EF"/>
    <w:rsid w:val="00041AFC"/>
    <w:rsid w:val="00041CEC"/>
    <w:rsid w:val="00041E9E"/>
    <w:rsid w:val="00042596"/>
    <w:rsid w:val="000436C5"/>
    <w:rsid w:val="000438BC"/>
    <w:rsid w:val="00044183"/>
    <w:rsid w:val="0004431D"/>
    <w:rsid w:val="00046559"/>
    <w:rsid w:val="0004694F"/>
    <w:rsid w:val="00046F2F"/>
    <w:rsid w:val="00047AD4"/>
    <w:rsid w:val="00047D54"/>
    <w:rsid w:val="0005054A"/>
    <w:rsid w:val="00050EEC"/>
    <w:rsid w:val="00051506"/>
    <w:rsid w:val="00051AF0"/>
    <w:rsid w:val="000522E4"/>
    <w:rsid w:val="00053625"/>
    <w:rsid w:val="00053713"/>
    <w:rsid w:val="00053F7F"/>
    <w:rsid w:val="0005434E"/>
    <w:rsid w:val="00055CB6"/>
    <w:rsid w:val="00057001"/>
    <w:rsid w:val="000572DD"/>
    <w:rsid w:val="0005746E"/>
    <w:rsid w:val="00057B1E"/>
    <w:rsid w:val="00060022"/>
    <w:rsid w:val="000610E1"/>
    <w:rsid w:val="000611F7"/>
    <w:rsid w:val="000616AD"/>
    <w:rsid w:val="00061C7A"/>
    <w:rsid w:val="000622A6"/>
    <w:rsid w:val="00062EC5"/>
    <w:rsid w:val="00062F22"/>
    <w:rsid w:val="00063975"/>
    <w:rsid w:val="00063CEA"/>
    <w:rsid w:val="0006444D"/>
    <w:rsid w:val="000645FC"/>
    <w:rsid w:val="0006533F"/>
    <w:rsid w:val="00065348"/>
    <w:rsid w:val="0006551C"/>
    <w:rsid w:val="00065A75"/>
    <w:rsid w:val="000663F0"/>
    <w:rsid w:val="00066558"/>
    <w:rsid w:val="00070A87"/>
    <w:rsid w:val="000712B3"/>
    <w:rsid w:val="00071A7C"/>
    <w:rsid w:val="00072FF5"/>
    <w:rsid w:val="00073082"/>
    <w:rsid w:val="00073A5A"/>
    <w:rsid w:val="0007474E"/>
    <w:rsid w:val="00074988"/>
    <w:rsid w:val="00074A70"/>
    <w:rsid w:val="0007512B"/>
    <w:rsid w:val="00075551"/>
    <w:rsid w:val="000767F5"/>
    <w:rsid w:val="00076D90"/>
    <w:rsid w:val="000773DB"/>
    <w:rsid w:val="00077FF0"/>
    <w:rsid w:val="00081427"/>
    <w:rsid w:val="00081A55"/>
    <w:rsid w:val="0008263E"/>
    <w:rsid w:val="00082C19"/>
    <w:rsid w:val="00082F89"/>
    <w:rsid w:val="0008318E"/>
    <w:rsid w:val="000837CD"/>
    <w:rsid w:val="00084BFF"/>
    <w:rsid w:val="00085395"/>
    <w:rsid w:val="000866A5"/>
    <w:rsid w:val="00086896"/>
    <w:rsid w:val="00086AC1"/>
    <w:rsid w:val="00086D19"/>
    <w:rsid w:val="00087634"/>
    <w:rsid w:val="00087F2B"/>
    <w:rsid w:val="00090188"/>
    <w:rsid w:val="000903D2"/>
    <w:rsid w:val="00090694"/>
    <w:rsid w:val="00090EE2"/>
    <w:rsid w:val="00090FC6"/>
    <w:rsid w:val="000913B1"/>
    <w:rsid w:val="0009290F"/>
    <w:rsid w:val="00093241"/>
    <w:rsid w:val="00093868"/>
    <w:rsid w:val="00094A84"/>
    <w:rsid w:val="00095025"/>
    <w:rsid w:val="00095135"/>
    <w:rsid w:val="00095273"/>
    <w:rsid w:val="0009626E"/>
    <w:rsid w:val="00097191"/>
    <w:rsid w:val="000974D1"/>
    <w:rsid w:val="00097784"/>
    <w:rsid w:val="0009799E"/>
    <w:rsid w:val="000A07CB"/>
    <w:rsid w:val="000A0AA7"/>
    <w:rsid w:val="000A0BC0"/>
    <w:rsid w:val="000A1183"/>
    <w:rsid w:val="000A12ED"/>
    <w:rsid w:val="000A1D49"/>
    <w:rsid w:val="000A212B"/>
    <w:rsid w:val="000A242D"/>
    <w:rsid w:val="000A256D"/>
    <w:rsid w:val="000A2E5F"/>
    <w:rsid w:val="000A3A2C"/>
    <w:rsid w:val="000A3D9E"/>
    <w:rsid w:val="000A4A54"/>
    <w:rsid w:val="000A4ED9"/>
    <w:rsid w:val="000A5DB7"/>
    <w:rsid w:val="000A6D94"/>
    <w:rsid w:val="000A7377"/>
    <w:rsid w:val="000A7FF4"/>
    <w:rsid w:val="000B03CC"/>
    <w:rsid w:val="000B0B1D"/>
    <w:rsid w:val="000B1AA3"/>
    <w:rsid w:val="000B2172"/>
    <w:rsid w:val="000B3D33"/>
    <w:rsid w:val="000B4212"/>
    <w:rsid w:val="000B5825"/>
    <w:rsid w:val="000B67B7"/>
    <w:rsid w:val="000B7328"/>
    <w:rsid w:val="000B7BE8"/>
    <w:rsid w:val="000C062B"/>
    <w:rsid w:val="000C0768"/>
    <w:rsid w:val="000C0E35"/>
    <w:rsid w:val="000C0EA8"/>
    <w:rsid w:val="000C13A2"/>
    <w:rsid w:val="000C2144"/>
    <w:rsid w:val="000C21A0"/>
    <w:rsid w:val="000C21E7"/>
    <w:rsid w:val="000C23EC"/>
    <w:rsid w:val="000C242B"/>
    <w:rsid w:val="000C30C3"/>
    <w:rsid w:val="000C3408"/>
    <w:rsid w:val="000C35AB"/>
    <w:rsid w:val="000C3F7B"/>
    <w:rsid w:val="000C4769"/>
    <w:rsid w:val="000C4D56"/>
    <w:rsid w:val="000C5DFA"/>
    <w:rsid w:val="000C6AFD"/>
    <w:rsid w:val="000C6C90"/>
    <w:rsid w:val="000C72B7"/>
    <w:rsid w:val="000D0A26"/>
    <w:rsid w:val="000D151D"/>
    <w:rsid w:val="000D1DDC"/>
    <w:rsid w:val="000D287F"/>
    <w:rsid w:val="000D3058"/>
    <w:rsid w:val="000D310A"/>
    <w:rsid w:val="000D3A1F"/>
    <w:rsid w:val="000D3EF4"/>
    <w:rsid w:val="000D493D"/>
    <w:rsid w:val="000D4DC0"/>
    <w:rsid w:val="000D5637"/>
    <w:rsid w:val="000D6894"/>
    <w:rsid w:val="000D6F4E"/>
    <w:rsid w:val="000D73BB"/>
    <w:rsid w:val="000E0E96"/>
    <w:rsid w:val="000E27AC"/>
    <w:rsid w:val="000E298B"/>
    <w:rsid w:val="000E2C7D"/>
    <w:rsid w:val="000E2DA8"/>
    <w:rsid w:val="000E3450"/>
    <w:rsid w:val="000E3A07"/>
    <w:rsid w:val="000E3E56"/>
    <w:rsid w:val="000E440D"/>
    <w:rsid w:val="000E4AC5"/>
    <w:rsid w:val="000E4E51"/>
    <w:rsid w:val="000E6253"/>
    <w:rsid w:val="000E6E4D"/>
    <w:rsid w:val="000E6FBD"/>
    <w:rsid w:val="000E6FCB"/>
    <w:rsid w:val="000F090B"/>
    <w:rsid w:val="000F0CCB"/>
    <w:rsid w:val="000F110B"/>
    <w:rsid w:val="000F2F24"/>
    <w:rsid w:val="000F3F3B"/>
    <w:rsid w:val="000F47E8"/>
    <w:rsid w:val="000F70E4"/>
    <w:rsid w:val="000F76EA"/>
    <w:rsid w:val="00100A8B"/>
    <w:rsid w:val="00100BC7"/>
    <w:rsid w:val="00100F5C"/>
    <w:rsid w:val="0010197E"/>
    <w:rsid w:val="00101CDA"/>
    <w:rsid w:val="00102037"/>
    <w:rsid w:val="00103DCB"/>
    <w:rsid w:val="00104C4C"/>
    <w:rsid w:val="00105015"/>
    <w:rsid w:val="001055D2"/>
    <w:rsid w:val="001057C2"/>
    <w:rsid w:val="00106EF4"/>
    <w:rsid w:val="0010769A"/>
    <w:rsid w:val="00107E91"/>
    <w:rsid w:val="0011038E"/>
    <w:rsid w:val="001125EF"/>
    <w:rsid w:val="00112CAB"/>
    <w:rsid w:val="00114C33"/>
    <w:rsid w:val="00114C8D"/>
    <w:rsid w:val="00116D3F"/>
    <w:rsid w:val="00117474"/>
    <w:rsid w:val="00117623"/>
    <w:rsid w:val="00117FEA"/>
    <w:rsid w:val="001200CF"/>
    <w:rsid w:val="001208E3"/>
    <w:rsid w:val="00121609"/>
    <w:rsid w:val="0012192F"/>
    <w:rsid w:val="001221BA"/>
    <w:rsid w:val="00122994"/>
    <w:rsid w:val="00123C09"/>
    <w:rsid w:val="00123FFA"/>
    <w:rsid w:val="001245AF"/>
    <w:rsid w:val="00124B46"/>
    <w:rsid w:val="00124F5A"/>
    <w:rsid w:val="001257E0"/>
    <w:rsid w:val="00125D69"/>
    <w:rsid w:val="0012799C"/>
    <w:rsid w:val="00127BC2"/>
    <w:rsid w:val="00127E15"/>
    <w:rsid w:val="00130ADC"/>
    <w:rsid w:val="00130C52"/>
    <w:rsid w:val="00130D9F"/>
    <w:rsid w:val="001326A3"/>
    <w:rsid w:val="00132C4D"/>
    <w:rsid w:val="00133846"/>
    <w:rsid w:val="00133FC1"/>
    <w:rsid w:val="00134659"/>
    <w:rsid w:val="00135015"/>
    <w:rsid w:val="00135698"/>
    <w:rsid w:val="001363D2"/>
    <w:rsid w:val="00136AB9"/>
    <w:rsid w:val="00137167"/>
    <w:rsid w:val="001405FA"/>
    <w:rsid w:val="001409AB"/>
    <w:rsid w:val="00140D1A"/>
    <w:rsid w:val="00141184"/>
    <w:rsid w:val="00141315"/>
    <w:rsid w:val="00141AA0"/>
    <w:rsid w:val="00141DCF"/>
    <w:rsid w:val="001425C3"/>
    <w:rsid w:val="0014262D"/>
    <w:rsid w:val="00142B29"/>
    <w:rsid w:val="001438C8"/>
    <w:rsid w:val="001441A1"/>
    <w:rsid w:val="00144588"/>
    <w:rsid w:val="001447DD"/>
    <w:rsid w:val="00144D63"/>
    <w:rsid w:val="001459BC"/>
    <w:rsid w:val="00147D97"/>
    <w:rsid w:val="001518E5"/>
    <w:rsid w:val="00152954"/>
    <w:rsid w:val="00152F4F"/>
    <w:rsid w:val="0015417D"/>
    <w:rsid w:val="0015435A"/>
    <w:rsid w:val="001544A1"/>
    <w:rsid w:val="001553B8"/>
    <w:rsid w:val="001554C2"/>
    <w:rsid w:val="00155D96"/>
    <w:rsid w:val="0015620F"/>
    <w:rsid w:val="001571C0"/>
    <w:rsid w:val="0015753D"/>
    <w:rsid w:val="00157CC9"/>
    <w:rsid w:val="00157F48"/>
    <w:rsid w:val="0016093A"/>
    <w:rsid w:val="00160C21"/>
    <w:rsid w:val="00160E90"/>
    <w:rsid w:val="001612F4"/>
    <w:rsid w:val="00161553"/>
    <w:rsid w:val="0016256B"/>
    <w:rsid w:val="00162F81"/>
    <w:rsid w:val="00163793"/>
    <w:rsid w:val="00164D4C"/>
    <w:rsid w:val="00165313"/>
    <w:rsid w:val="00167240"/>
    <w:rsid w:val="00167485"/>
    <w:rsid w:val="001679F5"/>
    <w:rsid w:val="00167B92"/>
    <w:rsid w:val="00167CB9"/>
    <w:rsid w:val="00167DD8"/>
    <w:rsid w:val="001700BC"/>
    <w:rsid w:val="001705AD"/>
    <w:rsid w:val="001706D6"/>
    <w:rsid w:val="001714F2"/>
    <w:rsid w:val="00171FEA"/>
    <w:rsid w:val="00173622"/>
    <w:rsid w:val="00175B9F"/>
    <w:rsid w:val="001762F4"/>
    <w:rsid w:val="00177478"/>
    <w:rsid w:val="001808B7"/>
    <w:rsid w:val="00181BBC"/>
    <w:rsid w:val="0018385F"/>
    <w:rsid w:val="00184017"/>
    <w:rsid w:val="001847BB"/>
    <w:rsid w:val="00184B08"/>
    <w:rsid w:val="00185010"/>
    <w:rsid w:val="00185153"/>
    <w:rsid w:val="00185AA7"/>
    <w:rsid w:val="00185C22"/>
    <w:rsid w:val="00186562"/>
    <w:rsid w:val="0018656D"/>
    <w:rsid w:val="00186BA9"/>
    <w:rsid w:val="001870D3"/>
    <w:rsid w:val="001874AB"/>
    <w:rsid w:val="00187D50"/>
    <w:rsid w:val="001917AA"/>
    <w:rsid w:val="0019196C"/>
    <w:rsid w:val="001926A9"/>
    <w:rsid w:val="00192F05"/>
    <w:rsid w:val="001935E7"/>
    <w:rsid w:val="00193A1D"/>
    <w:rsid w:val="00194729"/>
    <w:rsid w:val="0019480C"/>
    <w:rsid w:val="00194850"/>
    <w:rsid w:val="00195234"/>
    <w:rsid w:val="00196016"/>
    <w:rsid w:val="00196117"/>
    <w:rsid w:val="0019691A"/>
    <w:rsid w:val="001971BA"/>
    <w:rsid w:val="001978BE"/>
    <w:rsid w:val="00197A70"/>
    <w:rsid w:val="00197C0F"/>
    <w:rsid w:val="001A0487"/>
    <w:rsid w:val="001A0675"/>
    <w:rsid w:val="001A1F68"/>
    <w:rsid w:val="001A21FA"/>
    <w:rsid w:val="001A4341"/>
    <w:rsid w:val="001A4D52"/>
    <w:rsid w:val="001A4EF0"/>
    <w:rsid w:val="001A50C7"/>
    <w:rsid w:val="001A552F"/>
    <w:rsid w:val="001A70B1"/>
    <w:rsid w:val="001B0738"/>
    <w:rsid w:val="001B2CA9"/>
    <w:rsid w:val="001B3110"/>
    <w:rsid w:val="001B3E38"/>
    <w:rsid w:val="001B40F5"/>
    <w:rsid w:val="001B4729"/>
    <w:rsid w:val="001B4F0E"/>
    <w:rsid w:val="001B5F40"/>
    <w:rsid w:val="001B6310"/>
    <w:rsid w:val="001B6C09"/>
    <w:rsid w:val="001B6E12"/>
    <w:rsid w:val="001B707F"/>
    <w:rsid w:val="001C05CD"/>
    <w:rsid w:val="001C0F17"/>
    <w:rsid w:val="001C1B24"/>
    <w:rsid w:val="001C1B66"/>
    <w:rsid w:val="001C21CA"/>
    <w:rsid w:val="001C31A2"/>
    <w:rsid w:val="001C351D"/>
    <w:rsid w:val="001C4094"/>
    <w:rsid w:val="001C4B8F"/>
    <w:rsid w:val="001C4BB8"/>
    <w:rsid w:val="001C4FD0"/>
    <w:rsid w:val="001C5E46"/>
    <w:rsid w:val="001C6B3B"/>
    <w:rsid w:val="001C7A26"/>
    <w:rsid w:val="001C7E3F"/>
    <w:rsid w:val="001D0EF1"/>
    <w:rsid w:val="001D0F1C"/>
    <w:rsid w:val="001D22C2"/>
    <w:rsid w:val="001D2C99"/>
    <w:rsid w:val="001D3B6C"/>
    <w:rsid w:val="001D452E"/>
    <w:rsid w:val="001D54C1"/>
    <w:rsid w:val="001D556E"/>
    <w:rsid w:val="001D5DF2"/>
    <w:rsid w:val="001D62E0"/>
    <w:rsid w:val="001D68B2"/>
    <w:rsid w:val="001D7EFD"/>
    <w:rsid w:val="001D7F60"/>
    <w:rsid w:val="001E3306"/>
    <w:rsid w:val="001E3E5B"/>
    <w:rsid w:val="001E486E"/>
    <w:rsid w:val="001E504C"/>
    <w:rsid w:val="001E5A17"/>
    <w:rsid w:val="001E7030"/>
    <w:rsid w:val="001E74C5"/>
    <w:rsid w:val="001F05C2"/>
    <w:rsid w:val="001F0928"/>
    <w:rsid w:val="001F101A"/>
    <w:rsid w:val="001F1236"/>
    <w:rsid w:val="001F2F90"/>
    <w:rsid w:val="001F38A3"/>
    <w:rsid w:val="001F4597"/>
    <w:rsid w:val="001F4826"/>
    <w:rsid w:val="001F6ABC"/>
    <w:rsid w:val="001F6CD3"/>
    <w:rsid w:val="001F75DA"/>
    <w:rsid w:val="001F7CE0"/>
    <w:rsid w:val="00200085"/>
    <w:rsid w:val="002002F3"/>
    <w:rsid w:val="00202575"/>
    <w:rsid w:val="00202A83"/>
    <w:rsid w:val="00203332"/>
    <w:rsid w:val="00203CD5"/>
    <w:rsid w:val="00203D8F"/>
    <w:rsid w:val="00203DA4"/>
    <w:rsid w:val="0020491E"/>
    <w:rsid w:val="00204EA6"/>
    <w:rsid w:val="00205186"/>
    <w:rsid w:val="00206390"/>
    <w:rsid w:val="00206516"/>
    <w:rsid w:val="00206B92"/>
    <w:rsid w:val="002071D5"/>
    <w:rsid w:val="002111E5"/>
    <w:rsid w:val="002118B9"/>
    <w:rsid w:val="00213691"/>
    <w:rsid w:val="00213FAF"/>
    <w:rsid w:val="002142C0"/>
    <w:rsid w:val="00215601"/>
    <w:rsid w:val="002171C1"/>
    <w:rsid w:val="00217C5B"/>
    <w:rsid w:val="0022020D"/>
    <w:rsid w:val="00220A43"/>
    <w:rsid w:val="0022139E"/>
    <w:rsid w:val="00221CB5"/>
    <w:rsid w:val="00221ED9"/>
    <w:rsid w:val="00222729"/>
    <w:rsid w:val="00223185"/>
    <w:rsid w:val="002233D6"/>
    <w:rsid w:val="002243CC"/>
    <w:rsid w:val="0022441D"/>
    <w:rsid w:val="0022449A"/>
    <w:rsid w:val="00224574"/>
    <w:rsid w:val="00224A20"/>
    <w:rsid w:val="00224E3F"/>
    <w:rsid w:val="002252E0"/>
    <w:rsid w:val="002255F6"/>
    <w:rsid w:val="00225986"/>
    <w:rsid w:val="00226032"/>
    <w:rsid w:val="002264F7"/>
    <w:rsid w:val="0022738D"/>
    <w:rsid w:val="002275FA"/>
    <w:rsid w:val="00227605"/>
    <w:rsid w:val="00227850"/>
    <w:rsid w:val="00227A53"/>
    <w:rsid w:val="00227BD0"/>
    <w:rsid w:val="00227E2E"/>
    <w:rsid w:val="00227F53"/>
    <w:rsid w:val="00230C6E"/>
    <w:rsid w:val="00230DB5"/>
    <w:rsid w:val="00230E21"/>
    <w:rsid w:val="00231066"/>
    <w:rsid w:val="002316A8"/>
    <w:rsid w:val="00231859"/>
    <w:rsid w:val="002320C9"/>
    <w:rsid w:val="0023288F"/>
    <w:rsid w:val="00233364"/>
    <w:rsid w:val="0023359B"/>
    <w:rsid w:val="00233603"/>
    <w:rsid w:val="00233E81"/>
    <w:rsid w:val="002340EF"/>
    <w:rsid w:val="00234B82"/>
    <w:rsid w:val="00235818"/>
    <w:rsid w:val="00236443"/>
    <w:rsid w:val="0023668D"/>
    <w:rsid w:val="00236700"/>
    <w:rsid w:val="00237C8B"/>
    <w:rsid w:val="00240391"/>
    <w:rsid w:val="00240AF3"/>
    <w:rsid w:val="002418D5"/>
    <w:rsid w:val="00241B06"/>
    <w:rsid w:val="002424DB"/>
    <w:rsid w:val="0024343A"/>
    <w:rsid w:val="002436BA"/>
    <w:rsid w:val="00244276"/>
    <w:rsid w:val="00244652"/>
    <w:rsid w:val="00244A15"/>
    <w:rsid w:val="002452D9"/>
    <w:rsid w:val="00247319"/>
    <w:rsid w:val="00247447"/>
    <w:rsid w:val="0024799E"/>
    <w:rsid w:val="00247E60"/>
    <w:rsid w:val="00251496"/>
    <w:rsid w:val="00251B08"/>
    <w:rsid w:val="00251B0E"/>
    <w:rsid w:val="00251C53"/>
    <w:rsid w:val="00252AB9"/>
    <w:rsid w:val="002532B1"/>
    <w:rsid w:val="00253C0F"/>
    <w:rsid w:val="002558C1"/>
    <w:rsid w:val="00255F4B"/>
    <w:rsid w:val="00256207"/>
    <w:rsid w:val="002575F3"/>
    <w:rsid w:val="00257B79"/>
    <w:rsid w:val="002603E1"/>
    <w:rsid w:val="0026120E"/>
    <w:rsid w:val="00261402"/>
    <w:rsid w:val="00262489"/>
    <w:rsid w:val="00262582"/>
    <w:rsid w:val="0026291D"/>
    <w:rsid w:val="00262CF3"/>
    <w:rsid w:val="002635A1"/>
    <w:rsid w:val="00263A67"/>
    <w:rsid w:val="00264309"/>
    <w:rsid w:val="00264992"/>
    <w:rsid w:val="0026564B"/>
    <w:rsid w:val="00265C83"/>
    <w:rsid w:val="00265E85"/>
    <w:rsid w:val="00267B49"/>
    <w:rsid w:val="00267C51"/>
    <w:rsid w:val="002700D9"/>
    <w:rsid w:val="0027025F"/>
    <w:rsid w:val="002709CC"/>
    <w:rsid w:val="00270D25"/>
    <w:rsid w:val="00271022"/>
    <w:rsid w:val="00271465"/>
    <w:rsid w:val="00271E47"/>
    <w:rsid w:val="002721F5"/>
    <w:rsid w:val="00272DF4"/>
    <w:rsid w:val="00275062"/>
    <w:rsid w:val="00275758"/>
    <w:rsid w:val="0027583D"/>
    <w:rsid w:val="00275DEF"/>
    <w:rsid w:val="002763A2"/>
    <w:rsid w:val="002764E4"/>
    <w:rsid w:val="00276B33"/>
    <w:rsid w:val="00280D36"/>
    <w:rsid w:val="002812E3"/>
    <w:rsid w:val="00282755"/>
    <w:rsid w:val="00282A27"/>
    <w:rsid w:val="00282AAE"/>
    <w:rsid w:val="00282AD4"/>
    <w:rsid w:val="00283276"/>
    <w:rsid w:val="0028341F"/>
    <w:rsid w:val="002837AE"/>
    <w:rsid w:val="00283C13"/>
    <w:rsid w:val="00283F7B"/>
    <w:rsid w:val="0028431A"/>
    <w:rsid w:val="002853FA"/>
    <w:rsid w:val="00285412"/>
    <w:rsid w:val="00285604"/>
    <w:rsid w:val="00286220"/>
    <w:rsid w:val="00291640"/>
    <w:rsid w:val="002916BD"/>
    <w:rsid w:val="0029237E"/>
    <w:rsid w:val="00292997"/>
    <w:rsid w:val="00293D24"/>
    <w:rsid w:val="0029509B"/>
    <w:rsid w:val="0029588F"/>
    <w:rsid w:val="00295BAE"/>
    <w:rsid w:val="00295E96"/>
    <w:rsid w:val="002967F9"/>
    <w:rsid w:val="00297256"/>
    <w:rsid w:val="00297A5C"/>
    <w:rsid w:val="00297D51"/>
    <w:rsid w:val="002A0122"/>
    <w:rsid w:val="002A016B"/>
    <w:rsid w:val="002A0C95"/>
    <w:rsid w:val="002A16D4"/>
    <w:rsid w:val="002A17E2"/>
    <w:rsid w:val="002A1C17"/>
    <w:rsid w:val="002A1E4F"/>
    <w:rsid w:val="002A230C"/>
    <w:rsid w:val="002A24F6"/>
    <w:rsid w:val="002A2AF7"/>
    <w:rsid w:val="002A3209"/>
    <w:rsid w:val="002A3EA2"/>
    <w:rsid w:val="002A51AC"/>
    <w:rsid w:val="002A532A"/>
    <w:rsid w:val="002A5846"/>
    <w:rsid w:val="002A5D97"/>
    <w:rsid w:val="002A603E"/>
    <w:rsid w:val="002A63B9"/>
    <w:rsid w:val="002A7089"/>
    <w:rsid w:val="002B0C9F"/>
    <w:rsid w:val="002B1619"/>
    <w:rsid w:val="002B2CDE"/>
    <w:rsid w:val="002B3A7F"/>
    <w:rsid w:val="002B3EF4"/>
    <w:rsid w:val="002B4194"/>
    <w:rsid w:val="002B4845"/>
    <w:rsid w:val="002B5567"/>
    <w:rsid w:val="002B5812"/>
    <w:rsid w:val="002B72AA"/>
    <w:rsid w:val="002C1110"/>
    <w:rsid w:val="002C1BC2"/>
    <w:rsid w:val="002C1F09"/>
    <w:rsid w:val="002C22A4"/>
    <w:rsid w:val="002C260B"/>
    <w:rsid w:val="002C27A6"/>
    <w:rsid w:val="002C2832"/>
    <w:rsid w:val="002C31E4"/>
    <w:rsid w:val="002C398D"/>
    <w:rsid w:val="002C40D2"/>
    <w:rsid w:val="002C43BD"/>
    <w:rsid w:val="002C5245"/>
    <w:rsid w:val="002C564A"/>
    <w:rsid w:val="002C59D8"/>
    <w:rsid w:val="002C5FEB"/>
    <w:rsid w:val="002C6494"/>
    <w:rsid w:val="002D033B"/>
    <w:rsid w:val="002D05CB"/>
    <w:rsid w:val="002D0E59"/>
    <w:rsid w:val="002D2292"/>
    <w:rsid w:val="002D2C4F"/>
    <w:rsid w:val="002D3EBB"/>
    <w:rsid w:val="002D428D"/>
    <w:rsid w:val="002D455C"/>
    <w:rsid w:val="002D6066"/>
    <w:rsid w:val="002E02A1"/>
    <w:rsid w:val="002E0A27"/>
    <w:rsid w:val="002E192A"/>
    <w:rsid w:val="002E196A"/>
    <w:rsid w:val="002E20C7"/>
    <w:rsid w:val="002E20CD"/>
    <w:rsid w:val="002E222E"/>
    <w:rsid w:val="002E28D8"/>
    <w:rsid w:val="002E37D1"/>
    <w:rsid w:val="002E3817"/>
    <w:rsid w:val="002E3BEE"/>
    <w:rsid w:val="002E4E4C"/>
    <w:rsid w:val="002E4EA7"/>
    <w:rsid w:val="002E5846"/>
    <w:rsid w:val="002E6CE9"/>
    <w:rsid w:val="002E6E1C"/>
    <w:rsid w:val="002E792B"/>
    <w:rsid w:val="002E7AEB"/>
    <w:rsid w:val="002F1B09"/>
    <w:rsid w:val="002F1D56"/>
    <w:rsid w:val="002F1DCB"/>
    <w:rsid w:val="002F1DE4"/>
    <w:rsid w:val="002F333D"/>
    <w:rsid w:val="002F351A"/>
    <w:rsid w:val="002F46D6"/>
    <w:rsid w:val="002F498A"/>
    <w:rsid w:val="002F4AD8"/>
    <w:rsid w:val="002F5146"/>
    <w:rsid w:val="002F5285"/>
    <w:rsid w:val="002F5820"/>
    <w:rsid w:val="002F64BB"/>
    <w:rsid w:val="00300C31"/>
    <w:rsid w:val="003017EC"/>
    <w:rsid w:val="00302165"/>
    <w:rsid w:val="00303B89"/>
    <w:rsid w:val="00304771"/>
    <w:rsid w:val="003052D4"/>
    <w:rsid w:val="003060E9"/>
    <w:rsid w:val="00306C5B"/>
    <w:rsid w:val="00307529"/>
    <w:rsid w:val="00307DB3"/>
    <w:rsid w:val="00307ED2"/>
    <w:rsid w:val="0031076D"/>
    <w:rsid w:val="0031169A"/>
    <w:rsid w:val="00311AA6"/>
    <w:rsid w:val="00311C4D"/>
    <w:rsid w:val="003121AB"/>
    <w:rsid w:val="003129C5"/>
    <w:rsid w:val="00312EF6"/>
    <w:rsid w:val="00314068"/>
    <w:rsid w:val="00315169"/>
    <w:rsid w:val="003153C8"/>
    <w:rsid w:val="00315524"/>
    <w:rsid w:val="00315561"/>
    <w:rsid w:val="00317263"/>
    <w:rsid w:val="0031738D"/>
    <w:rsid w:val="0032058C"/>
    <w:rsid w:val="003208D0"/>
    <w:rsid w:val="003209D6"/>
    <w:rsid w:val="003217B9"/>
    <w:rsid w:val="003217C7"/>
    <w:rsid w:val="00321924"/>
    <w:rsid w:val="00321EB6"/>
    <w:rsid w:val="003220A5"/>
    <w:rsid w:val="003238E0"/>
    <w:rsid w:val="00323A1C"/>
    <w:rsid w:val="00324B59"/>
    <w:rsid w:val="00324C52"/>
    <w:rsid w:val="0032656E"/>
    <w:rsid w:val="0032788F"/>
    <w:rsid w:val="003302F3"/>
    <w:rsid w:val="00332190"/>
    <w:rsid w:val="00332485"/>
    <w:rsid w:val="00332A98"/>
    <w:rsid w:val="003334BD"/>
    <w:rsid w:val="00333973"/>
    <w:rsid w:val="00333CD0"/>
    <w:rsid w:val="0033448D"/>
    <w:rsid w:val="00334AD2"/>
    <w:rsid w:val="00334CB6"/>
    <w:rsid w:val="00336F32"/>
    <w:rsid w:val="0033709C"/>
    <w:rsid w:val="003370C5"/>
    <w:rsid w:val="003373C6"/>
    <w:rsid w:val="00337649"/>
    <w:rsid w:val="00340619"/>
    <w:rsid w:val="00340BF3"/>
    <w:rsid w:val="00341D26"/>
    <w:rsid w:val="00341F05"/>
    <w:rsid w:val="0034335E"/>
    <w:rsid w:val="00343BB6"/>
    <w:rsid w:val="00344668"/>
    <w:rsid w:val="003446C5"/>
    <w:rsid w:val="00344940"/>
    <w:rsid w:val="00345B78"/>
    <w:rsid w:val="00346234"/>
    <w:rsid w:val="003462D9"/>
    <w:rsid w:val="00346E45"/>
    <w:rsid w:val="0034723F"/>
    <w:rsid w:val="00347247"/>
    <w:rsid w:val="003474B6"/>
    <w:rsid w:val="00347DD4"/>
    <w:rsid w:val="00347F6F"/>
    <w:rsid w:val="00351AFA"/>
    <w:rsid w:val="00352356"/>
    <w:rsid w:val="00352B43"/>
    <w:rsid w:val="00352C28"/>
    <w:rsid w:val="00356BD9"/>
    <w:rsid w:val="00356DB3"/>
    <w:rsid w:val="00360645"/>
    <w:rsid w:val="0036077F"/>
    <w:rsid w:val="00360C86"/>
    <w:rsid w:val="00360F7A"/>
    <w:rsid w:val="00360FBC"/>
    <w:rsid w:val="00361537"/>
    <w:rsid w:val="00361FB7"/>
    <w:rsid w:val="0036242A"/>
    <w:rsid w:val="00362C23"/>
    <w:rsid w:val="00362DCA"/>
    <w:rsid w:val="00362E90"/>
    <w:rsid w:val="00364FA0"/>
    <w:rsid w:val="003657F3"/>
    <w:rsid w:val="00365844"/>
    <w:rsid w:val="00367F84"/>
    <w:rsid w:val="00370CFF"/>
    <w:rsid w:val="003712BC"/>
    <w:rsid w:val="00372164"/>
    <w:rsid w:val="003738BD"/>
    <w:rsid w:val="00374263"/>
    <w:rsid w:val="003746F0"/>
    <w:rsid w:val="0037473E"/>
    <w:rsid w:val="00374A20"/>
    <w:rsid w:val="00374E21"/>
    <w:rsid w:val="0037537A"/>
    <w:rsid w:val="00377B2E"/>
    <w:rsid w:val="003810F0"/>
    <w:rsid w:val="003815D4"/>
    <w:rsid w:val="003818DC"/>
    <w:rsid w:val="00382513"/>
    <w:rsid w:val="00383388"/>
    <w:rsid w:val="003834F8"/>
    <w:rsid w:val="003838D0"/>
    <w:rsid w:val="003840C2"/>
    <w:rsid w:val="00384327"/>
    <w:rsid w:val="00384A89"/>
    <w:rsid w:val="00385025"/>
    <w:rsid w:val="00385086"/>
    <w:rsid w:val="00385D98"/>
    <w:rsid w:val="00387963"/>
    <w:rsid w:val="00390306"/>
    <w:rsid w:val="003908A6"/>
    <w:rsid w:val="0039109D"/>
    <w:rsid w:val="00391989"/>
    <w:rsid w:val="00391A6C"/>
    <w:rsid w:val="003927F6"/>
    <w:rsid w:val="00394139"/>
    <w:rsid w:val="00396128"/>
    <w:rsid w:val="00396739"/>
    <w:rsid w:val="00396F82"/>
    <w:rsid w:val="003978B1"/>
    <w:rsid w:val="003A00E3"/>
    <w:rsid w:val="003A04F6"/>
    <w:rsid w:val="003A0837"/>
    <w:rsid w:val="003A2B4D"/>
    <w:rsid w:val="003A2D12"/>
    <w:rsid w:val="003A2EBA"/>
    <w:rsid w:val="003A3741"/>
    <w:rsid w:val="003A390C"/>
    <w:rsid w:val="003A4098"/>
    <w:rsid w:val="003A45E3"/>
    <w:rsid w:val="003A478C"/>
    <w:rsid w:val="003A4A38"/>
    <w:rsid w:val="003A4B03"/>
    <w:rsid w:val="003A5525"/>
    <w:rsid w:val="003A5889"/>
    <w:rsid w:val="003A6B38"/>
    <w:rsid w:val="003A6B83"/>
    <w:rsid w:val="003A6C97"/>
    <w:rsid w:val="003A722F"/>
    <w:rsid w:val="003A7373"/>
    <w:rsid w:val="003A7D09"/>
    <w:rsid w:val="003B0231"/>
    <w:rsid w:val="003B039F"/>
    <w:rsid w:val="003B04DB"/>
    <w:rsid w:val="003B0DF4"/>
    <w:rsid w:val="003B0ECE"/>
    <w:rsid w:val="003B1F9D"/>
    <w:rsid w:val="003B2718"/>
    <w:rsid w:val="003B2A8D"/>
    <w:rsid w:val="003B2AD1"/>
    <w:rsid w:val="003B2C12"/>
    <w:rsid w:val="003B2D2E"/>
    <w:rsid w:val="003B461F"/>
    <w:rsid w:val="003B483F"/>
    <w:rsid w:val="003B4998"/>
    <w:rsid w:val="003B5A32"/>
    <w:rsid w:val="003B5B59"/>
    <w:rsid w:val="003B7B50"/>
    <w:rsid w:val="003C0B07"/>
    <w:rsid w:val="003C0F1A"/>
    <w:rsid w:val="003C1263"/>
    <w:rsid w:val="003C2B05"/>
    <w:rsid w:val="003C2CE7"/>
    <w:rsid w:val="003C3490"/>
    <w:rsid w:val="003C3608"/>
    <w:rsid w:val="003C3A1D"/>
    <w:rsid w:val="003C3AE8"/>
    <w:rsid w:val="003C3D2C"/>
    <w:rsid w:val="003C4E13"/>
    <w:rsid w:val="003C6221"/>
    <w:rsid w:val="003C63D7"/>
    <w:rsid w:val="003C68CC"/>
    <w:rsid w:val="003C7E62"/>
    <w:rsid w:val="003D12B9"/>
    <w:rsid w:val="003D1E7A"/>
    <w:rsid w:val="003D242B"/>
    <w:rsid w:val="003D2492"/>
    <w:rsid w:val="003D29AA"/>
    <w:rsid w:val="003D2A99"/>
    <w:rsid w:val="003D3245"/>
    <w:rsid w:val="003D5A90"/>
    <w:rsid w:val="003D6920"/>
    <w:rsid w:val="003E0249"/>
    <w:rsid w:val="003E08A4"/>
    <w:rsid w:val="003E1AA3"/>
    <w:rsid w:val="003E1EF8"/>
    <w:rsid w:val="003E2DFB"/>
    <w:rsid w:val="003E4466"/>
    <w:rsid w:val="003E4C91"/>
    <w:rsid w:val="003E52D8"/>
    <w:rsid w:val="003E62F1"/>
    <w:rsid w:val="003E7971"/>
    <w:rsid w:val="003F04FF"/>
    <w:rsid w:val="003F08E2"/>
    <w:rsid w:val="003F15C8"/>
    <w:rsid w:val="003F313C"/>
    <w:rsid w:val="003F33B9"/>
    <w:rsid w:val="003F37FC"/>
    <w:rsid w:val="003F4318"/>
    <w:rsid w:val="003F4B2C"/>
    <w:rsid w:val="003F551C"/>
    <w:rsid w:val="003F55CF"/>
    <w:rsid w:val="003F5A24"/>
    <w:rsid w:val="003F626D"/>
    <w:rsid w:val="003F72ED"/>
    <w:rsid w:val="003F7D23"/>
    <w:rsid w:val="00400050"/>
    <w:rsid w:val="004002C8"/>
    <w:rsid w:val="00400468"/>
    <w:rsid w:val="0040099D"/>
    <w:rsid w:val="004016CB"/>
    <w:rsid w:val="00401B23"/>
    <w:rsid w:val="00402ADB"/>
    <w:rsid w:val="00403171"/>
    <w:rsid w:val="0040368D"/>
    <w:rsid w:val="00403A86"/>
    <w:rsid w:val="00403D1D"/>
    <w:rsid w:val="00403F57"/>
    <w:rsid w:val="00405318"/>
    <w:rsid w:val="004059D2"/>
    <w:rsid w:val="004060C9"/>
    <w:rsid w:val="004066D0"/>
    <w:rsid w:val="00406C2E"/>
    <w:rsid w:val="00406CDA"/>
    <w:rsid w:val="00406EB0"/>
    <w:rsid w:val="00407711"/>
    <w:rsid w:val="00407C13"/>
    <w:rsid w:val="004103F6"/>
    <w:rsid w:val="00410638"/>
    <w:rsid w:val="00412511"/>
    <w:rsid w:val="004125C2"/>
    <w:rsid w:val="00412DFA"/>
    <w:rsid w:val="00413465"/>
    <w:rsid w:val="00413ECB"/>
    <w:rsid w:val="004149AC"/>
    <w:rsid w:val="0041501E"/>
    <w:rsid w:val="00415072"/>
    <w:rsid w:val="00415452"/>
    <w:rsid w:val="004159C3"/>
    <w:rsid w:val="00415A57"/>
    <w:rsid w:val="00416968"/>
    <w:rsid w:val="00416DAC"/>
    <w:rsid w:val="00420880"/>
    <w:rsid w:val="00421179"/>
    <w:rsid w:val="00423623"/>
    <w:rsid w:val="0042612F"/>
    <w:rsid w:val="00430C96"/>
    <w:rsid w:val="0043174F"/>
    <w:rsid w:val="00431BFF"/>
    <w:rsid w:val="00432199"/>
    <w:rsid w:val="00432A58"/>
    <w:rsid w:val="004331C3"/>
    <w:rsid w:val="00433C17"/>
    <w:rsid w:val="00434617"/>
    <w:rsid w:val="00435051"/>
    <w:rsid w:val="00435C69"/>
    <w:rsid w:val="004360FB"/>
    <w:rsid w:val="00436EC4"/>
    <w:rsid w:val="00437AC6"/>
    <w:rsid w:val="00437CED"/>
    <w:rsid w:val="004407BF"/>
    <w:rsid w:val="00440900"/>
    <w:rsid w:val="00440ECB"/>
    <w:rsid w:val="0044121D"/>
    <w:rsid w:val="00441BF6"/>
    <w:rsid w:val="00441D2B"/>
    <w:rsid w:val="00441F8B"/>
    <w:rsid w:val="00442085"/>
    <w:rsid w:val="0044279E"/>
    <w:rsid w:val="00442D8F"/>
    <w:rsid w:val="004439AF"/>
    <w:rsid w:val="00443A47"/>
    <w:rsid w:val="004441A0"/>
    <w:rsid w:val="0044506B"/>
    <w:rsid w:val="00445861"/>
    <w:rsid w:val="00445A8E"/>
    <w:rsid w:val="00446D44"/>
    <w:rsid w:val="0045078A"/>
    <w:rsid w:val="0045086D"/>
    <w:rsid w:val="00450DAB"/>
    <w:rsid w:val="0045125B"/>
    <w:rsid w:val="00451EF1"/>
    <w:rsid w:val="00452E60"/>
    <w:rsid w:val="0045321B"/>
    <w:rsid w:val="00456FE5"/>
    <w:rsid w:val="00457490"/>
    <w:rsid w:val="00457953"/>
    <w:rsid w:val="004601CB"/>
    <w:rsid w:val="004604D8"/>
    <w:rsid w:val="00460656"/>
    <w:rsid w:val="00460C42"/>
    <w:rsid w:val="00460FB3"/>
    <w:rsid w:val="00463D3C"/>
    <w:rsid w:val="00464851"/>
    <w:rsid w:val="00464ADA"/>
    <w:rsid w:val="00465B69"/>
    <w:rsid w:val="00466595"/>
    <w:rsid w:val="0046746A"/>
    <w:rsid w:val="00467B14"/>
    <w:rsid w:val="004707FE"/>
    <w:rsid w:val="00470EDC"/>
    <w:rsid w:val="004712D8"/>
    <w:rsid w:val="0047276D"/>
    <w:rsid w:val="00472AF6"/>
    <w:rsid w:val="0047312E"/>
    <w:rsid w:val="00473482"/>
    <w:rsid w:val="00474A04"/>
    <w:rsid w:val="00476240"/>
    <w:rsid w:val="00476439"/>
    <w:rsid w:val="00476450"/>
    <w:rsid w:val="00476990"/>
    <w:rsid w:val="004769E1"/>
    <w:rsid w:val="0047735C"/>
    <w:rsid w:val="004776BC"/>
    <w:rsid w:val="00477820"/>
    <w:rsid w:val="00477B96"/>
    <w:rsid w:val="00480906"/>
    <w:rsid w:val="00480BAE"/>
    <w:rsid w:val="0048139F"/>
    <w:rsid w:val="00481E40"/>
    <w:rsid w:val="00482405"/>
    <w:rsid w:val="004826A7"/>
    <w:rsid w:val="0048368C"/>
    <w:rsid w:val="0048372F"/>
    <w:rsid w:val="00484ECE"/>
    <w:rsid w:val="00485E82"/>
    <w:rsid w:val="00486132"/>
    <w:rsid w:val="00486604"/>
    <w:rsid w:val="0048686D"/>
    <w:rsid w:val="00486A4D"/>
    <w:rsid w:val="0049026F"/>
    <w:rsid w:val="0049030E"/>
    <w:rsid w:val="004915CB"/>
    <w:rsid w:val="004924DC"/>
    <w:rsid w:val="00492879"/>
    <w:rsid w:val="00493E85"/>
    <w:rsid w:val="00495145"/>
    <w:rsid w:val="00495273"/>
    <w:rsid w:val="00495B0D"/>
    <w:rsid w:val="004979A5"/>
    <w:rsid w:val="004A0144"/>
    <w:rsid w:val="004A036E"/>
    <w:rsid w:val="004A0498"/>
    <w:rsid w:val="004A0D0E"/>
    <w:rsid w:val="004A14E4"/>
    <w:rsid w:val="004A204E"/>
    <w:rsid w:val="004A26A5"/>
    <w:rsid w:val="004A27F0"/>
    <w:rsid w:val="004A3212"/>
    <w:rsid w:val="004A37CD"/>
    <w:rsid w:val="004A40D9"/>
    <w:rsid w:val="004A49A5"/>
    <w:rsid w:val="004A4F8A"/>
    <w:rsid w:val="004A5494"/>
    <w:rsid w:val="004A5D4E"/>
    <w:rsid w:val="004A61C5"/>
    <w:rsid w:val="004A62A0"/>
    <w:rsid w:val="004A77DF"/>
    <w:rsid w:val="004B0B43"/>
    <w:rsid w:val="004B1417"/>
    <w:rsid w:val="004B305C"/>
    <w:rsid w:val="004B31B8"/>
    <w:rsid w:val="004B339A"/>
    <w:rsid w:val="004B4C83"/>
    <w:rsid w:val="004B55B7"/>
    <w:rsid w:val="004B5BFA"/>
    <w:rsid w:val="004B6468"/>
    <w:rsid w:val="004B6926"/>
    <w:rsid w:val="004B6EF8"/>
    <w:rsid w:val="004B7125"/>
    <w:rsid w:val="004B756A"/>
    <w:rsid w:val="004B7FB1"/>
    <w:rsid w:val="004C0B3F"/>
    <w:rsid w:val="004C0BC9"/>
    <w:rsid w:val="004C2794"/>
    <w:rsid w:val="004C2BB6"/>
    <w:rsid w:val="004C2C2D"/>
    <w:rsid w:val="004C3027"/>
    <w:rsid w:val="004C384C"/>
    <w:rsid w:val="004C3867"/>
    <w:rsid w:val="004C3B1F"/>
    <w:rsid w:val="004C3DB0"/>
    <w:rsid w:val="004C439A"/>
    <w:rsid w:val="004C4720"/>
    <w:rsid w:val="004C4CD0"/>
    <w:rsid w:val="004C5060"/>
    <w:rsid w:val="004C5165"/>
    <w:rsid w:val="004C589C"/>
    <w:rsid w:val="004C5AE8"/>
    <w:rsid w:val="004C6E0E"/>
    <w:rsid w:val="004C70DC"/>
    <w:rsid w:val="004C7ED1"/>
    <w:rsid w:val="004D0211"/>
    <w:rsid w:val="004D0794"/>
    <w:rsid w:val="004D0EDF"/>
    <w:rsid w:val="004D2E03"/>
    <w:rsid w:val="004D3296"/>
    <w:rsid w:val="004D3D9D"/>
    <w:rsid w:val="004D4056"/>
    <w:rsid w:val="004D4CB0"/>
    <w:rsid w:val="004D5B0F"/>
    <w:rsid w:val="004D6FBA"/>
    <w:rsid w:val="004D7626"/>
    <w:rsid w:val="004D762D"/>
    <w:rsid w:val="004E0318"/>
    <w:rsid w:val="004E186A"/>
    <w:rsid w:val="004E1A40"/>
    <w:rsid w:val="004E200A"/>
    <w:rsid w:val="004E23FC"/>
    <w:rsid w:val="004E2409"/>
    <w:rsid w:val="004E261D"/>
    <w:rsid w:val="004E4CBB"/>
    <w:rsid w:val="004E57BF"/>
    <w:rsid w:val="004E5F41"/>
    <w:rsid w:val="004E6011"/>
    <w:rsid w:val="004E6DE6"/>
    <w:rsid w:val="004E765E"/>
    <w:rsid w:val="004E7815"/>
    <w:rsid w:val="004F0180"/>
    <w:rsid w:val="004F06F5"/>
    <w:rsid w:val="004F12A4"/>
    <w:rsid w:val="004F253F"/>
    <w:rsid w:val="004F33A0"/>
    <w:rsid w:val="004F3698"/>
    <w:rsid w:val="004F3873"/>
    <w:rsid w:val="004F3BD2"/>
    <w:rsid w:val="004F4616"/>
    <w:rsid w:val="004F46ED"/>
    <w:rsid w:val="004F4C99"/>
    <w:rsid w:val="004F5358"/>
    <w:rsid w:val="004F5D02"/>
    <w:rsid w:val="004F63BE"/>
    <w:rsid w:val="004F6484"/>
    <w:rsid w:val="004F6539"/>
    <w:rsid w:val="005001BE"/>
    <w:rsid w:val="005025EE"/>
    <w:rsid w:val="00503D54"/>
    <w:rsid w:val="005048E2"/>
    <w:rsid w:val="00505E88"/>
    <w:rsid w:val="00505FC8"/>
    <w:rsid w:val="00506603"/>
    <w:rsid w:val="0050689D"/>
    <w:rsid w:val="005077F5"/>
    <w:rsid w:val="00507D08"/>
    <w:rsid w:val="005108C0"/>
    <w:rsid w:val="0051094F"/>
    <w:rsid w:val="00510A79"/>
    <w:rsid w:val="00511217"/>
    <w:rsid w:val="00511525"/>
    <w:rsid w:val="00511873"/>
    <w:rsid w:val="00511BF3"/>
    <w:rsid w:val="00512461"/>
    <w:rsid w:val="00512585"/>
    <w:rsid w:val="00512A2F"/>
    <w:rsid w:val="00513B7E"/>
    <w:rsid w:val="00513E9D"/>
    <w:rsid w:val="0051475D"/>
    <w:rsid w:val="00514B11"/>
    <w:rsid w:val="00515485"/>
    <w:rsid w:val="00515BE9"/>
    <w:rsid w:val="00515C74"/>
    <w:rsid w:val="0051630F"/>
    <w:rsid w:val="00517113"/>
    <w:rsid w:val="005175C2"/>
    <w:rsid w:val="00517E70"/>
    <w:rsid w:val="0052007E"/>
    <w:rsid w:val="005216A4"/>
    <w:rsid w:val="00521CAD"/>
    <w:rsid w:val="0052200D"/>
    <w:rsid w:val="00522425"/>
    <w:rsid w:val="00522E01"/>
    <w:rsid w:val="0052337A"/>
    <w:rsid w:val="00524385"/>
    <w:rsid w:val="005246BE"/>
    <w:rsid w:val="00525137"/>
    <w:rsid w:val="005251DD"/>
    <w:rsid w:val="00526AB0"/>
    <w:rsid w:val="00526F65"/>
    <w:rsid w:val="005278E5"/>
    <w:rsid w:val="0053012B"/>
    <w:rsid w:val="005301A6"/>
    <w:rsid w:val="00530A68"/>
    <w:rsid w:val="00530AD4"/>
    <w:rsid w:val="0053187B"/>
    <w:rsid w:val="00531C5A"/>
    <w:rsid w:val="00532CE7"/>
    <w:rsid w:val="00532D8B"/>
    <w:rsid w:val="0053324C"/>
    <w:rsid w:val="00533A8D"/>
    <w:rsid w:val="005344E4"/>
    <w:rsid w:val="00534A28"/>
    <w:rsid w:val="00535018"/>
    <w:rsid w:val="0053595E"/>
    <w:rsid w:val="00537571"/>
    <w:rsid w:val="00537AC2"/>
    <w:rsid w:val="00540056"/>
    <w:rsid w:val="005410E2"/>
    <w:rsid w:val="00541508"/>
    <w:rsid w:val="00541AE3"/>
    <w:rsid w:val="00543498"/>
    <w:rsid w:val="00543FDE"/>
    <w:rsid w:val="00544011"/>
    <w:rsid w:val="00544BE5"/>
    <w:rsid w:val="00544E94"/>
    <w:rsid w:val="00545073"/>
    <w:rsid w:val="005455F6"/>
    <w:rsid w:val="0054582F"/>
    <w:rsid w:val="00546FC7"/>
    <w:rsid w:val="005500F9"/>
    <w:rsid w:val="00550160"/>
    <w:rsid w:val="005523A8"/>
    <w:rsid w:val="00552860"/>
    <w:rsid w:val="00552F2C"/>
    <w:rsid w:val="00553A25"/>
    <w:rsid w:val="005547EB"/>
    <w:rsid w:val="005555E0"/>
    <w:rsid w:val="0055599F"/>
    <w:rsid w:val="00555C49"/>
    <w:rsid w:val="00556D68"/>
    <w:rsid w:val="005570D6"/>
    <w:rsid w:val="00557E0E"/>
    <w:rsid w:val="00557E45"/>
    <w:rsid w:val="00560C41"/>
    <w:rsid w:val="00561F44"/>
    <w:rsid w:val="00562B4D"/>
    <w:rsid w:val="00563EB8"/>
    <w:rsid w:val="005647BF"/>
    <w:rsid w:val="00564AF1"/>
    <w:rsid w:val="005655DB"/>
    <w:rsid w:val="00565E88"/>
    <w:rsid w:val="00567339"/>
    <w:rsid w:val="005678EE"/>
    <w:rsid w:val="00567910"/>
    <w:rsid w:val="00567D92"/>
    <w:rsid w:val="00570270"/>
    <w:rsid w:val="0057034E"/>
    <w:rsid w:val="00570464"/>
    <w:rsid w:val="00570BC3"/>
    <w:rsid w:val="00571651"/>
    <w:rsid w:val="0057182A"/>
    <w:rsid w:val="00571E59"/>
    <w:rsid w:val="00572079"/>
    <w:rsid w:val="00572900"/>
    <w:rsid w:val="00573602"/>
    <w:rsid w:val="0057364B"/>
    <w:rsid w:val="00574773"/>
    <w:rsid w:val="00575807"/>
    <w:rsid w:val="005761EC"/>
    <w:rsid w:val="005766CA"/>
    <w:rsid w:val="005770F9"/>
    <w:rsid w:val="00577C07"/>
    <w:rsid w:val="00577DB1"/>
    <w:rsid w:val="00580AD3"/>
    <w:rsid w:val="00580DE7"/>
    <w:rsid w:val="005810E1"/>
    <w:rsid w:val="005811BF"/>
    <w:rsid w:val="00581D66"/>
    <w:rsid w:val="005820CD"/>
    <w:rsid w:val="00583BDD"/>
    <w:rsid w:val="00583E52"/>
    <w:rsid w:val="00583FFD"/>
    <w:rsid w:val="00584252"/>
    <w:rsid w:val="0058519A"/>
    <w:rsid w:val="005856BD"/>
    <w:rsid w:val="00586BCA"/>
    <w:rsid w:val="00587038"/>
    <w:rsid w:val="00590B28"/>
    <w:rsid w:val="005911BE"/>
    <w:rsid w:val="00591273"/>
    <w:rsid w:val="00591E9E"/>
    <w:rsid w:val="005927A4"/>
    <w:rsid w:val="00593152"/>
    <w:rsid w:val="005931D8"/>
    <w:rsid w:val="00593EEA"/>
    <w:rsid w:val="00593FE6"/>
    <w:rsid w:val="005956A3"/>
    <w:rsid w:val="00595958"/>
    <w:rsid w:val="00595CAB"/>
    <w:rsid w:val="00595FDE"/>
    <w:rsid w:val="0059622E"/>
    <w:rsid w:val="00597671"/>
    <w:rsid w:val="00597BBF"/>
    <w:rsid w:val="005A0463"/>
    <w:rsid w:val="005A0948"/>
    <w:rsid w:val="005A0A03"/>
    <w:rsid w:val="005A10F2"/>
    <w:rsid w:val="005A21E0"/>
    <w:rsid w:val="005A28FF"/>
    <w:rsid w:val="005A2C09"/>
    <w:rsid w:val="005A32D0"/>
    <w:rsid w:val="005A3778"/>
    <w:rsid w:val="005A3DF8"/>
    <w:rsid w:val="005A5549"/>
    <w:rsid w:val="005A566A"/>
    <w:rsid w:val="005A7CF8"/>
    <w:rsid w:val="005B0EDA"/>
    <w:rsid w:val="005B121D"/>
    <w:rsid w:val="005B1688"/>
    <w:rsid w:val="005B26B0"/>
    <w:rsid w:val="005B41C9"/>
    <w:rsid w:val="005B44E6"/>
    <w:rsid w:val="005B4853"/>
    <w:rsid w:val="005B506A"/>
    <w:rsid w:val="005B5CD5"/>
    <w:rsid w:val="005B6CA1"/>
    <w:rsid w:val="005B770C"/>
    <w:rsid w:val="005C06ED"/>
    <w:rsid w:val="005C11B8"/>
    <w:rsid w:val="005C216C"/>
    <w:rsid w:val="005C2609"/>
    <w:rsid w:val="005C2B30"/>
    <w:rsid w:val="005C412B"/>
    <w:rsid w:val="005C43EC"/>
    <w:rsid w:val="005C45DD"/>
    <w:rsid w:val="005C4CB1"/>
    <w:rsid w:val="005C5991"/>
    <w:rsid w:val="005D0A73"/>
    <w:rsid w:val="005D254D"/>
    <w:rsid w:val="005D34F8"/>
    <w:rsid w:val="005D3F06"/>
    <w:rsid w:val="005D4B73"/>
    <w:rsid w:val="005D5645"/>
    <w:rsid w:val="005D5802"/>
    <w:rsid w:val="005D5AA9"/>
    <w:rsid w:val="005D66E6"/>
    <w:rsid w:val="005D7119"/>
    <w:rsid w:val="005D76C8"/>
    <w:rsid w:val="005D7890"/>
    <w:rsid w:val="005E003B"/>
    <w:rsid w:val="005E19C1"/>
    <w:rsid w:val="005E2194"/>
    <w:rsid w:val="005E24F0"/>
    <w:rsid w:val="005E36FE"/>
    <w:rsid w:val="005E38A9"/>
    <w:rsid w:val="005E3E65"/>
    <w:rsid w:val="005E3F66"/>
    <w:rsid w:val="005E490F"/>
    <w:rsid w:val="005E4BC9"/>
    <w:rsid w:val="005E5314"/>
    <w:rsid w:val="005E6ABB"/>
    <w:rsid w:val="005E7C78"/>
    <w:rsid w:val="005F04A7"/>
    <w:rsid w:val="005F114F"/>
    <w:rsid w:val="005F18C5"/>
    <w:rsid w:val="005F2A08"/>
    <w:rsid w:val="005F36CC"/>
    <w:rsid w:val="005F3EB1"/>
    <w:rsid w:val="005F413E"/>
    <w:rsid w:val="005F466B"/>
    <w:rsid w:val="005F46D8"/>
    <w:rsid w:val="005F480F"/>
    <w:rsid w:val="005F509C"/>
    <w:rsid w:val="005F5469"/>
    <w:rsid w:val="005F63F3"/>
    <w:rsid w:val="005F66F0"/>
    <w:rsid w:val="005F6D7F"/>
    <w:rsid w:val="005F7174"/>
    <w:rsid w:val="005F7678"/>
    <w:rsid w:val="0060120D"/>
    <w:rsid w:val="00601ADE"/>
    <w:rsid w:val="00601EEF"/>
    <w:rsid w:val="0060255A"/>
    <w:rsid w:val="00602EB3"/>
    <w:rsid w:val="006040C6"/>
    <w:rsid w:val="00604307"/>
    <w:rsid w:val="0060487F"/>
    <w:rsid w:val="00604EAD"/>
    <w:rsid w:val="0060513F"/>
    <w:rsid w:val="0060694B"/>
    <w:rsid w:val="00607DEA"/>
    <w:rsid w:val="006104FB"/>
    <w:rsid w:val="0061176D"/>
    <w:rsid w:val="0061200F"/>
    <w:rsid w:val="00612756"/>
    <w:rsid w:val="00612A2F"/>
    <w:rsid w:val="00612AAE"/>
    <w:rsid w:val="00612FD9"/>
    <w:rsid w:val="006139E0"/>
    <w:rsid w:val="00614245"/>
    <w:rsid w:val="00614D35"/>
    <w:rsid w:val="00614F97"/>
    <w:rsid w:val="006156B4"/>
    <w:rsid w:val="00615DAF"/>
    <w:rsid w:val="0061672A"/>
    <w:rsid w:val="00616E05"/>
    <w:rsid w:val="00617985"/>
    <w:rsid w:val="00617C01"/>
    <w:rsid w:val="00620B77"/>
    <w:rsid w:val="006212FC"/>
    <w:rsid w:val="0062131B"/>
    <w:rsid w:val="00621E26"/>
    <w:rsid w:val="006224EA"/>
    <w:rsid w:val="0062263A"/>
    <w:rsid w:val="006227DF"/>
    <w:rsid w:val="006236C8"/>
    <w:rsid w:val="00624093"/>
    <w:rsid w:val="006243E3"/>
    <w:rsid w:val="006256B8"/>
    <w:rsid w:val="00625A84"/>
    <w:rsid w:val="00626079"/>
    <w:rsid w:val="0062641C"/>
    <w:rsid w:val="006272EF"/>
    <w:rsid w:val="0062751D"/>
    <w:rsid w:val="00627F17"/>
    <w:rsid w:val="00631698"/>
    <w:rsid w:val="00631E44"/>
    <w:rsid w:val="00632579"/>
    <w:rsid w:val="00632714"/>
    <w:rsid w:val="00633923"/>
    <w:rsid w:val="00633AB2"/>
    <w:rsid w:val="00634C57"/>
    <w:rsid w:val="00634CE7"/>
    <w:rsid w:val="006350D5"/>
    <w:rsid w:val="00635CF8"/>
    <w:rsid w:val="00635D28"/>
    <w:rsid w:val="0063642C"/>
    <w:rsid w:val="006372CF"/>
    <w:rsid w:val="00637858"/>
    <w:rsid w:val="006404A7"/>
    <w:rsid w:val="00640A38"/>
    <w:rsid w:val="00640DC3"/>
    <w:rsid w:val="00640E6B"/>
    <w:rsid w:val="00641787"/>
    <w:rsid w:val="0064179B"/>
    <w:rsid w:val="00642489"/>
    <w:rsid w:val="00642F22"/>
    <w:rsid w:val="0064392C"/>
    <w:rsid w:val="00643B58"/>
    <w:rsid w:val="00644055"/>
    <w:rsid w:val="00644137"/>
    <w:rsid w:val="0064478C"/>
    <w:rsid w:val="00645160"/>
    <w:rsid w:val="006451E4"/>
    <w:rsid w:val="0064574B"/>
    <w:rsid w:val="00645B33"/>
    <w:rsid w:val="00650251"/>
    <w:rsid w:val="006516CB"/>
    <w:rsid w:val="00652E30"/>
    <w:rsid w:val="0065392C"/>
    <w:rsid w:val="00653BD0"/>
    <w:rsid w:val="00654110"/>
    <w:rsid w:val="00656C5D"/>
    <w:rsid w:val="00656CFB"/>
    <w:rsid w:val="00657E87"/>
    <w:rsid w:val="00657FD1"/>
    <w:rsid w:val="00660228"/>
    <w:rsid w:val="00660D2D"/>
    <w:rsid w:val="00661C41"/>
    <w:rsid w:val="00661EC9"/>
    <w:rsid w:val="00662469"/>
    <w:rsid w:val="00663C68"/>
    <w:rsid w:val="0066411C"/>
    <w:rsid w:val="00664205"/>
    <w:rsid w:val="00664647"/>
    <w:rsid w:val="00664803"/>
    <w:rsid w:val="006653CC"/>
    <w:rsid w:val="006654CB"/>
    <w:rsid w:val="00665982"/>
    <w:rsid w:val="00665BA4"/>
    <w:rsid w:val="00666BF3"/>
    <w:rsid w:val="006677C1"/>
    <w:rsid w:val="00667856"/>
    <w:rsid w:val="00667AF2"/>
    <w:rsid w:val="00670489"/>
    <w:rsid w:val="006710C9"/>
    <w:rsid w:val="00672586"/>
    <w:rsid w:val="006741CD"/>
    <w:rsid w:val="00674D89"/>
    <w:rsid w:val="0067514E"/>
    <w:rsid w:val="00675E37"/>
    <w:rsid w:val="00676736"/>
    <w:rsid w:val="006769A4"/>
    <w:rsid w:val="006769C6"/>
    <w:rsid w:val="00676D76"/>
    <w:rsid w:val="00676F9F"/>
    <w:rsid w:val="00677519"/>
    <w:rsid w:val="00677591"/>
    <w:rsid w:val="00677594"/>
    <w:rsid w:val="0068032F"/>
    <w:rsid w:val="006804E2"/>
    <w:rsid w:val="00680D37"/>
    <w:rsid w:val="0068174E"/>
    <w:rsid w:val="00681DCE"/>
    <w:rsid w:val="00682110"/>
    <w:rsid w:val="0068260E"/>
    <w:rsid w:val="006846B3"/>
    <w:rsid w:val="00684D59"/>
    <w:rsid w:val="00684E25"/>
    <w:rsid w:val="006853B9"/>
    <w:rsid w:val="006858A4"/>
    <w:rsid w:val="00686718"/>
    <w:rsid w:val="00686BFA"/>
    <w:rsid w:val="00686DED"/>
    <w:rsid w:val="006875A0"/>
    <w:rsid w:val="006878C6"/>
    <w:rsid w:val="00687D27"/>
    <w:rsid w:val="00691943"/>
    <w:rsid w:val="00693550"/>
    <w:rsid w:val="00694D84"/>
    <w:rsid w:val="00695065"/>
    <w:rsid w:val="00695BEF"/>
    <w:rsid w:val="00696251"/>
    <w:rsid w:val="006966C7"/>
    <w:rsid w:val="006968C1"/>
    <w:rsid w:val="00696B76"/>
    <w:rsid w:val="006977F6"/>
    <w:rsid w:val="00697A13"/>
    <w:rsid w:val="006A088C"/>
    <w:rsid w:val="006A0ADD"/>
    <w:rsid w:val="006A0DD4"/>
    <w:rsid w:val="006A109C"/>
    <w:rsid w:val="006A1A58"/>
    <w:rsid w:val="006A3F21"/>
    <w:rsid w:val="006A5F4B"/>
    <w:rsid w:val="006A6565"/>
    <w:rsid w:val="006A7691"/>
    <w:rsid w:val="006A7EE2"/>
    <w:rsid w:val="006B0514"/>
    <w:rsid w:val="006B0F92"/>
    <w:rsid w:val="006B1E91"/>
    <w:rsid w:val="006B2785"/>
    <w:rsid w:val="006B27C7"/>
    <w:rsid w:val="006B344A"/>
    <w:rsid w:val="006B47C8"/>
    <w:rsid w:val="006B4A4F"/>
    <w:rsid w:val="006B519F"/>
    <w:rsid w:val="006B58C9"/>
    <w:rsid w:val="006B60ED"/>
    <w:rsid w:val="006B6CC5"/>
    <w:rsid w:val="006B7153"/>
    <w:rsid w:val="006B74AC"/>
    <w:rsid w:val="006B78D8"/>
    <w:rsid w:val="006B79EA"/>
    <w:rsid w:val="006C030A"/>
    <w:rsid w:val="006C0C5D"/>
    <w:rsid w:val="006C113F"/>
    <w:rsid w:val="006C123E"/>
    <w:rsid w:val="006C15A1"/>
    <w:rsid w:val="006C1752"/>
    <w:rsid w:val="006C1DDC"/>
    <w:rsid w:val="006C28CA"/>
    <w:rsid w:val="006C2BBF"/>
    <w:rsid w:val="006C2FBD"/>
    <w:rsid w:val="006C3116"/>
    <w:rsid w:val="006C3321"/>
    <w:rsid w:val="006C406F"/>
    <w:rsid w:val="006C4355"/>
    <w:rsid w:val="006C469D"/>
    <w:rsid w:val="006C46B5"/>
    <w:rsid w:val="006C484F"/>
    <w:rsid w:val="006C52EC"/>
    <w:rsid w:val="006C5506"/>
    <w:rsid w:val="006C56D4"/>
    <w:rsid w:val="006C6681"/>
    <w:rsid w:val="006C683C"/>
    <w:rsid w:val="006C6924"/>
    <w:rsid w:val="006C6B11"/>
    <w:rsid w:val="006C6C1E"/>
    <w:rsid w:val="006C7076"/>
    <w:rsid w:val="006C7AEC"/>
    <w:rsid w:val="006C7CA6"/>
    <w:rsid w:val="006D18B3"/>
    <w:rsid w:val="006D1E89"/>
    <w:rsid w:val="006D317E"/>
    <w:rsid w:val="006D3D63"/>
    <w:rsid w:val="006D3E8A"/>
    <w:rsid w:val="006D4150"/>
    <w:rsid w:val="006D61F6"/>
    <w:rsid w:val="006D6442"/>
    <w:rsid w:val="006D79F2"/>
    <w:rsid w:val="006E0376"/>
    <w:rsid w:val="006E0C7B"/>
    <w:rsid w:val="006E1332"/>
    <w:rsid w:val="006E19CB"/>
    <w:rsid w:val="006E279A"/>
    <w:rsid w:val="006E313B"/>
    <w:rsid w:val="006E34B2"/>
    <w:rsid w:val="006E3A45"/>
    <w:rsid w:val="006E4078"/>
    <w:rsid w:val="006E53AD"/>
    <w:rsid w:val="006E58CB"/>
    <w:rsid w:val="006E7227"/>
    <w:rsid w:val="006E761A"/>
    <w:rsid w:val="006F0741"/>
    <w:rsid w:val="006F1400"/>
    <w:rsid w:val="006F1C27"/>
    <w:rsid w:val="006F282F"/>
    <w:rsid w:val="006F2A65"/>
    <w:rsid w:val="006F3DD6"/>
    <w:rsid w:val="006F40DF"/>
    <w:rsid w:val="006F42BB"/>
    <w:rsid w:val="006F438E"/>
    <w:rsid w:val="006F440B"/>
    <w:rsid w:val="006F48A3"/>
    <w:rsid w:val="006F4DA4"/>
    <w:rsid w:val="006F5416"/>
    <w:rsid w:val="006F624B"/>
    <w:rsid w:val="006F6D87"/>
    <w:rsid w:val="007017D3"/>
    <w:rsid w:val="0070398A"/>
    <w:rsid w:val="0070412F"/>
    <w:rsid w:val="00705242"/>
    <w:rsid w:val="007055B3"/>
    <w:rsid w:val="007055E0"/>
    <w:rsid w:val="007056ED"/>
    <w:rsid w:val="00705F4E"/>
    <w:rsid w:val="0070612C"/>
    <w:rsid w:val="007065C5"/>
    <w:rsid w:val="007068E1"/>
    <w:rsid w:val="00706AA0"/>
    <w:rsid w:val="00706AD4"/>
    <w:rsid w:val="00707150"/>
    <w:rsid w:val="00711959"/>
    <w:rsid w:val="007124D7"/>
    <w:rsid w:val="00712B87"/>
    <w:rsid w:val="00712C20"/>
    <w:rsid w:val="00713549"/>
    <w:rsid w:val="00713591"/>
    <w:rsid w:val="007140BE"/>
    <w:rsid w:val="007147AB"/>
    <w:rsid w:val="00715502"/>
    <w:rsid w:val="00715E4D"/>
    <w:rsid w:val="0071677A"/>
    <w:rsid w:val="00716F48"/>
    <w:rsid w:val="00717114"/>
    <w:rsid w:val="0071779F"/>
    <w:rsid w:val="007211F5"/>
    <w:rsid w:val="00721601"/>
    <w:rsid w:val="00722777"/>
    <w:rsid w:val="00723435"/>
    <w:rsid w:val="00723436"/>
    <w:rsid w:val="007240E2"/>
    <w:rsid w:val="0072454C"/>
    <w:rsid w:val="0072583E"/>
    <w:rsid w:val="00725BB5"/>
    <w:rsid w:val="00726F49"/>
    <w:rsid w:val="00727C02"/>
    <w:rsid w:val="0073008E"/>
    <w:rsid w:val="00730AE8"/>
    <w:rsid w:val="00730D0A"/>
    <w:rsid w:val="00730F1B"/>
    <w:rsid w:val="007313AE"/>
    <w:rsid w:val="0073186D"/>
    <w:rsid w:val="0073333D"/>
    <w:rsid w:val="00733F35"/>
    <w:rsid w:val="007343D9"/>
    <w:rsid w:val="00734E1D"/>
    <w:rsid w:val="00734F71"/>
    <w:rsid w:val="00734FAF"/>
    <w:rsid w:val="00735448"/>
    <w:rsid w:val="00735648"/>
    <w:rsid w:val="0073590A"/>
    <w:rsid w:val="0073677E"/>
    <w:rsid w:val="007369E1"/>
    <w:rsid w:val="00736F07"/>
    <w:rsid w:val="007377BD"/>
    <w:rsid w:val="00737DEC"/>
    <w:rsid w:val="0074004D"/>
    <w:rsid w:val="00741493"/>
    <w:rsid w:val="007420B3"/>
    <w:rsid w:val="00742B86"/>
    <w:rsid w:val="007434E5"/>
    <w:rsid w:val="0074499B"/>
    <w:rsid w:val="007450BF"/>
    <w:rsid w:val="00745C3B"/>
    <w:rsid w:val="007471A1"/>
    <w:rsid w:val="007477BD"/>
    <w:rsid w:val="00747EE9"/>
    <w:rsid w:val="007520B6"/>
    <w:rsid w:val="00752180"/>
    <w:rsid w:val="00752323"/>
    <w:rsid w:val="0075309F"/>
    <w:rsid w:val="007532B7"/>
    <w:rsid w:val="00753CAB"/>
    <w:rsid w:val="00754A70"/>
    <w:rsid w:val="00754BC8"/>
    <w:rsid w:val="00754BC9"/>
    <w:rsid w:val="00755202"/>
    <w:rsid w:val="00755D3A"/>
    <w:rsid w:val="00757241"/>
    <w:rsid w:val="0075751D"/>
    <w:rsid w:val="0075763E"/>
    <w:rsid w:val="007578D3"/>
    <w:rsid w:val="007602CF"/>
    <w:rsid w:val="00760391"/>
    <w:rsid w:val="007609C6"/>
    <w:rsid w:val="007615F3"/>
    <w:rsid w:val="0076175D"/>
    <w:rsid w:val="00761CB5"/>
    <w:rsid w:val="007629B9"/>
    <w:rsid w:val="007629D5"/>
    <w:rsid w:val="007635F8"/>
    <w:rsid w:val="00763874"/>
    <w:rsid w:val="00763B85"/>
    <w:rsid w:val="00764974"/>
    <w:rsid w:val="00764C4D"/>
    <w:rsid w:val="00764D18"/>
    <w:rsid w:val="0076521E"/>
    <w:rsid w:val="0076550E"/>
    <w:rsid w:val="00765BCC"/>
    <w:rsid w:val="0076600D"/>
    <w:rsid w:val="007661C0"/>
    <w:rsid w:val="007661E9"/>
    <w:rsid w:val="00766460"/>
    <w:rsid w:val="00767062"/>
    <w:rsid w:val="00767601"/>
    <w:rsid w:val="00767777"/>
    <w:rsid w:val="00767FEF"/>
    <w:rsid w:val="007705B1"/>
    <w:rsid w:val="00770CFC"/>
    <w:rsid w:val="0077130E"/>
    <w:rsid w:val="007715EE"/>
    <w:rsid w:val="00771972"/>
    <w:rsid w:val="00772279"/>
    <w:rsid w:val="007726EC"/>
    <w:rsid w:val="00772DAB"/>
    <w:rsid w:val="00772FF9"/>
    <w:rsid w:val="007743DB"/>
    <w:rsid w:val="00774D2C"/>
    <w:rsid w:val="00774FEE"/>
    <w:rsid w:val="0077605B"/>
    <w:rsid w:val="00776169"/>
    <w:rsid w:val="00776527"/>
    <w:rsid w:val="0077691D"/>
    <w:rsid w:val="00777040"/>
    <w:rsid w:val="00777CE6"/>
    <w:rsid w:val="00777D57"/>
    <w:rsid w:val="00780EF1"/>
    <w:rsid w:val="00781A91"/>
    <w:rsid w:val="00781F36"/>
    <w:rsid w:val="00781FC6"/>
    <w:rsid w:val="00782263"/>
    <w:rsid w:val="00782F1C"/>
    <w:rsid w:val="00785778"/>
    <w:rsid w:val="007859D5"/>
    <w:rsid w:val="00786C87"/>
    <w:rsid w:val="0078755E"/>
    <w:rsid w:val="007877C9"/>
    <w:rsid w:val="00790764"/>
    <w:rsid w:val="0079085F"/>
    <w:rsid w:val="00790E96"/>
    <w:rsid w:val="00791005"/>
    <w:rsid w:val="00791BF4"/>
    <w:rsid w:val="00791E9D"/>
    <w:rsid w:val="00793D78"/>
    <w:rsid w:val="0079420B"/>
    <w:rsid w:val="0079453C"/>
    <w:rsid w:val="00794677"/>
    <w:rsid w:val="00795759"/>
    <w:rsid w:val="007A170B"/>
    <w:rsid w:val="007A20EB"/>
    <w:rsid w:val="007A282C"/>
    <w:rsid w:val="007A293C"/>
    <w:rsid w:val="007A2A3A"/>
    <w:rsid w:val="007A33E2"/>
    <w:rsid w:val="007A3CAF"/>
    <w:rsid w:val="007A3CF9"/>
    <w:rsid w:val="007A4664"/>
    <w:rsid w:val="007A4782"/>
    <w:rsid w:val="007A516D"/>
    <w:rsid w:val="007A51D9"/>
    <w:rsid w:val="007A5E65"/>
    <w:rsid w:val="007A65E1"/>
    <w:rsid w:val="007A6AAA"/>
    <w:rsid w:val="007A7033"/>
    <w:rsid w:val="007A775D"/>
    <w:rsid w:val="007B00A4"/>
    <w:rsid w:val="007B0834"/>
    <w:rsid w:val="007B0E83"/>
    <w:rsid w:val="007B11FA"/>
    <w:rsid w:val="007B1396"/>
    <w:rsid w:val="007B16D6"/>
    <w:rsid w:val="007B2011"/>
    <w:rsid w:val="007B21C9"/>
    <w:rsid w:val="007B2CFE"/>
    <w:rsid w:val="007B309B"/>
    <w:rsid w:val="007B37BE"/>
    <w:rsid w:val="007B3D5E"/>
    <w:rsid w:val="007B3DCB"/>
    <w:rsid w:val="007B5725"/>
    <w:rsid w:val="007B5C1F"/>
    <w:rsid w:val="007B6689"/>
    <w:rsid w:val="007B6747"/>
    <w:rsid w:val="007B6F72"/>
    <w:rsid w:val="007C10BD"/>
    <w:rsid w:val="007C1D66"/>
    <w:rsid w:val="007C1F0C"/>
    <w:rsid w:val="007C1FFB"/>
    <w:rsid w:val="007C2D94"/>
    <w:rsid w:val="007C3CF4"/>
    <w:rsid w:val="007C461A"/>
    <w:rsid w:val="007C4A6B"/>
    <w:rsid w:val="007C5F92"/>
    <w:rsid w:val="007C6227"/>
    <w:rsid w:val="007C6BBD"/>
    <w:rsid w:val="007C6D89"/>
    <w:rsid w:val="007C6F5E"/>
    <w:rsid w:val="007D0382"/>
    <w:rsid w:val="007D0B27"/>
    <w:rsid w:val="007D14FE"/>
    <w:rsid w:val="007D18DA"/>
    <w:rsid w:val="007D1A1F"/>
    <w:rsid w:val="007D213B"/>
    <w:rsid w:val="007D2E18"/>
    <w:rsid w:val="007D40DF"/>
    <w:rsid w:val="007D42E5"/>
    <w:rsid w:val="007D4458"/>
    <w:rsid w:val="007D46AD"/>
    <w:rsid w:val="007D6AF9"/>
    <w:rsid w:val="007E0535"/>
    <w:rsid w:val="007E0D4A"/>
    <w:rsid w:val="007E0E89"/>
    <w:rsid w:val="007E1788"/>
    <w:rsid w:val="007E1C07"/>
    <w:rsid w:val="007E1EE3"/>
    <w:rsid w:val="007E29B4"/>
    <w:rsid w:val="007E2CDD"/>
    <w:rsid w:val="007E2F12"/>
    <w:rsid w:val="007E3513"/>
    <w:rsid w:val="007E435A"/>
    <w:rsid w:val="007E445C"/>
    <w:rsid w:val="007E49F7"/>
    <w:rsid w:val="007E4C70"/>
    <w:rsid w:val="007E591C"/>
    <w:rsid w:val="007E5B5F"/>
    <w:rsid w:val="007E6360"/>
    <w:rsid w:val="007E7704"/>
    <w:rsid w:val="007E78B6"/>
    <w:rsid w:val="007E7E61"/>
    <w:rsid w:val="007F0845"/>
    <w:rsid w:val="007F0873"/>
    <w:rsid w:val="007F20F3"/>
    <w:rsid w:val="007F2353"/>
    <w:rsid w:val="007F2390"/>
    <w:rsid w:val="007F2CAC"/>
    <w:rsid w:val="007F41AD"/>
    <w:rsid w:val="007F4740"/>
    <w:rsid w:val="007F595A"/>
    <w:rsid w:val="007F5C38"/>
    <w:rsid w:val="007F708D"/>
    <w:rsid w:val="007F7E3F"/>
    <w:rsid w:val="0080003D"/>
    <w:rsid w:val="008006B3"/>
    <w:rsid w:val="00800B63"/>
    <w:rsid w:val="0080158A"/>
    <w:rsid w:val="00801E13"/>
    <w:rsid w:val="00803008"/>
    <w:rsid w:val="00803069"/>
    <w:rsid w:val="0080346B"/>
    <w:rsid w:val="00804155"/>
    <w:rsid w:val="00804C9F"/>
    <w:rsid w:val="00804D77"/>
    <w:rsid w:val="0080559E"/>
    <w:rsid w:val="00805AF3"/>
    <w:rsid w:val="00806C9C"/>
    <w:rsid w:val="0080734C"/>
    <w:rsid w:val="00807C82"/>
    <w:rsid w:val="008117CC"/>
    <w:rsid w:val="00811875"/>
    <w:rsid w:val="00813D58"/>
    <w:rsid w:val="00813DCA"/>
    <w:rsid w:val="00814858"/>
    <w:rsid w:val="008161A6"/>
    <w:rsid w:val="008165B8"/>
    <w:rsid w:val="00816905"/>
    <w:rsid w:val="00816D98"/>
    <w:rsid w:val="00816E42"/>
    <w:rsid w:val="00817040"/>
    <w:rsid w:val="00817A17"/>
    <w:rsid w:val="00817EC1"/>
    <w:rsid w:val="00820C40"/>
    <w:rsid w:val="00820DBC"/>
    <w:rsid w:val="0082112D"/>
    <w:rsid w:val="00821FF6"/>
    <w:rsid w:val="00822574"/>
    <w:rsid w:val="00822980"/>
    <w:rsid w:val="00822F08"/>
    <w:rsid w:val="00822F67"/>
    <w:rsid w:val="00824CB8"/>
    <w:rsid w:val="00825C4D"/>
    <w:rsid w:val="00826A08"/>
    <w:rsid w:val="00826AC0"/>
    <w:rsid w:val="00827186"/>
    <w:rsid w:val="008275B7"/>
    <w:rsid w:val="00827C8E"/>
    <w:rsid w:val="00830569"/>
    <w:rsid w:val="00830AEA"/>
    <w:rsid w:val="00830E86"/>
    <w:rsid w:val="0083143E"/>
    <w:rsid w:val="008315B8"/>
    <w:rsid w:val="008315D5"/>
    <w:rsid w:val="00831CDE"/>
    <w:rsid w:val="00831E98"/>
    <w:rsid w:val="00831F2B"/>
    <w:rsid w:val="008320CF"/>
    <w:rsid w:val="0083233B"/>
    <w:rsid w:val="00832F77"/>
    <w:rsid w:val="00834304"/>
    <w:rsid w:val="00834FAA"/>
    <w:rsid w:val="008354FB"/>
    <w:rsid w:val="00835E9A"/>
    <w:rsid w:val="00835FF1"/>
    <w:rsid w:val="00836086"/>
    <w:rsid w:val="0083630F"/>
    <w:rsid w:val="00836A06"/>
    <w:rsid w:val="008374BC"/>
    <w:rsid w:val="008379D6"/>
    <w:rsid w:val="00837E48"/>
    <w:rsid w:val="00840293"/>
    <w:rsid w:val="008402AD"/>
    <w:rsid w:val="00840457"/>
    <w:rsid w:val="008408D4"/>
    <w:rsid w:val="008417B5"/>
    <w:rsid w:val="00841901"/>
    <w:rsid w:val="008429B1"/>
    <w:rsid w:val="00842C2C"/>
    <w:rsid w:val="008458BD"/>
    <w:rsid w:val="00846121"/>
    <w:rsid w:val="008461C2"/>
    <w:rsid w:val="008462F1"/>
    <w:rsid w:val="008466C6"/>
    <w:rsid w:val="00846C92"/>
    <w:rsid w:val="0084708F"/>
    <w:rsid w:val="008477C8"/>
    <w:rsid w:val="008478A6"/>
    <w:rsid w:val="008502F6"/>
    <w:rsid w:val="0085114D"/>
    <w:rsid w:val="008520A8"/>
    <w:rsid w:val="00852217"/>
    <w:rsid w:val="00853282"/>
    <w:rsid w:val="0085334C"/>
    <w:rsid w:val="00855408"/>
    <w:rsid w:val="00855D03"/>
    <w:rsid w:val="00856D65"/>
    <w:rsid w:val="00861936"/>
    <w:rsid w:val="00861B41"/>
    <w:rsid w:val="00861B9F"/>
    <w:rsid w:val="00861BE3"/>
    <w:rsid w:val="008625D3"/>
    <w:rsid w:val="00862865"/>
    <w:rsid w:val="00862C0A"/>
    <w:rsid w:val="00863434"/>
    <w:rsid w:val="0086344F"/>
    <w:rsid w:val="00863B2F"/>
    <w:rsid w:val="008641AC"/>
    <w:rsid w:val="008647D9"/>
    <w:rsid w:val="00865E4C"/>
    <w:rsid w:val="00867546"/>
    <w:rsid w:val="0086796D"/>
    <w:rsid w:val="00867DAB"/>
    <w:rsid w:val="0087000B"/>
    <w:rsid w:val="008701E4"/>
    <w:rsid w:val="008704E9"/>
    <w:rsid w:val="00870ECD"/>
    <w:rsid w:val="0087347C"/>
    <w:rsid w:val="008734E7"/>
    <w:rsid w:val="0087368D"/>
    <w:rsid w:val="008740CC"/>
    <w:rsid w:val="00874FE8"/>
    <w:rsid w:val="00875A32"/>
    <w:rsid w:val="00875C6B"/>
    <w:rsid w:val="00876086"/>
    <w:rsid w:val="00876651"/>
    <w:rsid w:val="00876E83"/>
    <w:rsid w:val="008772BC"/>
    <w:rsid w:val="00880A0E"/>
    <w:rsid w:val="008817FE"/>
    <w:rsid w:val="00881CD7"/>
    <w:rsid w:val="00882911"/>
    <w:rsid w:val="00882ACE"/>
    <w:rsid w:val="00882F6E"/>
    <w:rsid w:val="00883202"/>
    <w:rsid w:val="0088433C"/>
    <w:rsid w:val="00884E02"/>
    <w:rsid w:val="00885CDC"/>
    <w:rsid w:val="00885D40"/>
    <w:rsid w:val="008873D4"/>
    <w:rsid w:val="00887CEF"/>
    <w:rsid w:val="00890CB1"/>
    <w:rsid w:val="0089167B"/>
    <w:rsid w:val="00891EDF"/>
    <w:rsid w:val="00892872"/>
    <w:rsid w:val="0089296D"/>
    <w:rsid w:val="00893E85"/>
    <w:rsid w:val="00893EBE"/>
    <w:rsid w:val="00894031"/>
    <w:rsid w:val="00894C5D"/>
    <w:rsid w:val="00895508"/>
    <w:rsid w:val="008967E9"/>
    <w:rsid w:val="00896A5C"/>
    <w:rsid w:val="008972D2"/>
    <w:rsid w:val="0089754C"/>
    <w:rsid w:val="008A0659"/>
    <w:rsid w:val="008A0ADD"/>
    <w:rsid w:val="008A0D27"/>
    <w:rsid w:val="008A1C59"/>
    <w:rsid w:val="008A2EB6"/>
    <w:rsid w:val="008A32D9"/>
    <w:rsid w:val="008A3529"/>
    <w:rsid w:val="008A37E2"/>
    <w:rsid w:val="008A388E"/>
    <w:rsid w:val="008A394E"/>
    <w:rsid w:val="008A3CBA"/>
    <w:rsid w:val="008A4B59"/>
    <w:rsid w:val="008A63E1"/>
    <w:rsid w:val="008A66B7"/>
    <w:rsid w:val="008A68BB"/>
    <w:rsid w:val="008A6AA5"/>
    <w:rsid w:val="008A7127"/>
    <w:rsid w:val="008B0CBA"/>
    <w:rsid w:val="008B2639"/>
    <w:rsid w:val="008B2E65"/>
    <w:rsid w:val="008B3226"/>
    <w:rsid w:val="008B3537"/>
    <w:rsid w:val="008B3690"/>
    <w:rsid w:val="008B3A80"/>
    <w:rsid w:val="008B3AEC"/>
    <w:rsid w:val="008B3C07"/>
    <w:rsid w:val="008B3F7B"/>
    <w:rsid w:val="008B42D3"/>
    <w:rsid w:val="008B5324"/>
    <w:rsid w:val="008B5C99"/>
    <w:rsid w:val="008B6106"/>
    <w:rsid w:val="008B6E6A"/>
    <w:rsid w:val="008B7C02"/>
    <w:rsid w:val="008B7D2B"/>
    <w:rsid w:val="008B7EF9"/>
    <w:rsid w:val="008C0049"/>
    <w:rsid w:val="008C0314"/>
    <w:rsid w:val="008C0E88"/>
    <w:rsid w:val="008C1717"/>
    <w:rsid w:val="008C3B05"/>
    <w:rsid w:val="008C4AE8"/>
    <w:rsid w:val="008C4B50"/>
    <w:rsid w:val="008C4C9D"/>
    <w:rsid w:val="008C5A37"/>
    <w:rsid w:val="008C7065"/>
    <w:rsid w:val="008C7569"/>
    <w:rsid w:val="008C79C3"/>
    <w:rsid w:val="008D006F"/>
    <w:rsid w:val="008D033D"/>
    <w:rsid w:val="008D0DBD"/>
    <w:rsid w:val="008D117E"/>
    <w:rsid w:val="008D127E"/>
    <w:rsid w:val="008D1CA8"/>
    <w:rsid w:val="008D1E0A"/>
    <w:rsid w:val="008D1E6A"/>
    <w:rsid w:val="008D2A16"/>
    <w:rsid w:val="008D33F5"/>
    <w:rsid w:val="008D35E4"/>
    <w:rsid w:val="008D3ACD"/>
    <w:rsid w:val="008D6C3A"/>
    <w:rsid w:val="008D6E5C"/>
    <w:rsid w:val="008D70E2"/>
    <w:rsid w:val="008D70EB"/>
    <w:rsid w:val="008D7CA7"/>
    <w:rsid w:val="008E0001"/>
    <w:rsid w:val="008E292B"/>
    <w:rsid w:val="008E2B34"/>
    <w:rsid w:val="008E2C57"/>
    <w:rsid w:val="008E31FF"/>
    <w:rsid w:val="008E3287"/>
    <w:rsid w:val="008E45EF"/>
    <w:rsid w:val="008E50FB"/>
    <w:rsid w:val="008E54EB"/>
    <w:rsid w:val="008E6614"/>
    <w:rsid w:val="008E6DCB"/>
    <w:rsid w:val="008E6F06"/>
    <w:rsid w:val="008E7B8E"/>
    <w:rsid w:val="008E7FC9"/>
    <w:rsid w:val="008F0107"/>
    <w:rsid w:val="008F029B"/>
    <w:rsid w:val="008F0589"/>
    <w:rsid w:val="008F0E27"/>
    <w:rsid w:val="008F2A5D"/>
    <w:rsid w:val="008F3636"/>
    <w:rsid w:val="008F3FC9"/>
    <w:rsid w:val="008F4B05"/>
    <w:rsid w:val="008F509F"/>
    <w:rsid w:val="008F5383"/>
    <w:rsid w:val="008F585B"/>
    <w:rsid w:val="008F6639"/>
    <w:rsid w:val="008F7FB0"/>
    <w:rsid w:val="009003A8"/>
    <w:rsid w:val="009005E4"/>
    <w:rsid w:val="00900977"/>
    <w:rsid w:val="009021DA"/>
    <w:rsid w:val="00902500"/>
    <w:rsid w:val="00902D53"/>
    <w:rsid w:val="00902EEB"/>
    <w:rsid w:val="00902EFF"/>
    <w:rsid w:val="00903A8E"/>
    <w:rsid w:val="0090432C"/>
    <w:rsid w:val="00904D4A"/>
    <w:rsid w:val="00904F96"/>
    <w:rsid w:val="009052A3"/>
    <w:rsid w:val="00905314"/>
    <w:rsid w:val="009056D7"/>
    <w:rsid w:val="00905B8D"/>
    <w:rsid w:val="00906401"/>
    <w:rsid w:val="009065CB"/>
    <w:rsid w:val="009067EA"/>
    <w:rsid w:val="00906B79"/>
    <w:rsid w:val="0090786F"/>
    <w:rsid w:val="0091001E"/>
    <w:rsid w:val="00910C18"/>
    <w:rsid w:val="009110F7"/>
    <w:rsid w:val="0091155E"/>
    <w:rsid w:val="00911EC0"/>
    <w:rsid w:val="00912437"/>
    <w:rsid w:val="0091268B"/>
    <w:rsid w:val="00912A92"/>
    <w:rsid w:val="00913FEA"/>
    <w:rsid w:val="0091476D"/>
    <w:rsid w:val="00915D07"/>
    <w:rsid w:val="009162AE"/>
    <w:rsid w:val="00916E70"/>
    <w:rsid w:val="00917251"/>
    <w:rsid w:val="0091728D"/>
    <w:rsid w:val="00917290"/>
    <w:rsid w:val="00917292"/>
    <w:rsid w:val="0092036B"/>
    <w:rsid w:val="009203CC"/>
    <w:rsid w:val="00920EC4"/>
    <w:rsid w:val="0092180B"/>
    <w:rsid w:val="00921F14"/>
    <w:rsid w:val="009224C3"/>
    <w:rsid w:val="009225B8"/>
    <w:rsid w:val="0092292F"/>
    <w:rsid w:val="00922D28"/>
    <w:rsid w:val="00923332"/>
    <w:rsid w:val="00923CB0"/>
    <w:rsid w:val="00923D8C"/>
    <w:rsid w:val="00924871"/>
    <w:rsid w:val="00924AC8"/>
    <w:rsid w:val="00925429"/>
    <w:rsid w:val="00925615"/>
    <w:rsid w:val="0092597A"/>
    <w:rsid w:val="009261AA"/>
    <w:rsid w:val="00926520"/>
    <w:rsid w:val="00926CF0"/>
    <w:rsid w:val="009271EF"/>
    <w:rsid w:val="009273A9"/>
    <w:rsid w:val="00930251"/>
    <w:rsid w:val="0093033E"/>
    <w:rsid w:val="009305FC"/>
    <w:rsid w:val="00930FB1"/>
    <w:rsid w:val="0093139F"/>
    <w:rsid w:val="00932443"/>
    <w:rsid w:val="00932B32"/>
    <w:rsid w:val="00933F4A"/>
    <w:rsid w:val="00933F9B"/>
    <w:rsid w:val="009341F1"/>
    <w:rsid w:val="00934FF1"/>
    <w:rsid w:val="00934FF2"/>
    <w:rsid w:val="009358D7"/>
    <w:rsid w:val="00935BD4"/>
    <w:rsid w:val="00935DFE"/>
    <w:rsid w:val="00935F70"/>
    <w:rsid w:val="0093648B"/>
    <w:rsid w:val="009373B2"/>
    <w:rsid w:val="009375A6"/>
    <w:rsid w:val="0093799F"/>
    <w:rsid w:val="00937AE2"/>
    <w:rsid w:val="0094061F"/>
    <w:rsid w:val="00940F0F"/>
    <w:rsid w:val="00941C4A"/>
    <w:rsid w:val="00942263"/>
    <w:rsid w:val="0094257D"/>
    <w:rsid w:val="0094416B"/>
    <w:rsid w:val="0094427A"/>
    <w:rsid w:val="00944C7C"/>
    <w:rsid w:val="00945245"/>
    <w:rsid w:val="00945523"/>
    <w:rsid w:val="00950921"/>
    <w:rsid w:val="00951D68"/>
    <w:rsid w:val="00951E5B"/>
    <w:rsid w:val="00952B7B"/>
    <w:rsid w:val="00954D15"/>
    <w:rsid w:val="00954F39"/>
    <w:rsid w:val="0095517D"/>
    <w:rsid w:val="009555FD"/>
    <w:rsid w:val="0095664B"/>
    <w:rsid w:val="009568DC"/>
    <w:rsid w:val="00957140"/>
    <w:rsid w:val="00957445"/>
    <w:rsid w:val="0095759C"/>
    <w:rsid w:val="00961014"/>
    <w:rsid w:val="009618EE"/>
    <w:rsid w:val="00961DDD"/>
    <w:rsid w:val="009624D2"/>
    <w:rsid w:val="009628D9"/>
    <w:rsid w:val="009637AE"/>
    <w:rsid w:val="00963A06"/>
    <w:rsid w:val="00964068"/>
    <w:rsid w:val="009640F6"/>
    <w:rsid w:val="009645B8"/>
    <w:rsid w:val="0096469D"/>
    <w:rsid w:val="00964776"/>
    <w:rsid w:val="00964A4E"/>
    <w:rsid w:val="00964B35"/>
    <w:rsid w:val="009651C7"/>
    <w:rsid w:val="00965424"/>
    <w:rsid w:val="00965797"/>
    <w:rsid w:val="00965A10"/>
    <w:rsid w:val="00965AD0"/>
    <w:rsid w:val="009670A3"/>
    <w:rsid w:val="009674BE"/>
    <w:rsid w:val="00967E1E"/>
    <w:rsid w:val="0097058F"/>
    <w:rsid w:val="00970FB5"/>
    <w:rsid w:val="00971710"/>
    <w:rsid w:val="00971B87"/>
    <w:rsid w:val="00971C77"/>
    <w:rsid w:val="0097203A"/>
    <w:rsid w:val="0097219D"/>
    <w:rsid w:val="00972FCD"/>
    <w:rsid w:val="00973324"/>
    <w:rsid w:val="009736DF"/>
    <w:rsid w:val="009741AE"/>
    <w:rsid w:val="009741FC"/>
    <w:rsid w:val="00974782"/>
    <w:rsid w:val="00974923"/>
    <w:rsid w:val="009755D6"/>
    <w:rsid w:val="00975909"/>
    <w:rsid w:val="00977C3D"/>
    <w:rsid w:val="00980D3D"/>
    <w:rsid w:val="0098103E"/>
    <w:rsid w:val="0098157D"/>
    <w:rsid w:val="00983101"/>
    <w:rsid w:val="00983E41"/>
    <w:rsid w:val="009845E1"/>
    <w:rsid w:val="00984D1B"/>
    <w:rsid w:val="00986246"/>
    <w:rsid w:val="00987A30"/>
    <w:rsid w:val="00987C7A"/>
    <w:rsid w:val="00990312"/>
    <w:rsid w:val="0099182E"/>
    <w:rsid w:val="00992BB3"/>
    <w:rsid w:val="00992CF3"/>
    <w:rsid w:val="00993194"/>
    <w:rsid w:val="0099321E"/>
    <w:rsid w:val="00993879"/>
    <w:rsid w:val="00993D41"/>
    <w:rsid w:val="00994171"/>
    <w:rsid w:val="00994868"/>
    <w:rsid w:val="00994D28"/>
    <w:rsid w:val="00994E5B"/>
    <w:rsid w:val="00994F2C"/>
    <w:rsid w:val="009957CC"/>
    <w:rsid w:val="009968D6"/>
    <w:rsid w:val="00997953"/>
    <w:rsid w:val="009A03A5"/>
    <w:rsid w:val="009A0BFF"/>
    <w:rsid w:val="009A10A0"/>
    <w:rsid w:val="009A1CAB"/>
    <w:rsid w:val="009A20E7"/>
    <w:rsid w:val="009A2359"/>
    <w:rsid w:val="009A24F1"/>
    <w:rsid w:val="009A27E0"/>
    <w:rsid w:val="009A37D1"/>
    <w:rsid w:val="009A4D57"/>
    <w:rsid w:val="009A51A5"/>
    <w:rsid w:val="009A598B"/>
    <w:rsid w:val="009A5F39"/>
    <w:rsid w:val="009A60D1"/>
    <w:rsid w:val="009A6225"/>
    <w:rsid w:val="009A64F5"/>
    <w:rsid w:val="009A7F9B"/>
    <w:rsid w:val="009B00D2"/>
    <w:rsid w:val="009B05B3"/>
    <w:rsid w:val="009B1324"/>
    <w:rsid w:val="009B142D"/>
    <w:rsid w:val="009B284F"/>
    <w:rsid w:val="009B3764"/>
    <w:rsid w:val="009B52AC"/>
    <w:rsid w:val="009B59EA"/>
    <w:rsid w:val="009B66CE"/>
    <w:rsid w:val="009B6FD3"/>
    <w:rsid w:val="009B72BE"/>
    <w:rsid w:val="009B78A4"/>
    <w:rsid w:val="009B7DB2"/>
    <w:rsid w:val="009C03DB"/>
    <w:rsid w:val="009C0B29"/>
    <w:rsid w:val="009C15AF"/>
    <w:rsid w:val="009C1750"/>
    <w:rsid w:val="009C2E29"/>
    <w:rsid w:val="009C3E8F"/>
    <w:rsid w:val="009C4227"/>
    <w:rsid w:val="009C554B"/>
    <w:rsid w:val="009C55E4"/>
    <w:rsid w:val="009C5E83"/>
    <w:rsid w:val="009C7126"/>
    <w:rsid w:val="009C719E"/>
    <w:rsid w:val="009C7799"/>
    <w:rsid w:val="009C7CF4"/>
    <w:rsid w:val="009D07A9"/>
    <w:rsid w:val="009D0AE2"/>
    <w:rsid w:val="009D0D61"/>
    <w:rsid w:val="009D0D9F"/>
    <w:rsid w:val="009D0EBB"/>
    <w:rsid w:val="009D0F41"/>
    <w:rsid w:val="009D1A43"/>
    <w:rsid w:val="009D2746"/>
    <w:rsid w:val="009D2C46"/>
    <w:rsid w:val="009D3ACD"/>
    <w:rsid w:val="009D4254"/>
    <w:rsid w:val="009D4F21"/>
    <w:rsid w:val="009D587D"/>
    <w:rsid w:val="009D7731"/>
    <w:rsid w:val="009E1120"/>
    <w:rsid w:val="009E1393"/>
    <w:rsid w:val="009E1922"/>
    <w:rsid w:val="009E1A3D"/>
    <w:rsid w:val="009E3381"/>
    <w:rsid w:val="009E407B"/>
    <w:rsid w:val="009E4715"/>
    <w:rsid w:val="009E4A58"/>
    <w:rsid w:val="009E4E41"/>
    <w:rsid w:val="009E5273"/>
    <w:rsid w:val="009E57A8"/>
    <w:rsid w:val="009E5B85"/>
    <w:rsid w:val="009E5BFE"/>
    <w:rsid w:val="009E5DDB"/>
    <w:rsid w:val="009E6D57"/>
    <w:rsid w:val="009F2518"/>
    <w:rsid w:val="009F2921"/>
    <w:rsid w:val="009F42CF"/>
    <w:rsid w:val="009F4982"/>
    <w:rsid w:val="009F4CA7"/>
    <w:rsid w:val="009F4F6A"/>
    <w:rsid w:val="009F55BA"/>
    <w:rsid w:val="009F7D36"/>
    <w:rsid w:val="009F7D61"/>
    <w:rsid w:val="00A00E37"/>
    <w:rsid w:val="00A00E71"/>
    <w:rsid w:val="00A01B8A"/>
    <w:rsid w:val="00A02311"/>
    <w:rsid w:val="00A0306F"/>
    <w:rsid w:val="00A03B10"/>
    <w:rsid w:val="00A03E2E"/>
    <w:rsid w:val="00A04616"/>
    <w:rsid w:val="00A04717"/>
    <w:rsid w:val="00A056C0"/>
    <w:rsid w:val="00A05D8F"/>
    <w:rsid w:val="00A05EE4"/>
    <w:rsid w:val="00A06F99"/>
    <w:rsid w:val="00A1053B"/>
    <w:rsid w:val="00A10D66"/>
    <w:rsid w:val="00A113A4"/>
    <w:rsid w:val="00A13B40"/>
    <w:rsid w:val="00A14114"/>
    <w:rsid w:val="00A16413"/>
    <w:rsid w:val="00A16545"/>
    <w:rsid w:val="00A16AED"/>
    <w:rsid w:val="00A16C37"/>
    <w:rsid w:val="00A16E1D"/>
    <w:rsid w:val="00A171D5"/>
    <w:rsid w:val="00A17A15"/>
    <w:rsid w:val="00A17D34"/>
    <w:rsid w:val="00A17D5B"/>
    <w:rsid w:val="00A2016A"/>
    <w:rsid w:val="00A201E1"/>
    <w:rsid w:val="00A20FE1"/>
    <w:rsid w:val="00A21B4D"/>
    <w:rsid w:val="00A21F33"/>
    <w:rsid w:val="00A22073"/>
    <w:rsid w:val="00A223E0"/>
    <w:rsid w:val="00A22959"/>
    <w:rsid w:val="00A23158"/>
    <w:rsid w:val="00A2341B"/>
    <w:rsid w:val="00A23847"/>
    <w:rsid w:val="00A23E43"/>
    <w:rsid w:val="00A24726"/>
    <w:rsid w:val="00A24DEB"/>
    <w:rsid w:val="00A24ED9"/>
    <w:rsid w:val="00A251DB"/>
    <w:rsid w:val="00A25216"/>
    <w:rsid w:val="00A2597D"/>
    <w:rsid w:val="00A2628E"/>
    <w:rsid w:val="00A266BF"/>
    <w:rsid w:val="00A2731E"/>
    <w:rsid w:val="00A309AC"/>
    <w:rsid w:val="00A30F65"/>
    <w:rsid w:val="00A3279E"/>
    <w:rsid w:val="00A33DB1"/>
    <w:rsid w:val="00A34400"/>
    <w:rsid w:val="00A35900"/>
    <w:rsid w:val="00A36CC1"/>
    <w:rsid w:val="00A40075"/>
    <w:rsid w:val="00A40EAC"/>
    <w:rsid w:val="00A418BC"/>
    <w:rsid w:val="00A41946"/>
    <w:rsid w:val="00A419FF"/>
    <w:rsid w:val="00A41FCF"/>
    <w:rsid w:val="00A428B2"/>
    <w:rsid w:val="00A42936"/>
    <w:rsid w:val="00A43CF8"/>
    <w:rsid w:val="00A43DF2"/>
    <w:rsid w:val="00A445A8"/>
    <w:rsid w:val="00A44B0D"/>
    <w:rsid w:val="00A44D21"/>
    <w:rsid w:val="00A45087"/>
    <w:rsid w:val="00A45489"/>
    <w:rsid w:val="00A45CED"/>
    <w:rsid w:val="00A465E9"/>
    <w:rsid w:val="00A468E7"/>
    <w:rsid w:val="00A46DE0"/>
    <w:rsid w:val="00A478BA"/>
    <w:rsid w:val="00A50D73"/>
    <w:rsid w:val="00A518BB"/>
    <w:rsid w:val="00A52348"/>
    <w:rsid w:val="00A52A88"/>
    <w:rsid w:val="00A52CAD"/>
    <w:rsid w:val="00A53FC7"/>
    <w:rsid w:val="00A546EA"/>
    <w:rsid w:val="00A55569"/>
    <w:rsid w:val="00A566A0"/>
    <w:rsid w:val="00A601E7"/>
    <w:rsid w:val="00A60A11"/>
    <w:rsid w:val="00A60AC1"/>
    <w:rsid w:val="00A6236A"/>
    <w:rsid w:val="00A626FF"/>
    <w:rsid w:val="00A62CE1"/>
    <w:rsid w:val="00A65469"/>
    <w:rsid w:val="00A65528"/>
    <w:rsid w:val="00A655D3"/>
    <w:rsid w:val="00A662D9"/>
    <w:rsid w:val="00A66EDD"/>
    <w:rsid w:val="00A66F79"/>
    <w:rsid w:val="00A6741E"/>
    <w:rsid w:val="00A67A99"/>
    <w:rsid w:val="00A67E29"/>
    <w:rsid w:val="00A7016A"/>
    <w:rsid w:val="00A7018D"/>
    <w:rsid w:val="00A7191D"/>
    <w:rsid w:val="00A722F9"/>
    <w:rsid w:val="00A72D42"/>
    <w:rsid w:val="00A72F8E"/>
    <w:rsid w:val="00A746C9"/>
    <w:rsid w:val="00A74C2A"/>
    <w:rsid w:val="00A75E40"/>
    <w:rsid w:val="00A76818"/>
    <w:rsid w:val="00A77D1D"/>
    <w:rsid w:val="00A8119D"/>
    <w:rsid w:val="00A81652"/>
    <w:rsid w:val="00A82C91"/>
    <w:rsid w:val="00A83150"/>
    <w:rsid w:val="00A83398"/>
    <w:rsid w:val="00A83D6E"/>
    <w:rsid w:val="00A83FD5"/>
    <w:rsid w:val="00A8521A"/>
    <w:rsid w:val="00A857C0"/>
    <w:rsid w:val="00A85ACB"/>
    <w:rsid w:val="00A90F2C"/>
    <w:rsid w:val="00A90FED"/>
    <w:rsid w:val="00A91482"/>
    <w:rsid w:val="00A9189D"/>
    <w:rsid w:val="00A91E71"/>
    <w:rsid w:val="00A923D5"/>
    <w:rsid w:val="00A925B1"/>
    <w:rsid w:val="00A92A3E"/>
    <w:rsid w:val="00A934F9"/>
    <w:rsid w:val="00A940E3"/>
    <w:rsid w:val="00A94983"/>
    <w:rsid w:val="00A95DA3"/>
    <w:rsid w:val="00A95F1A"/>
    <w:rsid w:val="00A96116"/>
    <w:rsid w:val="00A9614E"/>
    <w:rsid w:val="00A96422"/>
    <w:rsid w:val="00A96C0F"/>
    <w:rsid w:val="00A97075"/>
    <w:rsid w:val="00A97E05"/>
    <w:rsid w:val="00AA0E80"/>
    <w:rsid w:val="00AA17CD"/>
    <w:rsid w:val="00AA1D85"/>
    <w:rsid w:val="00AA212F"/>
    <w:rsid w:val="00AA26A9"/>
    <w:rsid w:val="00AA2996"/>
    <w:rsid w:val="00AA2AF4"/>
    <w:rsid w:val="00AA33FB"/>
    <w:rsid w:val="00AA41B7"/>
    <w:rsid w:val="00AA4282"/>
    <w:rsid w:val="00AA43F2"/>
    <w:rsid w:val="00AA4790"/>
    <w:rsid w:val="00AA52BF"/>
    <w:rsid w:val="00AA559A"/>
    <w:rsid w:val="00AA6C31"/>
    <w:rsid w:val="00AA6CDA"/>
    <w:rsid w:val="00AA7752"/>
    <w:rsid w:val="00AA7CE8"/>
    <w:rsid w:val="00AB0E44"/>
    <w:rsid w:val="00AB0F19"/>
    <w:rsid w:val="00AB1457"/>
    <w:rsid w:val="00AB2AF1"/>
    <w:rsid w:val="00AB345C"/>
    <w:rsid w:val="00AB3EC7"/>
    <w:rsid w:val="00AB5898"/>
    <w:rsid w:val="00AB5A64"/>
    <w:rsid w:val="00AB5CA1"/>
    <w:rsid w:val="00AB61AA"/>
    <w:rsid w:val="00AB6456"/>
    <w:rsid w:val="00AB75C5"/>
    <w:rsid w:val="00AC044E"/>
    <w:rsid w:val="00AC089C"/>
    <w:rsid w:val="00AC2118"/>
    <w:rsid w:val="00AC2395"/>
    <w:rsid w:val="00AC2960"/>
    <w:rsid w:val="00AC2AC4"/>
    <w:rsid w:val="00AC4284"/>
    <w:rsid w:val="00AC45BD"/>
    <w:rsid w:val="00AC4B69"/>
    <w:rsid w:val="00AC50BB"/>
    <w:rsid w:val="00AC597D"/>
    <w:rsid w:val="00AC6A7B"/>
    <w:rsid w:val="00AD066C"/>
    <w:rsid w:val="00AD0B22"/>
    <w:rsid w:val="00AD0EE7"/>
    <w:rsid w:val="00AD168E"/>
    <w:rsid w:val="00AD306C"/>
    <w:rsid w:val="00AD44CD"/>
    <w:rsid w:val="00AD583C"/>
    <w:rsid w:val="00AD5AD2"/>
    <w:rsid w:val="00AD6462"/>
    <w:rsid w:val="00AD6656"/>
    <w:rsid w:val="00AD66C5"/>
    <w:rsid w:val="00AD68C4"/>
    <w:rsid w:val="00AD71F9"/>
    <w:rsid w:val="00AD7D55"/>
    <w:rsid w:val="00AE09B3"/>
    <w:rsid w:val="00AE0C9E"/>
    <w:rsid w:val="00AE0DD4"/>
    <w:rsid w:val="00AE1A83"/>
    <w:rsid w:val="00AE2AE9"/>
    <w:rsid w:val="00AE2AFA"/>
    <w:rsid w:val="00AE30BE"/>
    <w:rsid w:val="00AE3E6A"/>
    <w:rsid w:val="00AE4A4F"/>
    <w:rsid w:val="00AE6414"/>
    <w:rsid w:val="00AE7269"/>
    <w:rsid w:val="00AE797C"/>
    <w:rsid w:val="00AE7CE7"/>
    <w:rsid w:val="00AE7FAB"/>
    <w:rsid w:val="00AE7FB6"/>
    <w:rsid w:val="00AF0DE4"/>
    <w:rsid w:val="00AF1E87"/>
    <w:rsid w:val="00AF22CD"/>
    <w:rsid w:val="00AF436B"/>
    <w:rsid w:val="00AF5179"/>
    <w:rsid w:val="00AF5CC2"/>
    <w:rsid w:val="00AF6776"/>
    <w:rsid w:val="00AF6883"/>
    <w:rsid w:val="00AF6F98"/>
    <w:rsid w:val="00AF75F2"/>
    <w:rsid w:val="00B00550"/>
    <w:rsid w:val="00B00913"/>
    <w:rsid w:val="00B01593"/>
    <w:rsid w:val="00B01FF9"/>
    <w:rsid w:val="00B023F2"/>
    <w:rsid w:val="00B026FE"/>
    <w:rsid w:val="00B038CA"/>
    <w:rsid w:val="00B05F00"/>
    <w:rsid w:val="00B06DB4"/>
    <w:rsid w:val="00B06EFE"/>
    <w:rsid w:val="00B0750D"/>
    <w:rsid w:val="00B0799C"/>
    <w:rsid w:val="00B102CE"/>
    <w:rsid w:val="00B10594"/>
    <w:rsid w:val="00B10A4D"/>
    <w:rsid w:val="00B10C90"/>
    <w:rsid w:val="00B11002"/>
    <w:rsid w:val="00B1114F"/>
    <w:rsid w:val="00B121B2"/>
    <w:rsid w:val="00B131B1"/>
    <w:rsid w:val="00B141B6"/>
    <w:rsid w:val="00B14BC1"/>
    <w:rsid w:val="00B14E32"/>
    <w:rsid w:val="00B162C3"/>
    <w:rsid w:val="00B16DD1"/>
    <w:rsid w:val="00B16EB8"/>
    <w:rsid w:val="00B17E71"/>
    <w:rsid w:val="00B17FDE"/>
    <w:rsid w:val="00B20632"/>
    <w:rsid w:val="00B22499"/>
    <w:rsid w:val="00B236B6"/>
    <w:rsid w:val="00B2379C"/>
    <w:rsid w:val="00B23D5D"/>
    <w:rsid w:val="00B23E6E"/>
    <w:rsid w:val="00B2450C"/>
    <w:rsid w:val="00B2687D"/>
    <w:rsid w:val="00B27948"/>
    <w:rsid w:val="00B27F6C"/>
    <w:rsid w:val="00B301DB"/>
    <w:rsid w:val="00B3108D"/>
    <w:rsid w:val="00B31693"/>
    <w:rsid w:val="00B32DDB"/>
    <w:rsid w:val="00B32F57"/>
    <w:rsid w:val="00B3345C"/>
    <w:rsid w:val="00B34528"/>
    <w:rsid w:val="00B34CC9"/>
    <w:rsid w:val="00B34CDA"/>
    <w:rsid w:val="00B3563B"/>
    <w:rsid w:val="00B36BDC"/>
    <w:rsid w:val="00B37499"/>
    <w:rsid w:val="00B37D3A"/>
    <w:rsid w:val="00B37D96"/>
    <w:rsid w:val="00B402FC"/>
    <w:rsid w:val="00B422E2"/>
    <w:rsid w:val="00B4236C"/>
    <w:rsid w:val="00B42D5F"/>
    <w:rsid w:val="00B43216"/>
    <w:rsid w:val="00B439DA"/>
    <w:rsid w:val="00B4411A"/>
    <w:rsid w:val="00B45FE8"/>
    <w:rsid w:val="00B46604"/>
    <w:rsid w:val="00B47089"/>
    <w:rsid w:val="00B47587"/>
    <w:rsid w:val="00B52151"/>
    <w:rsid w:val="00B530CD"/>
    <w:rsid w:val="00B53639"/>
    <w:rsid w:val="00B53C7D"/>
    <w:rsid w:val="00B53E56"/>
    <w:rsid w:val="00B5407D"/>
    <w:rsid w:val="00B54FC0"/>
    <w:rsid w:val="00B55A97"/>
    <w:rsid w:val="00B55F5E"/>
    <w:rsid w:val="00B5642C"/>
    <w:rsid w:val="00B5658D"/>
    <w:rsid w:val="00B56B6F"/>
    <w:rsid w:val="00B5752E"/>
    <w:rsid w:val="00B6074F"/>
    <w:rsid w:val="00B60AC1"/>
    <w:rsid w:val="00B61FF6"/>
    <w:rsid w:val="00B62316"/>
    <w:rsid w:val="00B623D7"/>
    <w:rsid w:val="00B63A11"/>
    <w:rsid w:val="00B64425"/>
    <w:rsid w:val="00B64C24"/>
    <w:rsid w:val="00B65CEF"/>
    <w:rsid w:val="00B65E90"/>
    <w:rsid w:val="00B6608F"/>
    <w:rsid w:val="00B67749"/>
    <w:rsid w:val="00B679FB"/>
    <w:rsid w:val="00B717C4"/>
    <w:rsid w:val="00B71FBF"/>
    <w:rsid w:val="00B72287"/>
    <w:rsid w:val="00B734A0"/>
    <w:rsid w:val="00B73A14"/>
    <w:rsid w:val="00B74433"/>
    <w:rsid w:val="00B748BD"/>
    <w:rsid w:val="00B74EA8"/>
    <w:rsid w:val="00B7680F"/>
    <w:rsid w:val="00B76B48"/>
    <w:rsid w:val="00B76D1E"/>
    <w:rsid w:val="00B77543"/>
    <w:rsid w:val="00B77584"/>
    <w:rsid w:val="00B80544"/>
    <w:rsid w:val="00B80D89"/>
    <w:rsid w:val="00B80EC6"/>
    <w:rsid w:val="00B81288"/>
    <w:rsid w:val="00B81D70"/>
    <w:rsid w:val="00B833B9"/>
    <w:rsid w:val="00B83AAF"/>
    <w:rsid w:val="00B83E07"/>
    <w:rsid w:val="00B84CF6"/>
    <w:rsid w:val="00B85016"/>
    <w:rsid w:val="00B8561A"/>
    <w:rsid w:val="00B86643"/>
    <w:rsid w:val="00B868F7"/>
    <w:rsid w:val="00B90131"/>
    <w:rsid w:val="00B9123C"/>
    <w:rsid w:val="00B92951"/>
    <w:rsid w:val="00B92C05"/>
    <w:rsid w:val="00B92D1D"/>
    <w:rsid w:val="00B92D7E"/>
    <w:rsid w:val="00B930CE"/>
    <w:rsid w:val="00B938C5"/>
    <w:rsid w:val="00B940A8"/>
    <w:rsid w:val="00B94ADB"/>
    <w:rsid w:val="00B9554A"/>
    <w:rsid w:val="00B95940"/>
    <w:rsid w:val="00B95ACA"/>
    <w:rsid w:val="00B96D74"/>
    <w:rsid w:val="00B9720E"/>
    <w:rsid w:val="00B97ACC"/>
    <w:rsid w:val="00B97FE2"/>
    <w:rsid w:val="00BA08E1"/>
    <w:rsid w:val="00BA0E0B"/>
    <w:rsid w:val="00BA201A"/>
    <w:rsid w:val="00BA361D"/>
    <w:rsid w:val="00BA3787"/>
    <w:rsid w:val="00BA403A"/>
    <w:rsid w:val="00BA46E8"/>
    <w:rsid w:val="00BA4AE9"/>
    <w:rsid w:val="00BA4E19"/>
    <w:rsid w:val="00BA6436"/>
    <w:rsid w:val="00BA64F2"/>
    <w:rsid w:val="00BA684E"/>
    <w:rsid w:val="00BA6C2B"/>
    <w:rsid w:val="00BA7AF6"/>
    <w:rsid w:val="00BA7B64"/>
    <w:rsid w:val="00BB02A3"/>
    <w:rsid w:val="00BB0351"/>
    <w:rsid w:val="00BB03DB"/>
    <w:rsid w:val="00BB069B"/>
    <w:rsid w:val="00BB15C3"/>
    <w:rsid w:val="00BB1948"/>
    <w:rsid w:val="00BB1AF4"/>
    <w:rsid w:val="00BB2202"/>
    <w:rsid w:val="00BB39E7"/>
    <w:rsid w:val="00BB3C6B"/>
    <w:rsid w:val="00BB3FD6"/>
    <w:rsid w:val="00BB453F"/>
    <w:rsid w:val="00BB46F3"/>
    <w:rsid w:val="00BB4A71"/>
    <w:rsid w:val="00BB4CB1"/>
    <w:rsid w:val="00BB4F98"/>
    <w:rsid w:val="00BB5AB2"/>
    <w:rsid w:val="00BB5ABF"/>
    <w:rsid w:val="00BB6EA2"/>
    <w:rsid w:val="00BB7B5B"/>
    <w:rsid w:val="00BB7EB1"/>
    <w:rsid w:val="00BC003F"/>
    <w:rsid w:val="00BC0930"/>
    <w:rsid w:val="00BC1048"/>
    <w:rsid w:val="00BC17C7"/>
    <w:rsid w:val="00BC327F"/>
    <w:rsid w:val="00BC3512"/>
    <w:rsid w:val="00BC4B35"/>
    <w:rsid w:val="00BC50BE"/>
    <w:rsid w:val="00BC5332"/>
    <w:rsid w:val="00BC5715"/>
    <w:rsid w:val="00BC5C12"/>
    <w:rsid w:val="00BC641B"/>
    <w:rsid w:val="00BC65A2"/>
    <w:rsid w:val="00BC7154"/>
    <w:rsid w:val="00BC731E"/>
    <w:rsid w:val="00BC7614"/>
    <w:rsid w:val="00BC7AC9"/>
    <w:rsid w:val="00BC7E2C"/>
    <w:rsid w:val="00BD041B"/>
    <w:rsid w:val="00BD054B"/>
    <w:rsid w:val="00BD05DF"/>
    <w:rsid w:val="00BD177E"/>
    <w:rsid w:val="00BD1839"/>
    <w:rsid w:val="00BD25BB"/>
    <w:rsid w:val="00BD2AF8"/>
    <w:rsid w:val="00BD366B"/>
    <w:rsid w:val="00BD3C09"/>
    <w:rsid w:val="00BD410B"/>
    <w:rsid w:val="00BD4A73"/>
    <w:rsid w:val="00BD6C75"/>
    <w:rsid w:val="00BD6D50"/>
    <w:rsid w:val="00BD73D2"/>
    <w:rsid w:val="00BD7958"/>
    <w:rsid w:val="00BE04B0"/>
    <w:rsid w:val="00BE0AD1"/>
    <w:rsid w:val="00BE0EF9"/>
    <w:rsid w:val="00BE10A1"/>
    <w:rsid w:val="00BE12CC"/>
    <w:rsid w:val="00BE18B9"/>
    <w:rsid w:val="00BE190A"/>
    <w:rsid w:val="00BE2495"/>
    <w:rsid w:val="00BE24DD"/>
    <w:rsid w:val="00BE2A8A"/>
    <w:rsid w:val="00BE386D"/>
    <w:rsid w:val="00BE54BF"/>
    <w:rsid w:val="00BE557B"/>
    <w:rsid w:val="00BE6AB5"/>
    <w:rsid w:val="00BE7F5F"/>
    <w:rsid w:val="00BF02C8"/>
    <w:rsid w:val="00BF0996"/>
    <w:rsid w:val="00BF1578"/>
    <w:rsid w:val="00BF15CA"/>
    <w:rsid w:val="00BF1D12"/>
    <w:rsid w:val="00BF1D3A"/>
    <w:rsid w:val="00BF2B5B"/>
    <w:rsid w:val="00BF2D41"/>
    <w:rsid w:val="00BF3274"/>
    <w:rsid w:val="00BF32DC"/>
    <w:rsid w:val="00BF4329"/>
    <w:rsid w:val="00BF4E43"/>
    <w:rsid w:val="00BF5C4C"/>
    <w:rsid w:val="00BF77FC"/>
    <w:rsid w:val="00C0062B"/>
    <w:rsid w:val="00C006D6"/>
    <w:rsid w:val="00C00BD7"/>
    <w:rsid w:val="00C012F4"/>
    <w:rsid w:val="00C01410"/>
    <w:rsid w:val="00C04B78"/>
    <w:rsid w:val="00C052AA"/>
    <w:rsid w:val="00C06EE3"/>
    <w:rsid w:val="00C070A5"/>
    <w:rsid w:val="00C075AB"/>
    <w:rsid w:val="00C07749"/>
    <w:rsid w:val="00C11244"/>
    <w:rsid w:val="00C11D48"/>
    <w:rsid w:val="00C1246C"/>
    <w:rsid w:val="00C12617"/>
    <w:rsid w:val="00C12FBA"/>
    <w:rsid w:val="00C1493E"/>
    <w:rsid w:val="00C15DBD"/>
    <w:rsid w:val="00C2010D"/>
    <w:rsid w:val="00C20376"/>
    <w:rsid w:val="00C20CB5"/>
    <w:rsid w:val="00C21430"/>
    <w:rsid w:val="00C21606"/>
    <w:rsid w:val="00C216DF"/>
    <w:rsid w:val="00C21775"/>
    <w:rsid w:val="00C21E61"/>
    <w:rsid w:val="00C21F94"/>
    <w:rsid w:val="00C234DB"/>
    <w:rsid w:val="00C2479A"/>
    <w:rsid w:val="00C24903"/>
    <w:rsid w:val="00C2590D"/>
    <w:rsid w:val="00C25D9C"/>
    <w:rsid w:val="00C27913"/>
    <w:rsid w:val="00C300E2"/>
    <w:rsid w:val="00C31F21"/>
    <w:rsid w:val="00C32073"/>
    <w:rsid w:val="00C32631"/>
    <w:rsid w:val="00C32C4E"/>
    <w:rsid w:val="00C33301"/>
    <w:rsid w:val="00C33311"/>
    <w:rsid w:val="00C33B68"/>
    <w:rsid w:val="00C347AE"/>
    <w:rsid w:val="00C35570"/>
    <w:rsid w:val="00C35A2A"/>
    <w:rsid w:val="00C36A79"/>
    <w:rsid w:val="00C401A9"/>
    <w:rsid w:val="00C401D2"/>
    <w:rsid w:val="00C4031A"/>
    <w:rsid w:val="00C405D4"/>
    <w:rsid w:val="00C419D5"/>
    <w:rsid w:val="00C41D54"/>
    <w:rsid w:val="00C42EBB"/>
    <w:rsid w:val="00C4513B"/>
    <w:rsid w:val="00C475E8"/>
    <w:rsid w:val="00C5051D"/>
    <w:rsid w:val="00C50E79"/>
    <w:rsid w:val="00C5197D"/>
    <w:rsid w:val="00C52484"/>
    <w:rsid w:val="00C525FB"/>
    <w:rsid w:val="00C5390B"/>
    <w:rsid w:val="00C54257"/>
    <w:rsid w:val="00C54697"/>
    <w:rsid w:val="00C54710"/>
    <w:rsid w:val="00C550CE"/>
    <w:rsid w:val="00C553A5"/>
    <w:rsid w:val="00C55402"/>
    <w:rsid w:val="00C55EFB"/>
    <w:rsid w:val="00C5603B"/>
    <w:rsid w:val="00C61F47"/>
    <w:rsid w:val="00C62828"/>
    <w:rsid w:val="00C63419"/>
    <w:rsid w:val="00C715CC"/>
    <w:rsid w:val="00C719A3"/>
    <w:rsid w:val="00C71D2F"/>
    <w:rsid w:val="00C72984"/>
    <w:rsid w:val="00C73885"/>
    <w:rsid w:val="00C73C93"/>
    <w:rsid w:val="00C7435A"/>
    <w:rsid w:val="00C747B1"/>
    <w:rsid w:val="00C74874"/>
    <w:rsid w:val="00C75510"/>
    <w:rsid w:val="00C755F9"/>
    <w:rsid w:val="00C756D8"/>
    <w:rsid w:val="00C75752"/>
    <w:rsid w:val="00C770C9"/>
    <w:rsid w:val="00C80E75"/>
    <w:rsid w:val="00C81070"/>
    <w:rsid w:val="00C8174E"/>
    <w:rsid w:val="00C81AC8"/>
    <w:rsid w:val="00C82191"/>
    <w:rsid w:val="00C83134"/>
    <w:rsid w:val="00C831E7"/>
    <w:rsid w:val="00C832F3"/>
    <w:rsid w:val="00C84307"/>
    <w:rsid w:val="00C844D4"/>
    <w:rsid w:val="00C845A4"/>
    <w:rsid w:val="00C85047"/>
    <w:rsid w:val="00C85545"/>
    <w:rsid w:val="00C855B5"/>
    <w:rsid w:val="00C85F0E"/>
    <w:rsid w:val="00C87F4F"/>
    <w:rsid w:val="00C90CF4"/>
    <w:rsid w:val="00C91C20"/>
    <w:rsid w:val="00C922DE"/>
    <w:rsid w:val="00C92843"/>
    <w:rsid w:val="00C92EB6"/>
    <w:rsid w:val="00C93389"/>
    <w:rsid w:val="00C948E6"/>
    <w:rsid w:val="00C94B0E"/>
    <w:rsid w:val="00C94CDD"/>
    <w:rsid w:val="00C9507E"/>
    <w:rsid w:val="00C95F09"/>
    <w:rsid w:val="00C96C69"/>
    <w:rsid w:val="00C972CB"/>
    <w:rsid w:val="00C97588"/>
    <w:rsid w:val="00CA0346"/>
    <w:rsid w:val="00CA0DA1"/>
    <w:rsid w:val="00CA14C2"/>
    <w:rsid w:val="00CA1BD6"/>
    <w:rsid w:val="00CA2D45"/>
    <w:rsid w:val="00CA37FF"/>
    <w:rsid w:val="00CA423A"/>
    <w:rsid w:val="00CA47BC"/>
    <w:rsid w:val="00CA5EAD"/>
    <w:rsid w:val="00CA6AB4"/>
    <w:rsid w:val="00CA7255"/>
    <w:rsid w:val="00CB1BEE"/>
    <w:rsid w:val="00CB2351"/>
    <w:rsid w:val="00CB3610"/>
    <w:rsid w:val="00CB3818"/>
    <w:rsid w:val="00CB39E6"/>
    <w:rsid w:val="00CB3BE4"/>
    <w:rsid w:val="00CB481D"/>
    <w:rsid w:val="00CB4930"/>
    <w:rsid w:val="00CB4BA9"/>
    <w:rsid w:val="00CB4C63"/>
    <w:rsid w:val="00CB5A48"/>
    <w:rsid w:val="00CB5E10"/>
    <w:rsid w:val="00CB5EAD"/>
    <w:rsid w:val="00CB613B"/>
    <w:rsid w:val="00CB6152"/>
    <w:rsid w:val="00CB632B"/>
    <w:rsid w:val="00CB64E1"/>
    <w:rsid w:val="00CB6E4D"/>
    <w:rsid w:val="00CB7BCB"/>
    <w:rsid w:val="00CC042C"/>
    <w:rsid w:val="00CC0834"/>
    <w:rsid w:val="00CC0AEA"/>
    <w:rsid w:val="00CC20FE"/>
    <w:rsid w:val="00CC2E7D"/>
    <w:rsid w:val="00CC3C55"/>
    <w:rsid w:val="00CC5BE8"/>
    <w:rsid w:val="00CC612B"/>
    <w:rsid w:val="00CC655F"/>
    <w:rsid w:val="00CC66F9"/>
    <w:rsid w:val="00CC6C2A"/>
    <w:rsid w:val="00CC6FE5"/>
    <w:rsid w:val="00CC7458"/>
    <w:rsid w:val="00CC76BD"/>
    <w:rsid w:val="00CC77E8"/>
    <w:rsid w:val="00CC7A87"/>
    <w:rsid w:val="00CD0D6B"/>
    <w:rsid w:val="00CD0EA7"/>
    <w:rsid w:val="00CD10A5"/>
    <w:rsid w:val="00CD1129"/>
    <w:rsid w:val="00CD128E"/>
    <w:rsid w:val="00CD1A80"/>
    <w:rsid w:val="00CD1CB5"/>
    <w:rsid w:val="00CD2076"/>
    <w:rsid w:val="00CD24CE"/>
    <w:rsid w:val="00CD29B5"/>
    <w:rsid w:val="00CD2B78"/>
    <w:rsid w:val="00CD3FAB"/>
    <w:rsid w:val="00CD4DF9"/>
    <w:rsid w:val="00CD5456"/>
    <w:rsid w:val="00CD5C3E"/>
    <w:rsid w:val="00CD5C57"/>
    <w:rsid w:val="00CD6331"/>
    <w:rsid w:val="00CE0FE9"/>
    <w:rsid w:val="00CE14BE"/>
    <w:rsid w:val="00CE17A4"/>
    <w:rsid w:val="00CE1BA9"/>
    <w:rsid w:val="00CE2383"/>
    <w:rsid w:val="00CE2D8F"/>
    <w:rsid w:val="00CE3E48"/>
    <w:rsid w:val="00CE47B8"/>
    <w:rsid w:val="00CE62FA"/>
    <w:rsid w:val="00CE6494"/>
    <w:rsid w:val="00CE670B"/>
    <w:rsid w:val="00CE6833"/>
    <w:rsid w:val="00CE6E27"/>
    <w:rsid w:val="00CF0081"/>
    <w:rsid w:val="00CF020B"/>
    <w:rsid w:val="00CF2E4D"/>
    <w:rsid w:val="00CF4205"/>
    <w:rsid w:val="00CF4908"/>
    <w:rsid w:val="00CF51EC"/>
    <w:rsid w:val="00CF545D"/>
    <w:rsid w:val="00CF5873"/>
    <w:rsid w:val="00CF73AE"/>
    <w:rsid w:val="00CF7777"/>
    <w:rsid w:val="00CF7E70"/>
    <w:rsid w:val="00D0085A"/>
    <w:rsid w:val="00D0197F"/>
    <w:rsid w:val="00D01B31"/>
    <w:rsid w:val="00D0242D"/>
    <w:rsid w:val="00D02716"/>
    <w:rsid w:val="00D02999"/>
    <w:rsid w:val="00D02A35"/>
    <w:rsid w:val="00D02B89"/>
    <w:rsid w:val="00D03A72"/>
    <w:rsid w:val="00D040DD"/>
    <w:rsid w:val="00D04101"/>
    <w:rsid w:val="00D04134"/>
    <w:rsid w:val="00D05C65"/>
    <w:rsid w:val="00D0686E"/>
    <w:rsid w:val="00D06B56"/>
    <w:rsid w:val="00D06D68"/>
    <w:rsid w:val="00D075BE"/>
    <w:rsid w:val="00D07AFF"/>
    <w:rsid w:val="00D07BC1"/>
    <w:rsid w:val="00D10BDD"/>
    <w:rsid w:val="00D10C15"/>
    <w:rsid w:val="00D11011"/>
    <w:rsid w:val="00D11476"/>
    <w:rsid w:val="00D12C25"/>
    <w:rsid w:val="00D133B4"/>
    <w:rsid w:val="00D13829"/>
    <w:rsid w:val="00D13986"/>
    <w:rsid w:val="00D14C5B"/>
    <w:rsid w:val="00D152E7"/>
    <w:rsid w:val="00D15FED"/>
    <w:rsid w:val="00D16712"/>
    <w:rsid w:val="00D16D59"/>
    <w:rsid w:val="00D2000D"/>
    <w:rsid w:val="00D2007D"/>
    <w:rsid w:val="00D202E5"/>
    <w:rsid w:val="00D205DA"/>
    <w:rsid w:val="00D214EF"/>
    <w:rsid w:val="00D215B0"/>
    <w:rsid w:val="00D21D6D"/>
    <w:rsid w:val="00D21D83"/>
    <w:rsid w:val="00D22A47"/>
    <w:rsid w:val="00D22AE8"/>
    <w:rsid w:val="00D235B7"/>
    <w:rsid w:val="00D23FAE"/>
    <w:rsid w:val="00D25F28"/>
    <w:rsid w:val="00D26071"/>
    <w:rsid w:val="00D260C7"/>
    <w:rsid w:val="00D2638A"/>
    <w:rsid w:val="00D269B9"/>
    <w:rsid w:val="00D27973"/>
    <w:rsid w:val="00D27F3A"/>
    <w:rsid w:val="00D31537"/>
    <w:rsid w:val="00D31E1E"/>
    <w:rsid w:val="00D322A0"/>
    <w:rsid w:val="00D32824"/>
    <w:rsid w:val="00D334E2"/>
    <w:rsid w:val="00D33FC5"/>
    <w:rsid w:val="00D34342"/>
    <w:rsid w:val="00D34835"/>
    <w:rsid w:val="00D34A5A"/>
    <w:rsid w:val="00D350B1"/>
    <w:rsid w:val="00D3546A"/>
    <w:rsid w:val="00D35AD6"/>
    <w:rsid w:val="00D35BBB"/>
    <w:rsid w:val="00D35E1A"/>
    <w:rsid w:val="00D3640A"/>
    <w:rsid w:val="00D36B0A"/>
    <w:rsid w:val="00D36DFB"/>
    <w:rsid w:val="00D36E1C"/>
    <w:rsid w:val="00D373AF"/>
    <w:rsid w:val="00D40556"/>
    <w:rsid w:val="00D406BB"/>
    <w:rsid w:val="00D40E6C"/>
    <w:rsid w:val="00D418B1"/>
    <w:rsid w:val="00D41A44"/>
    <w:rsid w:val="00D41F74"/>
    <w:rsid w:val="00D428C8"/>
    <w:rsid w:val="00D43034"/>
    <w:rsid w:val="00D43ED2"/>
    <w:rsid w:val="00D447B8"/>
    <w:rsid w:val="00D5040A"/>
    <w:rsid w:val="00D50F46"/>
    <w:rsid w:val="00D52084"/>
    <w:rsid w:val="00D5376B"/>
    <w:rsid w:val="00D5384E"/>
    <w:rsid w:val="00D544E7"/>
    <w:rsid w:val="00D545CD"/>
    <w:rsid w:val="00D5499F"/>
    <w:rsid w:val="00D5560A"/>
    <w:rsid w:val="00D56FBF"/>
    <w:rsid w:val="00D57677"/>
    <w:rsid w:val="00D5781F"/>
    <w:rsid w:val="00D60415"/>
    <w:rsid w:val="00D60DE7"/>
    <w:rsid w:val="00D60E3C"/>
    <w:rsid w:val="00D61FAB"/>
    <w:rsid w:val="00D63BE5"/>
    <w:rsid w:val="00D64735"/>
    <w:rsid w:val="00D6475F"/>
    <w:rsid w:val="00D655D4"/>
    <w:rsid w:val="00D66223"/>
    <w:rsid w:val="00D667B8"/>
    <w:rsid w:val="00D70289"/>
    <w:rsid w:val="00D70822"/>
    <w:rsid w:val="00D70BBF"/>
    <w:rsid w:val="00D72076"/>
    <w:rsid w:val="00D72084"/>
    <w:rsid w:val="00D721B4"/>
    <w:rsid w:val="00D726A9"/>
    <w:rsid w:val="00D72DBA"/>
    <w:rsid w:val="00D73BEB"/>
    <w:rsid w:val="00D743E0"/>
    <w:rsid w:val="00D7490C"/>
    <w:rsid w:val="00D75AC1"/>
    <w:rsid w:val="00D77252"/>
    <w:rsid w:val="00D8084C"/>
    <w:rsid w:val="00D81809"/>
    <w:rsid w:val="00D82EF1"/>
    <w:rsid w:val="00D84F43"/>
    <w:rsid w:val="00D85114"/>
    <w:rsid w:val="00D85821"/>
    <w:rsid w:val="00D8598C"/>
    <w:rsid w:val="00D86273"/>
    <w:rsid w:val="00D87C06"/>
    <w:rsid w:val="00D914D6"/>
    <w:rsid w:val="00D915EA"/>
    <w:rsid w:val="00D91620"/>
    <w:rsid w:val="00D919ED"/>
    <w:rsid w:val="00D922A1"/>
    <w:rsid w:val="00D928BE"/>
    <w:rsid w:val="00D932B8"/>
    <w:rsid w:val="00D95302"/>
    <w:rsid w:val="00D95C5D"/>
    <w:rsid w:val="00D96AFE"/>
    <w:rsid w:val="00D97D00"/>
    <w:rsid w:val="00DA096C"/>
    <w:rsid w:val="00DA1AB6"/>
    <w:rsid w:val="00DA1C5D"/>
    <w:rsid w:val="00DA2E65"/>
    <w:rsid w:val="00DA345F"/>
    <w:rsid w:val="00DA3ADF"/>
    <w:rsid w:val="00DA3D0F"/>
    <w:rsid w:val="00DA4174"/>
    <w:rsid w:val="00DA544C"/>
    <w:rsid w:val="00DA5F8E"/>
    <w:rsid w:val="00DA6364"/>
    <w:rsid w:val="00DA7114"/>
    <w:rsid w:val="00DA7C0C"/>
    <w:rsid w:val="00DB03DD"/>
    <w:rsid w:val="00DB08A9"/>
    <w:rsid w:val="00DB0B33"/>
    <w:rsid w:val="00DB0FD9"/>
    <w:rsid w:val="00DB2DFA"/>
    <w:rsid w:val="00DB2EC8"/>
    <w:rsid w:val="00DB321D"/>
    <w:rsid w:val="00DB459B"/>
    <w:rsid w:val="00DB47FD"/>
    <w:rsid w:val="00DB5E3A"/>
    <w:rsid w:val="00DB5E9A"/>
    <w:rsid w:val="00DB613B"/>
    <w:rsid w:val="00DB657E"/>
    <w:rsid w:val="00DB7342"/>
    <w:rsid w:val="00DB7489"/>
    <w:rsid w:val="00DC0138"/>
    <w:rsid w:val="00DC17D0"/>
    <w:rsid w:val="00DC2B41"/>
    <w:rsid w:val="00DC3128"/>
    <w:rsid w:val="00DC435B"/>
    <w:rsid w:val="00DC43C3"/>
    <w:rsid w:val="00DC53D8"/>
    <w:rsid w:val="00DC56FE"/>
    <w:rsid w:val="00DC5B3B"/>
    <w:rsid w:val="00DC6C2D"/>
    <w:rsid w:val="00DC7B1A"/>
    <w:rsid w:val="00DD0059"/>
    <w:rsid w:val="00DD04B0"/>
    <w:rsid w:val="00DD0E89"/>
    <w:rsid w:val="00DD129F"/>
    <w:rsid w:val="00DD13FC"/>
    <w:rsid w:val="00DD1A3F"/>
    <w:rsid w:val="00DD29B5"/>
    <w:rsid w:val="00DD2A4B"/>
    <w:rsid w:val="00DD2A77"/>
    <w:rsid w:val="00DD32DD"/>
    <w:rsid w:val="00DD33E8"/>
    <w:rsid w:val="00DD4463"/>
    <w:rsid w:val="00DD5287"/>
    <w:rsid w:val="00DD5B36"/>
    <w:rsid w:val="00DD7849"/>
    <w:rsid w:val="00DE03DE"/>
    <w:rsid w:val="00DE0D8B"/>
    <w:rsid w:val="00DE1237"/>
    <w:rsid w:val="00DE140F"/>
    <w:rsid w:val="00DE172A"/>
    <w:rsid w:val="00DE17E9"/>
    <w:rsid w:val="00DE2491"/>
    <w:rsid w:val="00DE31B8"/>
    <w:rsid w:val="00DE450F"/>
    <w:rsid w:val="00DE5CA6"/>
    <w:rsid w:val="00DE7AC8"/>
    <w:rsid w:val="00DF0830"/>
    <w:rsid w:val="00DF08DF"/>
    <w:rsid w:val="00DF1BCC"/>
    <w:rsid w:val="00DF2C5D"/>
    <w:rsid w:val="00DF3643"/>
    <w:rsid w:val="00DF42FF"/>
    <w:rsid w:val="00DF4369"/>
    <w:rsid w:val="00DF4423"/>
    <w:rsid w:val="00DF4ADF"/>
    <w:rsid w:val="00DF56C3"/>
    <w:rsid w:val="00DF5D1E"/>
    <w:rsid w:val="00DF5EAA"/>
    <w:rsid w:val="00DF77E4"/>
    <w:rsid w:val="00DF7F88"/>
    <w:rsid w:val="00E00B88"/>
    <w:rsid w:val="00E01C0E"/>
    <w:rsid w:val="00E02CF7"/>
    <w:rsid w:val="00E0368F"/>
    <w:rsid w:val="00E03D73"/>
    <w:rsid w:val="00E03F9A"/>
    <w:rsid w:val="00E040DA"/>
    <w:rsid w:val="00E044BF"/>
    <w:rsid w:val="00E04694"/>
    <w:rsid w:val="00E0510D"/>
    <w:rsid w:val="00E07FBC"/>
    <w:rsid w:val="00E1168B"/>
    <w:rsid w:val="00E12191"/>
    <w:rsid w:val="00E129E7"/>
    <w:rsid w:val="00E12ABE"/>
    <w:rsid w:val="00E12B1E"/>
    <w:rsid w:val="00E1394B"/>
    <w:rsid w:val="00E13995"/>
    <w:rsid w:val="00E1444C"/>
    <w:rsid w:val="00E14D38"/>
    <w:rsid w:val="00E15361"/>
    <w:rsid w:val="00E154E5"/>
    <w:rsid w:val="00E158D7"/>
    <w:rsid w:val="00E17262"/>
    <w:rsid w:val="00E17F36"/>
    <w:rsid w:val="00E20016"/>
    <w:rsid w:val="00E2009B"/>
    <w:rsid w:val="00E20BB9"/>
    <w:rsid w:val="00E20BCC"/>
    <w:rsid w:val="00E21413"/>
    <w:rsid w:val="00E2251C"/>
    <w:rsid w:val="00E2363D"/>
    <w:rsid w:val="00E23C6A"/>
    <w:rsid w:val="00E2484B"/>
    <w:rsid w:val="00E253A2"/>
    <w:rsid w:val="00E260F6"/>
    <w:rsid w:val="00E27127"/>
    <w:rsid w:val="00E27233"/>
    <w:rsid w:val="00E30F15"/>
    <w:rsid w:val="00E31771"/>
    <w:rsid w:val="00E3186D"/>
    <w:rsid w:val="00E31A3E"/>
    <w:rsid w:val="00E32080"/>
    <w:rsid w:val="00E3309D"/>
    <w:rsid w:val="00E350B1"/>
    <w:rsid w:val="00E3518F"/>
    <w:rsid w:val="00E357BF"/>
    <w:rsid w:val="00E35A53"/>
    <w:rsid w:val="00E3656B"/>
    <w:rsid w:val="00E3724A"/>
    <w:rsid w:val="00E378B1"/>
    <w:rsid w:val="00E37F74"/>
    <w:rsid w:val="00E40324"/>
    <w:rsid w:val="00E40BA3"/>
    <w:rsid w:val="00E417BE"/>
    <w:rsid w:val="00E41CD5"/>
    <w:rsid w:val="00E42054"/>
    <w:rsid w:val="00E4218B"/>
    <w:rsid w:val="00E4372D"/>
    <w:rsid w:val="00E43A9E"/>
    <w:rsid w:val="00E44243"/>
    <w:rsid w:val="00E444F5"/>
    <w:rsid w:val="00E453F9"/>
    <w:rsid w:val="00E45D7D"/>
    <w:rsid w:val="00E4623F"/>
    <w:rsid w:val="00E4665D"/>
    <w:rsid w:val="00E47854"/>
    <w:rsid w:val="00E47EBA"/>
    <w:rsid w:val="00E50156"/>
    <w:rsid w:val="00E504EB"/>
    <w:rsid w:val="00E5062B"/>
    <w:rsid w:val="00E5076C"/>
    <w:rsid w:val="00E50D2E"/>
    <w:rsid w:val="00E50D7D"/>
    <w:rsid w:val="00E51EF0"/>
    <w:rsid w:val="00E53470"/>
    <w:rsid w:val="00E5368D"/>
    <w:rsid w:val="00E53970"/>
    <w:rsid w:val="00E539F6"/>
    <w:rsid w:val="00E54698"/>
    <w:rsid w:val="00E54FB4"/>
    <w:rsid w:val="00E5539A"/>
    <w:rsid w:val="00E55791"/>
    <w:rsid w:val="00E55E1A"/>
    <w:rsid w:val="00E561A7"/>
    <w:rsid w:val="00E56BD7"/>
    <w:rsid w:val="00E578A2"/>
    <w:rsid w:val="00E579ED"/>
    <w:rsid w:val="00E57D86"/>
    <w:rsid w:val="00E60043"/>
    <w:rsid w:val="00E60A9D"/>
    <w:rsid w:val="00E60BEE"/>
    <w:rsid w:val="00E61740"/>
    <w:rsid w:val="00E61EB5"/>
    <w:rsid w:val="00E624E8"/>
    <w:rsid w:val="00E62F49"/>
    <w:rsid w:val="00E6324D"/>
    <w:rsid w:val="00E65084"/>
    <w:rsid w:val="00E6519D"/>
    <w:rsid w:val="00E66062"/>
    <w:rsid w:val="00E66341"/>
    <w:rsid w:val="00E6660E"/>
    <w:rsid w:val="00E66768"/>
    <w:rsid w:val="00E67305"/>
    <w:rsid w:val="00E67696"/>
    <w:rsid w:val="00E70C5F"/>
    <w:rsid w:val="00E71A58"/>
    <w:rsid w:val="00E71FB4"/>
    <w:rsid w:val="00E72A26"/>
    <w:rsid w:val="00E72A7A"/>
    <w:rsid w:val="00E7335A"/>
    <w:rsid w:val="00E7467D"/>
    <w:rsid w:val="00E747DC"/>
    <w:rsid w:val="00E74A2D"/>
    <w:rsid w:val="00E75C94"/>
    <w:rsid w:val="00E76A08"/>
    <w:rsid w:val="00E76B9B"/>
    <w:rsid w:val="00E76E61"/>
    <w:rsid w:val="00E77CC0"/>
    <w:rsid w:val="00E80B3D"/>
    <w:rsid w:val="00E80CA3"/>
    <w:rsid w:val="00E80F06"/>
    <w:rsid w:val="00E82618"/>
    <w:rsid w:val="00E844D4"/>
    <w:rsid w:val="00E84E09"/>
    <w:rsid w:val="00E85BB8"/>
    <w:rsid w:val="00E86048"/>
    <w:rsid w:val="00E86FB9"/>
    <w:rsid w:val="00E90CA8"/>
    <w:rsid w:val="00E930A1"/>
    <w:rsid w:val="00E93820"/>
    <w:rsid w:val="00E938CD"/>
    <w:rsid w:val="00E94A86"/>
    <w:rsid w:val="00E953F6"/>
    <w:rsid w:val="00E95F74"/>
    <w:rsid w:val="00E96143"/>
    <w:rsid w:val="00E96833"/>
    <w:rsid w:val="00E97506"/>
    <w:rsid w:val="00E97BB5"/>
    <w:rsid w:val="00E97F14"/>
    <w:rsid w:val="00EA0C68"/>
    <w:rsid w:val="00EA0E39"/>
    <w:rsid w:val="00EA156C"/>
    <w:rsid w:val="00EA1D0E"/>
    <w:rsid w:val="00EA1F81"/>
    <w:rsid w:val="00EA2072"/>
    <w:rsid w:val="00EA2841"/>
    <w:rsid w:val="00EA32BC"/>
    <w:rsid w:val="00EA35A7"/>
    <w:rsid w:val="00EA3B32"/>
    <w:rsid w:val="00EA3D05"/>
    <w:rsid w:val="00EA4402"/>
    <w:rsid w:val="00EA4B8D"/>
    <w:rsid w:val="00EA4F9E"/>
    <w:rsid w:val="00EA513E"/>
    <w:rsid w:val="00EA624A"/>
    <w:rsid w:val="00EA65E8"/>
    <w:rsid w:val="00EA6D0F"/>
    <w:rsid w:val="00EA7419"/>
    <w:rsid w:val="00EB0E32"/>
    <w:rsid w:val="00EB1632"/>
    <w:rsid w:val="00EB3E60"/>
    <w:rsid w:val="00EB4074"/>
    <w:rsid w:val="00EB4511"/>
    <w:rsid w:val="00EB48D7"/>
    <w:rsid w:val="00EB4A8E"/>
    <w:rsid w:val="00EB4BC5"/>
    <w:rsid w:val="00EB5BF7"/>
    <w:rsid w:val="00EB5E79"/>
    <w:rsid w:val="00EB6FAC"/>
    <w:rsid w:val="00EB7243"/>
    <w:rsid w:val="00EB7712"/>
    <w:rsid w:val="00EB7BAC"/>
    <w:rsid w:val="00EC03D7"/>
    <w:rsid w:val="00EC105F"/>
    <w:rsid w:val="00EC13A7"/>
    <w:rsid w:val="00EC24CE"/>
    <w:rsid w:val="00EC2EB6"/>
    <w:rsid w:val="00EC5A9F"/>
    <w:rsid w:val="00EC5E0C"/>
    <w:rsid w:val="00EC6267"/>
    <w:rsid w:val="00EC7221"/>
    <w:rsid w:val="00EC769F"/>
    <w:rsid w:val="00ED0EF0"/>
    <w:rsid w:val="00ED12B9"/>
    <w:rsid w:val="00ED16B8"/>
    <w:rsid w:val="00ED1A00"/>
    <w:rsid w:val="00ED1DF0"/>
    <w:rsid w:val="00ED2386"/>
    <w:rsid w:val="00ED2EA1"/>
    <w:rsid w:val="00ED3818"/>
    <w:rsid w:val="00ED3851"/>
    <w:rsid w:val="00ED3B4C"/>
    <w:rsid w:val="00ED3E51"/>
    <w:rsid w:val="00ED3F10"/>
    <w:rsid w:val="00ED4D04"/>
    <w:rsid w:val="00ED566D"/>
    <w:rsid w:val="00ED5907"/>
    <w:rsid w:val="00ED5F5B"/>
    <w:rsid w:val="00ED62C6"/>
    <w:rsid w:val="00ED64C1"/>
    <w:rsid w:val="00ED781F"/>
    <w:rsid w:val="00EE0735"/>
    <w:rsid w:val="00EE249F"/>
    <w:rsid w:val="00EE2EB4"/>
    <w:rsid w:val="00EE3446"/>
    <w:rsid w:val="00EE3E78"/>
    <w:rsid w:val="00EE40BD"/>
    <w:rsid w:val="00EE41FD"/>
    <w:rsid w:val="00EE420E"/>
    <w:rsid w:val="00EE460E"/>
    <w:rsid w:val="00EE4B1B"/>
    <w:rsid w:val="00EE5FBA"/>
    <w:rsid w:val="00EE6E06"/>
    <w:rsid w:val="00EE7179"/>
    <w:rsid w:val="00EE7D3F"/>
    <w:rsid w:val="00EF0D90"/>
    <w:rsid w:val="00EF150D"/>
    <w:rsid w:val="00EF1F5A"/>
    <w:rsid w:val="00EF23B5"/>
    <w:rsid w:val="00EF326A"/>
    <w:rsid w:val="00EF332E"/>
    <w:rsid w:val="00EF47BF"/>
    <w:rsid w:val="00EF59B1"/>
    <w:rsid w:val="00EF5A13"/>
    <w:rsid w:val="00EF5FF9"/>
    <w:rsid w:val="00EF77D4"/>
    <w:rsid w:val="00EF7CC7"/>
    <w:rsid w:val="00F00853"/>
    <w:rsid w:val="00F00866"/>
    <w:rsid w:val="00F00D29"/>
    <w:rsid w:val="00F00EC8"/>
    <w:rsid w:val="00F0160B"/>
    <w:rsid w:val="00F0193E"/>
    <w:rsid w:val="00F02F07"/>
    <w:rsid w:val="00F037FB"/>
    <w:rsid w:val="00F03E2F"/>
    <w:rsid w:val="00F03F8D"/>
    <w:rsid w:val="00F04811"/>
    <w:rsid w:val="00F0488C"/>
    <w:rsid w:val="00F05B75"/>
    <w:rsid w:val="00F073ED"/>
    <w:rsid w:val="00F07BC3"/>
    <w:rsid w:val="00F07C4C"/>
    <w:rsid w:val="00F10F11"/>
    <w:rsid w:val="00F11159"/>
    <w:rsid w:val="00F115E4"/>
    <w:rsid w:val="00F11AD8"/>
    <w:rsid w:val="00F12417"/>
    <w:rsid w:val="00F12931"/>
    <w:rsid w:val="00F12CFB"/>
    <w:rsid w:val="00F12EC0"/>
    <w:rsid w:val="00F13E60"/>
    <w:rsid w:val="00F13FDB"/>
    <w:rsid w:val="00F14055"/>
    <w:rsid w:val="00F15AAA"/>
    <w:rsid w:val="00F15BEF"/>
    <w:rsid w:val="00F17898"/>
    <w:rsid w:val="00F207C2"/>
    <w:rsid w:val="00F21337"/>
    <w:rsid w:val="00F219A1"/>
    <w:rsid w:val="00F23E20"/>
    <w:rsid w:val="00F240F7"/>
    <w:rsid w:val="00F24407"/>
    <w:rsid w:val="00F24FAA"/>
    <w:rsid w:val="00F25040"/>
    <w:rsid w:val="00F27071"/>
    <w:rsid w:val="00F27331"/>
    <w:rsid w:val="00F27EE5"/>
    <w:rsid w:val="00F27FB1"/>
    <w:rsid w:val="00F27FD6"/>
    <w:rsid w:val="00F307CB"/>
    <w:rsid w:val="00F30C5B"/>
    <w:rsid w:val="00F30C65"/>
    <w:rsid w:val="00F321D2"/>
    <w:rsid w:val="00F32649"/>
    <w:rsid w:val="00F33523"/>
    <w:rsid w:val="00F3364D"/>
    <w:rsid w:val="00F33914"/>
    <w:rsid w:val="00F349BF"/>
    <w:rsid w:val="00F34DDC"/>
    <w:rsid w:val="00F35211"/>
    <w:rsid w:val="00F36191"/>
    <w:rsid w:val="00F3629F"/>
    <w:rsid w:val="00F36DF3"/>
    <w:rsid w:val="00F37EDC"/>
    <w:rsid w:val="00F418D4"/>
    <w:rsid w:val="00F42F1C"/>
    <w:rsid w:val="00F42FF1"/>
    <w:rsid w:val="00F437CC"/>
    <w:rsid w:val="00F44537"/>
    <w:rsid w:val="00F44F17"/>
    <w:rsid w:val="00F458CC"/>
    <w:rsid w:val="00F45C94"/>
    <w:rsid w:val="00F46185"/>
    <w:rsid w:val="00F463A4"/>
    <w:rsid w:val="00F46423"/>
    <w:rsid w:val="00F4696A"/>
    <w:rsid w:val="00F47067"/>
    <w:rsid w:val="00F47234"/>
    <w:rsid w:val="00F51697"/>
    <w:rsid w:val="00F51ADD"/>
    <w:rsid w:val="00F525AB"/>
    <w:rsid w:val="00F525EB"/>
    <w:rsid w:val="00F529D3"/>
    <w:rsid w:val="00F52CB5"/>
    <w:rsid w:val="00F531E1"/>
    <w:rsid w:val="00F53378"/>
    <w:rsid w:val="00F53A68"/>
    <w:rsid w:val="00F54934"/>
    <w:rsid w:val="00F55A08"/>
    <w:rsid w:val="00F55A92"/>
    <w:rsid w:val="00F575D3"/>
    <w:rsid w:val="00F62720"/>
    <w:rsid w:val="00F62BFF"/>
    <w:rsid w:val="00F63AAE"/>
    <w:rsid w:val="00F63DDE"/>
    <w:rsid w:val="00F63FB7"/>
    <w:rsid w:val="00F6421B"/>
    <w:rsid w:val="00F6459D"/>
    <w:rsid w:val="00F647F1"/>
    <w:rsid w:val="00F649D2"/>
    <w:rsid w:val="00F6598D"/>
    <w:rsid w:val="00F65BCC"/>
    <w:rsid w:val="00F6602B"/>
    <w:rsid w:val="00F66638"/>
    <w:rsid w:val="00F6799D"/>
    <w:rsid w:val="00F70C75"/>
    <w:rsid w:val="00F7150B"/>
    <w:rsid w:val="00F717E4"/>
    <w:rsid w:val="00F71DE6"/>
    <w:rsid w:val="00F72D71"/>
    <w:rsid w:val="00F7381C"/>
    <w:rsid w:val="00F73A0C"/>
    <w:rsid w:val="00F74004"/>
    <w:rsid w:val="00F74052"/>
    <w:rsid w:val="00F7549F"/>
    <w:rsid w:val="00F756DB"/>
    <w:rsid w:val="00F757FC"/>
    <w:rsid w:val="00F767A8"/>
    <w:rsid w:val="00F77590"/>
    <w:rsid w:val="00F82A12"/>
    <w:rsid w:val="00F82D14"/>
    <w:rsid w:val="00F84E7D"/>
    <w:rsid w:val="00F85066"/>
    <w:rsid w:val="00F85575"/>
    <w:rsid w:val="00F86A3B"/>
    <w:rsid w:val="00F87619"/>
    <w:rsid w:val="00F87A4D"/>
    <w:rsid w:val="00F87C2D"/>
    <w:rsid w:val="00F92102"/>
    <w:rsid w:val="00F93688"/>
    <w:rsid w:val="00F939F3"/>
    <w:rsid w:val="00F93C6E"/>
    <w:rsid w:val="00F93F2C"/>
    <w:rsid w:val="00F94E96"/>
    <w:rsid w:val="00F962AD"/>
    <w:rsid w:val="00F9644E"/>
    <w:rsid w:val="00F97A10"/>
    <w:rsid w:val="00FA0105"/>
    <w:rsid w:val="00FA01D5"/>
    <w:rsid w:val="00FA05A0"/>
    <w:rsid w:val="00FA0AEF"/>
    <w:rsid w:val="00FA17CC"/>
    <w:rsid w:val="00FA1CFE"/>
    <w:rsid w:val="00FA1F01"/>
    <w:rsid w:val="00FA23E8"/>
    <w:rsid w:val="00FA26DF"/>
    <w:rsid w:val="00FA32BC"/>
    <w:rsid w:val="00FA34FF"/>
    <w:rsid w:val="00FA4059"/>
    <w:rsid w:val="00FA4574"/>
    <w:rsid w:val="00FA48A4"/>
    <w:rsid w:val="00FA4CB7"/>
    <w:rsid w:val="00FA50C4"/>
    <w:rsid w:val="00FA5112"/>
    <w:rsid w:val="00FA5526"/>
    <w:rsid w:val="00FA5D4D"/>
    <w:rsid w:val="00FA6084"/>
    <w:rsid w:val="00FA6831"/>
    <w:rsid w:val="00FA6CB6"/>
    <w:rsid w:val="00FA70D3"/>
    <w:rsid w:val="00FA7AEC"/>
    <w:rsid w:val="00FB062A"/>
    <w:rsid w:val="00FB0AEA"/>
    <w:rsid w:val="00FB0EE2"/>
    <w:rsid w:val="00FB1A79"/>
    <w:rsid w:val="00FB208B"/>
    <w:rsid w:val="00FB2B2D"/>
    <w:rsid w:val="00FB383D"/>
    <w:rsid w:val="00FB542E"/>
    <w:rsid w:val="00FB564F"/>
    <w:rsid w:val="00FB602B"/>
    <w:rsid w:val="00FB68F1"/>
    <w:rsid w:val="00FB7DBB"/>
    <w:rsid w:val="00FC05F8"/>
    <w:rsid w:val="00FC0E5F"/>
    <w:rsid w:val="00FC1266"/>
    <w:rsid w:val="00FC1A95"/>
    <w:rsid w:val="00FC1ED4"/>
    <w:rsid w:val="00FC35DD"/>
    <w:rsid w:val="00FC3BEC"/>
    <w:rsid w:val="00FC440B"/>
    <w:rsid w:val="00FC4431"/>
    <w:rsid w:val="00FC529C"/>
    <w:rsid w:val="00FC56DE"/>
    <w:rsid w:val="00FC59FE"/>
    <w:rsid w:val="00FC63D9"/>
    <w:rsid w:val="00FC64DE"/>
    <w:rsid w:val="00FC684B"/>
    <w:rsid w:val="00FC7D98"/>
    <w:rsid w:val="00FD03E1"/>
    <w:rsid w:val="00FD1135"/>
    <w:rsid w:val="00FD1B89"/>
    <w:rsid w:val="00FD30AD"/>
    <w:rsid w:val="00FD3265"/>
    <w:rsid w:val="00FD3CF7"/>
    <w:rsid w:val="00FD4916"/>
    <w:rsid w:val="00FD4D12"/>
    <w:rsid w:val="00FD4F73"/>
    <w:rsid w:val="00FD5049"/>
    <w:rsid w:val="00FD595E"/>
    <w:rsid w:val="00FD5A69"/>
    <w:rsid w:val="00FD5F69"/>
    <w:rsid w:val="00FD7802"/>
    <w:rsid w:val="00FE27C7"/>
    <w:rsid w:val="00FE2C7E"/>
    <w:rsid w:val="00FE2F78"/>
    <w:rsid w:val="00FE3137"/>
    <w:rsid w:val="00FE346B"/>
    <w:rsid w:val="00FE346F"/>
    <w:rsid w:val="00FE4602"/>
    <w:rsid w:val="00FE48E4"/>
    <w:rsid w:val="00FE634C"/>
    <w:rsid w:val="00FE6E69"/>
    <w:rsid w:val="00FE6E94"/>
    <w:rsid w:val="00FE6F59"/>
    <w:rsid w:val="00FE7036"/>
    <w:rsid w:val="00FF01B6"/>
    <w:rsid w:val="00FF1136"/>
    <w:rsid w:val="00FF22B6"/>
    <w:rsid w:val="00FF230E"/>
    <w:rsid w:val="00FF28CB"/>
    <w:rsid w:val="00FF3D76"/>
    <w:rsid w:val="00FF5B8C"/>
    <w:rsid w:val="00FF63E6"/>
    <w:rsid w:val="00FF70A2"/>
    <w:rsid w:val="00FF710A"/>
    <w:rsid w:val="00FF79F9"/>
    <w:rsid w:val="00FF7B96"/>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5:docId w15:val="{02E7EBF8-5A4E-462D-AC4B-706FC6EE8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64FA0"/>
    <w:pPr>
      <w:spacing w:after="240" w:line="276" w:lineRule="auto"/>
      <w:jc w:val="both"/>
    </w:pPr>
    <w:rPr>
      <w:rFonts w:ascii="Arial" w:eastAsia="Times New Roman" w:hAnsi="Arial"/>
      <w:szCs w:val="24"/>
      <w:lang w:eastAsia="cs-CZ"/>
    </w:rPr>
  </w:style>
  <w:style w:type="paragraph" w:styleId="Nadpis1">
    <w:name w:val="heading 1"/>
    <w:next w:val="Normln"/>
    <w:link w:val="Nadpis1Char"/>
    <w:uiPriority w:val="9"/>
    <w:qFormat/>
    <w:rsid w:val="00A25216"/>
    <w:pPr>
      <w:keepNext/>
      <w:keepLines/>
      <w:spacing w:after="100" w:line="276" w:lineRule="auto"/>
      <w:contextualSpacing/>
      <w:outlineLvl w:val="0"/>
    </w:pPr>
    <w:rPr>
      <w:rFonts w:ascii="Arial" w:eastAsia="MS Gothic" w:hAnsi="Arial"/>
      <w:b/>
      <w:bCs/>
      <w:color w:val="71818C"/>
      <w:sz w:val="32"/>
      <w:szCs w:val="28"/>
      <w:lang w:eastAsia="cs-CZ"/>
    </w:rPr>
  </w:style>
  <w:style w:type="paragraph" w:styleId="Nadpis2">
    <w:name w:val="heading 2"/>
    <w:next w:val="Normln"/>
    <w:link w:val="Nadpis2Char"/>
    <w:uiPriority w:val="9"/>
    <w:qFormat/>
    <w:rsid w:val="00A25216"/>
    <w:pPr>
      <w:keepNext/>
      <w:keepLines/>
      <w:spacing w:line="276" w:lineRule="auto"/>
      <w:outlineLvl w:val="1"/>
    </w:pPr>
    <w:rPr>
      <w:rFonts w:ascii="Arial" w:eastAsia="MS Gothic" w:hAnsi="Arial"/>
      <w:b/>
      <w:bCs/>
      <w:color w:val="71818C"/>
      <w:sz w:val="28"/>
      <w:szCs w:val="26"/>
      <w:lang w:eastAsia="cs-CZ"/>
    </w:rPr>
  </w:style>
  <w:style w:type="paragraph" w:styleId="Nadpis3">
    <w:name w:val="heading 3"/>
    <w:next w:val="Normln"/>
    <w:link w:val="Nadpis3Char"/>
    <w:uiPriority w:val="9"/>
    <w:qFormat/>
    <w:rsid w:val="00A25216"/>
    <w:pPr>
      <w:keepNext/>
      <w:keepLines/>
      <w:spacing w:line="276" w:lineRule="auto"/>
      <w:outlineLvl w:val="2"/>
    </w:pPr>
    <w:rPr>
      <w:rFonts w:ascii="Arial" w:eastAsia="MS Gothic" w:hAnsi="Arial"/>
      <w:b/>
      <w:bCs/>
      <w:color w:val="71818C"/>
      <w:sz w:val="24"/>
      <w:szCs w:val="24"/>
      <w:lang w:eastAsia="cs-CZ"/>
    </w:rPr>
  </w:style>
  <w:style w:type="paragraph" w:styleId="Nadpis4">
    <w:name w:val="heading 4"/>
    <w:next w:val="Normln"/>
    <w:link w:val="Nadpis4Char"/>
    <w:uiPriority w:val="9"/>
    <w:qFormat/>
    <w:rsid w:val="00A25216"/>
    <w:pPr>
      <w:keepNext/>
      <w:keepLines/>
      <w:spacing w:line="276" w:lineRule="auto"/>
      <w:outlineLvl w:val="3"/>
    </w:pPr>
    <w:rPr>
      <w:rFonts w:ascii="Arial" w:eastAsia="MS Gothic" w:hAnsi="Arial"/>
      <w:b/>
      <w:bCs/>
      <w:iCs/>
      <w:color w:val="71818C"/>
      <w:szCs w:val="24"/>
      <w:lang w:eastAsia="cs-CZ"/>
    </w:rPr>
  </w:style>
  <w:style w:type="paragraph" w:styleId="Nadpis5">
    <w:name w:val="heading 5"/>
    <w:basedOn w:val="Normln"/>
    <w:next w:val="Normln"/>
    <w:link w:val="Nadpis5Char"/>
    <w:uiPriority w:val="9"/>
    <w:semiHidden/>
    <w:unhideWhenUsed/>
    <w:rsid w:val="007A516D"/>
    <w:pPr>
      <w:keepNext/>
      <w:keepLines/>
      <w:numPr>
        <w:ilvl w:val="4"/>
        <w:numId w:val="14"/>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7A516D"/>
    <w:pPr>
      <w:keepNext/>
      <w:keepLines/>
      <w:numPr>
        <w:ilvl w:val="5"/>
        <w:numId w:val="14"/>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7A516D"/>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7A516D"/>
    <w:pPr>
      <w:keepNext/>
      <w:keepLines/>
      <w:numPr>
        <w:ilvl w:val="7"/>
        <w:numId w:val="14"/>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
    <w:semiHidden/>
    <w:unhideWhenUsed/>
    <w:qFormat/>
    <w:rsid w:val="007A516D"/>
    <w:pPr>
      <w:numPr>
        <w:ilvl w:val="8"/>
        <w:numId w:val="14"/>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qFormat/>
    <w:rsid w:val="00364FA0"/>
    <w:rPr>
      <w:rFonts w:ascii="Arial" w:eastAsia="MS Gothic" w:hAnsi="Arial"/>
      <w:b/>
      <w:bCs/>
      <w:color w:val="71818C"/>
      <w:sz w:val="32"/>
      <w:szCs w:val="28"/>
      <w:lang w:eastAsia="cs-CZ"/>
    </w:rPr>
  </w:style>
  <w:style w:type="character" w:customStyle="1" w:styleId="Nadpis2Char">
    <w:name w:val="Nadpis 2 Char"/>
    <w:link w:val="Nadpis2"/>
    <w:uiPriority w:val="9"/>
    <w:rsid w:val="00364FA0"/>
    <w:rPr>
      <w:rFonts w:ascii="Arial" w:eastAsia="MS Gothic" w:hAnsi="Arial"/>
      <w:b/>
      <w:bCs/>
      <w:color w:val="71818C"/>
      <w:sz w:val="28"/>
      <w:szCs w:val="26"/>
      <w:lang w:eastAsia="cs-CZ"/>
    </w:rPr>
  </w:style>
  <w:style w:type="character" w:customStyle="1" w:styleId="Nadpis3Char">
    <w:name w:val="Nadpis 3 Char"/>
    <w:link w:val="Nadpis3"/>
    <w:uiPriority w:val="9"/>
    <w:rsid w:val="00364FA0"/>
    <w:rPr>
      <w:rFonts w:ascii="Arial" w:eastAsia="MS Gothic" w:hAnsi="Arial"/>
      <w:b/>
      <w:bCs/>
      <w:color w:val="71818C"/>
      <w:sz w:val="24"/>
      <w:szCs w:val="24"/>
      <w:lang w:eastAsia="cs-CZ"/>
    </w:rPr>
  </w:style>
  <w:style w:type="character" w:customStyle="1" w:styleId="Nadpis4Char">
    <w:name w:val="Nadpis 4 Char"/>
    <w:link w:val="Nadpis4"/>
    <w:uiPriority w:val="9"/>
    <w:rsid w:val="00364FA0"/>
    <w:rPr>
      <w:rFonts w:ascii="Arial" w:eastAsia="MS Gothic" w:hAnsi="Arial"/>
      <w:b/>
      <w:bCs/>
      <w:iCs/>
      <w:color w:val="71818C"/>
      <w:szCs w:val="24"/>
      <w:lang w:eastAsia="cs-CZ"/>
    </w:rPr>
  </w:style>
  <w:style w:type="character" w:customStyle="1" w:styleId="Nadpis9Char">
    <w:name w:val="Nadpis 9 Char"/>
    <w:link w:val="Nadpis9"/>
    <w:uiPriority w:val="9"/>
    <w:semiHidden/>
    <w:rsid w:val="007A516D"/>
    <w:rPr>
      <w:rFonts w:ascii="Cambria" w:eastAsia="Times New Roman" w:hAnsi="Cambria"/>
      <w:sz w:val="22"/>
      <w:szCs w:val="22"/>
      <w:lang w:eastAsia="cs-CZ"/>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846121"/>
    <w:pPr>
      <w:spacing w:after="80" w:line="288" w:lineRule="auto"/>
    </w:pPr>
    <w:rPr>
      <w:rFonts w:ascii="Arial" w:eastAsia="Times New Roman" w:hAnsi="Arial"/>
      <w:b/>
      <w:color w:val="71818C"/>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A-Box1">
    <w:name w:val="A-Box 1"/>
    <w:next w:val="Normln"/>
    <w:qFormat/>
    <w:rsid w:val="00F84E7D"/>
    <w:pPr>
      <w:shd w:val="clear" w:color="auto" w:fill="EAECEE"/>
      <w:spacing w:before="240" w:after="240" w:line="276" w:lineRule="auto"/>
      <w:contextualSpacing/>
      <w:jc w:val="both"/>
    </w:pPr>
    <w:rPr>
      <w:rFonts w:ascii="Arial" w:hAnsi="Arial" w:cs="Arial"/>
      <w:lang w:eastAsia="cs-CZ"/>
    </w:rPr>
  </w:style>
  <w:style w:type="paragraph" w:customStyle="1" w:styleId="A-Box2">
    <w:name w:val="A-Box 2"/>
    <w:next w:val="Normln"/>
    <w:qFormat/>
    <w:rsid w:val="00D075BE"/>
    <w:pPr>
      <w:spacing w:before="240" w:after="240" w:line="276" w:lineRule="auto"/>
      <w:contextualSpacing/>
      <w:jc w:val="both"/>
    </w:pPr>
    <w:rPr>
      <w:rFonts w:ascii="Arial" w:hAnsi="Arial" w:cs="Arial"/>
      <w:color w:val="71818C"/>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104C4C"/>
    <w:pPr>
      <w:spacing w:after="40"/>
      <w:contextualSpacing/>
    </w:pPr>
    <w:rPr>
      <w:b/>
      <w:caps/>
      <w:color w:val="BD1B21"/>
      <w:sz w:val="24"/>
    </w:rPr>
  </w:style>
  <w:style w:type="paragraph" w:customStyle="1" w:styleId="TLKontakty">
    <w:name w:val="TL Kontakty"/>
    <w:qFormat/>
    <w:rsid w:val="008E6F06"/>
    <w:pPr>
      <w:spacing w:after="160" w:line="259" w:lineRule="auto"/>
      <w:contextualSpacing/>
    </w:pPr>
    <w:rPr>
      <w:rFonts w:ascii="Arial" w:eastAsia="Times New Roman" w:hAnsi="Arial"/>
      <w:b/>
      <w:color w:val="0071BC"/>
      <w:lang w:eastAsia="cs-CZ"/>
    </w:rPr>
  </w:style>
  <w:style w:type="paragraph" w:styleId="Nzev">
    <w:name w:val="Title"/>
    <w:link w:val="NzevChar"/>
    <w:uiPriority w:val="10"/>
    <w:qFormat/>
    <w:rsid w:val="00846121"/>
    <w:pPr>
      <w:spacing w:line="288" w:lineRule="auto"/>
    </w:pPr>
    <w:rPr>
      <w:rFonts w:ascii="Arial" w:eastAsia="Times New Roman" w:hAnsi="Arial"/>
      <w:b/>
      <w:bCs/>
      <w:caps/>
      <w:color w:val="71818C"/>
      <w:kern w:val="28"/>
      <w:sz w:val="56"/>
      <w:szCs w:val="32"/>
      <w:lang w:eastAsia="cs-CZ"/>
    </w:rPr>
  </w:style>
  <w:style w:type="character" w:customStyle="1" w:styleId="NzevChar">
    <w:name w:val="Název Char"/>
    <w:link w:val="Nzev"/>
    <w:uiPriority w:val="10"/>
    <w:rsid w:val="00846121"/>
    <w:rPr>
      <w:rFonts w:ascii="Arial" w:eastAsia="Times New Roman" w:hAnsi="Arial"/>
      <w:b/>
      <w:bCs/>
      <w:caps/>
      <w:color w:val="71818C"/>
      <w:kern w:val="28"/>
      <w:sz w:val="56"/>
      <w:szCs w:val="32"/>
    </w:rPr>
  </w:style>
  <w:style w:type="paragraph" w:styleId="Podnadpis">
    <w:name w:val="Subtitle"/>
    <w:link w:val="PodnadpisChar"/>
    <w:uiPriority w:val="11"/>
    <w:qFormat/>
    <w:rsid w:val="00846121"/>
    <w:pPr>
      <w:spacing w:line="288" w:lineRule="auto"/>
    </w:pPr>
    <w:rPr>
      <w:rFonts w:ascii="Arial" w:eastAsia="Times New Roman" w:hAnsi="Arial" w:cs="Arial"/>
      <w:b/>
      <w:color w:val="71818C"/>
      <w:sz w:val="28"/>
      <w:szCs w:val="24"/>
      <w:lang w:eastAsia="cs-CZ"/>
    </w:rPr>
  </w:style>
  <w:style w:type="character" w:customStyle="1" w:styleId="PodnadpisChar">
    <w:name w:val="Podnadpis Char"/>
    <w:link w:val="Podnadpis"/>
    <w:uiPriority w:val="11"/>
    <w:rsid w:val="00846121"/>
    <w:rPr>
      <w:rFonts w:ascii="Arial" w:eastAsia="Times New Roman" w:hAnsi="Arial" w:cs="Arial"/>
      <w:b/>
      <w:color w:val="71818C"/>
      <w:sz w:val="28"/>
      <w:szCs w:val="24"/>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7A516D"/>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7A516D"/>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7A516D"/>
    <w:rPr>
      <w:rFonts w:asciiTheme="majorHAnsi" w:eastAsiaTheme="majorEastAsia" w:hAnsiTheme="majorHAnsi" w:cstheme="majorBidi"/>
      <w:i/>
      <w:iCs/>
      <w:color w:val="404040" w:themeColor="text1" w:themeTint="BF"/>
      <w:szCs w:val="24"/>
      <w:lang w:eastAsia="cs-CZ"/>
    </w:rPr>
  </w:style>
  <w:style w:type="character" w:customStyle="1" w:styleId="Nadpis8Char">
    <w:name w:val="Nadpis 8 Char"/>
    <w:basedOn w:val="Standardnpsmoodstavce"/>
    <w:link w:val="Nadpis8"/>
    <w:uiPriority w:val="9"/>
    <w:semiHidden/>
    <w:rsid w:val="007A516D"/>
    <w:rPr>
      <w:rFonts w:asciiTheme="majorHAnsi" w:eastAsiaTheme="majorEastAsia" w:hAnsiTheme="majorHAnsi" w:cstheme="majorBidi"/>
      <w:color w:val="404040" w:themeColor="text1" w:themeTint="BF"/>
      <w:lang w:eastAsia="cs-CZ"/>
    </w:rPr>
  </w:style>
  <w:style w:type="paragraph" w:styleId="Textpoznpodarou">
    <w:name w:val="footnote text"/>
    <w:aliases w:val="Text pozn. pod čarou_martin_ang"/>
    <w:basedOn w:val="Normln"/>
    <w:link w:val="TextpoznpodarouChar"/>
    <w:qFormat/>
    <w:rsid w:val="008E7FC9"/>
    <w:pPr>
      <w:spacing w:after="0" w:line="240" w:lineRule="auto"/>
      <w:jc w:val="left"/>
    </w:pPr>
    <w:rPr>
      <w:rFonts w:eastAsia="Calibri"/>
      <w:szCs w:val="20"/>
    </w:rPr>
  </w:style>
  <w:style w:type="character" w:customStyle="1" w:styleId="TextpoznpodarouChar">
    <w:name w:val="Text pozn. pod čarou Char"/>
    <w:aliases w:val="Text pozn. pod čarou_martin_ang Char"/>
    <w:basedOn w:val="Standardnpsmoodstavce"/>
    <w:link w:val="Textpoznpodarou"/>
    <w:qFormat/>
    <w:rsid w:val="008E7FC9"/>
    <w:rPr>
      <w:rFonts w:ascii="Arial" w:hAnsi="Arial"/>
      <w:lang w:eastAsia="cs-CZ"/>
    </w:rPr>
  </w:style>
  <w:style w:type="paragraph" w:styleId="Bezmezer">
    <w:name w:val="No Spacing"/>
    <w:uiPriority w:val="1"/>
    <w:qFormat/>
    <w:rsid w:val="00AD68C4"/>
    <w:pPr>
      <w:jc w:val="both"/>
    </w:pPr>
    <w:rPr>
      <w:rFonts w:ascii="Arial" w:eastAsia="Times New Roman" w:hAnsi="Arial"/>
      <w:szCs w:val="24"/>
      <w:lang w:eastAsia="cs-CZ"/>
    </w:rPr>
  </w:style>
  <w:style w:type="paragraph" w:customStyle="1" w:styleId="Marginlie">
    <w:name w:val="Marginálie"/>
    <w:basedOn w:val="Normln"/>
    <w:qFormat/>
    <w:rsid w:val="0089296D"/>
    <w:pPr>
      <w:spacing w:after="0"/>
      <w:jc w:val="left"/>
    </w:pPr>
    <w:rPr>
      <w:spacing w:val="-2"/>
      <w:sz w:val="16"/>
      <w:szCs w:val="16"/>
    </w:rPr>
  </w:style>
  <w:style w:type="paragraph" w:styleId="Odstavecseseznamem">
    <w:name w:val="List Paragraph"/>
    <w:basedOn w:val="Normln"/>
    <w:uiPriority w:val="34"/>
    <w:rsid w:val="006B0F92"/>
    <w:pPr>
      <w:ind w:left="720"/>
      <w:contextualSpacing/>
    </w:pPr>
  </w:style>
  <w:style w:type="paragraph" w:customStyle="1" w:styleId="Normalodrka">
    <w:name w:val="Normal odrážka"/>
    <w:qFormat/>
    <w:rsid w:val="006B0F92"/>
    <w:pPr>
      <w:numPr>
        <w:numId w:val="20"/>
      </w:numPr>
      <w:spacing w:after="240" w:line="276" w:lineRule="auto"/>
      <w:ind w:left="357" w:hanging="357"/>
      <w:jc w:val="both"/>
    </w:pPr>
    <w:rPr>
      <w:rFonts w:ascii="Arial" w:eastAsia="Times New Roman" w:hAnsi="Arial"/>
      <w:szCs w:val="24"/>
      <w:lang w:eastAsia="cs-CZ"/>
    </w:rPr>
  </w:style>
  <w:style w:type="paragraph" w:customStyle="1" w:styleId="Box1">
    <w:name w:val="Box 1"/>
    <w:next w:val="Normln"/>
    <w:qFormat/>
    <w:rsid w:val="00A17D5B"/>
    <w:pPr>
      <w:shd w:val="clear" w:color="auto" w:fill="EBEBEB"/>
      <w:spacing w:before="240" w:after="240" w:line="276" w:lineRule="auto"/>
      <w:ind w:left="709"/>
      <w:contextualSpacing/>
    </w:pPr>
    <w:rPr>
      <w:rFonts w:ascii="Arial" w:hAnsi="Arial" w:cs="Arial"/>
      <w:lang w:eastAsia="cs-CZ"/>
    </w:rPr>
  </w:style>
  <w:style w:type="paragraph" w:customStyle="1" w:styleId="Box2">
    <w:name w:val="Box 2"/>
    <w:next w:val="Normln"/>
    <w:qFormat/>
    <w:rsid w:val="00A17D5B"/>
    <w:pPr>
      <w:spacing w:before="240" w:after="240" w:line="276" w:lineRule="auto"/>
      <w:ind w:left="709"/>
      <w:contextualSpacing/>
    </w:pPr>
    <w:rPr>
      <w:rFonts w:ascii="Arial" w:hAnsi="Arial" w:cs="Arial"/>
      <w:b/>
      <w:color w:val="71818C"/>
      <w:lang w:eastAsia="cs-CZ"/>
    </w:rPr>
  </w:style>
  <w:style w:type="character" w:styleId="Odkaznakoment">
    <w:name w:val="annotation reference"/>
    <w:basedOn w:val="Standardnpsmoodstavce"/>
    <w:uiPriority w:val="99"/>
    <w:semiHidden/>
    <w:unhideWhenUsed/>
    <w:rsid w:val="00E76E61"/>
    <w:rPr>
      <w:sz w:val="16"/>
      <w:szCs w:val="16"/>
    </w:rPr>
  </w:style>
  <w:style w:type="paragraph" w:styleId="Textkomente">
    <w:name w:val="annotation text"/>
    <w:basedOn w:val="Normln"/>
    <w:link w:val="TextkomenteChar"/>
    <w:uiPriority w:val="99"/>
    <w:semiHidden/>
    <w:unhideWhenUsed/>
    <w:rsid w:val="00E76E61"/>
    <w:pPr>
      <w:spacing w:line="240" w:lineRule="auto"/>
    </w:pPr>
    <w:rPr>
      <w:szCs w:val="20"/>
    </w:rPr>
  </w:style>
  <w:style w:type="character" w:customStyle="1" w:styleId="TextkomenteChar">
    <w:name w:val="Text komentáře Char"/>
    <w:basedOn w:val="Standardnpsmoodstavce"/>
    <w:link w:val="Textkomente"/>
    <w:uiPriority w:val="99"/>
    <w:semiHidden/>
    <w:rsid w:val="00E76E61"/>
    <w:rPr>
      <w:rFonts w:ascii="Arial" w:eastAsia="Times New Roman" w:hAnsi="Arial"/>
      <w:lang w:eastAsia="cs-CZ"/>
    </w:rPr>
  </w:style>
  <w:style w:type="paragraph" w:styleId="Pedmtkomente">
    <w:name w:val="annotation subject"/>
    <w:basedOn w:val="Textkomente"/>
    <w:next w:val="Textkomente"/>
    <w:link w:val="PedmtkomenteChar"/>
    <w:uiPriority w:val="99"/>
    <w:semiHidden/>
    <w:unhideWhenUsed/>
    <w:rsid w:val="00E76E61"/>
    <w:rPr>
      <w:b/>
      <w:bCs/>
    </w:rPr>
  </w:style>
  <w:style w:type="character" w:customStyle="1" w:styleId="PedmtkomenteChar">
    <w:name w:val="Předmět komentáře Char"/>
    <w:basedOn w:val="TextkomenteChar"/>
    <w:link w:val="Pedmtkomente"/>
    <w:uiPriority w:val="99"/>
    <w:semiHidden/>
    <w:rsid w:val="00E76E61"/>
    <w:rPr>
      <w:rFonts w:ascii="Arial" w:eastAsia="Times New Roman" w:hAnsi="Arial"/>
      <w:b/>
      <w:bCs/>
      <w:lang w:eastAsia="cs-CZ"/>
    </w:rPr>
  </w:style>
  <w:style w:type="paragraph" w:customStyle="1" w:styleId="Nadpis11">
    <w:name w:val="Nadpis 11"/>
    <w:basedOn w:val="Normln"/>
    <w:uiPriority w:val="9"/>
    <w:qFormat/>
    <w:rsid w:val="00C62828"/>
    <w:pPr>
      <w:keepNext/>
      <w:keepLines/>
      <w:spacing w:after="100"/>
      <w:contextualSpacing/>
      <w:jc w:val="left"/>
      <w:outlineLvl w:val="0"/>
    </w:pPr>
    <w:rPr>
      <w:rFonts w:eastAsia="MS Gothic"/>
      <w:b/>
      <w:bCs/>
      <w:color w:val="71818C"/>
      <w:sz w:val="32"/>
      <w:szCs w:val="28"/>
    </w:rPr>
  </w:style>
  <w:style w:type="character" w:styleId="Znakapoznpodarou">
    <w:name w:val="footnote reference"/>
    <w:basedOn w:val="Standardnpsmoodstavce"/>
    <w:rsid w:val="00C62828"/>
    <w:rPr>
      <w:rFonts w:cs="Times New Roman"/>
      <w:vertAlign w:val="superscript"/>
    </w:rPr>
  </w:style>
  <w:style w:type="paragraph" w:styleId="Nadpisobsahu">
    <w:name w:val="TOC Heading"/>
    <w:basedOn w:val="Nadpis1"/>
    <w:next w:val="Normln"/>
    <w:uiPriority w:val="39"/>
    <w:semiHidden/>
    <w:unhideWhenUsed/>
    <w:qFormat/>
    <w:rsid w:val="001554C2"/>
    <w:pPr>
      <w:spacing w:before="480" w:after="0"/>
      <w:contextualSpacing w:val="0"/>
      <w:outlineLvl w:val="9"/>
    </w:pPr>
    <w:rPr>
      <w:rFonts w:asciiTheme="majorHAnsi" w:eastAsiaTheme="majorEastAsia" w:hAnsiTheme="majorHAnsi" w:cstheme="majorBidi"/>
      <w:color w:val="365F91" w:themeColor="accent1" w:themeShade="BF"/>
      <w:sz w:val="28"/>
      <w:lang w:eastAsia="en-US"/>
    </w:rPr>
  </w:style>
  <w:style w:type="character" w:styleId="Zdraznn">
    <w:name w:val="Emphasis"/>
    <w:basedOn w:val="Standardnpsmoodstavce"/>
    <w:uiPriority w:val="20"/>
    <w:qFormat/>
    <w:rsid w:val="00965797"/>
    <w:rPr>
      <w:i/>
      <w:iCs/>
    </w:rPr>
  </w:style>
  <w:style w:type="paragraph" w:styleId="Rozloendokumentu">
    <w:name w:val="Document Map"/>
    <w:basedOn w:val="Normln"/>
    <w:link w:val="RozloendokumentuChar"/>
    <w:uiPriority w:val="99"/>
    <w:semiHidden/>
    <w:rsid w:val="00AD5AD2"/>
    <w:pPr>
      <w:spacing w:after="0" w:line="288" w:lineRule="auto"/>
      <w:jc w:val="left"/>
    </w:pPr>
    <w:rPr>
      <w:rFonts w:ascii="Tahoma" w:eastAsia="Calibri" w:hAnsi="Tahoma" w:cs="Tahoma"/>
      <w:sz w:val="16"/>
      <w:szCs w:val="16"/>
    </w:rPr>
  </w:style>
  <w:style w:type="character" w:customStyle="1" w:styleId="RozloendokumentuChar">
    <w:name w:val="Rozložení dokumentu Char"/>
    <w:basedOn w:val="Standardnpsmoodstavce"/>
    <w:link w:val="Rozloendokumentu"/>
    <w:uiPriority w:val="99"/>
    <w:semiHidden/>
    <w:rsid w:val="00AD5AD2"/>
    <w:rPr>
      <w:rFonts w:ascii="Tahoma" w:hAnsi="Tahoma" w:cs="Tahoma"/>
      <w:sz w:val="16"/>
      <w:szCs w:val="16"/>
      <w:lang w:eastAsia="cs-CZ"/>
    </w:rPr>
  </w:style>
  <w:style w:type="paragraph" w:customStyle="1" w:styleId="Nadpis12">
    <w:name w:val="Nadpis 12"/>
    <w:basedOn w:val="Normln"/>
    <w:uiPriority w:val="9"/>
    <w:qFormat/>
    <w:rsid w:val="00E747DC"/>
    <w:pPr>
      <w:keepNext/>
      <w:keepLines/>
      <w:spacing w:after="100"/>
      <w:contextualSpacing/>
      <w:jc w:val="left"/>
      <w:outlineLvl w:val="0"/>
    </w:pPr>
    <w:rPr>
      <w:rFonts w:eastAsia="MS Gothic"/>
      <w:b/>
      <w:bCs/>
      <w:color w:val="71818C"/>
      <w:sz w:val="32"/>
      <w:szCs w:val="28"/>
    </w:rPr>
  </w:style>
  <w:style w:type="paragraph" w:customStyle="1" w:styleId="Textpoznpodarou1">
    <w:name w:val="Text pozn. pod čarou1"/>
    <w:basedOn w:val="Normln"/>
    <w:qFormat/>
    <w:rsid w:val="002F4AD8"/>
    <w:pPr>
      <w:spacing w:after="0" w:line="240" w:lineRule="auto"/>
      <w:jc w:val="left"/>
    </w:pPr>
    <w:rPr>
      <w:rFonts w:eastAsia="Calibri"/>
      <w:szCs w:val="20"/>
    </w:rPr>
  </w:style>
  <w:style w:type="character" w:customStyle="1" w:styleId="spelle">
    <w:name w:val="spelle"/>
    <w:basedOn w:val="Standardnpsmoodstavce"/>
    <w:rsid w:val="00830AEA"/>
  </w:style>
  <w:style w:type="paragraph" w:styleId="Revize">
    <w:name w:val="Revision"/>
    <w:hidden/>
    <w:uiPriority w:val="99"/>
    <w:semiHidden/>
    <w:rsid w:val="005D66E6"/>
    <w:rPr>
      <w:rFonts w:ascii="Arial" w:eastAsia="Times New Roman" w:hAnsi="Arial"/>
      <w:szCs w:val="24"/>
      <w:lang w:eastAsia="cs-CZ"/>
    </w:rPr>
  </w:style>
  <w:style w:type="character" w:customStyle="1" w:styleId="odkaz-style-wrapper">
    <w:name w:val="odkaz-style-wrapper"/>
    <w:basedOn w:val="Standardnpsmoodstavce"/>
    <w:rsid w:val="00524385"/>
  </w:style>
  <w:style w:type="character" w:customStyle="1" w:styleId="tabulka">
    <w:name w:val="tabulka"/>
    <w:basedOn w:val="Standardnpsmoodstavce"/>
    <w:rsid w:val="0074499B"/>
  </w:style>
  <w:style w:type="paragraph" w:customStyle="1" w:styleId="Default">
    <w:name w:val="Default"/>
    <w:rsid w:val="00100A8B"/>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331496633">
      <w:bodyDiv w:val="1"/>
      <w:marLeft w:val="40"/>
      <w:marRight w:val="40"/>
      <w:marTop w:val="40"/>
      <w:marBottom w:val="10"/>
      <w:divBdr>
        <w:top w:val="none" w:sz="0" w:space="0" w:color="auto"/>
        <w:left w:val="none" w:sz="0" w:space="0" w:color="auto"/>
        <w:bottom w:val="none" w:sz="0" w:space="0" w:color="auto"/>
        <w:right w:val="none" w:sz="0" w:space="0" w:color="auto"/>
      </w:divBdr>
      <w:divsChild>
        <w:div w:id="497160460">
          <w:marLeft w:val="0"/>
          <w:marRight w:val="0"/>
          <w:marTop w:val="0"/>
          <w:marBottom w:val="0"/>
          <w:divBdr>
            <w:top w:val="none" w:sz="0" w:space="0" w:color="auto"/>
            <w:left w:val="none" w:sz="0" w:space="0" w:color="auto"/>
            <w:bottom w:val="none" w:sz="0" w:space="0" w:color="auto"/>
            <w:right w:val="none" w:sz="0" w:space="0" w:color="auto"/>
          </w:divBdr>
        </w:div>
      </w:divsChild>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764961210">
      <w:bodyDiv w:val="1"/>
      <w:marLeft w:val="0"/>
      <w:marRight w:val="0"/>
      <w:marTop w:val="0"/>
      <w:marBottom w:val="0"/>
      <w:divBdr>
        <w:top w:val="none" w:sz="0" w:space="0" w:color="auto"/>
        <w:left w:val="none" w:sz="0" w:space="0" w:color="auto"/>
        <w:bottom w:val="none" w:sz="0" w:space="0" w:color="auto"/>
        <w:right w:val="none" w:sz="0" w:space="0" w:color="auto"/>
      </w:divBdr>
    </w:div>
    <w:div w:id="932319695">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613050718">
      <w:bodyDiv w:val="1"/>
      <w:marLeft w:val="0"/>
      <w:marRight w:val="0"/>
      <w:marTop w:val="0"/>
      <w:marBottom w:val="0"/>
      <w:divBdr>
        <w:top w:val="none" w:sz="0" w:space="0" w:color="auto"/>
        <w:left w:val="none" w:sz="0" w:space="0" w:color="auto"/>
        <w:bottom w:val="none" w:sz="0" w:space="0" w:color="auto"/>
        <w:right w:val="none" w:sz="0" w:space="0" w:color="auto"/>
      </w:divBdr>
    </w:div>
    <w:div w:id="184026964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1933080669">
      <w:bodyDiv w:val="1"/>
      <w:marLeft w:val="40"/>
      <w:marRight w:val="40"/>
      <w:marTop w:val="40"/>
      <w:marBottom w:val="10"/>
      <w:divBdr>
        <w:top w:val="none" w:sz="0" w:space="0" w:color="auto"/>
        <w:left w:val="none" w:sz="0" w:space="0" w:color="auto"/>
        <w:bottom w:val="none" w:sz="0" w:space="0" w:color="auto"/>
        <w:right w:val="none" w:sz="0" w:space="0" w:color="auto"/>
      </w:divBdr>
      <w:divsChild>
        <w:div w:id="1067263202">
          <w:marLeft w:val="0"/>
          <w:marRight w:val="0"/>
          <w:marTop w:val="0"/>
          <w:marBottom w:val="0"/>
          <w:divBdr>
            <w:top w:val="none" w:sz="0" w:space="0" w:color="auto"/>
            <w:left w:val="none" w:sz="0" w:space="0" w:color="auto"/>
            <w:bottom w:val="none" w:sz="0" w:space="0" w:color="auto"/>
            <w:right w:val="none" w:sz="0" w:space="0" w:color="auto"/>
          </w:divBdr>
        </w:div>
      </w:divsChild>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Anal&#253;za\Q\2018Q1\Publikace\Q_analyza_Q12018.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F:\Q-makro-rok%202020\anglick&#225;%20verze\Grafy-st&#225;tn&#237;%20rozpo&#269;et-rok-20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Q-makro-rok%202020\anglick&#225;%20verze\Grafy-st&#225;tn&#237;%20rozpo&#269;et-rok-20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9942877158265147E-2"/>
          <c:y val="1.7107238390107405E-2"/>
          <c:w val="0.82774936889255546"/>
          <c:h val="0.80775796042812997"/>
        </c:manualLayout>
      </c:layout>
      <c:barChart>
        <c:barDir val="col"/>
        <c:grouping val="clustered"/>
        <c:varyColors val="0"/>
        <c:ser>
          <c:idx val="2"/>
          <c:order val="4"/>
          <c:tx>
            <c:strRef>
              <c:f>'G1-Státní rozpočet-příjmy'!$A$38</c:f>
              <c:strCache>
                <c:ptCount val="1"/>
                <c:pt idx="0">
                  <c:v>State budget balance (SB)</c:v>
                </c:pt>
              </c:strCache>
            </c:strRef>
          </c:tx>
          <c:spPr>
            <a:solidFill>
              <a:schemeClr val="bg1">
                <a:lumMod val="65000"/>
              </a:schemeClr>
            </a:solidFill>
            <a:ln w="28575">
              <a:noFill/>
            </a:ln>
          </c:spPr>
          <c:invertIfNegative val="0"/>
          <c:cat>
            <c:numRef>
              <c:f>'G1-Státní rozpočet-příjmy'!$B$33:$Q$33</c:f>
              <c:numCache>
                <c:formatCode>General</c:formatCode>
                <c:ptCount val="1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numCache>
            </c:numRef>
          </c:cat>
          <c:val>
            <c:numRef>
              <c:f>'G1-Státní rozpočet-příjmy'!$B$38:$Q$38</c:f>
              <c:numCache>
                <c:formatCode>0.0</c:formatCode>
                <c:ptCount val="16"/>
                <c:pt idx="0">
                  <c:v>-56.36</c:v>
                </c:pt>
                <c:pt idx="1">
                  <c:v>-97.3</c:v>
                </c:pt>
                <c:pt idx="2">
                  <c:v>-66.391999999999996</c:v>
                </c:pt>
                <c:pt idx="3">
                  <c:v>-20.003</c:v>
                </c:pt>
                <c:pt idx="4">
                  <c:v>-192.39400000000001</c:v>
                </c:pt>
                <c:pt idx="5">
                  <c:v>-156.416</c:v>
                </c:pt>
                <c:pt idx="6">
                  <c:v>-142.77099999999999</c:v>
                </c:pt>
                <c:pt idx="7">
                  <c:v>-101</c:v>
                </c:pt>
                <c:pt idx="8">
                  <c:v>-81.263999999999996</c:v>
                </c:pt>
                <c:pt idx="9">
                  <c:v>-77.78</c:v>
                </c:pt>
                <c:pt idx="10">
                  <c:v>-62.8</c:v>
                </c:pt>
                <c:pt idx="11">
                  <c:v>61.77</c:v>
                </c:pt>
                <c:pt idx="12">
                  <c:v>-6.15</c:v>
                </c:pt>
                <c:pt idx="13">
                  <c:v>2.94</c:v>
                </c:pt>
                <c:pt idx="14">
                  <c:v>-28.52</c:v>
                </c:pt>
                <c:pt idx="15">
                  <c:v>-367.44914888590029</c:v>
                </c:pt>
              </c:numCache>
            </c:numRef>
          </c:val>
          <c:extLst>
            <c:ext xmlns:c16="http://schemas.microsoft.com/office/drawing/2014/chart" uri="{C3380CC4-5D6E-409C-BE32-E72D297353CC}">
              <c16:uniqueId val="{00000000-B342-4A7B-B242-CBA00D331486}"/>
            </c:ext>
          </c:extLst>
        </c:ser>
        <c:ser>
          <c:idx val="5"/>
          <c:order val="5"/>
          <c:tx>
            <c:strRef>
              <c:f>'G1-Státní rozpočet-příjmy'!$A$39</c:f>
              <c:strCache>
                <c:ptCount val="1"/>
                <c:pt idx="0">
                  <c:v>SB balance, adjusted for EU and FM* effect</c:v>
                </c:pt>
              </c:strCache>
            </c:strRef>
          </c:tx>
          <c:spPr>
            <a:solidFill>
              <a:schemeClr val="bg1">
                <a:lumMod val="85000"/>
              </a:schemeClr>
            </a:solidFill>
            <a:ln w="28575">
              <a:noFill/>
            </a:ln>
          </c:spPr>
          <c:invertIfNegative val="0"/>
          <c:cat>
            <c:numRef>
              <c:f>'G1-Státní rozpočet-příjmy'!$B$33:$Q$33</c:f>
              <c:numCache>
                <c:formatCode>General</c:formatCode>
                <c:ptCount val="1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numCache>
            </c:numRef>
          </c:cat>
          <c:val>
            <c:numRef>
              <c:f>'G1-Státní rozpočet-příjmy'!$B$39:$Q$39</c:f>
              <c:numCache>
                <c:formatCode>General</c:formatCode>
                <c:ptCount val="16"/>
                <c:pt idx="8" formatCode="#,##0.0">
                  <c:v>-81.7</c:v>
                </c:pt>
                <c:pt idx="9" formatCode="#,##0.0">
                  <c:v>-64.099999999999994</c:v>
                </c:pt>
                <c:pt idx="10" formatCode="#,##0.0">
                  <c:v>-41.7</c:v>
                </c:pt>
                <c:pt idx="11" formatCode="#,##0.0">
                  <c:v>-13.6</c:v>
                </c:pt>
                <c:pt idx="12" formatCode="#,##0.0">
                  <c:v>-1.3</c:v>
                </c:pt>
                <c:pt idx="13" formatCode="#,##0.0">
                  <c:v>-3.5</c:v>
                </c:pt>
                <c:pt idx="14" formatCode="#,##0.0">
                  <c:v>-29.2</c:v>
                </c:pt>
                <c:pt idx="15" formatCode="#,##0.0">
                  <c:v>-363.7</c:v>
                </c:pt>
              </c:numCache>
            </c:numRef>
          </c:val>
          <c:extLst>
            <c:ext xmlns:c16="http://schemas.microsoft.com/office/drawing/2014/chart" uri="{C3380CC4-5D6E-409C-BE32-E72D297353CC}">
              <c16:uniqueId val="{00000001-B342-4A7B-B242-CBA00D331486}"/>
            </c:ext>
          </c:extLst>
        </c:ser>
        <c:dLbls>
          <c:showLegendKey val="0"/>
          <c:showVal val="0"/>
          <c:showCatName val="0"/>
          <c:showSerName val="0"/>
          <c:showPercent val="0"/>
          <c:showBubbleSize val="0"/>
        </c:dLbls>
        <c:gapWidth val="65"/>
        <c:axId val="486345536"/>
        <c:axId val="486350944"/>
      </c:barChart>
      <c:lineChart>
        <c:grouping val="standard"/>
        <c:varyColors val="0"/>
        <c:ser>
          <c:idx val="0"/>
          <c:order val="0"/>
          <c:tx>
            <c:strRef>
              <c:f>'G1-Státní rozpočet-příjmy'!$A$34</c:f>
              <c:strCache>
                <c:ptCount val="1"/>
                <c:pt idx="0">
                  <c:v>Valua added tax</c:v>
                </c:pt>
              </c:strCache>
            </c:strRef>
          </c:tx>
          <c:spPr>
            <a:ln w="19050">
              <a:solidFill>
                <a:srgbClr val="C00000"/>
              </a:solidFill>
            </a:ln>
          </c:spPr>
          <c:marker>
            <c:symbol val="none"/>
          </c:marker>
          <c:cat>
            <c:numRef>
              <c:f>'G1-Státní rozpočet-příjmy'!$B$33:$Q$33</c:f>
              <c:numCache>
                <c:formatCode>General</c:formatCode>
                <c:ptCount val="1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numCache>
            </c:numRef>
          </c:cat>
          <c:val>
            <c:numRef>
              <c:f>'G1-Státní rozpočet-příjmy'!$B$34:$Q$34</c:f>
              <c:numCache>
                <c:formatCode>0.0</c:formatCode>
                <c:ptCount val="16"/>
                <c:pt idx="0">
                  <c:v>13.155608643718097</c:v>
                </c:pt>
                <c:pt idx="1">
                  <c:v>4.4959454920589224</c:v>
                </c:pt>
                <c:pt idx="2">
                  <c:v>8.540729176232901</c:v>
                </c:pt>
                <c:pt idx="3">
                  <c:v>7.9575260174295579</c:v>
                </c:pt>
                <c:pt idx="4">
                  <c:v>-0.61914651828048761</c:v>
                </c:pt>
                <c:pt idx="5">
                  <c:v>6.2852411182524435</c:v>
                </c:pt>
                <c:pt idx="6">
                  <c:v>2.1665739194954341</c:v>
                </c:pt>
                <c:pt idx="7">
                  <c:v>1.0312647518065461</c:v>
                </c:pt>
                <c:pt idx="8">
                  <c:v>10.865111598317938</c:v>
                </c:pt>
                <c:pt idx="9">
                  <c:v>4.674836283472743</c:v>
                </c:pt>
                <c:pt idx="10">
                  <c:v>2.7750247770069336</c:v>
                </c:pt>
                <c:pt idx="11">
                  <c:v>5.3881388621022381</c:v>
                </c:pt>
                <c:pt idx="12">
                  <c:v>9.138739563079028</c:v>
                </c:pt>
                <c:pt idx="13">
                  <c:v>8.2844267449172122</c:v>
                </c:pt>
                <c:pt idx="14">
                  <c:v>4.4229373336559235</c:v>
                </c:pt>
                <c:pt idx="15">
                  <c:v>-1.1882103979308738</c:v>
                </c:pt>
              </c:numCache>
            </c:numRef>
          </c:val>
          <c:smooth val="0"/>
          <c:extLst>
            <c:ext xmlns:c16="http://schemas.microsoft.com/office/drawing/2014/chart" uri="{C3380CC4-5D6E-409C-BE32-E72D297353CC}">
              <c16:uniqueId val="{00000002-B342-4A7B-B242-CBA00D331486}"/>
            </c:ext>
          </c:extLst>
        </c:ser>
        <c:ser>
          <c:idx val="1"/>
          <c:order val="1"/>
          <c:tx>
            <c:strRef>
              <c:f>'G1-Státní rozpočet-příjmy'!$A$35</c:f>
              <c:strCache>
                <c:ptCount val="1"/>
                <c:pt idx="0">
                  <c:v>Consumption taxes</c:v>
                </c:pt>
              </c:strCache>
            </c:strRef>
          </c:tx>
          <c:spPr>
            <a:ln w="19050">
              <a:solidFill>
                <a:schemeClr val="accent6">
                  <a:lumMod val="75000"/>
                </a:schemeClr>
              </a:solidFill>
              <a:prstDash val="sysDash"/>
            </a:ln>
          </c:spPr>
          <c:marker>
            <c:symbol val="none"/>
          </c:marker>
          <c:cat>
            <c:numRef>
              <c:f>'G1-Státní rozpočet-příjmy'!$B$33:$Q$33</c:f>
              <c:numCache>
                <c:formatCode>General</c:formatCode>
                <c:ptCount val="1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numCache>
            </c:numRef>
          </c:cat>
          <c:val>
            <c:numRef>
              <c:f>'G1-Státní rozpočet-příjmy'!$B$35:$Q$35</c:f>
              <c:numCache>
                <c:formatCode>0.0</c:formatCode>
                <c:ptCount val="16"/>
                <c:pt idx="0">
                  <c:v>15.148989372785991</c:v>
                </c:pt>
                <c:pt idx="1">
                  <c:v>8.1704668838219305</c:v>
                </c:pt>
                <c:pt idx="2">
                  <c:v>16.227519866164769</c:v>
                </c:pt>
                <c:pt idx="3">
                  <c:v>-4.2605253688377047</c:v>
                </c:pt>
                <c:pt idx="4">
                  <c:v>-1.4733518755167978</c:v>
                </c:pt>
                <c:pt idx="5">
                  <c:v>5.4932478828107207</c:v>
                </c:pt>
                <c:pt idx="6">
                  <c:v>6.0099804729876354</c:v>
                </c:pt>
                <c:pt idx="7">
                  <c:v>0.13644426251875075</c:v>
                </c:pt>
                <c:pt idx="8">
                  <c:v>-2.2891402098378535</c:v>
                </c:pt>
                <c:pt idx="9">
                  <c:v>-1.4712034583739921</c:v>
                </c:pt>
                <c:pt idx="10">
                  <c:v>6.5034321704055031</c:v>
                </c:pt>
                <c:pt idx="11">
                  <c:v>5.1362126245847008</c:v>
                </c:pt>
                <c:pt idx="12">
                  <c:v>2.9071604626177248</c:v>
                </c:pt>
                <c:pt idx="13">
                  <c:v>2.8495977399742003</c:v>
                </c:pt>
                <c:pt idx="14">
                  <c:v>-0.19705021794949573</c:v>
                </c:pt>
                <c:pt idx="15">
                  <c:v>-2.7815291742491297</c:v>
                </c:pt>
              </c:numCache>
            </c:numRef>
          </c:val>
          <c:smooth val="0"/>
          <c:extLst>
            <c:ext xmlns:c16="http://schemas.microsoft.com/office/drawing/2014/chart" uri="{C3380CC4-5D6E-409C-BE32-E72D297353CC}">
              <c16:uniqueId val="{00000003-B342-4A7B-B242-CBA00D331486}"/>
            </c:ext>
          </c:extLst>
        </c:ser>
        <c:ser>
          <c:idx val="3"/>
          <c:order val="2"/>
          <c:tx>
            <c:strRef>
              <c:f>'G1-Státní rozpočet-příjmy'!$A$36</c:f>
              <c:strCache>
                <c:ptCount val="1"/>
                <c:pt idx="0">
                  <c:v>Income tax of natural persons from employment</c:v>
                </c:pt>
              </c:strCache>
            </c:strRef>
          </c:tx>
          <c:spPr>
            <a:ln w="19050">
              <a:solidFill>
                <a:srgbClr val="0071BC"/>
              </a:solidFill>
              <a:prstDash val="sysDot"/>
            </a:ln>
          </c:spPr>
          <c:marker>
            <c:symbol val="diamond"/>
            <c:size val="5"/>
            <c:spPr>
              <a:solidFill>
                <a:schemeClr val="bg1"/>
              </a:solidFill>
              <a:ln>
                <a:solidFill>
                  <a:srgbClr val="0071BC"/>
                </a:solidFill>
              </a:ln>
            </c:spPr>
          </c:marker>
          <c:cat>
            <c:numRef>
              <c:f>'G1-Státní rozpočet-příjmy'!$B$33:$Q$33</c:f>
              <c:numCache>
                <c:formatCode>General</c:formatCode>
                <c:ptCount val="1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numCache>
            </c:numRef>
          </c:cat>
          <c:val>
            <c:numRef>
              <c:f>'G1-Státní rozpočet-příjmy'!$B$36:$Q$36</c:f>
              <c:numCache>
                <c:formatCode>0.0</c:formatCode>
                <c:ptCount val="16"/>
                <c:pt idx="0">
                  <c:v>7.8339666764104123</c:v>
                </c:pt>
                <c:pt idx="1">
                  <c:v>0.86744375169422483</c:v>
                </c:pt>
                <c:pt idx="2">
                  <c:v>13.222252082773451</c:v>
                </c:pt>
                <c:pt idx="3">
                  <c:v>-8.8693725769443859</c:v>
                </c:pt>
                <c:pt idx="4">
                  <c:v>-3.5943740232679318</c:v>
                </c:pt>
                <c:pt idx="5">
                  <c:v>0.72046109510085898</c:v>
                </c:pt>
                <c:pt idx="6">
                  <c:v>6.7328326180257534</c:v>
                </c:pt>
                <c:pt idx="7">
                  <c:v>0.35184719778837348</c:v>
                </c:pt>
                <c:pt idx="8">
                  <c:v>5.2925953752399835</c:v>
                </c:pt>
                <c:pt idx="9">
                  <c:v>3.7580274320145861</c:v>
                </c:pt>
                <c:pt idx="10">
                  <c:v>4.011614579353548</c:v>
                </c:pt>
                <c:pt idx="11">
                  <c:v>9.7487511019688498</c:v>
                </c:pt>
                <c:pt idx="12">
                  <c:v>13.2873686324386</c:v>
                </c:pt>
                <c:pt idx="13">
                  <c:v>14.441030489246032</c:v>
                </c:pt>
                <c:pt idx="14">
                  <c:v>11.673895084675763</c:v>
                </c:pt>
                <c:pt idx="15">
                  <c:v>-5.2524401043645241</c:v>
                </c:pt>
              </c:numCache>
            </c:numRef>
          </c:val>
          <c:smooth val="0"/>
          <c:extLst>
            <c:ext xmlns:c16="http://schemas.microsoft.com/office/drawing/2014/chart" uri="{C3380CC4-5D6E-409C-BE32-E72D297353CC}">
              <c16:uniqueId val="{00000004-B342-4A7B-B242-CBA00D331486}"/>
            </c:ext>
          </c:extLst>
        </c:ser>
        <c:ser>
          <c:idx val="4"/>
          <c:order val="3"/>
          <c:tx>
            <c:strRef>
              <c:f>'G1-Státní rozpočet-příjmy'!$A$37</c:f>
              <c:strCache>
                <c:ptCount val="1"/>
                <c:pt idx="0">
                  <c:v>Income tax of legal persons (corporate tax)</c:v>
                </c:pt>
              </c:strCache>
            </c:strRef>
          </c:tx>
          <c:spPr>
            <a:ln w="19050">
              <a:noFill/>
            </a:ln>
          </c:spPr>
          <c:marker>
            <c:symbol val="circle"/>
            <c:size val="5"/>
            <c:spPr>
              <a:solidFill>
                <a:srgbClr val="00B050"/>
              </a:solidFill>
              <a:ln>
                <a:noFill/>
              </a:ln>
            </c:spPr>
          </c:marker>
          <c:cat>
            <c:numRef>
              <c:f>'G1-Státní rozpočet-příjmy'!$B$33:$Q$33</c:f>
              <c:numCache>
                <c:formatCode>General</c:formatCode>
                <c:ptCount val="1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numCache>
            </c:numRef>
          </c:cat>
          <c:val>
            <c:numRef>
              <c:f>'G1-Státní rozpočet-příjmy'!$B$37:$Q$37</c:f>
              <c:numCache>
                <c:formatCode>0.0</c:formatCode>
                <c:ptCount val="16"/>
                <c:pt idx="0">
                  <c:v>26.963584434130652</c:v>
                </c:pt>
                <c:pt idx="1">
                  <c:v>-4.7873462214411262</c:v>
                </c:pt>
                <c:pt idx="2">
                  <c:v>20.193443591258116</c:v>
                </c:pt>
                <c:pt idx="3">
                  <c:v>12.113766201855157</c:v>
                </c:pt>
                <c:pt idx="4">
                  <c:v>-34.469344145526264</c:v>
                </c:pt>
                <c:pt idx="5">
                  <c:v>3.5618729096990052</c:v>
                </c:pt>
                <c:pt idx="6">
                  <c:v>-4.6423381236880346</c:v>
                </c:pt>
                <c:pt idx="7">
                  <c:v>8.3735500804335032</c:v>
                </c:pt>
                <c:pt idx="8">
                  <c:v>-5.6875</c:v>
                </c:pt>
                <c:pt idx="9">
                  <c:v>9.6752816434725162</c:v>
                </c:pt>
                <c:pt idx="10">
                  <c:v>11.412386706948624</c:v>
                </c:pt>
                <c:pt idx="11">
                  <c:v>11.667005626737165</c:v>
                </c:pt>
                <c:pt idx="12">
                  <c:v>3.6000485672656595</c:v>
                </c:pt>
                <c:pt idx="13">
                  <c:v>1.9689422795194673</c:v>
                </c:pt>
                <c:pt idx="14">
                  <c:v>5.1089017872536004</c:v>
                </c:pt>
                <c:pt idx="15">
                  <c:v>-12.219312902832144</c:v>
                </c:pt>
              </c:numCache>
            </c:numRef>
          </c:val>
          <c:smooth val="0"/>
          <c:extLst>
            <c:ext xmlns:c16="http://schemas.microsoft.com/office/drawing/2014/chart" uri="{C3380CC4-5D6E-409C-BE32-E72D297353CC}">
              <c16:uniqueId val="{00000005-B342-4A7B-B242-CBA00D331486}"/>
            </c:ext>
          </c:extLst>
        </c:ser>
        <c:dLbls>
          <c:showLegendKey val="0"/>
          <c:showVal val="0"/>
          <c:showCatName val="0"/>
          <c:showSerName val="0"/>
          <c:showPercent val="0"/>
          <c:showBubbleSize val="0"/>
        </c:dLbls>
        <c:marker val="1"/>
        <c:smooth val="0"/>
        <c:axId val="79288576"/>
        <c:axId val="66855296"/>
      </c:lineChart>
      <c:catAx>
        <c:axId val="79288576"/>
        <c:scaling>
          <c:orientation val="minMax"/>
        </c:scaling>
        <c:delete val="0"/>
        <c:axPos val="b"/>
        <c:numFmt formatCode="General" sourceLinked="1"/>
        <c:majorTickMark val="out"/>
        <c:minorTickMark val="none"/>
        <c:tickLblPos val="low"/>
        <c:spPr>
          <a:ln w="6350">
            <a:solidFill>
              <a:schemeClr val="tx1"/>
            </a:solidFill>
          </a:ln>
        </c:spPr>
        <c:crossAx val="66855296"/>
        <c:crosses val="autoZero"/>
        <c:auto val="1"/>
        <c:lblAlgn val="ctr"/>
        <c:lblOffset val="0"/>
        <c:noMultiLvlLbl val="0"/>
      </c:catAx>
      <c:valAx>
        <c:axId val="66855296"/>
        <c:scaling>
          <c:orientation val="minMax"/>
          <c:max val="30"/>
          <c:min val="-40"/>
        </c:scaling>
        <c:delete val="0"/>
        <c:axPos val="l"/>
        <c:majorGridlines>
          <c:spPr>
            <a:ln w="6350">
              <a:solidFill>
                <a:schemeClr val="bg1">
                  <a:lumMod val="75000"/>
                </a:schemeClr>
              </a:solidFill>
            </a:ln>
          </c:spPr>
        </c:majorGridlines>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700" b="0" i="1"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sz="700" b="0" i="1" u="none" strike="noStrike" baseline="0">
                    <a:effectLst/>
                  </a:rPr>
                  <a:t>Main types of incomes (year-on-year change in %</a:t>
                </a:r>
                <a:r>
                  <a:rPr lang="cs-CZ" sz="700" b="0" i="1" u="none" strike="noStrike" baseline="0">
                    <a:effectLst/>
                  </a:rPr>
                  <a:t>)</a:t>
                </a:r>
                <a:endParaRPr lang="cs-CZ" sz="700" b="0" i="1">
                  <a:effectLst/>
                </a:endParaRPr>
              </a:p>
            </c:rich>
          </c:tx>
          <c:layout/>
          <c:overlay val="0"/>
        </c:title>
        <c:numFmt formatCode="0" sourceLinked="0"/>
        <c:majorTickMark val="out"/>
        <c:minorTickMark val="none"/>
        <c:tickLblPos val="nextTo"/>
        <c:spPr>
          <a:ln w="6350">
            <a:solidFill>
              <a:schemeClr val="tx1"/>
            </a:solidFill>
          </a:ln>
        </c:spPr>
        <c:crossAx val="79288576"/>
        <c:crosses val="autoZero"/>
        <c:crossBetween val="between"/>
        <c:majorUnit val="5"/>
      </c:valAx>
      <c:valAx>
        <c:axId val="486350944"/>
        <c:scaling>
          <c:orientation val="minMax"/>
          <c:max val="300"/>
          <c:min val="-400"/>
        </c:scaling>
        <c:delete val="0"/>
        <c:axPos val="r"/>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700" b="0" i="1"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sz="700" i="1">
                    <a:effectLst/>
                  </a:rPr>
                  <a:t>State budget balance (in CZK bn)</a:t>
                </a:r>
                <a:endParaRPr lang="cs-CZ" sz="700">
                  <a:effectLst/>
                </a:endParaRPr>
              </a:p>
            </c:rich>
          </c:tx>
          <c:layout/>
          <c:overlay val="0"/>
        </c:title>
        <c:numFmt formatCode="0" sourceLinked="0"/>
        <c:majorTickMark val="out"/>
        <c:minorTickMark val="none"/>
        <c:tickLblPos val="nextTo"/>
        <c:crossAx val="486345536"/>
        <c:crosses val="max"/>
        <c:crossBetween val="between"/>
        <c:majorUnit val="50"/>
      </c:valAx>
      <c:catAx>
        <c:axId val="486345536"/>
        <c:scaling>
          <c:orientation val="minMax"/>
        </c:scaling>
        <c:delete val="1"/>
        <c:axPos val="b"/>
        <c:numFmt formatCode="General" sourceLinked="1"/>
        <c:majorTickMark val="out"/>
        <c:minorTickMark val="none"/>
        <c:tickLblPos val="nextTo"/>
        <c:crossAx val="486350944"/>
        <c:crosses val="autoZero"/>
        <c:auto val="1"/>
        <c:lblAlgn val="ctr"/>
        <c:lblOffset val="100"/>
        <c:noMultiLvlLbl val="0"/>
      </c:catAx>
      <c:spPr>
        <a:ln w="6350">
          <a:solidFill>
            <a:schemeClr val="tx1"/>
          </a:solidFill>
        </a:ln>
      </c:spPr>
    </c:plotArea>
    <c:legend>
      <c:legendPos val="b"/>
      <c:layout>
        <c:manualLayout>
          <c:xMode val="edge"/>
          <c:yMode val="edge"/>
          <c:x val="3.9895768291627904E-3"/>
          <c:y val="0.87964736703817581"/>
          <c:w val="0.98968645202537442"/>
          <c:h val="0.10542251356201496"/>
        </c:manualLayout>
      </c:layout>
      <c:overlay val="0"/>
      <c:spPr>
        <a:ln w="6350">
          <a:solidFill>
            <a:schemeClr val="tx1"/>
          </a:solidFill>
        </a:ln>
      </c:spPr>
      <c:txPr>
        <a:bodyPr/>
        <a:lstStyle/>
        <a:p>
          <a:pPr>
            <a:defRPr sz="700"/>
          </a:pPr>
          <a:endParaRPr lang="cs-CZ"/>
        </a:p>
      </c:txPr>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0260484943049881E-2"/>
          <c:y val="1.7112323287741892E-2"/>
          <c:w val="0.82719862375806086"/>
          <c:h val="0.7751075308524743"/>
        </c:manualLayout>
      </c:layout>
      <c:barChart>
        <c:barDir val="col"/>
        <c:grouping val="clustered"/>
        <c:varyColors val="0"/>
        <c:ser>
          <c:idx val="0"/>
          <c:order val="0"/>
          <c:tx>
            <c:strRef>
              <c:f>'G2-Stání rozpočet-výdaje'!$B$31</c:f>
              <c:strCache>
                <c:ptCount val="1"/>
                <c:pt idx="0">
                  <c:v>Total current expenditures</c:v>
                </c:pt>
              </c:strCache>
            </c:strRef>
          </c:tx>
          <c:spPr>
            <a:solidFill>
              <a:schemeClr val="bg1">
                <a:lumMod val="85000"/>
              </a:schemeClr>
            </a:solidFill>
            <a:ln>
              <a:noFill/>
            </a:ln>
          </c:spPr>
          <c:invertIfNegative val="0"/>
          <c:cat>
            <c:numRef>
              <c:f>'G2-Stání rozpočet-výdaje'!$A$32:$A$47</c:f>
              <c:numCache>
                <c:formatCode>General</c:formatCode>
                <c:ptCount val="1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numCache>
            </c:numRef>
          </c:cat>
          <c:val>
            <c:numRef>
              <c:f>'G2-Stání rozpočet-výdaje'!$B$32:$B$47</c:f>
              <c:numCache>
                <c:formatCode>0.0</c:formatCode>
                <c:ptCount val="16"/>
                <c:pt idx="0">
                  <c:v>840.86</c:v>
                </c:pt>
                <c:pt idx="1">
                  <c:v>912.08</c:v>
                </c:pt>
                <c:pt idx="2">
                  <c:v>973.85</c:v>
                </c:pt>
                <c:pt idx="3">
                  <c:v>975.86</c:v>
                </c:pt>
                <c:pt idx="4">
                  <c:v>1032.78</c:v>
                </c:pt>
                <c:pt idx="5">
                  <c:v>1021.89</c:v>
                </c:pt>
                <c:pt idx="6">
                  <c:v>1031.83</c:v>
                </c:pt>
                <c:pt idx="7">
                  <c:v>1038.76</c:v>
                </c:pt>
                <c:pt idx="8">
                  <c:v>1070.8130000000001</c:v>
                </c:pt>
                <c:pt idx="9">
                  <c:v>1100.1020000000001</c:v>
                </c:pt>
                <c:pt idx="10">
                  <c:v>1121.6600000000001</c:v>
                </c:pt>
                <c:pt idx="11">
                  <c:v>1135.57</c:v>
                </c:pt>
                <c:pt idx="12">
                  <c:v>1198.05</c:v>
                </c:pt>
                <c:pt idx="13">
                  <c:v>1284.5</c:v>
                </c:pt>
                <c:pt idx="14">
                  <c:v>1412.5989294339895</c:v>
                </c:pt>
                <c:pt idx="15">
                  <c:v>1670.2422474235602</c:v>
                </c:pt>
              </c:numCache>
            </c:numRef>
          </c:val>
          <c:extLst>
            <c:ext xmlns:c16="http://schemas.microsoft.com/office/drawing/2014/chart" uri="{C3380CC4-5D6E-409C-BE32-E72D297353CC}">
              <c16:uniqueId val="{00000000-6447-4F75-BB36-32B0A5771F41}"/>
            </c:ext>
          </c:extLst>
        </c:ser>
        <c:dLbls>
          <c:showLegendKey val="0"/>
          <c:showVal val="0"/>
          <c:showCatName val="0"/>
          <c:showSerName val="0"/>
          <c:showPercent val="0"/>
          <c:showBubbleSize val="0"/>
        </c:dLbls>
        <c:gapWidth val="70"/>
        <c:axId val="72836608"/>
        <c:axId val="72835072"/>
      </c:barChart>
      <c:lineChart>
        <c:grouping val="standard"/>
        <c:varyColors val="0"/>
        <c:ser>
          <c:idx val="1"/>
          <c:order val="1"/>
          <c:tx>
            <c:strRef>
              <c:f>'G2-Stání rozpočet-výdaje'!$C$31</c:f>
              <c:strCache>
                <c:ptCount val="1"/>
                <c:pt idx="0">
                  <c:v>Wages of employees in publ. admin.*</c:v>
                </c:pt>
              </c:strCache>
            </c:strRef>
          </c:tx>
          <c:spPr>
            <a:ln w="15875">
              <a:solidFill>
                <a:srgbClr val="984807"/>
              </a:solidFill>
            </a:ln>
          </c:spPr>
          <c:marker>
            <c:symbol val="none"/>
          </c:marker>
          <c:cat>
            <c:numRef>
              <c:f>'G2-Stání rozpočet-výdaje'!$A$32:$A$47</c:f>
              <c:numCache>
                <c:formatCode>General</c:formatCode>
                <c:ptCount val="1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numCache>
            </c:numRef>
          </c:cat>
          <c:val>
            <c:numRef>
              <c:f>'G2-Stání rozpočet-výdaje'!$C$32:$C$47</c:f>
              <c:numCache>
                <c:formatCode>0.0</c:formatCode>
                <c:ptCount val="16"/>
                <c:pt idx="0">
                  <c:v>88.07</c:v>
                </c:pt>
                <c:pt idx="1">
                  <c:v>89.99</c:v>
                </c:pt>
                <c:pt idx="2">
                  <c:v>95.76</c:v>
                </c:pt>
                <c:pt idx="3">
                  <c:v>97.33</c:v>
                </c:pt>
                <c:pt idx="4">
                  <c:v>100.19</c:v>
                </c:pt>
                <c:pt idx="5">
                  <c:v>97.67</c:v>
                </c:pt>
                <c:pt idx="6">
                  <c:v>89.6</c:v>
                </c:pt>
                <c:pt idx="7">
                  <c:v>90.45</c:v>
                </c:pt>
                <c:pt idx="8">
                  <c:v>92.375</c:v>
                </c:pt>
                <c:pt idx="9">
                  <c:v>96.582999999999998</c:v>
                </c:pt>
                <c:pt idx="10">
                  <c:v>104.19</c:v>
                </c:pt>
                <c:pt idx="11">
                  <c:v>109.86</c:v>
                </c:pt>
                <c:pt idx="12">
                  <c:v>120.08</c:v>
                </c:pt>
                <c:pt idx="13">
                  <c:v>133.9</c:v>
                </c:pt>
                <c:pt idx="14">
                  <c:v>143.72754730148006</c:v>
                </c:pt>
                <c:pt idx="15">
                  <c:v>150.14703694872</c:v>
                </c:pt>
              </c:numCache>
            </c:numRef>
          </c:val>
          <c:smooth val="0"/>
          <c:extLst>
            <c:ext xmlns:c16="http://schemas.microsoft.com/office/drawing/2014/chart" uri="{C3380CC4-5D6E-409C-BE32-E72D297353CC}">
              <c16:uniqueId val="{00000001-6447-4F75-BB36-32B0A5771F41}"/>
            </c:ext>
          </c:extLst>
        </c:ser>
        <c:ser>
          <c:idx val="6"/>
          <c:order val="2"/>
          <c:tx>
            <c:strRef>
              <c:f>'G2-Stání rozpočet-výdaje'!$D$31</c:f>
              <c:strCache>
                <c:ptCount val="1"/>
                <c:pt idx="0">
                  <c:v>Unemployment benefits</c:v>
                </c:pt>
              </c:strCache>
            </c:strRef>
          </c:tx>
          <c:spPr>
            <a:ln w="15875">
              <a:solidFill>
                <a:srgbClr val="0070C0"/>
              </a:solidFill>
            </a:ln>
          </c:spPr>
          <c:marker>
            <c:symbol val="none"/>
          </c:marker>
          <c:cat>
            <c:numRef>
              <c:f>'G2-Stání rozpočet-výdaje'!$A$32:$A$47</c:f>
              <c:numCache>
                <c:formatCode>General</c:formatCode>
                <c:ptCount val="1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numCache>
            </c:numRef>
          </c:cat>
          <c:val>
            <c:numRef>
              <c:f>'G2-Stání rozpočet-výdaje'!$D$32:$D$47</c:f>
              <c:numCache>
                <c:formatCode>0.0</c:formatCode>
                <c:ptCount val="16"/>
                <c:pt idx="0">
                  <c:v>7.11</c:v>
                </c:pt>
                <c:pt idx="1">
                  <c:v>7.36</c:v>
                </c:pt>
                <c:pt idx="2">
                  <c:v>7.24</c:v>
                </c:pt>
                <c:pt idx="3">
                  <c:v>7.11</c:v>
                </c:pt>
                <c:pt idx="4">
                  <c:v>15.077999999999999</c:v>
                </c:pt>
                <c:pt idx="5">
                  <c:v>13.355</c:v>
                </c:pt>
                <c:pt idx="6">
                  <c:v>10.349</c:v>
                </c:pt>
                <c:pt idx="7">
                  <c:v>8.76</c:v>
                </c:pt>
                <c:pt idx="8">
                  <c:v>9.65</c:v>
                </c:pt>
                <c:pt idx="9">
                  <c:v>9.2620000000000005</c:v>
                </c:pt>
                <c:pt idx="10">
                  <c:v>8.2759999999999998</c:v>
                </c:pt>
                <c:pt idx="11">
                  <c:v>8.2200000000000006</c:v>
                </c:pt>
                <c:pt idx="12">
                  <c:v>7.82</c:v>
                </c:pt>
                <c:pt idx="13">
                  <c:v>7.51</c:v>
                </c:pt>
                <c:pt idx="14">
                  <c:v>8.1136251569399995</c:v>
                </c:pt>
                <c:pt idx="15">
                  <c:v>10.51943784599</c:v>
                </c:pt>
              </c:numCache>
            </c:numRef>
          </c:val>
          <c:smooth val="0"/>
          <c:extLst>
            <c:ext xmlns:c16="http://schemas.microsoft.com/office/drawing/2014/chart" uri="{C3380CC4-5D6E-409C-BE32-E72D297353CC}">
              <c16:uniqueId val="{00000002-6447-4F75-BB36-32B0A5771F41}"/>
            </c:ext>
          </c:extLst>
        </c:ser>
        <c:ser>
          <c:idx val="7"/>
          <c:order val="3"/>
          <c:tx>
            <c:strRef>
              <c:f>'G2-Stání rozpočet-výdaje'!$E$31</c:f>
              <c:strCache>
                <c:ptCount val="1"/>
                <c:pt idx="0">
                  <c:v>State social support**</c:v>
                </c:pt>
              </c:strCache>
            </c:strRef>
          </c:tx>
          <c:spPr>
            <a:ln w="15875">
              <a:solidFill>
                <a:srgbClr val="00B050"/>
              </a:solidFill>
            </a:ln>
          </c:spPr>
          <c:marker>
            <c:symbol val="none"/>
          </c:marker>
          <c:cat>
            <c:numRef>
              <c:f>'G2-Stání rozpočet-výdaje'!$A$32:$A$47</c:f>
              <c:numCache>
                <c:formatCode>General</c:formatCode>
                <c:ptCount val="1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numCache>
            </c:numRef>
          </c:cat>
          <c:val>
            <c:numRef>
              <c:f>'G2-Stání rozpočet-výdaje'!$E$32:$E$47</c:f>
              <c:numCache>
                <c:formatCode>0.0</c:formatCode>
                <c:ptCount val="16"/>
                <c:pt idx="0">
                  <c:v>33.14</c:v>
                </c:pt>
                <c:pt idx="1">
                  <c:v>34.35</c:v>
                </c:pt>
                <c:pt idx="2">
                  <c:v>49.47</c:v>
                </c:pt>
                <c:pt idx="3">
                  <c:v>41.97</c:v>
                </c:pt>
                <c:pt idx="4">
                  <c:v>41.167999999999999</c:v>
                </c:pt>
                <c:pt idx="5">
                  <c:v>40.881</c:v>
                </c:pt>
                <c:pt idx="6">
                  <c:v>36.094000000000001</c:v>
                </c:pt>
                <c:pt idx="7">
                  <c:v>35.554000000000002</c:v>
                </c:pt>
                <c:pt idx="8">
                  <c:v>37.423000000000002</c:v>
                </c:pt>
                <c:pt idx="9">
                  <c:v>37.543999999999997</c:v>
                </c:pt>
                <c:pt idx="10">
                  <c:v>37.65</c:v>
                </c:pt>
                <c:pt idx="11">
                  <c:v>37.78</c:v>
                </c:pt>
                <c:pt idx="12">
                  <c:v>37.22</c:v>
                </c:pt>
                <c:pt idx="13">
                  <c:v>39.22</c:v>
                </c:pt>
                <c:pt idx="14">
                  <c:v>37.87859106618</c:v>
                </c:pt>
                <c:pt idx="15">
                  <c:v>51.69938713877</c:v>
                </c:pt>
              </c:numCache>
            </c:numRef>
          </c:val>
          <c:smooth val="0"/>
          <c:extLst>
            <c:ext xmlns:c16="http://schemas.microsoft.com/office/drawing/2014/chart" uri="{C3380CC4-5D6E-409C-BE32-E72D297353CC}">
              <c16:uniqueId val="{00000003-6447-4F75-BB36-32B0A5771F41}"/>
            </c:ext>
          </c:extLst>
        </c:ser>
        <c:ser>
          <c:idx val="2"/>
          <c:order val="4"/>
          <c:tx>
            <c:strRef>
              <c:f>'G2-Stání rozpočet-výdaje'!$F$31</c:f>
              <c:strCache>
                <c:ptCount val="1"/>
                <c:pt idx="0">
                  <c:v>Sickness benefits</c:v>
                </c:pt>
              </c:strCache>
            </c:strRef>
          </c:tx>
          <c:spPr>
            <a:ln w="15875">
              <a:solidFill>
                <a:srgbClr val="00B0F0"/>
              </a:solidFill>
            </a:ln>
          </c:spPr>
          <c:marker>
            <c:symbol val="none"/>
          </c:marker>
          <c:cat>
            <c:numRef>
              <c:f>'G2-Stání rozpočet-výdaje'!$A$32:$A$47</c:f>
              <c:numCache>
                <c:formatCode>General</c:formatCode>
                <c:ptCount val="1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numCache>
            </c:numRef>
          </c:cat>
          <c:val>
            <c:numRef>
              <c:f>'G2-Stání rozpočet-výdaje'!$F$32:$F$47</c:f>
              <c:numCache>
                <c:formatCode>0.0</c:formatCode>
                <c:ptCount val="16"/>
                <c:pt idx="0">
                  <c:v>31.66</c:v>
                </c:pt>
                <c:pt idx="1">
                  <c:v>32.773000000000003</c:v>
                </c:pt>
                <c:pt idx="2">
                  <c:v>34.670999999999999</c:v>
                </c:pt>
                <c:pt idx="3">
                  <c:v>31.882000000000001</c:v>
                </c:pt>
                <c:pt idx="4">
                  <c:v>26.233000000000001</c:v>
                </c:pt>
                <c:pt idx="5">
                  <c:v>22.995999999999999</c:v>
                </c:pt>
                <c:pt idx="6">
                  <c:v>21.734000000000002</c:v>
                </c:pt>
                <c:pt idx="7">
                  <c:v>19.602</c:v>
                </c:pt>
                <c:pt idx="8">
                  <c:v>20.350000000000001</c:v>
                </c:pt>
                <c:pt idx="9">
                  <c:v>22.283000000000001</c:v>
                </c:pt>
                <c:pt idx="10">
                  <c:v>24.31</c:v>
                </c:pt>
                <c:pt idx="11">
                  <c:v>26.5</c:v>
                </c:pt>
                <c:pt idx="12">
                  <c:v>28.57</c:v>
                </c:pt>
                <c:pt idx="13">
                  <c:v>34.173699999999997</c:v>
                </c:pt>
                <c:pt idx="14">
                  <c:v>39.094712799999996</c:v>
                </c:pt>
                <c:pt idx="15">
                  <c:v>55.4</c:v>
                </c:pt>
              </c:numCache>
            </c:numRef>
          </c:val>
          <c:smooth val="0"/>
          <c:extLst>
            <c:ext xmlns:c16="http://schemas.microsoft.com/office/drawing/2014/chart" uri="{C3380CC4-5D6E-409C-BE32-E72D297353CC}">
              <c16:uniqueId val="{00000004-6447-4F75-BB36-32B0A5771F41}"/>
            </c:ext>
          </c:extLst>
        </c:ser>
        <c:ser>
          <c:idx val="3"/>
          <c:order val="5"/>
          <c:tx>
            <c:strRef>
              <c:f>'G2-Stání rozpočet-výdaje'!$G$31</c:f>
              <c:strCache>
                <c:ptCount val="1"/>
                <c:pt idx="0">
                  <c:v>Social care benefits***</c:v>
                </c:pt>
              </c:strCache>
            </c:strRef>
          </c:tx>
          <c:spPr>
            <a:ln w="15875">
              <a:solidFill>
                <a:srgbClr val="7030A0"/>
              </a:solidFill>
            </a:ln>
          </c:spPr>
          <c:marker>
            <c:symbol val="none"/>
          </c:marker>
          <c:cat>
            <c:numRef>
              <c:f>'G2-Stání rozpočet-výdaje'!$A$32:$A$47</c:f>
              <c:numCache>
                <c:formatCode>General</c:formatCode>
                <c:ptCount val="1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numCache>
            </c:numRef>
          </c:cat>
          <c:val>
            <c:numRef>
              <c:f>'G2-Stání rozpočet-výdaje'!$G$32:$G$47</c:f>
              <c:numCache>
                <c:formatCode>General</c:formatCode>
                <c:ptCount val="16"/>
                <c:pt idx="2" formatCode="0.0">
                  <c:v>20.811</c:v>
                </c:pt>
                <c:pt idx="3" formatCode="0.0">
                  <c:v>23.542000000000002</c:v>
                </c:pt>
                <c:pt idx="4" formatCode="0.0">
                  <c:v>24.256</c:v>
                </c:pt>
                <c:pt idx="5" formatCode="0.0">
                  <c:v>25.292000000000002</c:v>
                </c:pt>
                <c:pt idx="6" formatCode="0.0">
                  <c:v>24.966999999999999</c:v>
                </c:pt>
                <c:pt idx="7" formatCode="0.0">
                  <c:v>27.695499999999999</c:v>
                </c:pt>
                <c:pt idx="8" formatCode="0.0">
                  <c:v>31.978999999999999</c:v>
                </c:pt>
                <c:pt idx="9" formatCode="0.0">
                  <c:v>33.622</c:v>
                </c:pt>
                <c:pt idx="10" formatCode="0.0">
                  <c:v>33.621000000000002</c:v>
                </c:pt>
                <c:pt idx="11" formatCode="0.0">
                  <c:v>34.295000000000002</c:v>
                </c:pt>
                <c:pt idx="12" formatCode="0.0">
                  <c:v>34.439</c:v>
                </c:pt>
                <c:pt idx="13" formatCode="0.0">
                  <c:v>33.990400000000001</c:v>
                </c:pt>
                <c:pt idx="14" formatCode="0.0">
                  <c:v>36.831099999999999</c:v>
                </c:pt>
                <c:pt idx="15" formatCode="0.0">
                  <c:v>40.510199999999998</c:v>
                </c:pt>
              </c:numCache>
            </c:numRef>
          </c:val>
          <c:smooth val="0"/>
          <c:extLst>
            <c:ext xmlns:c16="http://schemas.microsoft.com/office/drawing/2014/chart" uri="{C3380CC4-5D6E-409C-BE32-E72D297353CC}">
              <c16:uniqueId val="{00000005-6447-4F75-BB36-32B0A5771F41}"/>
            </c:ext>
          </c:extLst>
        </c:ser>
        <c:ser>
          <c:idx val="4"/>
          <c:order val="6"/>
          <c:tx>
            <c:strRef>
              <c:f>'G2-Stání rozpočet-výdaje'!$H$31</c:f>
              <c:strCache>
                <c:ptCount val="1"/>
                <c:pt idx="0">
                  <c:v>Non-investment purchases****</c:v>
                </c:pt>
              </c:strCache>
            </c:strRef>
          </c:tx>
          <c:spPr>
            <a:ln w="15875">
              <a:solidFill>
                <a:srgbClr val="F8A124"/>
              </a:solidFill>
              <a:prstDash val="solid"/>
            </a:ln>
          </c:spPr>
          <c:marker>
            <c:symbol val="none"/>
          </c:marker>
          <c:cat>
            <c:numRef>
              <c:f>'G2-Stání rozpočet-výdaje'!$A$32:$A$47</c:f>
              <c:numCache>
                <c:formatCode>General</c:formatCode>
                <c:ptCount val="1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numCache>
            </c:numRef>
          </c:cat>
          <c:val>
            <c:numRef>
              <c:f>'G2-Stání rozpočet-výdaje'!$H$32:$H$47</c:f>
              <c:numCache>
                <c:formatCode>0.0</c:formatCode>
                <c:ptCount val="16"/>
                <c:pt idx="0">
                  <c:v>55.461999999999989</c:v>
                </c:pt>
                <c:pt idx="1">
                  <c:v>61.525000000000006</c:v>
                </c:pt>
                <c:pt idx="2">
                  <c:v>63.827000000000005</c:v>
                </c:pt>
                <c:pt idx="3">
                  <c:v>71.581999999999994</c:v>
                </c:pt>
                <c:pt idx="4">
                  <c:v>69.73</c:v>
                </c:pt>
                <c:pt idx="5">
                  <c:v>65.116</c:v>
                </c:pt>
                <c:pt idx="6">
                  <c:v>57.98</c:v>
                </c:pt>
                <c:pt idx="7">
                  <c:v>53.174999999999997</c:v>
                </c:pt>
                <c:pt idx="8">
                  <c:v>54.192999999999998</c:v>
                </c:pt>
                <c:pt idx="9">
                  <c:v>54.751000000000005</c:v>
                </c:pt>
                <c:pt idx="10">
                  <c:v>62.36</c:v>
                </c:pt>
                <c:pt idx="11">
                  <c:v>57.560000000000009</c:v>
                </c:pt>
                <c:pt idx="12">
                  <c:v>62.76</c:v>
                </c:pt>
                <c:pt idx="13">
                  <c:v>68.41</c:v>
                </c:pt>
                <c:pt idx="14">
                  <c:v>66.430000000000007</c:v>
                </c:pt>
                <c:pt idx="15">
                  <c:v>77.830108773489997</c:v>
                </c:pt>
              </c:numCache>
            </c:numRef>
          </c:val>
          <c:smooth val="0"/>
          <c:extLst>
            <c:ext xmlns:c16="http://schemas.microsoft.com/office/drawing/2014/chart" uri="{C3380CC4-5D6E-409C-BE32-E72D297353CC}">
              <c16:uniqueId val="{00000006-6447-4F75-BB36-32B0A5771F41}"/>
            </c:ext>
          </c:extLst>
        </c:ser>
        <c:ser>
          <c:idx val="5"/>
          <c:order val="7"/>
          <c:tx>
            <c:strRef>
              <c:f>'G2-Stání rozpočet-výdaje'!$I$31</c:f>
              <c:strCache>
                <c:ptCount val="1"/>
                <c:pt idx="0">
                  <c:v>State debt (net expenditures) ****</c:v>
                </c:pt>
              </c:strCache>
            </c:strRef>
          </c:tx>
          <c:spPr>
            <a:ln w="15875">
              <a:solidFill>
                <a:srgbClr val="BD1B25"/>
              </a:solidFill>
            </a:ln>
          </c:spPr>
          <c:marker>
            <c:symbol val="none"/>
          </c:marker>
          <c:cat>
            <c:numRef>
              <c:f>'G2-Stání rozpočet-výdaje'!$A$32:$A$47</c:f>
              <c:numCache>
                <c:formatCode>General</c:formatCode>
                <c:ptCount val="1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numCache>
            </c:numRef>
          </c:cat>
          <c:val>
            <c:numRef>
              <c:f>'G2-Stání rozpočet-výdaje'!$I$32:$I$47</c:f>
              <c:numCache>
                <c:formatCode>0.0</c:formatCode>
                <c:ptCount val="16"/>
                <c:pt idx="0">
                  <c:v>25.43</c:v>
                </c:pt>
                <c:pt idx="1">
                  <c:v>31.61</c:v>
                </c:pt>
                <c:pt idx="2">
                  <c:v>34.130000000000003</c:v>
                </c:pt>
                <c:pt idx="3">
                  <c:v>37.64</c:v>
                </c:pt>
                <c:pt idx="4">
                  <c:v>44.46</c:v>
                </c:pt>
                <c:pt idx="5">
                  <c:v>35.840000000000003</c:v>
                </c:pt>
                <c:pt idx="6">
                  <c:v>45.120000000000005</c:v>
                </c:pt>
                <c:pt idx="7">
                  <c:v>41.400000000000006</c:v>
                </c:pt>
                <c:pt idx="8">
                  <c:v>50.89</c:v>
                </c:pt>
                <c:pt idx="9">
                  <c:v>48.49</c:v>
                </c:pt>
                <c:pt idx="10">
                  <c:v>45.28</c:v>
                </c:pt>
                <c:pt idx="11">
                  <c:v>40.65</c:v>
                </c:pt>
                <c:pt idx="12">
                  <c:v>39.769999999999996</c:v>
                </c:pt>
                <c:pt idx="13">
                  <c:v>40.729999999999997</c:v>
                </c:pt>
                <c:pt idx="14">
                  <c:v>39.550577993799998</c:v>
                </c:pt>
                <c:pt idx="15">
                  <c:v>40.145474011320005</c:v>
                </c:pt>
              </c:numCache>
            </c:numRef>
          </c:val>
          <c:smooth val="0"/>
          <c:extLst>
            <c:ext xmlns:c16="http://schemas.microsoft.com/office/drawing/2014/chart" uri="{C3380CC4-5D6E-409C-BE32-E72D297353CC}">
              <c16:uniqueId val="{00000007-6447-4F75-BB36-32B0A5771F41}"/>
            </c:ext>
          </c:extLst>
        </c:ser>
        <c:ser>
          <c:idx val="8"/>
          <c:order val="8"/>
          <c:tx>
            <c:strRef>
              <c:f>'G2-Stání rozpočet-výdaje'!$J$31</c:f>
              <c:strCache>
                <c:ptCount val="1"/>
                <c:pt idx="0">
                  <c:v>Non-investment transfers to business entities</c:v>
                </c:pt>
              </c:strCache>
            </c:strRef>
          </c:tx>
          <c:spPr>
            <a:ln w="15875">
              <a:solidFill>
                <a:schemeClr val="bg2">
                  <a:lumMod val="25000"/>
                </a:schemeClr>
              </a:solidFill>
              <a:prstDash val="sysDash"/>
            </a:ln>
          </c:spPr>
          <c:marker>
            <c:symbol val="none"/>
          </c:marker>
          <c:cat>
            <c:numRef>
              <c:f>'G2-Stání rozpočet-výdaje'!$A$32:$A$47</c:f>
              <c:numCache>
                <c:formatCode>General</c:formatCode>
                <c:ptCount val="1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numCache>
            </c:numRef>
          </c:cat>
          <c:val>
            <c:numRef>
              <c:f>'G2-Stání rozpočet-výdaje'!$J$32:$J$47</c:f>
              <c:numCache>
                <c:formatCode>0.00</c:formatCode>
                <c:ptCount val="16"/>
                <c:pt idx="0">
                  <c:v>23.306999999999999</c:v>
                </c:pt>
                <c:pt idx="1">
                  <c:v>22.056999999999999</c:v>
                </c:pt>
                <c:pt idx="2">
                  <c:v>23.696000000000002</c:v>
                </c:pt>
                <c:pt idx="3">
                  <c:v>26.108000000000001</c:v>
                </c:pt>
                <c:pt idx="4">
                  <c:v>28.491</c:v>
                </c:pt>
                <c:pt idx="5">
                  <c:v>28.100999999999999</c:v>
                </c:pt>
                <c:pt idx="6">
                  <c:v>33.262999999999998</c:v>
                </c:pt>
                <c:pt idx="7">
                  <c:v>35.61</c:v>
                </c:pt>
                <c:pt idx="8">
                  <c:v>35.03</c:v>
                </c:pt>
                <c:pt idx="9">
                  <c:v>41.23</c:v>
                </c:pt>
                <c:pt idx="10">
                  <c:v>39.14</c:v>
                </c:pt>
                <c:pt idx="11">
                  <c:v>44.23</c:v>
                </c:pt>
                <c:pt idx="12">
                  <c:v>48.3</c:v>
                </c:pt>
                <c:pt idx="13">
                  <c:v>57.32</c:v>
                </c:pt>
                <c:pt idx="14">
                  <c:v>57.932912725290002</c:v>
                </c:pt>
                <c:pt idx="15">
                  <c:v>106.74829459395001</c:v>
                </c:pt>
              </c:numCache>
            </c:numRef>
          </c:val>
          <c:smooth val="0"/>
          <c:extLst>
            <c:ext xmlns:c16="http://schemas.microsoft.com/office/drawing/2014/chart" uri="{C3380CC4-5D6E-409C-BE32-E72D297353CC}">
              <c16:uniqueId val="{00000008-6447-4F75-BB36-32B0A5771F41}"/>
            </c:ext>
          </c:extLst>
        </c:ser>
        <c:ser>
          <c:idx val="9"/>
          <c:order val="9"/>
          <c:tx>
            <c:strRef>
              <c:f>'G2-Stání rozpočet-výdaje'!$K$31</c:f>
              <c:strCache>
                <c:ptCount val="1"/>
                <c:pt idx="0">
                  <c:v>Capital expenditures</c:v>
                </c:pt>
              </c:strCache>
            </c:strRef>
          </c:tx>
          <c:spPr>
            <a:ln w="15875">
              <a:solidFill>
                <a:schemeClr val="tx1">
                  <a:lumMod val="95000"/>
                  <a:lumOff val="5000"/>
                </a:schemeClr>
              </a:solidFill>
            </a:ln>
          </c:spPr>
          <c:marker>
            <c:symbol val="none"/>
          </c:marker>
          <c:cat>
            <c:numRef>
              <c:f>'G2-Stání rozpočet-výdaje'!$A$32:$A$47</c:f>
              <c:numCache>
                <c:formatCode>General</c:formatCode>
                <c:ptCount val="1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numCache>
            </c:numRef>
          </c:cat>
          <c:val>
            <c:numRef>
              <c:f>'G2-Stání rozpočet-výdaje'!$K$32:$K$47</c:f>
              <c:numCache>
                <c:formatCode>0.0</c:formatCode>
                <c:ptCount val="16"/>
                <c:pt idx="0">
                  <c:v>81.99</c:v>
                </c:pt>
                <c:pt idx="1">
                  <c:v>108.54</c:v>
                </c:pt>
                <c:pt idx="2">
                  <c:v>118.42</c:v>
                </c:pt>
                <c:pt idx="3">
                  <c:v>108.08</c:v>
                </c:pt>
                <c:pt idx="4">
                  <c:v>134.22999999999999</c:v>
                </c:pt>
                <c:pt idx="5">
                  <c:v>134.91</c:v>
                </c:pt>
                <c:pt idx="6">
                  <c:v>123.69</c:v>
                </c:pt>
                <c:pt idx="7">
                  <c:v>113.62</c:v>
                </c:pt>
                <c:pt idx="8">
                  <c:v>102.315</c:v>
                </c:pt>
                <c:pt idx="9">
                  <c:v>111.50700000000001</c:v>
                </c:pt>
                <c:pt idx="10">
                  <c:v>175.66</c:v>
                </c:pt>
                <c:pt idx="11">
                  <c:v>84.27</c:v>
                </c:pt>
                <c:pt idx="12">
                  <c:v>81.75</c:v>
                </c:pt>
                <c:pt idx="13">
                  <c:v>116.46</c:v>
                </c:pt>
                <c:pt idx="14">
                  <c:v>139.13928546782003</c:v>
                </c:pt>
                <c:pt idx="15">
                  <c:v>172.68713515186002</c:v>
                </c:pt>
              </c:numCache>
            </c:numRef>
          </c:val>
          <c:smooth val="0"/>
          <c:extLst>
            <c:ext xmlns:c16="http://schemas.microsoft.com/office/drawing/2014/chart" uri="{C3380CC4-5D6E-409C-BE32-E72D297353CC}">
              <c16:uniqueId val="{00000009-6447-4F75-BB36-32B0A5771F41}"/>
            </c:ext>
          </c:extLst>
        </c:ser>
        <c:dLbls>
          <c:showLegendKey val="0"/>
          <c:showVal val="0"/>
          <c:showCatName val="0"/>
          <c:showSerName val="0"/>
          <c:showPercent val="0"/>
          <c:showBubbleSize val="0"/>
        </c:dLbls>
        <c:marker val="1"/>
        <c:smooth val="0"/>
        <c:axId val="72827648"/>
        <c:axId val="72829184"/>
      </c:lineChart>
      <c:catAx>
        <c:axId val="72827648"/>
        <c:scaling>
          <c:orientation val="minMax"/>
        </c:scaling>
        <c:delete val="0"/>
        <c:axPos val="b"/>
        <c:numFmt formatCode="General" sourceLinked="1"/>
        <c:majorTickMark val="out"/>
        <c:minorTickMark val="none"/>
        <c:tickLblPos val="low"/>
        <c:spPr>
          <a:ln w="6350">
            <a:solidFill>
              <a:schemeClr val="bg1">
                <a:lumMod val="50000"/>
              </a:schemeClr>
            </a:solidFill>
          </a:ln>
        </c:spPr>
        <c:crossAx val="72829184"/>
        <c:crosses val="autoZero"/>
        <c:auto val="1"/>
        <c:lblAlgn val="ctr"/>
        <c:lblOffset val="20"/>
        <c:noMultiLvlLbl val="0"/>
      </c:catAx>
      <c:valAx>
        <c:axId val="72829184"/>
        <c:scaling>
          <c:orientation val="minMax"/>
          <c:max val="180"/>
          <c:min val="0"/>
        </c:scaling>
        <c:delete val="0"/>
        <c:axPos val="l"/>
        <c:majorGridlines>
          <c:spPr>
            <a:ln w="6350">
              <a:solidFill>
                <a:schemeClr val="bg1">
                  <a:lumMod val="75000"/>
                </a:schemeClr>
              </a:solidFill>
            </a:ln>
          </c:spPr>
        </c:majorGridlines>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sz="700" b="0" i="1">
                    <a:effectLst/>
                  </a:rPr>
                  <a:t>Other expenditures (in CZK bn)</a:t>
                </a:r>
                <a:endParaRPr lang="cs-CZ" sz="700" b="0">
                  <a:effectLst/>
                </a:endParaRPr>
              </a:p>
            </c:rich>
          </c:tx>
          <c:layout>
            <c:manualLayout>
              <c:xMode val="edge"/>
              <c:yMode val="edge"/>
              <c:x val="0"/>
              <c:y val="0.22613499913827934"/>
            </c:manualLayout>
          </c:layout>
          <c:overlay val="0"/>
        </c:title>
        <c:numFmt formatCode="0" sourceLinked="0"/>
        <c:majorTickMark val="out"/>
        <c:minorTickMark val="none"/>
        <c:tickLblPos val="nextTo"/>
        <c:spPr>
          <a:ln w="6350">
            <a:solidFill>
              <a:schemeClr val="tx1"/>
            </a:solidFill>
          </a:ln>
        </c:spPr>
        <c:crossAx val="72827648"/>
        <c:crosses val="autoZero"/>
        <c:crossBetween val="between"/>
        <c:majorUnit val="20"/>
      </c:valAx>
      <c:valAx>
        <c:axId val="72835072"/>
        <c:scaling>
          <c:orientation val="minMax"/>
          <c:max val="1800"/>
          <c:min val="0"/>
        </c:scaling>
        <c:delete val="0"/>
        <c:axPos val="r"/>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700" b="0" i="1"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sz="700" b="0" i="1">
                    <a:effectLst/>
                  </a:rPr>
                  <a:t>Total current expenditures (in CZK bn)</a:t>
                </a:r>
                <a:endParaRPr lang="cs-CZ" sz="700" b="0">
                  <a:effectLst/>
                </a:endParaRPr>
              </a:p>
            </c:rich>
          </c:tx>
          <c:layout>
            <c:manualLayout>
              <c:xMode val="edge"/>
              <c:yMode val="edge"/>
              <c:x val="0.97053252534685275"/>
              <c:y val="0.18723667800453514"/>
            </c:manualLayout>
          </c:layout>
          <c:overlay val="0"/>
        </c:title>
        <c:numFmt formatCode="0" sourceLinked="0"/>
        <c:majorTickMark val="out"/>
        <c:minorTickMark val="none"/>
        <c:tickLblPos val="nextTo"/>
        <c:spPr>
          <a:ln w="6350">
            <a:solidFill>
              <a:schemeClr val="tx1"/>
            </a:solidFill>
          </a:ln>
        </c:spPr>
        <c:crossAx val="72836608"/>
        <c:crosses val="max"/>
        <c:crossBetween val="between"/>
        <c:majorUnit val="200"/>
      </c:valAx>
      <c:catAx>
        <c:axId val="72836608"/>
        <c:scaling>
          <c:orientation val="minMax"/>
        </c:scaling>
        <c:delete val="1"/>
        <c:axPos val="b"/>
        <c:numFmt formatCode="General" sourceLinked="1"/>
        <c:majorTickMark val="out"/>
        <c:minorTickMark val="none"/>
        <c:tickLblPos val="none"/>
        <c:crossAx val="72835072"/>
        <c:crosses val="autoZero"/>
        <c:auto val="1"/>
        <c:lblAlgn val="ctr"/>
        <c:lblOffset val="100"/>
        <c:noMultiLvlLbl val="0"/>
      </c:catAx>
      <c:spPr>
        <a:ln w="6350">
          <a:solidFill>
            <a:schemeClr val="tx1"/>
          </a:solidFill>
        </a:ln>
      </c:spPr>
    </c:plotArea>
    <c:legend>
      <c:legendPos val="b"/>
      <c:layout>
        <c:manualLayout>
          <c:xMode val="edge"/>
          <c:yMode val="edge"/>
          <c:x val="1.835084240454073E-2"/>
          <c:y val="0.84073931541828562"/>
          <c:w val="0.94411430422398157"/>
          <c:h val="0.15553841203261182"/>
        </c:manualLayout>
      </c:layout>
      <c:overlay val="0"/>
      <c:spPr>
        <a:ln w="6350">
          <a:solidFill>
            <a:schemeClr val="tx1"/>
          </a:solidFill>
        </a:ln>
      </c:spPr>
      <c:txPr>
        <a:bodyPr/>
        <a:lstStyle/>
        <a:p>
          <a:pPr>
            <a:defRPr sz="750"/>
          </a:pPr>
          <a:endParaRPr lang="cs-CZ"/>
        </a:p>
      </c:txPr>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0C056-9FDC-43AF-BECF-49EA60EF7080}">
  <ds:schemaRefs>
    <ds:schemaRef ds:uri="http://schemas.openxmlformats.org/officeDocument/2006/bibliography"/>
  </ds:schemaRefs>
</ds:datastoreItem>
</file>

<file path=customXml/itemProps2.xml><?xml version="1.0" encoding="utf-8"?>
<ds:datastoreItem xmlns:ds="http://schemas.openxmlformats.org/officeDocument/2006/customXml" ds:itemID="{2ED66299-221C-4D80-96B4-0112EF2DF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Q_analyza_Q12018.dotx</Template>
  <TotalTime>2</TotalTime>
  <Pages>5</Pages>
  <Words>2446</Words>
  <Characters>14438</Characters>
  <Application>Microsoft Office Word</Application>
  <DocSecurity>0</DocSecurity>
  <Lines>120</Lines>
  <Paragraphs>33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16851</CharactersWithSpaces>
  <SharedDoc>false</SharedDoc>
  <HLinks>
    <vt:vector size="18" baseType="variant">
      <vt:variant>
        <vt:i4>7602181</vt:i4>
      </vt:variant>
      <vt:variant>
        <vt:i4>11092</vt:i4>
      </vt:variant>
      <vt:variant>
        <vt:i4>1025</vt:i4>
      </vt:variant>
      <vt:variant>
        <vt:i4>1</vt:i4>
      </vt:variant>
      <vt:variant>
        <vt:lpwstr>msoFAAF</vt:lpwstr>
      </vt:variant>
      <vt:variant>
        <vt:lpwstr/>
      </vt:variant>
      <vt:variant>
        <vt:i4>7995509</vt:i4>
      </vt:variant>
      <vt:variant>
        <vt:i4>-1</vt:i4>
      </vt:variant>
      <vt:variant>
        <vt:i4>2058</vt:i4>
      </vt:variant>
      <vt:variant>
        <vt:i4>1</vt:i4>
      </vt:variant>
      <vt:variant>
        <vt:lpwstr>CSU RGB CZ logo-02</vt:lpwstr>
      </vt:variant>
      <vt:variant>
        <vt:lpwstr/>
      </vt:variant>
      <vt:variant>
        <vt:i4>7929973</vt:i4>
      </vt:variant>
      <vt:variant>
        <vt:i4>-1</vt:i4>
      </vt:variant>
      <vt:variant>
        <vt:i4>2059</vt:i4>
      </vt:variant>
      <vt:variant>
        <vt:i4>1</vt:i4>
      </vt:variant>
      <vt:variant>
        <vt:lpwstr>CSU RGB CZ logo-01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Karolína Súkupová</dc:creator>
  <cp:lastModifiedBy>Mgr. Karolína Zábojníková</cp:lastModifiedBy>
  <cp:revision>3</cp:revision>
  <cp:lastPrinted>2019-04-08T10:52:00Z</cp:lastPrinted>
  <dcterms:created xsi:type="dcterms:W3CDTF">2021-04-15T07:06:00Z</dcterms:created>
  <dcterms:modified xsi:type="dcterms:W3CDTF">2021-04-15T07:27:00Z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9db9e61-aac5-4f6e-805d-ceb8cb9983a1_Enabled">
    <vt:lpwstr>true</vt:lpwstr>
  </property>
  <property fmtid="{D5CDD505-2E9C-101B-9397-08002B2CF9AE}" pid="3" name="MSIP_Label_29db9e61-aac5-4f6e-805d-ceb8cb9983a1_SetDate">
    <vt:lpwstr>2021-03-22T11:53:56Z</vt:lpwstr>
  </property>
  <property fmtid="{D5CDD505-2E9C-101B-9397-08002B2CF9AE}" pid="4" name="MSIP_Label_29db9e61-aac5-4f6e-805d-ceb8cb9983a1_Method">
    <vt:lpwstr>Standard</vt:lpwstr>
  </property>
  <property fmtid="{D5CDD505-2E9C-101B-9397-08002B2CF9AE}" pid="5" name="MSIP_Label_29db9e61-aac5-4f6e-805d-ceb8cb9983a1_Name">
    <vt:lpwstr>UniCredit - Internal Use Only - no visual markings</vt:lpwstr>
  </property>
  <property fmtid="{D5CDD505-2E9C-101B-9397-08002B2CF9AE}" pid="6" name="MSIP_Label_29db9e61-aac5-4f6e-805d-ceb8cb9983a1_SiteId">
    <vt:lpwstr>2cc49ce9-66a1-41ac-a96b-bdc54247696a</vt:lpwstr>
  </property>
  <property fmtid="{D5CDD505-2E9C-101B-9397-08002B2CF9AE}" pid="7" name="MSIP_Label_29db9e61-aac5-4f6e-805d-ceb8cb9983a1_ActionId">
    <vt:lpwstr>1a9c6233-56e3-45a9-a4c7-406c80ed1e4a</vt:lpwstr>
  </property>
  <property fmtid="{D5CDD505-2E9C-101B-9397-08002B2CF9AE}" pid="8" name="MSIP_Label_29db9e61-aac5-4f6e-805d-ceb8cb9983a1_ContentBits">
    <vt:lpwstr>0</vt:lpwstr>
  </property>
</Properties>
</file>