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8A11" w14:textId="77777777" w:rsidR="001F6483" w:rsidRDefault="001F6483" w:rsidP="001F6483">
      <w:pPr>
        <w:pStyle w:val="Nadpis11"/>
        <w:spacing w:after="120"/>
      </w:pPr>
      <w:bookmarkStart w:id="0" w:name="_Toc121993822"/>
      <w:bookmarkStart w:id="1" w:name="_Toc114134050"/>
      <w:r w:rsidRPr="00B43216">
        <w:t>6. Trh práce</w:t>
      </w:r>
      <w:bookmarkEnd w:id="0"/>
    </w:p>
    <w:tbl>
      <w:tblPr>
        <w:tblW w:w="9674" w:type="dxa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6"/>
        <w:gridCol w:w="205"/>
        <w:gridCol w:w="7833"/>
      </w:tblGrid>
      <w:tr w:rsidR="001F6483" w:rsidRPr="009F0D7F" w14:paraId="52FC5024" w14:textId="77777777" w:rsidTr="00594D20">
        <w:trPr>
          <w:trHeight w:val="15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2AA86BFE" w14:textId="77777777" w:rsidR="001F6483" w:rsidRDefault="001F6483" w:rsidP="00594D2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proofErr w:type="spellStart"/>
            <w:r>
              <w:rPr>
                <w:color w:val="0D0D0D" w:themeColor="text1" w:themeTint="F2"/>
                <w:spacing w:val="-4"/>
              </w:rPr>
              <w:t>Mezikvartální</w:t>
            </w:r>
            <w:proofErr w:type="spellEnd"/>
            <w:r>
              <w:rPr>
                <w:color w:val="0D0D0D" w:themeColor="text1" w:themeTint="F2"/>
                <w:spacing w:val="-4"/>
              </w:rPr>
              <w:t xml:space="preserve"> růst celkové zaměstnanosti se letos v létě poprvé od konce roku 2020 zastavil.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1A43C37F" w14:textId="77777777" w:rsidR="001F6483" w:rsidRPr="009F0D7F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34AFAFE9" w14:textId="77777777" w:rsidR="001F6483" w:rsidRPr="006C529B" w:rsidRDefault="001F6483" w:rsidP="00594D20">
            <w:pPr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 xml:space="preserve">Zhoršení výkonu české ekonomiky, úzce spojené s přetrvávající nižší soukromou i vládní spotřebou, se ve 3. čtvrtletí 2022 již zčásti projevilo také na tuzemském pracovním trhu. </w:t>
            </w:r>
            <w:r w:rsidRPr="006C529B">
              <w:rPr>
                <w:color w:val="0D0D0D" w:themeColor="text1" w:themeTint="F2"/>
                <w:spacing w:val="-5"/>
              </w:rPr>
              <w:t>Růst zaměstnanosti</w:t>
            </w:r>
            <w:r w:rsidRPr="006C529B">
              <w:rPr>
                <w:color w:val="0D0D0D" w:themeColor="text1" w:themeTint="F2"/>
                <w:spacing w:val="-5"/>
                <w:vertAlign w:val="superscript"/>
              </w:rPr>
              <w:footnoteReference w:id="1"/>
            </w:r>
            <w:r>
              <w:rPr>
                <w:color w:val="0D0D0D" w:themeColor="text1" w:themeTint="F2"/>
                <w:spacing w:val="-5"/>
              </w:rPr>
              <w:t xml:space="preserve"> se v </w:t>
            </w:r>
            <w:proofErr w:type="spellStart"/>
            <w:r>
              <w:rPr>
                <w:color w:val="0D0D0D" w:themeColor="text1" w:themeTint="F2"/>
                <w:spacing w:val="-5"/>
              </w:rPr>
              <w:t>mezikvartálním</w:t>
            </w:r>
            <w:proofErr w:type="spellEnd"/>
            <w:r>
              <w:rPr>
                <w:color w:val="0D0D0D" w:themeColor="text1" w:themeTint="F2"/>
                <w:spacing w:val="-5"/>
              </w:rPr>
              <w:t xml:space="preserve"> vyjádření poprvé od konce roku 2020 zastavil (</w:t>
            </w:r>
            <w:r>
              <w:rPr>
                <w:iCs/>
                <w:spacing w:val="-6"/>
              </w:rPr>
              <w:t>−</w:t>
            </w:r>
            <w:r>
              <w:rPr>
                <w:color w:val="0D0D0D" w:themeColor="text1" w:themeTint="F2"/>
                <w:spacing w:val="-5"/>
              </w:rPr>
              <w:t xml:space="preserve">0,1 %). Během druhého letošního čtvrtletí přitom celkový počet pracovníků ještě svižně rostl (+1,6 %) a poprvé překonal rekordní úroveň z vrcholu předpandemické konjunktury. Za slabším výsledkem z letošního léta stál především mírný </w:t>
            </w:r>
            <w:proofErr w:type="spellStart"/>
            <w:r>
              <w:rPr>
                <w:color w:val="0D0D0D" w:themeColor="text1" w:themeTint="F2"/>
                <w:spacing w:val="-5"/>
              </w:rPr>
              <w:t>mezikvartální</w:t>
            </w:r>
            <w:proofErr w:type="spellEnd"/>
            <w:r>
              <w:rPr>
                <w:color w:val="0D0D0D" w:themeColor="text1" w:themeTint="F2"/>
                <w:spacing w:val="-5"/>
              </w:rPr>
              <w:t xml:space="preserve"> pokles zaměstnanosti v průmyslu a také v uskupení o</w:t>
            </w:r>
            <w:r w:rsidRPr="006D68CE">
              <w:rPr>
                <w:color w:val="0D0D0D" w:themeColor="text1" w:themeTint="F2"/>
                <w:spacing w:val="-5"/>
              </w:rPr>
              <w:t>bchod, doprava, ubytování a pohostinství</w:t>
            </w:r>
            <w:r>
              <w:rPr>
                <w:color w:val="0D0D0D" w:themeColor="text1" w:themeTint="F2"/>
                <w:spacing w:val="-5"/>
              </w:rPr>
              <w:t xml:space="preserve"> (šlo o odvětví, kterým se letos na jaře ještě dařilo). Proti hlubší redukci zaměstnanosti působila nejvíce dlouhodobě rostoucí poptávka po pracovnících v oblasti veřejných služeb.</w:t>
            </w:r>
          </w:p>
        </w:tc>
      </w:tr>
      <w:tr w:rsidR="001F6483" w:rsidRPr="009F0D7F" w14:paraId="231A7160" w14:textId="77777777" w:rsidTr="00594D20">
        <w:trPr>
          <w:trHeight w:val="15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349B4E65" w14:textId="77777777" w:rsidR="001F6483" w:rsidRDefault="001F6483" w:rsidP="00594D2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Meziroční růst byl </w:t>
            </w:r>
            <w:r>
              <w:rPr>
                <w:color w:val="0D0D0D" w:themeColor="text1" w:themeTint="F2"/>
                <w:spacing w:val="-4"/>
              </w:rPr>
              <w:br/>
              <w:t xml:space="preserve">ve 3. čtvrtletí </w:t>
            </w:r>
            <w:r>
              <w:rPr>
                <w:color w:val="0D0D0D" w:themeColor="text1" w:themeTint="F2"/>
                <w:spacing w:val="-4"/>
              </w:rPr>
              <w:br/>
              <w:t>u zaměstnanců převážně plošný. Podnikatelé v řadě odvětví se však stále potýkali s problémy.</w:t>
            </w:r>
          </w:p>
          <w:p w14:paraId="451B3FF3" w14:textId="77777777" w:rsidR="001F6483" w:rsidRDefault="001F6483" w:rsidP="00594D2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41711D27" w14:textId="77777777" w:rsidR="001F6483" w:rsidRDefault="001F6483" w:rsidP="00594D2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2B782CC6" w14:textId="77777777" w:rsidR="001F6483" w:rsidRDefault="001F6483" w:rsidP="00594D20">
            <w:pPr>
              <w:pStyle w:val="Marginlie"/>
              <w:spacing w:after="120"/>
              <w:rPr>
                <w:spacing w:val="-5"/>
              </w:rPr>
            </w:pPr>
            <w:r>
              <w:rPr>
                <w:spacing w:val="-5"/>
              </w:rPr>
              <w:t xml:space="preserve">Růst celkového počtu pracovníků byl takřka ze tří čtvrtin tažen sektorem služeb. </w:t>
            </w:r>
          </w:p>
          <w:p w14:paraId="3C5A65F9" w14:textId="77777777" w:rsidR="001F6483" w:rsidRPr="00631DC2" w:rsidRDefault="001F6483" w:rsidP="00594D20">
            <w:pPr>
              <w:pStyle w:val="Marginlie"/>
              <w:spacing w:after="120"/>
              <w:rPr>
                <w:spacing w:val="-5"/>
              </w:rPr>
            </w:pPr>
            <w:r>
              <w:rPr>
                <w:spacing w:val="-5"/>
              </w:rPr>
              <w:t>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7306C437" w14:textId="77777777" w:rsidR="001F6483" w:rsidRPr="009F0D7F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65A26C1D" w14:textId="77777777" w:rsidR="001F6483" w:rsidRPr="003E28E8" w:rsidRDefault="001F6483" w:rsidP="00594D20">
            <w:pPr>
              <w:rPr>
                <w:spacing w:val="-5"/>
              </w:rPr>
            </w:pPr>
            <w:r>
              <w:rPr>
                <w:spacing w:val="-5"/>
              </w:rPr>
              <w:t>V meziročním pohledu ovšem svižný růst celkové zaměstnanosti díky doznívajícímu efektu postpandemického oživení dosud přetrvával (+1,8 % ve 3. čtvrtletí). Skoro ze tří čtvrtin se na něm podílel sektor služeb. Stejně jako letos na jaře se na něm podíleli jak zaměstnanci (+89</w:t>
            </w:r>
            <w:r>
              <w:rPr>
                <w:color w:val="0D0D0D" w:themeColor="text1" w:themeTint="F2"/>
                <w:spacing w:val="-5"/>
              </w:rPr>
              <w:t> </w:t>
            </w:r>
            <w:r>
              <w:rPr>
                <w:spacing w:val="-5"/>
              </w:rPr>
              <w:t xml:space="preserve">tis.), tak </w:t>
            </w:r>
            <w:proofErr w:type="spellStart"/>
            <w:r>
              <w:rPr>
                <w:spacing w:val="-5"/>
              </w:rPr>
              <w:t>sebezaměstnaní</w:t>
            </w:r>
            <w:proofErr w:type="spellEnd"/>
            <w:r>
              <w:rPr>
                <w:spacing w:val="-5"/>
              </w:rPr>
              <w:t xml:space="preserve"> (+6 tis.)</w:t>
            </w:r>
            <w:r>
              <w:rPr>
                <w:rStyle w:val="Znakapoznpodarou"/>
                <w:spacing w:val="-5"/>
              </w:rPr>
              <w:footnoteReference w:id="2"/>
            </w:r>
            <w:r>
              <w:rPr>
                <w:spacing w:val="-5"/>
              </w:rPr>
              <w:t>. Zatímco navýšení u zaměstnanců mělo ve 3. čtvrtletí spíše plošný charakter, drobní podnikatelé stále čelili v některých odvětvích slabší poptávce (zpracovatelský průmysl, p</w:t>
            </w:r>
            <w:r w:rsidRPr="00A15324">
              <w:rPr>
                <w:spacing w:val="-5"/>
              </w:rPr>
              <w:t>rofesní, vědecké, technické a administrativní činnosti</w:t>
            </w:r>
            <w:r>
              <w:rPr>
                <w:spacing w:val="-5"/>
              </w:rPr>
              <w:t xml:space="preserve">). Růst celkového počtu pracovníků byl takřka ze tří čtvrtin tažen sektorem služeb. Klíčové byly zejména </w:t>
            </w:r>
            <w:r>
              <w:rPr>
                <w:spacing w:val="-4"/>
              </w:rPr>
              <w:t>veřejné služby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 xml:space="preserve"> (+24 tis.). Obdobně jako v předchozích letech zde stát reagoval na zvýšenou poptávku hlavně v oblasti vzdělávání a zdravotní i sociální péče. Jen nepatrně menší vliv mělo i přes slábnoucí růst odvětví </w:t>
            </w:r>
            <w:r>
              <w:rPr>
                <w:color w:val="0D0D0D" w:themeColor="text1" w:themeTint="F2"/>
                <w:spacing w:val="-5"/>
              </w:rPr>
              <w:t>o</w:t>
            </w:r>
            <w:r w:rsidRPr="006D68CE">
              <w:rPr>
                <w:color w:val="0D0D0D" w:themeColor="text1" w:themeTint="F2"/>
                <w:spacing w:val="-5"/>
              </w:rPr>
              <w:t>bchod, doprava, ubytování a pohostinství</w:t>
            </w:r>
            <w:r>
              <w:rPr>
                <w:color w:val="0D0D0D" w:themeColor="text1" w:themeTint="F2"/>
                <w:spacing w:val="-5"/>
              </w:rPr>
              <w:t xml:space="preserve">. Pracovníků svižně přibývalo také v dalších menších odvětvích terciárního sektoru – </w:t>
            </w:r>
            <w:r w:rsidRPr="009373A0">
              <w:rPr>
                <w:color w:val="0D0D0D" w:themeColor="text1" w:themeTint="F2"/>
                <w:spacing w:val="-5"/>
              </w:rPr>
              <w:t>v oblasti nemovitostí</w:t>
            </w:r>
            <w:r>
              <w:rPr>
                <w:color w:val="0D0D0D" w:themeColor="text1" w:themeTint="F2"/>
                <w:spacing w:val="-5"/>
              </w:rPr>
              <w:t xml:space="preserve"> o 3,2 % (v úhrnu od počátku roku o 4,6 %) či v </w:t>
            </w:r>
            <w:r>
              <w:rPr>
                <w:spacing w:val="-4"/>
              </w:rPr>
              <w:t>informačních a komunikačních činnostech, popř. v ostatních činnostech služeb</w:t>
            </w:r>
            <w:r>
              <w:rPr>
                <w:rStyle w:val="Znakapoznpodarou"/>
                <w:spacing w:val="-4"/>
              </w:rPr>
              <w:footnoteReference w:id="4"/>
            </w:r>
            <w:r>
              <w:rPr>
                <w:spacing w:val="-4"/>
              </w:rPr>
              <w:t xml:space="preserve"> (ve 3. čtvrtletí shodně o 3,1</w:t>
            </w:r>
            <w:r>
              <w:rPr>
                <w:spacing w:val="-5"/>
              </w:rPr>
              <w:t> </w:t>
            </w:r>
            <w:r>
              <w:rPr>
                <w:spacing w:val="-4"/>
              </w:rPr>
              <w:t>%). Poprvé od konce roku 2016 se zastavil pokles zaměstnaných v odvětví p</w:t>
            </w:r>
            <w:r w:rsidRPr="00356A09">
              <w:rPr>
                <w:spacing w:val="-4"/>
              </w:rPr>
              <w:t>eněžnictví a poj</w:t>
            </w:r>
            <w:r w:rsidRPr="00A11CDF">
              <w:rPr>
                <w:color w:val="0D0D0D" w:themeColor="text1" w:themeTint="F2"/>
                <w:spacing w:val="-4"/>
              </w:rPr>
              <w:t>išťovnictví</w:t>
            </w:r>
            <w:r w:rsidRPr="00A11CDF"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 w:rsidRPr="00A11CDF">
              <w:rPr>
                <w:color w:val="0D0D0D" w:themeColor="text1" w:themeTint="F2"/>
                <w:spacing w:val="-4"/>
              </w:rPr>
              <w:t xml:space="preserve">. </w:t>
            </w:r>
          </w:p>
        </w:tc>
      </w:tr>
      <w:tr w:rsidR="001F6483" w:rsidRPr="009F0D7F" w14:paraId="78E636DC" w14:textId="77777777" w:rsidTr="00594D20">
        <w:trPr>
          <w:trHeight w:val="15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487C2560" w14:textId="77777777" w:rsidR="001F6483" w:rsidRDefault="001F6483" w:rsidP="00594D20">
            <w:pPr>
              <w:pStyle w:val="Marginlie"/>
              <w:spacing w:after="120"/>
              <w:rPr>
                <w:spacing w:val="-5"/>
              </w:rPr>
            </w:pPr>
            <w:r>
              <w:rPr>
                <w:spacing w:val="-5"/>
              </w:rPr>
              <w:t>Růst zaměstnanosti v průmyslu slábl. Počet pracovníků zde dosud nedosáhl předkrizové úrovně.</w:t>
            </w:r>
          </w:p>
          <w:p w14:paraId="5DB2A1E0" w14:textId="77777777" w:rsidR="001F6483" w:rsidRDefault="001F6483" w:rsidP="00594D20">
            <w:pPr>
              <w:pStyle w:val="Marginlie"/>
              <w:spacing w:after="120"/>
              <w:rPr>
                <w:spacing w:val="-5"/>
              </w:rPr>
            </w:pPr>
          </w:p>
          <w:p w14:paraId="28F8EB96" w14:textId="77777777" w:rsidR="001F6483" w:rsidRDefault="001F6483" w:rsidP="00594D20">
            <w:pPr>
              <w:pStyle w:val="Marginlie"/>
              <w:spacing w:after="120"/>
              <w:rPr>
                <w:spacing w:val="-5"/>
              </w:rPr>
            </w:pPr>
          </w:p>
          <w:p w14:paraId="7072B1D4" w14:textId="77777777" w:rsidR="001F6483" w:rsidRDefault="001F6483" w:rsidP="00594D20">
            <w:pPr>
              <w:pStyle w:val="Marginlie"/>
              <w:spacing w:after="120"/>
              <w:rPr>
                <w:spacing w:val="-5"/>
              </w:rPr>
            </w:pPr>
          </w:p>
          <w:p w14:paraId="7B1D1822" w14:textId="77777777" w:rsidR="001F6483" w:rsidRDefault="001F6483" w:rsidP="00594D20">
            <w:pPr>
              <w:pStyle w:val="Marginlie"/>
              <w:spacing w:after="120"/>
              <w:rPr>
                <w:spacing w:val="-5"/>
              </w:rPr>
            </w:pPr>
          </w:p>
          <w:p w14:paraId="2633D5F3" w14:textId="77777777" w:rsidR="001F6483" w:rsidRDefault="001F6483" w:rsidP="00594D2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 w:rsidRPr="00631DC2">
              <w:rPr>
                <w:spacing w:val="-5"/>
              </w:rPr>
              <w:t>Růst počtu cizinců pracujících v Česku zrychlil.</w:t>
            </w:r>
            <w:r>
              <w:rPr>
                <w:spacing w:val="-5"/>
              </w:rPr>
              <w:t xml:space="preserve"> </w:t>
            </w:r>
            <w:r w:rsidRPr="00631DC2">
              <w:rPr>
                <w:spacing w:val="-5"/>
              </w:rPr>
              <w:t xml:space="preserve">Pomohla tomu </w:t>
            </w:r>
            <w:r>
              <w:rPr>
                <w:spacing w:val="-5"/>
              </w:rPr>
              <w:t>i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631DC2">
              <w:rPr>
                <w:spacing w:val="-5"/>
              </w:rPr>
              <w:t>počínající integrace uprchlíků z</w:t>
            </w:r>
            <w:r>
              <w:rPr>
                <w:spacing w:val="-5"/>
              </w:rPr>
              <w:t> </w:t>
            </w:r>
            <w:r w:rsidRPr="00631DC2">
              <w:rPr>
                <w:spacing w:val="-5"/>
              </w:rPr>
              <w:t>Ukrajiny</w:t>
            </w:r>
            <w:r>
              <w:rPr>
                <w:spacing w:val="-5"/>
              </w:rPr>
              <w:t>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2DA3A006" w14:textId="77777777" w:rsidR="001F6483" w:rsidRPr="009F0D7F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793ECA5C" w14:textId="77777777" w:rsidR="001F6483" w:rsidRDefault="001F6483" w:rsidP="00594D20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A11CDF">
              <w:rPr>
                <w:color w:val="0D0D0D" w:themeColor="text1" w:themeTint="F2"/>
                <w:spacing w:val="-4"/>
              </w:rPr>
              <w:t xml:space="preserve">Mimo terciární sféru se </w:t>
            </w:r>
            <w:r>
              <w:rPr>
                <w:color w:val="0D0D0D" w:themeColor="text1" w:themeTint="F2"/>
                <w:spacing w:val="-4"/>
              </w:rPr>
              <w:t xml:space="preserve">díky solidní dynamice veřejných investic </w:t>
            </w:r>
            <w:r w:rsidRPr="00A11CDF">
              <w:rPr>
                <w:color w:val="0D0D0D" w:themeColor="text1" w:themeTint="F2"/>
                <w:spacing w:val="-4"/>
              </w:rPr>
              <w:t>dařilo nejvíce stavebnictví</w:t>
            </w:r>
            <w:r>
              <w:rPr>
                <w:color w:val="0D0D0D" w:themeColor="text1" w:themeTint="F2"/>
                <w:spacing w:val="-4"/>
              </w:rPr>
              <w:t>. O</w:t>
            </w:r>
            <w:r>
              <w:rPr>
                <w:color w:val="0D0D0D" w:themeColor="text1" w:themeTint="F2"/>
                <w:spacing w:val="-5"/>
              </w:rPr>
              <w:t> </w:t>
            </w:r>
            <w:r>
              <w:rPr>
                <w:color w:val="0D0D0D" w:themeColor="text1" w:themeTint="F2"/>
                <w:spacing w:val="-4"/>
              </w:rPr>
              <w:t>vyšší zaměstnanost (3,4</w:t>
            </w:r>
            <w:r>
              <w:rPr>
                <w:spacing w:val="-5"/>
              </w:rPr>
              <w:t> </w:t>
            </w:r>
            <w:r>
              <w:rPr>
                <w:color w:val="0D0D0D" w:themeColor="text1" w:themeTint="F2"/>
                <w:spacing w:val="-4"/>
              </w:rPr>
              <w:t>% meziročně) se zde zasloužila hlavně početně zastoupená skupina drobných podnikatelů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6"/>
            </w:r>
            <w:r>
              <w:rPr>
                <w:color w:val="0D0D0D" w:themeColor="text1" w:themeTint="F2"/>
                <w:spacing w:val="-4"/>
              </w:rPr>
              <w:t xml:space="preserve"> (jejich stavy nicméně stále nedosáhly úrovně roku 2019, zaměstnanců ve stavebnictví naopak za stejné období mírně přibylo). </w:t>
            </w:r>
            <w:r>
              <w:rPr>
                <w:spacing w:val="-4"/>
              </w:rPr>
              <w:t>Pracovníků ve zpracovatelském průmyslu ve 3. čtvrtletí přibylo meziročně o 0,7 %. Oproti předešlým čtvrtletím ovšem tempo citelně zvolnilo. Situace v jednotlivých průmyslových oborech se lišila, vedle současné poptávky po produkci patrně hrála roli i</w:t>
            </w:r>
            <w:r w:rsidRPr="00A02A50">
              <w:rPr>
                <w:bCs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>energetická náročnost výroby i</w:t>
            </w:r>
            <w:r>
              <w:rPr>
                <w:color w:val="0D0D0D" w:themeColor="text1" w:themeTint="F2"/>
                <w:spacing w:val="-5"/>
              </w:rPr>
              <w:t> </w:t>
            </w:r>
            <w:r>
              <w:rPr>
                <w:spacing w:val="-4"/>
              </w:rPr>
              <w:t>obchodní strategie jednotlivých podniků v oblasti zajištění dodávek energií. Zaměstnanost v celém průmyslu stále mírně zaostávala za úrovní z léta roku 2019 (−2,5 %, resp. 39 tis. osob). To neplatilo o odvětví z</w:t>
            </w:r>
            <w:r w:rsidRPr="00C02143">
              <w:rPr>
                <w:spacing w:val="-4"/>
              </w:rPr>
              <w:t>emědělství, lesnictví a rybářství</w:t>
            </w:r>
            <w:r>
              <w:rPr>
                <w:spacing w:val="-4"/>
              </w:rPr>
              <w:t>, k čemuž přispěl příznivý vývoj v letošním roce, kdy mírně přibývalo zaměstnaneckých míst, a po více než třech letech zde vzrostl i počet podnikatelů.</w:t>
            </w:r>
            <w:r>
              <w:rPr>
                <w:color w:val="0D0D0D" w:themeColor="text1" w:themeTint="F2"/>
                <w:spacing w:val="-4"/>
              </w:rPr>
              <w:t xml:space="preserve"> Podniky v průmyslu, stavebnictví i v některých „</w:t>
            </w:r>
            <w:proofErr w:type="spellStart"/>
            <w:r>
              <w:rPr>
                <w:color w:val="0D0D0D" w:themeColor="text1" w:themeTint="F2"/>
                <w:spacing w:val="-4"/>
              </w:rPr>
              <w:t>nízkovýdělkových</w:t>
            </w:r>
            <w:proofErr w:type="spellEnd"/>
            <w:r>
              <w:rPr>
                <w:color w:val="0D0D0D" w:themeColor="text1" w:themeTint="F2"/>
                <w:spacing w:val="-4"/>
              </w:rPr>
              <w:t xml:space="preserve">“ odvětvích služeb z významné části saturovaly poptávku po volné pracovní síle </w:t>
            </w:r>
            <w:r>
              <w:rPr>
                <w:spacing w:val="-4"/>
              </w:rPr>
              <w:t xml:space="preserve">náborem </w:t>
            </w:r>
            <w:r w:rsidRPr="003278DA">
              <w:rPr>
                <w:color w:val="0D0D0D" w:themeColor="text1" w:themeTint="F2"/>
                <w:spacing w:val="-4"/>
              </w:rPr>
              <w:t>ze zahraničí</w:t>
            </w:r>
            <w:r>
              <w:rPr>
                <w:color w:val="0D0D0D" w:themeColor="text1" w:themeTint="F2"/>
                <w:spacing w:val="-4"/>
              </w:rPr>
              <w:t>, neboť rezervoár potenciální pracovní síly z tuzemska se za poslední roky takřka vyčerpal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7"/>
            </w:r>
            <w:r>
              <w:rPr>
                <w:color w:val="0D0D0D" w:themeColor="text1" w:themeTint="F2"/>
                <w:spacing w:val="-4"/>
              </w:rPr>
              <w:t xml:space="preserve">. </w:t>
            </w:r>
            <w:r w:rsidRPr="00DD3343">
              <w:rPr>
                <w:spacing w:val="-4"/>
              </w:rPr>
              <w:t xml:space="preserve">Růst počtu cizinců pracujících v Česku letos během jara </w:t>
            </w:r>
            <w:r>
              <w:rPr>
                <w:spacing w:val="-4"/>
              </w:rPr>
              <w:t xml:space="preserve">i léta </w:t>
            </w:r>
            <w:r w:rsidRPr="00DD3343">
              <w:rPr>
                <w:spacing w:val="-4"/>
              </w:rPr>
              <w:t>zřetelně zrychlil</w:t>
            </w:r>
            <w:r w:rsidRPr="003278DA"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 w:rsidRPr="00DD3343">
              <w:rPr>
                <w:spacing w:val="-4"/>
              </w:rPr>
              <w:t xml:space="preserve">. </w:t>
            </w:r>
            <w:r w:rsidRPr="00DD3343">
              <w:rPr>
                <w:spacing w:val="-4"/>
              </w:rPr>
              <w:lastRenderedPageBreak/>
              <w:t>Pomohla tomu počínající integrace uprchlíků z Ukrajiny, řádově menší vliv měla pokračující ekonomická migrace z hospodářsky slabších regionů EU i ze států mimo EU</w:t>
            </w:r>
            <w:r>
              <w:rPr>
                <w:spacing w:val="-4"/>
              </w:rPr>
              <w:t>.</w:t>
            </w:r>
          </w:p>
        </w:tc>
      </w:tr>
      <w:tr w:rsidR="001F6483" w:rsidRPr="009F0D7F" w14:paraId="0F1433AC" w14:textId="77777777" w:rsidTr="00594D20">
        <w:trPr>
          <w:trHeight w:val="15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32D39779" w14:textId="77777777" w:rsidR="001F6483" w:rsidRDefault="001F6483" w:rsidP="00594D20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Růst počtu odpracovaných hodin převyšoval dynamiku fyzického počtu pracovníků.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7A66D90A" w14:textId="77777777" w:rsidR="001F6483" w:rsidRPr="009F0D7F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56A15DE6" w14:textId="77777777" w:rsidR="001F6483" w:rsidRDefault="001F6483" w:rsidP="00594D20">
            <w:pPr>
              <w:spacing w:after="0"/>
              <w:rPr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Pokračoval růst počtu </w:t>
            </w:r>
            <w:r w:rsidRPr="00631DC2">
              <w:rPr>
                <w:color w:val="0D0D0D" w:themeColor="text1" w:themeTint="F2"/>
                <w:spacing w:val="-4"/>
              </w:rPr>
              <w:t xml:space="preserve">odpracovaných hodin v celé </w:t>
            </w:r>
            <w:r>
              <w:rPr>
                <w:spacing w:val="-4"/>
              </w:rPr>
              <w:t xml:space="preserve">ekonomice trvající od loňského jara. Výhradně díky zaměstnancům se počty hodin v letošním 3. čtvrtletí meziročně zvýšily </w:t>
            </w:r>
            <w:r>
              <w:rPr>
                <w:spacing w:val="-4"/>
              </w:rPr>
              <w:br/>
              <w:t>o rovná 2 % (v úhrnu za tři letošní kvartály o 4,3 %). Vzrostla tak svižněji než fyzický počet pracujících. K posílení zaměstnanosti tak patrně docházelo i vyšší nabídkou zkrácených úvazků, popř. dalších forem (např. dohod o pracovní činnosti), což mohlo souviset s </w:t>
            </w:r>
            <w:proofErr w:type="spellStart"/>
            <w:r>
              <w:rPr>
                <w:spacing w:val="-4"/>
              </w:rPr>
              <w:t>pokrizovým</w:t>
            </w:r>
            <w:proofErr w:type="spellEnd"/>
            <w:r>
              <w:rPr>
                <w:spacing w:val="-4"/>
              </w:rPr>
              <w:t xml:space="preserve"> oživením v oblasti tržních služeb, zčásti i s postupným zapojováním uprchlíků na pracovní trh. Silný růst odpracované doby signalizují v posledních dvou letech činnosti v oblasti nemovitostí.</w:t>
            </w:r>
          </w:p>
          <w:p w14:paraId="079C37C5" w14:textId="77777777" w:rsidR="001F6483" w:rsidRDefault="001F6483" w:rsidP="00594D20">
            <w:pPr>
              <w:spacing w:after="0"/>
              <w:rPr>
                <w:color w:val="0D0D0D" w:themeColor="text1" w:themeTint="F2"/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</w:tc>
      </w:tr>
      <w:tr w:rsidR="001F6483" w:rsidRPr="009F2A8A" w14:paraId="7E7F03E8" w14:textId="77777777" w:rsidTr="00594D20">
        <w:trPr>
          <w:trHeight w:val="155"/>
        </w:trPr>
        <w:tc>
          <w:tcPr>
            <w:tcW w:w="1636" w:type="dxa"/>
            <w:vMerge w:val="restart"/>
            <w:shd w:val="clear" w:color="auto" w:fill="auto"/>
            <w:tcMar>
              <w:left w:w="0" w:type="dxa"/>
            </w:tcMar>
          </w:tcPr>
          <w:p w14:paraId="150EFC51" w14:textId="77777777" w:rsidR="001F6483" w:rsidRPr="00B43216" w:rsidRDefault="001F6483" w:rsidP="00594D2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5" w:type="dxa"/>
            <w:vMerge w:val="restart"/>
            <w:shd w:val="clear" w:color="auto" w:fill="auto"/>
            <w:tcMar>
              <w:left w:w="0" w:type="dxa"/>
            </w:tcMar>
          </w:tcPr>
          <w:p w14:paraId="7AF2770E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42CE46CD" w14:textId="77777777" w:rsidR="001F6483" w:rsidRPr="00CA5850" w:rsidRDefault="001F6483" w:rsidP="00594D20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13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1F6483" w:rsidRPr="00B43216" w14:paraId="4BD8F581" w14:textId="77777777" w:rsidTr="00594D20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636" w:type="dxa"/>
            <w:vMerge/>
            <w:shd w:val="clear" w:color="auto" w:fill="auto"/>
          </w:tcPr>
          <w:p w14:paraId="69C5C886" w14:textId="77777777" w:rsidR="001F6483" w:rsidRPr="00B43216" w:rsidRDefault="001F6483" w:rsidP="00594D2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5" w:type="dxa"/>
            <w:vMerge/>
            <w:shd w:val="clear" w:color="auto" w:fill="auto"/>
          </w:tcPr>
          <w:p w14:paraId="63AAB696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</w:tcPr>
          <w:p w14:paraId="272B86A3" w14:textId="77777777" w:rsidR="001F6483" w:rsidRPr="00B43216" w:rsidRDefault="001F6483" w:rsidP="00594D20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0A9CEEE8" wp14:editId="4185E956">
                  <wp:extent cx="4762196" cy="3672205"/>
                  <wp:effectExtent l="0" t="0" r="635" b="4445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F6483" w:rsidRPr="00485ED5" w14:paraId="35E0D78A" w14:textId="77777777" w:rsidTr="00594D20">
        <w:trPr>
          <w:trHeight w:val="671"/>
        </w:trPr>
        <w:tc>
          <w:tcPr>
            <w:tcW w:w="1636" w:type="dxa"/>
            <w:vMerge/>
            <w:shd w:val="clear" w:color="auto" w:fill="auto"/>
            <w:tcMar>
              <w:left w:w="0" w:type="dxa"/>
            </w:tcMar>
          </w:tcPr>
          <w:p w14:paraId="5D4F2AFB" w14:textId="77777777" w:rsidR="001F6483" w:rsidRPr="00B43216" w:rsidRDefault="001F6483" w:rsidP="00594D2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5" w:type="dxa"/>
            <w:vMerge/>
            <w:shd w:val="clear" w:color="auto" w:fill="auto"/>
            <w:tcMar>
              <w:left w:w="0" w:type="dxa"/>
            </w:tcMar>
          </w:tcPr>
          <w:p w14:paraId="4130C636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0730D618" w14:textId="77777777" w:rsidR="001F6483" w:rsidRDefault="001F6483" w:rsidP="00594D20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77920D57" w14:textId="77777777" w:rsidR="001F6483" w:rsidRDefault="001F6483" w:rsidP="00594D20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3916AC68" w14:textId="77777777" w:rsidR="001F6483" w:rsidRPr="00485ED5" w:rsidRDefault="001F6483" w:rsidP="00594D20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Zdroj: ČSÚ, </w:t>
            </w:r>
            <w:proofErr w:type="spellStart"/>
            <w:r>
              <w:rPr>
                <w:rFonts w:cs="Arial"/>
                <w:sz w:val="14"/>
                <w:szCs w:val="14"/>
              </w:rPr>
              <w:t>Eurostat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(VŠPS, konjunkturální průzkumy)</w:t>
            </w:r>
          </w:p>
        </w:tc>
      </w:tr>
      <w:tr w:rsidR="001F6483" w:rsidRPr="00D82DBD" w14:paraId="56C02D9D" w14:textId="77777777" w:rsidTr="00594D20">
        <w:trPr>
          <w:trHeight w:val="14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0DB9A719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4"/>
              </w:rPr>
              <w:t xml:space="preserve">Očekávání podniků v oblasti zaměstnanost se postupně zhoršovala. Negativní byla v průmyslu, stavebnictví i službách. Optimismus si stále udržovali obchodníci. 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264C1505" w14:textId="77777777" w:rsidR="001F6483" w:rsidRPr="00BC6AA8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4FCF175D" w14:textId="77777777" w:rsidR="001F6483" w:rsidRPr="00A21D51" w:rsidRDefault="001F6483" w:rsidP="00594D20">
            <w:pPr>
              <w:spacing w:after="200"/>
              <w:rPr>
                <w:color w:val="1D1B11" w:themeColor="background2" w:themeShade="1A"/>
                <w:spacing w:val="-4"/>
              </w:rPr>
            </w:pPr>
            <w:r w:rsidRPr="00A21D51">
              <w:rPr>
                <w:color w:val="1D1B11" w:themeColor="background2" w:themeShade="1A"/>
                <w:spacing w:val="-4"/>
              </w:rPr>
              <w:t xml:space="preserve">Krátkodobá </w:t>
            </w:r>
            <w:r w:rsidRPr="007B0242">
              <w:rPr>
                <w:color w:val="0D0D0D" w:themeColor="text1" w:themeTint="F2"/>
                <w:spacing w:val="-4"/>
              </w:rPr>
              <w:t xml:space="preserve">očekávání podniků v celé ekonomice v oblasti zaměstnanosti se </w:t>
            </w:r>
            <w:r w:rsidRPr="00A21D51">
              <w:rPr>
                <w:color w:val="1D1B11" w:themeColor="background2" w:themeShade="1A"/>
                <w:spacing w:val="-4"/>
              </w:rPr>
              <w:t xml:space="preserve">po optimistických výhledech z počátku </w:t>
            </w:r>
            <w:r>
              <w:rPr>
                <w:color w:val="1D1B11" w:themeColor="background2" w:themeShade="1A"/>
                <w:spacing w:val="-4"/>
              </w:rPr>
              <w:t>letošního roku (kdy byla nejvyšší od léta 2019) postupně mírně zhoršovala</w:t>
            </w:r>
            <w:r w:rsidRPr="00A21D51">
              <w:rPr>
                <w:color w:val="1D1B11" w:themeColor="background2" w:themeShade="1A"/>
                <w:spacing w:val="-4"/>
              </w:rPr>
              <w:t>.</w:t>
            </w:r>
            <w:r>
              <w:rPr>
                <w:color w:val="1D1B11" w:themeColor="background2" w:themeShade="1A"/>
                <w:spacing w:val="-4"/>
              </w:rPr>
              <w:t xml:space="preserve"> Zřetelný optimismus si navzdory klesající spotřebě domácností udržely</w:t>
            </w:r>
            <w:r w:rsidRPr="00A21D51">
              <w:rPr>
                <w:color w:val="1D1B11" w:themeColor="background2" w:themeShade="1A"/>
                <w:spacing w:val="-4"/>
              </w:rPr>
              <w:t xml:space="preserve"> podniky v obchodu. </w:t>
            </w:r>
            <w:r>
              <w:rPr>
                <w:color w:val="1D1B11" w:themeColor="background2" w:themeShade="1A"/>
                <w:spacing w:val="-4"/>
              </w:rPr>
              <w:t>Vytvářet nová pracovní místa (</w:t>
            </w:r>
            <w:r w:rsidRPr="00A21D51">
              <w:rPr>
                <w:color w:val="1D1B11" w:themeColor="background2" w:themeShade="1A"/>
                <w:spacing w:val="-4"/>
              </w:rPr>
              <w:t>v </w:t>
            </w:r>
            <w:r>
              <w:rPr>
                <w:color w:val="1D1B11" w:themeColor="background2" w:themeShade="1A"/>
                <w:spacing w:val="-4"/>
              </w:rPr>
              <w:t xml:space="preserve">příštích třech měsících) plánovalo v listopadu </w:t>
            </w:r>
            <w:proofErr w:type="gramStart"/>
            <w:r>
              <w:rPr>
                <w:color w:val="1D1B11" w:themeColor="background2" w:themeShade="1A"/>
                <w:spacing w:val="-4"/>
              </w:rPr>
              <w:t xml:space="preserve">30 </w:t>
            </w:r>
            <w:r>
              <w:rPr>
                <w:spacing w:val="-4"/>
              </w:rPr>
              <w:t> </w:t>
            </w:r>
            <w:r w:rsidRPr="00A21D51">
              <w:rPr>
                <w:color w:val="1D1B11" w:themeColor="background2" w:themeShade="1A"/>
                <w:spacing w:val="-4"/>
              </w:rPr>
              <w:t>%</w:t>
            </w:r>
            <w:proofErr w:type="gramEnd"/>
            <w:r w:rsidRPr="00A21D51">
              <w:rPr>
                <w:color w:val="1D1B11" w:themeColor="background2" w:themeShade="1A"/>
                <w:spacing w:val="-4"/>
              </w:rPr>
              <w:t xml:space="preserve"> z nich, snižování stavů </w:t>
            </w:r>
            <w:r>
              <w:rPr>
                <w:color w:val="1D1B11" w:themeColor="background2" w:themeShade="1A"/>
                <w:spacing w:val="-4"/>
              </w:rPr>
              <w:t>zaměstnanců pak 9</w:t>
            </w:r>
            <w:r w:rsidRPr="00A21D51">
              <w:rPr>
                <w:color w:val="1D1B11" w:themeColor="background2" w:themeShade="1A"/>
                <w:spacing w:val="-4"/>
              </w:rPr>
              <w:t xml:space="preserve"> %</w:t>
            </w:r>
            <w:r>
              <w:rPr>
                <w:rStyle w:val="Znakapoznpodarou"/>
                <w:color w:val="1D1B11" w:themeColor="background2" w:themeShade="1A"/>
                <w:spacing w:val="-4"/>
              </w:rPr>
              <w:footnoteReference w:id="9"/>
            </w:r>
            <w:r w:rsidRPr="00A21D51">
              <w:rPr>
                <w:color w:val="1D1B11" w:themeColor="background2" w:themeShade="1A"/>
                <w:spacing w:val="-4"/>
              </w:rPr>
              <w:t xml:space="preserve">. </w:t>
            </w:r>
            <w:r>
              <w:rPr>
                <w:color w:val="1D1B11" w:themeColor="background2" w:themeShade="1A"/>
                <w:spacing w:val="-4"/>
              </w:rPr>
              <w:t xml:space="preserve">Naopak v průmyslu se negativní očekávání zejména během podzimních měsíců prohlubovala a redukci počtu </w:t>
            </w:r>
            <w:r>
              <w:rPr>
                <w:color w:val="1D1B11" w:themeColor="background2" w:themeShade="1A"/>
                <w:spacing w:val="-4"/>
              </w:rPr>
              <w:lastRenderedPageBreak/>
              <w:t>zaměstnanců očekávala skoro pětina firem (obdobně jako ve stavebnictví i ve službách)</w:t>
            </w:r>
            <w:r w:rsidRPr="00A21D51">
              <w:rPr>
                <w:rStyle w:val="Znakapoznpodarou"/>
                <w:color w:val="1D1B11" w:themeColor="background2" w:themeShade="1A"/>
                <w:spacing w:val="-4"/>
              </w:rPr>
              <w:footnoteReference w:id="10"/>
            </w:r>
            <w:r>
              <w:rPr>
                <w:color w:val="1D1B11" w:themeColor="background2" w:themeShade="1A"/>
                <w:spacing w:val="-4"/>
              </w:rPr>
              <w:t>. Během letošního roku došlo</w:t>
            </w:r>
            <w:r w:rsidRPr="00A21D51">
              <w:rPr>
                <w:color w:val="1D1B11" w:themeColor="background2" w:themeShade="1A"/>
                <w:spacing w:val="-4"/>
              </w:rPr>
              <w:t xml:space="preserve"> v souvislosti se zhoršením celkových ekonomických výhledů v některých odvětvích</w:t>
            </w:r>
            <w:r>
              <w:rPr>
                <w:color w:val="1D1B11" w:themeColor="background2" w:themeShade="1A"/>
                <w:spacing w:val="-4"/>
              </w:rPr>
              <w:t xml:space="preserve"> </w:t>
            </w:r>
            <w:r w:rsidRPr="00A21D51">
              <w:rPr>
                <w:color w:val="1D1B11" w:themeColor="background2" w:themeShade="1A"/>
                <w:spacing w:val="-4"/>
              </w:rPr>
              <w:t>k mírnému poklesu podílu podniků, pro něž představuje nedostatek pracovní síly jednu z</w:t>
            </w:r>
            <w:r>
              <w:rPr>
                <w:color w:val="1D1B11" w:themeColor="background2" w:themeShade="1A"/>
                <w:spacing w:val="-4"/>
              </w:rPr>
              <w:t> </w:t>
            </w:r>
            <w:r w:rsidRPr="00A21D51">
              <w:rPr>
                <w:color w:val="1D1B11" w:themeColor="background2" w:themeShade="1A"/>
                <w:spacing w:val="-4"/>
              </w:rPr>
              <w:t>významných růstových bariér. Zejména ve stavebnictví ovšem zů</w:t>
            </w:r>
            <w:r>
              <w:rPr>
                <w:color w:val="1D1B11" w:themeColor="background2" w:themeShade="1A"/>
                <w:spacing w:val="-4"/>
              </w:rPr>
              <w:t>stával tento problém nadále palčivý, neboť na sklonku roku limitoval více než</w:t>
            </w:r>
            <w:r w:rsidRPr="00A21D51">
              <w:rPr>
                <w:color w:val="1D1B11" w:themeColor="background2" w:themeShade="1A"/>
                <w:spacing w:val="-4"/>
              </w:rPr>
              <w:t xml:space="preserve"> 40 % podniků. </w:t>
            </w:r>
          </w:p>
        </w:tc>
      </w:tr>
      <w:tr w:rsidR="001F6483" w:rsidRPr="00D82DBD" w14:paraId="08CA1C8D" w14:textId="77777777" w:rsidTr="00594D20">
        <w:trPr>
          <w:trHeight w:val="14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25A2D048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>Obecná míra nezaměstnanosti letos dosud mírně klesala. V</w:t>
            </w:r>
            <w:r>
              <w:rPr>
                <w:spacing w:val="-4"/>
              </w:rPr>
              <w:t> </w:t>
            </w:r>
            <w:r>
              <w:rPr>
                <w:color w:val="0D0D0D" w:themeColor="text1" w:themeTint="F2"/>
                <w:spacing w:val="-5"/>
              </w:rPr>
              <w:t>září dosahovala shodné úrovně jako před počátkem pandemie.</w:t>
            </w:r>
          </w:p>
          <w:p w14:paraId="721D1160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60308B0E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4153899A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3CD2B9E7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7B32AE67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Obavy lidí z růstu nezaměstnanosti se od jara setrvale zvyšují.</w:t>
            </w:r>
          </w:p>
          <w:p w14:paraId="62599D4D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22F484CA" w14:textId="77777777" w:rsidR="001F6483" w:rsidRPr="00BC6AA8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19970FDA" w14:textId="77777777" w:rsidR="001F6483" w:rsidRPr="00BC6AA8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5347E933" w14:textId="77777777" w:rsidR="001F6483" w:rsidRPr="009140C9" w:rsidRDefault="001F6483" w:rsidP="00594D20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F00222">
              <w:rPr>
                <w:color w:val="0D0D0D" w:themeColor="text1" w:themeTint="F2"/>
                <w:spacing w:val="-4"/>
              </w:rPr>
              <w:t>Obecná míra nezaměstnanosti</w:t>
            </w:r>
            <w:r w:rsidRPr="00F00222"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 w:rsidRPr="00F00222">
              <w:rPr>
                <w:color w:val="0D0D0D" w:themeColor="text1" w:themeTint="F2"/>
                <w:spacing w:val="-4"/>
              </w:rPr>
              <w:t xml:space="preserve"> (osob </w:t>
            </w:r>
            <w:r w:rsidRPr="00A21D51">
              <w:rPr>
                <w:color w:val="1D1B11" w:themeColor="background2" w:themeShade="1A"/>
                <w:spacing w:val="-4"/>
              </w:rPr>
              <w:t>ve věku 15 až 64 let</w:t>
            </w:r>
            <w:r>
              <w:rPr>
                <w:color w:val="1D1B11" w:themeColor="background2" w:themeShade="1A"/>
                <w:spacing w:val="-4"/>
              </w:rPr>
              <w:t xml:space="preserve">) letos v 1. až 3. čtvrtletí mírně klesala (až na zářijových 2,2 %). Zlepšovala se situace žen, což souviselo s pokračujícím oživením </w:t>
            </w:r>
            <w:r>
              <w:rPr>
                <w:color w:val="0D0D0D" w:themeColor="text1" w:themeTint="F2"/>
                <w:spacing w:val="-4"/>
              </w:rPr>
              <w:t xml:space="preserve">některých segmentů služeb silně zasažených propadem poptávky za pandemie. Nezaměstnanost mužů letos stagnovala blízko svého historického minima (těsně pod 2 %). Oproti loňskému září celková nezaměstnanost poklesla o 0,5 p. b. (podobně u mužů i žen) </w:t>
            </w:r>
            <w:r>
              <w:rPr>
                <w:color w:val="0D0D0D" w:themeColor="text1" w:themeTint="F2"/>
                <w:spacing w:val="-4"/>
              </w:rPr>
              <w:br/>
              <w:t>a byla srovnatelná s vrcholem z předpandemické konjunktury.</w:t>
            </w:r>
            <w:r>
              <w:rPr>
                <w:color w:val="1D1B11" w:themeColor="background2" w:themeShade="1A"/>
                <w:spacing w:val="-4"/>
              </w:rPr>
              <w:t xml:space="preserve"> Podobný obraz poskytují také údaje o počtech registrovaných uchazečů o práci</w:t>
            </w:r>
            <w:r>
              <w:rPr>
                <w:rStyle w:val="Znakapoznpodarou"/>
                <w:color w:val="1D1B11" w:themeColor="background2" w:themeShade="1A"/>
                <w:spacing w:val="-4"/>
              </w:rPr>
              <w:footnoteReference w:id="12"/>
            </w:r>
            <w:r>
              <w:rPr>
                <w:color w:val="1D1B11" w:themeColor="background2" w:themeShade="1A"/>
                <w:spacing w:val="-4"/>
              </w:rPr>
              <w:t>. Je pozitivní, že počet dlouhodobě nezaměstnaných se začal meziročně snižovat (v první polovině roku 2022 ještě rostl). Dle údajů VŠPS z 3. čtvrtletí tvořily osoby, jež byly bez práce déle než rok, čtvrtinu všech nezaměstnaných (tedy obdobný podíl jako v roce 2019).</w:t>
            </w:r>
            <w:r>
              <w:rPr>
                <w:color w:val="0D0D0D" w:themeColor="text1" w:themeTint="F2"/>
                <w:spacing w:val="-4"/>
              </w:rPr>
              <w:t xml:space="preserve"> Počet domácností očekávajících v nejbližších dvanácti měsících zhoršení hospodářské situace v ČR se během letošního jara výrazně zvýšil, což se postupně promítlo i do nárůstu obav lidí ze zvýšení nezaměstnanosti. Ty byly letos na podzim nejvyšší od loňského jara, silnější než v roce 2019, a značně převyšovaly úroveň z druhé poloviny poslední dekády.</w:t>
            </w:r>
          </w:p>
        </w:tc>
      </w:tr>
      <w:tr w:rsidR="001F6483" w:rsidRPr="00D82DBD" w14:paraId="312971F0" w14:textId="77777777" w:rsidTr="00594D20">
        <w:trPr>
          <w:trHeight w:val="14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4CB60A97" w14:textId="77777777" w:rsidR="001F6483" w:rsidRPr="003F5B27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Nabídka volných míst na ÚP letos od jara setrvale klesá. Nejvíce ubylo míst pro osoby s minimální kvalifikací.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7EC113A0" w14:textId="77777777" w:rsidR="001F6483" w:rsidRPr="00EA508C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501AD9FC" w14:textId="77777777" w:rsidR="001F6483" w:rsidRPr="003C66DA" w:rsidRDefault="001F6483" w:rsidP="00594D20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303304">
              <w:rPr>
                <w:color w:val="0D0D0D" w:themeColor="text1" w:themeTint="F2"/>
                <w:spacing w:val="-4"/>
              </w:rPr>
              <w:t>Zatímc</w:t>
            </w:r>
            <w:r>
              <w:rPr>
                <w:color w:val="0D0D0D" w:themeColor="text1" w:themeTint="F2"/>
                <w:spacing w:val="-4"/>
              </w:rPr>
              <w:t xml:space="preserve">o vloni vykazoval počet </w:t>
            </w:r>
            <w:r w:rsidRPr="00303304">
              <w:rPr>
                <w:color w:val="0D0D0D" w:themeColor="text1" w:themeTint="F2"/>
                <w:spacing w:val="-4"/>
              </w:rPr>
              <w:t>volných pracovních míst (nabízených úřady práce</w:t>
            </w:r>
            <w:r>
              <w:rPr>
                <w:color w:val="0D0D0D" w:themeColor="text1" w:themeTint="F2"/>
                <w:spacing w:val="-4"/>
              </w:rPr>
              <w:t>-ÚP</w:t>
            </w:r>
            <w:r w:rsidRPr="00303304">
              <w:rPr>
                <w:color w:val="0D0D0D" w:themeColor="text1" w:themeTint="F2"/>
                <w:spacing w:val="-4"/>
              </w:rPr>
              <w:t xml:space="preserve">) typický sezónní průběh, </w:t>
            </w:r>
            <w:r>
              <w:rPr>
                <w:color w:val="0D0D0D" w:themeColor="text1" w:themeTint="F2"/>
                <w:spacing w:val="-4"/>
              </w:rPr>
              <w:t>letos i v době vrcholících sezónních prací se celková nabídka míst snižovala. Jestliže v únoru 2022 hlásily ÚP 364 tis. volných míst, na konci října 297 tis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3"/>
            </w:r>
            <w:r>
              <w:rPr>
                <w:color w:val="0D0D0D" w:themeColor="text1" w:themeTint="F2"/>
                <w:spacing w:val="-4"/>
              </w:rPr>
              <w:t>. Zhruba 55 tis. míst ubylo i ve srovnání s loňským říjnem, především těch vyžadujících minimální kvalifikaci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4"/>
            </w:r>
            <w:r>
              <w:rPr>
                <w:color w:val="0D0D0D" w:themeColor="text1" w:themeTint="F2"/>
                <w:spacing w:val="-4"/>
              </w:rPr>
              <w:t>. Lze předpokládat, že část méně kvalifikovaných míst mohli během jara obsadit uprchlíci z Ukrajiny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>
              <w:rPr>
                <w:color w:val="0D0D0D" w:themeColor="text1" w:themeTint="F2"/>
                <w:spacing w:val="-4"/>
              </w:rPr>
              <w:t>. Nabídku míst ovlivnil i cyklický útlum ekonomiky, neboť k menšímu omezení počtu volných míst došlo také u pozic s požadavkem na alespoň maturitní vzdělání (o 8 %). Převis veškeré nabídky volných míst nad počtem registrovaných uchazečů o práci nastal v říjnu v šesti krajích ČR a v necelé polovině okresů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6"/>
            </w:r>
            <w:r>
              <w:rPr>
                <w:color w:val="0D0D0D" w:themeColor="text1" w:themeTint="F2"/>
                <w:spacing w:val="-4"/>
              </w:rPr>
              <w:t xml:space="preserve">. </w:t>
            </w:r>
          </w:p>
        </w:tc>
      </w:tr>
      <w:tr w:rsidR="001F6483" w:rsidRPr="00D82DBD" w14:paraId="441FDE38" w14:textId="77777777" w:rsidTr="00594D20">
        <w:trPr>
          <w:trHeight w:val="14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1E04D26A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Rozkolísání meziročního růstu mezd, typické po většinu pandemického období, se ve 3. čtvrtletí již příliš neprojevovalo.</w:t>
            </w:r>
          </w:p>
          <w:p w14:paraId="3A08F843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0528EE52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0E4B7A50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009FFD39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14C222FD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76C50EFD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Meziroční propad reálných mezd se druhé čtvrtletí v řadě přiblížil 10 %. Postihl všechna odvětví a regiony.</w:t>
            </w:r>
          </w:p>
          <w:p w14:paraId="00DCE568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3559686D" w14:textId="77777777" w:rsidR="001F6483" w:rsidRPr="00EA508C" w:rsidRDefault="001F6483" w:rsidP="00594D20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4207E66E" w14:textId="77777777" w:rsidR="001F6483" w:rsidRPr="00C31B9C" w:rsidRDefault="001F6483" w:rsidP="00594D20">
            <w:pPr>
              <w:spacing w:after="200"/>
              <w:rPr>
                <w:color w:val="0D0D0D" w:themeColor="text1" w:themeTint="F2"/>
                <w:spacing w:val="-2"/>
              </w:rPr>
            </w:pPr>
            <w:r w:rsidRPr="00C31B9C">
              <w:rPr>
                <w:color w:val="0D0D0D" w:themeColor="text1" w:themeTint="F2"/>
                <w:spacing w:val="-2"/>
              </w:rPr>
              <w:t xml:space="preserve">Průměrná hrubá měsíční nominální mzda (na zaměstnance, při zohlednění délky úvazku) vystoupala ve 3. čtvrtletí 2022 těsně pod hranici 40 tis. korun. Její meziroční růst dosáhl 6,1 %, (jen nepatrně více než v prvním letošním pololetí, kdy činil 5,8 %). Na rozdíl od předchozích čtvrtletí není meziroční tempo rozostřeno rušivými vlivy. </w:t>
            </w:r>
            <w:r w:rsidRPr="00C31B9C">
              <w:rPr>
                <w:spacing w:val="-2"/>
              </w:rPr>
              <w:t>Ve 3. čtvrtletí nebyly letos ani loni v oblasti veřejných služeb vyplaceny mimořádné odměny ve významnějším objemu. Rovněž i průměrná odpracovan</w:t>
            </w:r>
            <w:r>
              <w:rPr>
                <w:spacing w:val="-2"/>
              </w:rPr>
              <w:t>á</w:t>
            </w:r>
            <w:r w:rsidRPr="00C31B9C">
              <w:rPr>
                <w:spacing w:val="-2"/>
              </w:rPr>
              <w:t xml:space="preserve"> doba připadající na zaměstnance v celé </w:t>
            </w:r>
            <w:r w:rsidRPr="00C31B9C">
              <w:rPr>
                <w:spacing w:val="-2"/>
              </w:rPr>
              <w:lastRenderedPageBreak/>
              <w:t xml:space="preserve">ekonomice nedoznala výraznějších odchylek (vlivem lockdownů a bezprostředně následujícího období rychlého oživení ekonomické aktivity). Mzda po očištění od sezónních vlivů se ve 3. čtvrtletí </w:t>
            </w:r>
            <w:r w:rsidRPr="00C31B9C">
              <w:rPr>
                <w:color w:val="0D0D0D" w:themeColor="text1" w:themeTint="F2"/>
                <w:spacing w:val="-2"/>
              </w:rPr>
              <w:t xml:space="preserve">mezikvartálně navýšila </w:t>
            </w:r>
            <w:r w:rsidRPr="00C31B9C">
              <w:rPr>
                <w:spacing w:val="-2"/>
              </w:rPr>
              <w:t>o 1,8 %, což v kontextu od počátku letošního roku naznačovalo mírnou akceleraci. To zdaleka nestačilo zaměstnancům pokrýt prudce rostoucí životní náklady. Propad průměrné reálné mzdy pokračoval čtvrtý kvartál v řadě a letos opakovaně přepisoval rekordní hodnoty. Ve 3. čtvrtletí, shodně jako v předchozím kvartálu, činil meziročně 9,8 %. Opět tak postihl všechna odvětví i regiony a byl rozhodujícím faktorem snížení celkové kupní síly tuzemských domácností</w:t>
            </w:r>
            <w:r w:rsidRPr="00C31B9C">
              <w:rPr>
                <w:rStyle w:val="Znakapoznpodarou"/>
                <w:spacing w:val="-2"/>
              </w:rPr>
              <w:footnoteReference w:id="17"/>
            </w:r>
            <w:r w:rsidRPr="00C31B9C">
              <w:rPr>
                <w:spacing w:val="-2"/>
              </w:rPr>
              <w:t xml:space="preserve">. </w:t>
            </w:r>
          </w:p>
        </w:tc>
      </w:tr>
      <w:tr w:rsidR="001F6483" w:rsidRPr="00B43216" w14:paraId="7EFC3F2B" w14:textId="77777777" w:rsidTr="00594D20">
        <w:trPr>
          <w:trHeight w:val="155"/>
        </w:trPr>
        <w:tc>
          <w:tcPr>
            <w:tcW w:w="1636" w:type="dxa"/>
            <w:vMerge w:val="restart"/>
            <w:shd w:val="clear" w:color="auto" w:fill="auto"/>
            <w:tcMar>
              <w:left w:w="0" w:type="dxa"/>
            </w:tcMar>
          </w:tcPr>
          <w:p w14:paraId="159CDAD2" w14:textId="77777777" w:rsidR="001F6483" w:rsidRPr="00B43216" w:rsidRDefault="001F6483" w:rsidP="00594D2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5" w:type="dxa"/>
            <w:vMerge w:val="restart"/>
            <w:shd w:val="clear" w:color="auto" w:fill="auto"/>
            <w:tcMar>
              <w:left w:w="0" w:type="dxa"/>
            </w:tcMar>
          </w:tcPr>
          <w:p w14:paraId="3D8360EA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7429B471" w14:textId="77777777" w:rsidR="001F6483" w:rsidRPr="009C410C" w:rsidRDefault="001F6483" w:rsidP="00594D20">
            <w:pPr>
              <w:spacing w:after="0"/>
              <w:rPr>
                <w:b/>
                <w:spacing w:val="-4"/>
              </w:rPr>
            </w:pPr>
            <w:r>
              <w:rPr>
                <w:b/>
                <w:spacing w:val="-4"/>
              </w:rPr>
              <w:t>Graf č. 14</w:t>
            </w:r>
            <w:r w:rsidRPr="009C410C">
              <w:rPr>
                <w:b/>
                <w:spacing w:val="-4"/>
              </w:rPr>
              <w:t xml:space="preserve"> </w:t>
            </w:r>
            <w:r w:rsidRPr="009C410C">
              <w:rPr>
                <w:rFonts w:cs="Arial"/>
                <w:b/>
                <w:spacing w:val="-4"/>
              </w:rPr>
              <w:t xml:space="preserve">Obecná míra nezaměstnanosti </w:t>
            </w:r>
            <w:r w:rsidRPr="009C410C">
              <w:rPr>
                <w:rFonts w:cs="Arial"/>
                <w:bCs/>
                <w:spacing w:val="-4"/>
              </w:rPr>
              <w:t>(v %</w:t>
            </w:r>
            <w:r>
              <w:rPr>
                <w:rFonts w:cs="Arial"/>
                <w:bCs/>
                <w:spacing w:val="-4"/>
              </w:rPr>
              <w:t>, věk 15 až 64 let</w:t>
            </w:r>
            <w:r w:rsidRPr="009C410C">
              <w:rPr>
                <w:rFonts w:cs="Arial"/>
                <w:bCs/>
                <w:spacing w:val="-4"/>
              </w:rPr>
              <w:t>)</w:t>
            </w:r>
            <w:r w:rsidRPr="009C410C">
              <w:rPr>
                <w:rFonts w:cs="Arial"/>
                <w:b/>
                <w:spacing w:val="-4"/>
              </w:rPr>
              <w:t xml:space="preserve">, </w:t>
            </w:r>
            <w:r>
              <w:rPr>
                <w:rFonts w:cs="Arial"/>
                <w:b/>
                <w:spacing w:val="-4"/>
              </w:rPr>
              <w:t>míra ekonomické aktivity</w:t>
            </w:r>
            <w:r>
              <w:rPr>
                <w:rFonts w:cs="Arial"/>
                <w:bCs/>
                <w:spacing w:val="-4"/>
              </w:rPr>
              <w:t xml:space="preserve"> (v %, věk 15 až 64 let)</w:t>
            </w:r>
            <w:r w:rsidRPr="009C410C">
              <w:rPr>
                <w:rFonts w:cs="Arial"/>
                <w:b/>
                <w:spacing w:val="-4"/>
              </w:rPr>
              <w:t xml:space="preserve">, ekonomicky neaktivní chtějící pracovat </w:t>
            </w:r>
            <w:r w:rsidRPr="009C410C">
              <w:rPr>
                <w:rFonts w:cs="Arial"/>
                <w:bCs/>
                <w:spacing w:val="-4"/>
              </w:rPr>
              <w:t>(v tis.</w:t>
            </w:r>
            <w:r>
              <w:rPr>
                <w:rFonts w:cs="Arial"/>
                <w:bCs/>
                <w:spacing w:val="-4"/>
              </w:rPr>
              <w:t xml:space="preserve"> </w:t>
            </w:r>
            <w:proofErr w:type="gramStart"/>
            <w:r>
              <w:rPr>
                <w:rFonts w:cs="Arial"/>
                <w:bCs/>
                <w:spacing w:val="-4"/>
              </w:rPr>
              <w:t>osob</w:t>
            </w:r>
            <w:r w:rsidRPr="009C410C">
              <w:rPr>
                <w:rFonts w:cs="Arial"/>
                <w:bCs/>
                <w:spacing w:val="-4"/>
              </w:rPr>
              <w:t>)*</w:t>
            </w:r>
            <w:proofErr w:type="gramEnd"/>
            <w:r w:rsidRPr="00D94F3D">
              <w:rPr>
                <w:rFonts w:cs="Arial"/>
                <w:b/>
                <w:bCs/>
                <w:spacing w:val="-4"/>
              </w:rPr>
              <w:t xml:space="preserve">, volná pracovní místa </w:t>
            </w:r>
            <w:r>
              <w:rPr>
                <w:rFonts w:cs="Arial"/>
                <w:bCs/>
                <w:spacing w:val="-4"/>
              </w:rPr>
              <w:t xml:space="preserve">(v tis.) </w:t>
            </w:r>
            <w:r w:rsidRPr="00D94F3D">
              <w:rPr>
                <w:rFonts w:cs="Arial"/>
                <w:b/>
                <w:bCs/>
                <w:spacing w:val="-4"/>
              </w:rPr>
              <w:t>a</w:t>
            </w:r>
            <w:r w:rsidRPr="009C410C">
              <w:rPr>
                <w:rFonts w:cs="Arial"/>
                <w:bCs/>
                <w:spacing w:val="-4"/>
              </w:rPr>
              <w:t xml:space="preserve"> </w:t>
            </w:r>
            <w:r>
              <w:rPr>
                <w:rFonts w:cs="Arial"/>
                <w:b/>
                <w:bCs/>
                <w:spacing w:val="-4"/>
              </w:rPr>
              <w:t>očekávání nezaměstnanosti od domácností</w:t>
            </w:r>
            <w:r w:rsidRPr="009C410C">
              <w:rPr>
                <w:rFonts w:cs="Arial"/>
                <w:bCs/>
                <w:spacing w:val="-4"/>
              </w:rPr>
              <w:t xml:space="preserve"> (v p. b.)**</w:t>
            </w:r>
          </w:p>
        </w:tc>
      </w:tr>
      <w:tr w:rsidR="001F6483" w:rsidRPr="00B43216" w14:paraId="73A4B0F7" w14:textId="77777777" w:rsidTr="00594D20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636" w:type="dxa"/>
            <w:vMerge/>
            <w:shd w:val="clear" w:color="auto" w:fill="auto"/>
          </w:tcPr>
          <w:p w14:paraId="2E105905" w14:textId="77777777" w:rsidR="001F6483" w:rsidRPr="00B43216" w:rsidRDefault="001F6483" w:rsidP="00594D20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5" w:type="dxa"/>
            <w:vMerge/>
            <w:shd w:val="clear" w:color="auto" w:fill="auto"/>
          </w:tcPr>
          <w:p w14:paraId="4433ED28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</w:tcPr>
          <w:p w14:paraId="171DF74B" w14:textId="77777777" w:rsidR="001F6483" w:rsidRPr="00B43216" w:rsidRDefault="001F6483" w:rsidP="00594D20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95564C7" wp14:editId="6C080CA5">
                  <wp:extent cx="4753999" cy="3528000"/>
                  <wp:effectExtent l="0" t="0" r="8890" b="0"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1F6483" w:rsidRPr="00B43216" w14:paraId="2B39A333" w14:textId="77777777" w:rsidTr="00594D20">
        <w:trPr>
          <w:trHeight w:val="132"/>
        </w:trPr>
        <w:tc>
          <w:tcPr>
            <w:tcW w:w="1636" w:type="dxa"/>
            <w:vMerge/>
            <w:shd w:val="clear" w:color="auto" w:fill="auto"/>
            <w:tcMar>
              <w:left w:w="0" w:type="dxa"/>
            </w:tcMar>
          </w:tcPr>
          <w:p w14:paraId="1025E0D4" w14:textId="77777777" w:rsidR="001F6483" w:rsidRPr="00B43216" w:rsidRDefault="001F6483" w:rsidP="00594D20">
            <w:pPr>
              <w:pStyle w:val="Marginlie"/>
              <w:rPr>
                <w:spacing w:val="-4"/>
              </w:rPr>
            </w:pPr>
          </w:p>
        </w:tc>
        <w:tc>
          <w:tcPr>
            <w:tcW w:w="205" w:type="dxa"/>
            <w:vMerge/>
            <w:shd w:val="clear" w:color="auto" w:fill="auto"/>
            <w:tcMar>
              <w:left w:w="0" w:type="dxa"/>
            </w:tcMar>
          </w:tcPr>
          <w:p w14:paraId="182EEA7A" w14:textId="77777777" w:rsidR="001F6483" w:rsidRPr="00B43216" w:rsidRDefault="001F6483" w:rsidP="00594D20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5AE60C68" w14:textId="77777777" w:rsidR="001F6483" w:rsidRPr="00D94F3D" w:rsidRDefault="001F6483" w:rsidP="00594D20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Pozn.: Údaje o mírách nezaměstnanosti i </w:t>
            </w:r>
            <w:proofErr w:type="spellStart"/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ekon</w:t>
            </w:r>
            <w:proofErr w:type="spellEnd"/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. aktivity jsou po sezónním očištění. VPM = volná pracovní místa (stav na konci čtvrtletí)</w:t>
            </w:r>
          </w:p>
          <w:p w14:paraId="4676D390" w14:textId="77777777" w:rsidR="001F6483" w:rsidRDefault="001F6483" w:rsidP="00594D20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4E68B1"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Jde o osoby, které nepracují, aktivně práci nehledají,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ale přitom uvádějí, že by chtěly pracovat.</w:t>
            </w:r>
          </w:p>
          <w:p w14:paraId="579F16B9" w14:textId="77777777" w:rsidR="001F6483" w:rsidRDefault="001F6483" w:rsidP="00594D20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**Sezónně očištěné saldo očekávání nezaměstnanosti v nejbližších 12 měsících (rozdíl mezi procentuální četností odpovědí domácností, růst a pokles vyjádřený v procentních bodech). Vztahuje se k prostřednímu měsíci daného čtvrtletí.</w:t>
            </w:r>
          </w:p>
          <w:p w14:paraId="0D37A821" w14:textId="77777777" w:rsidR="001F6483" w:rsidRPr="00485ED5" w:rsidRDefault="001F6483" w:rsidP="00594D20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průzkum), MPSV (volná pracovní místa registrovaná na úřadech práce v ČR)</w:t>
            </w:r>
          </w:p>
        </w:tc>
      </w:tr>
      <w:tr w:rsidR="001F6483" w:rsidRPr="00B43216" w14:paraId="640342A6" w14:textId="77777777" w:rsidTr="00594D20">
        <w:trPr>
          <w:trHeight w:val="671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5D36B19E" w14:textId="77777777" w:rsidR="001F6483" w:rsidRDefault="001F6483" w:rsidP="00594D20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>Za mzdovým růstem stála primárně tržní odvětví. V odvětvích s dominancí státu se projevil vliv úsporných opatření.</w:t>
            </w:r>
          </w:p>
          <w:p w14:paraId="1648EF4A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0710AB26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25828C4D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1C4D21FE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561DD3B4" w14:textId="77777777" w:rsidR="001F6483" w:rsidRDefault="001F6483" w:rsidP="00594D20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spacing w:val="-4"/>
              </w:rPr>
              <w:t xml:space="preserve">Prostor pro větší navýšení mezd snižoval podnikům rychlý růst nemzdových výrobních nákladů i horší ekonomické výhledy </w:t>
            </w:r>
            <w:r>
              <w:rPr>
                <w:spacing w:val="-4"/>
              </w:rPr>
              <w:lastRenderedPageBreak/>
              <w:t>v důležitých exportních teritoriích.</w:t>
            </w: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514F96B4" w14:textId="77777777" w:rsidR="001F6483" w:rsidRPr="00B43216" w:rsidRDefault="001F6483" w:rsidP="00594D20">
            <w:pPr>
              <w:pStyle w:val="Textpoznpodarou"/>
              <w:spacing w:line="276" w:lineRule="auto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755549F5" w14:textId="77777777" w:rsidR="001F6483" w:rsidRPr="00B35E65" w:rsidRDefault="001F6483" w:rsidP="00594D20">
            <w:pPr>
              <w:spacing w:after="200"/>
              <w:rPr>
                <w:color w:val="0D0D0D" w:themeColor="text1" w:themeTint="F2"/>
                <w:spacing w:val="-5"/>
              </w:rPr>
            </w:pPr>
            <w:r w:rsidRPr="00D766A7">
              <w:rPr>
                <w:color w:val="0D0D0D" w:themeColor="text1" w:themeTint="F2"/>
                <w:spacing w:val="-5"/>
              </w:rPr>
              <w:t xml:space="preserve">Meziroční mzdové tempo ve 3. čtvrtletí odráželo pokračující zotavování ekonomiky (zejména některých služeb) vyjádřené i růstem počtu odpracovaných </w:t>
            </w:r>
            <w:r w:rsidRPr="00D766A7">
              <w:rPr>
                <w:spacing w:val="-5"/>
              </w:rPr>
              <w:t>hodin. Ve směru vyšší dynamiky mezd působilo i napětí na pracovním trhu spojené s přetrvávající nízkou nezaměstnaností, stále vysokým počtem volných míst i faktem, že nedostatek zaměstnanců stále limitoval produkci v některých odvětví</w:t>
            </w:r>
            <w:r>
              <w:rPr>
                <w:spacing w:val="-5"/>
              </w:rPr>
              <w:t>ch</w:t>
            </w:r>
            <w:r w:rsidRPr="00D766A7">
              <w:rPr>
                <w:spacing w:val="-5"/>
              </w:rPr>
              <w:t>. Hlavně v odvětvích s nízkou úrovní výdělků mělo dílčí dopad i</w:t>
            </w:r>
            <w:r w:rsidRPr="00D766A7">
              <w:rPr>
                <w:bCs/>
                <w:color w:val="0D0D0D" w:themeColor="text1" w:themeTint="F2"/>
                <w:spacing w:val="-5"/>
              </w:rPr>
              <w:t> </w:t>
            </w:r>
            <w:r w:rsidRPr="00D766A7">
              <w:rPr>
                <w:spacing w:val="-5"/>
              </w:rPr>
              <w:t>pokračující navyšování minimální mzdy. Naopak příchod ukrajinských uprchlíků úroveň průměrných mezd ani v těchto odvětvích zatím patrně významněji neovlivnil</w:t>
            </w:r>
            <w:r w:rsidRPr="00D766A7">
              <w:rPr>
                <w:rStyle w:val="Znakapoznpodarou"/>
                <w:spacing w:val="-5"/>
              </w:rPr>
              <w:footnoteReference w:id="18"/>
            </w:r>
            <w:r w:rsidRPr="00D766A7">
              <w:rPr>
                <w:spacing w:val="-5"/>
              </w:rPr>
              <w:t xml:space="preserve">. Růst mezd v celé ekonomice </w:t>
            </w:r>
            <w:r w:rsidRPr="00D766A7">
              <w:rPr>
                <w:color w:val="0D0D0D" w:themeColor="text1" w:themeTint="F2"/>
                <w:spacing w:val="-5"/>
              </w:rPr>
              <w:t>byl tlumen</w:t>
            </w:r>
            <w:r w:rsidRPr="00D766A7">
              <w:rPr>
                <w:spacing w:val="-5"/>
              </w:rPr>
              <w:t xml:space="preserve"> nastavením platových tarifů v rozpočtové sféře (zmrazení či jen velmi mírný růst u většiny skupin pracovníků). Vysoká inflační očekávání se zatím ve mzdové oblasti projevovala nejednoznačně. Vedla sice k rostoucímu tlaku zaměstnanců na svižnější mzdový růst, ten ovšem narážel na stále obtížnější situaci zaměstnavatelů. Tlak na růst nemzdových výrobních nákladů vlivem citelného navýšení cen téměř veškerých </w:t>
            </w:r>
            <w:proofErr w:type="spellStart"/>
            <w:r w:rsidRPr="00D766A7">
              <w:rPr>
                <w:spacing w:val="-5"/>
              </w:rPr>
              <w:t>mezivstupů</w:t>
            </w:r>
            <w:proofErr w:type="spellEnd"/>
            <w:r w:rsidRPr="00D766A7">
              <w:rPr>
                <w:spacing w:val="-5"/>
              </w:rPr>
              <w:t xml:space="preserve"> v posledních čtvrtletích citelně zesílil a byl ještě umocněn </w:t>
            </w:r>
            <w:r>
              <w:rPr>
                <w:spacing w:val="-5"/>
              </w:rPr>
              <w:t xml:space="preserve">zhoršenými ekonomickými výhledy, </w:t>
            </w:r>
            <w:r w:rsidRPr="00D766A7">
              <w:rPr>
                <w:spacing w:val="-5"/>
              </w:rPr>
              <w:lastRenderedPageBreak/>
              <w:t xml:space="preserve">nejistotami ohledně budoucího vývoje cen i vládní podpory podnikům v oblasti energií. Situace firem se značně lišila, a to i v rámci jednotlivých odvětví. Některé podniky s příznivou hospodářskou situací mohly </w:t>
            </w:r>
            <w:r>
              <w:rPr>
                <w:spacing w:val="-5"/>
              </w:rPr>
              <w:t xml:space="preserve">zaměstnancům </w:t>
            </w:r>
            <w:r w:rsidRPr="00D766A7">
              <w:rPr>
                <w:spacing w:val="-5"/>
              </w:rPr>
              <w:t>částečně kompenzovat vysoký růst životních nákladů formou mimořádných odměn.</w:t>
            </w:r>
          </w:p>
        </w:tc>
      </w:tr>
      <w:tr w:rsidR="001F6483" w:rsidRPr="00B43216" w14:paraId="6CF921C4" w14:textId="77777777" w:rsidTr="00594D20">
        <w:trPr>
          <w:trHeight w:val="671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6C20C3E0" w14:textId="77777777" w:rsidR="001F6483" w:rsidRDefault="001F6483" w:rsidP="00594D20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Nejnižší mzdový růst zaznamenaly ve </w:t>
            </w:r>
            <w:r>
              <w:rPr>
                <w:spacing w:val="-4"/>
              </w:rPr>
              <w:br/>
              <w:t xml:space="preserve">3. čtvrtletí zdravotní </w:t>
            </w:r>
            <w:r>
              <w:rPr>
                <w:spacing w:val="-4"/>
              </w:rPr>
              <w:br/>
              <w:t>a sociální péče spolu s veřejnou správou, obranou a sociálním zabezpečením.</w:t>
            </w:r>
          </w:p>
          <w:p w14:paraId="400765F5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76DF2BF6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6AA672E7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0E92EF8C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35FC895A" w14:textId="77777777" w:rsidR="001F6483" w:rsidRDefault="001F6483" w:rsidP="00594D20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>V tržním segmentu služeb rostly průměrné výdělky nejvíce v dopravě a ve skladování.</w:t>
            </w:r>
          </w:p>
          <w:p w14:paraId="342E2414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692AD9B2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2BEE77FA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  <w:p w14:paraId="767D8463" w14:textId="77777777" w:rsidR="001F6483" w:rsidRDefault="001F6483" w:rsidP="00594D20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 xml:space="preserve">I přes solidní mzdovou dynamiku v letošním roce zůstává výše průměrných mezd v průmyslu pod úrovní celé ekonomiky. </w:t>
            </w:r>
          </w:p>
          <w:p w14:paraId="484CD09C" w14:textId="77777777" w:rsidR="001F6483" w:rsidRDefault="001F6483" w:rsidP="00594D20">
            <w:pPr>
              <w:pStyle w:val="Marginlie"/>
              <w:rPr>
                <w:spacing w:val="-4"/>
              </w:rPr>
            </w:pP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45EBDA3F" w14:textId="77777777" w:rsidR="001F6483" w:rsidRPr="00B43216" w:rsidRDefault="001F6483" w:rsidP="00594D20">
            <w:pPr>
              <w:pStyle w:val="Textpoznpodarou"/>
              <w:spacing w:line="276" w:lineRule="auto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04207A1B" w14:textId="77777777" w:rsidR="001F6483" w:rsidRPr="00D766A7" w:rsidRDefault="001F6483" w:rsidP="00594D20">
            <w:pPr>
              <w:spacing w:after="220"/>
              <w:rPr>
                <w:spacing w:val="-5"/>
              </w:rPr>
            </w:pPr>
            <w:r>
              <w:rPr>
                <w:spacing w:val="-5"/>
              </w:rPr>
              <w:t>Mzdový růst byl od počátku letošního roku tlumen nízkou mzdovou dynamikou odvětví s významnou rolí státu</w:t>
            </w:r>
            <w:r>
              <w:rPr>
                <w:rStyle w:val="Znakapoznpodarou"/>
                <w:spacing w:val="-5"/>
              </w:rPr>
              <w:footnoteReference w:id="19"/>
            </w:r>
            <w:r>
              <w:rPr>
                <w:spacing w:val="-5"/>
              </w:rPr>
              <w:t xml:space="preserve">. V nich ve 3. čtvrtletí hrubá mzda nominálně vzrostla o meziročních 1,3 %, primárně vlivem úsporných opatření (bez vlivu těchto odvětví by mzdový růst </w:t>
            </w:r>
            <w:r>
              <w:rPr>
                <w:spacing w:val="-5"/>
              </w:rPr>
              <w:br/>
              <w:t xml:space="preserve">v ekonomice dosáhl 7,7 %). Nejméně rostly průměrné výdělky ve zdravotní a sociální péči (+0,6 %), přesto však byly stále v rámci veřejných služeb nejvyšší (44,6 tis. hrubého měsíčně) a úroveň celé ekonomiky převyšovaly zhruba o desetinu (obdobně jako ve 3. čtvrtletí 2019). Slabý růst průměrných výdělků zaznamenalo i odvětví veřejné správy, obrany a sociálního zabezpečení (+0,9 %), při zohlednění mírného poklesu evidenčního počtu zaměstnanců se jednalo o jediné odvětví, kde objem vyplacených mezd nevzrostl (−0,2 %). Rychleji se mzdy zvýšily v kulturních, zábavních a rekreačních činnostech (+5,0 %), i tak zůstává jejich výše dlouhodobě podprůměrná. Většina odvětví tržního segmentu služeb zatím profitovala </w:t>
            </w:r>
            <w:r>
              <w:rPr>
                <w:spacing w:val="-5"/>
              </w:rPr>
              <w:br/>
              <w:t xml:space="preserve">z </w:t>
            </w:r>
            <w:proofErr w:type="spellStart"/>
            <w:r w:rsidRPr="00464BF5">
              <w:rPr>
                <w:spacing w:val="-6"/>
              </w:rPr>
              <w:t>pokrizového</w:t>
            </w:r>
            <w:proofErr w:type="spellEnd"/>
            <w:r w:rsidRPr="00464BF5">
              <w:rPr>
                <w:spacing w:val="-6"/>
              </w:rPr>
              <w:t xml:space="preserve"> oživení poptávky</w:t>
            </w:r>
            <w:r>
              <w:rPr>
                <w:spacing w:val="-6"/>
              </w:rPr>
              <w:t>. V dopravě a skladování mzdy v průměru posílily o 9,1 %. V obchodě byla sice mzdová dynamika mírnější (6,9 %), svižně zde naopak přibývala zaměstnanecká místa (o</w:t>
            </w:r>
            <w:r>
              <w:rPr>
                <w:spacing w:val="-5"/>
              </w:rPr>
              <w:t> </w:t>
            </w:r>
            <w:r>
              <w:rPr>
                <w:spacing w:val="-6"/>
              </w:rPr>
              <w:t>2,2</w:t>
            </w:r>
            <w:r>
              <w:rPr>
                <w:spacing w:val="-5"/>
              </w:rPr>
              <w:t> </w:t>
            </w:r>
            <w:r>
              <w:rPr>
                <w:spacing w:val="-6"/>
              </w:rPr>
              <w:t>%). Nadprůměrný mzdový růst byl patrný i v ubytování, stravování a pohostinství (7,7 %), mzdová úroveň zde ale dosáhla pouze tří pětin hladiny celé ekonomiky. V odvětvích s tradičně nejvyšší mzdovou úrovní – finančnictví a ICT růst výdělků shodně mírně převyšoval 8 %. Objem vyplacených mezd ale vzrostl svižněji v oblasti ICT (díky vyšší zaměstnanosti). Ve zpracovatelském průmyslu si zaměstnanci v průměru polepšili o 7,8 %</w:t>
            </w:r>
            <w:r>
              <w:rPr>
                <w:rStyle w:val="Znakapoznpodarou"/>
                <w:spacing w:val="-6"/>
              </w:rPr>
              <w:footnoteReference w:id="20"/>
            </w:r>
            <w:r>
              <w:rPr>
                <w:spacing w:val="-6"/>
              </w:rPr>
              <w:t xml:space="preserve">. Průměrná měsíční výše mezd v celém průmyslu (38,6 tis.) se nacházela mírně pod úrovní národního hospodářství (což platí nepřetržitě od poloviny roku 2019). </w:t>
            </w:r>
          </w:p>
        </w:tc>
      </w:tr>
      <w:tr w:rsidR="001F6483" w:rsidRPr="00191C35" w14:paraId="0205B343" w14:textId="77777777" w:rsidTr="00594D20">
        <w:trPr>
          <w:trHeight w:val="14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2C9152BE" w14:textId="77777777" w:rsidR="001F6483" w:rsidRDefault="001F6483" w:rsidP="00594D20">
            <w:pPr>
              <w:pStyle w:val="Marginlie"/>
              <w:spacing w:after="120"/>
            </w:pP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5E200449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0D514661" w14:textId="77777777" w:rsidR="001F6483" w:rsidRPr="00716203" w:rsidRDefault="001F6483" w:rsidP="00594D20">
            <w:pPr>
              <w:spacing w:after="0"/>
              <w:rPr>
                <w:spacing w:val="-4"/>
              </w:rPr>
            </w:pPr>
            <w:r>
              <w:rPr>
                <w:b/>
                <w:spacing w:val="-4"/>
              </w:rPr>
              <w:t>Graf č. 15</w:t>
            </w:r>
            <w:r w:rsidRPr="003E01D3">
              <w:rPr>
                <w:b/>
                <w:spacing w:val="-4"/>
              </w:rPr>
              <w:t xml:space="preserve"> Průměrná nominální</w:t>
            </w:r>
            <w:r>
              <w:rPr>
                <w:b/>
                <w:spacing w:val="-4"/>
              </w:rPr>
              <w:t xml:space="preserve"> a </w:t>
            </w:r>
            <w:r w:rsidRPr="003E01D3">
              <w:rPr>
                <w:b/>
                <w:spacing w:val="-4"/>
              </w:rPr>
              <w:t>reálná mzda a</w:t>
            </w:r>
            <w:r>
              <w:rPr>
                <w:b/>
                <w:spacing w:val="-4"/>
              </w:rPr>
              <w:t> </w:t>
            </w:r>
            <w:r w:rsidRPr="003E01D3">
              <w:rPr>
                <w:b/>
                <w:spacing w:val="-4"/>
              </w:rPr>
              <w:t>mzdový medián</w:t>
            </w:r>
            <w:r>
              <w:rPr>
                <w:spacing w:val="-4"/>
              </w:rPr>
              <w:t xml:space="preserve"> </w:t>
            </w:r>
            <w:r w:rsidRPr="003E01D3">
              <w:rPr>
                <w:spacing w:val="-4"/>
              </w:rPr>
              <w:t>(meziročně, v %)</w:t>
            </w:r>
          </w:p>
        </w:tc>
      </w:tr>
      <w:tr w:rsidR="001F6483" w:rsidRPr="00191C35" w14:paraId="6016AF76" w14:textId="77777777" w:rsidTr="00594D20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636" w:type="dxa"/>
            <w:shd w:val="clear" w:color="auto" w:fill="auto"/>
          </w:tcPr>
          <w:p w14:paraId="2FBAB169" w14:textId="77777777" w:rsidR="001F6483" w:rsidRDefault="001F6483" w:rsidP="00594D20">
            <w:pPr>
              <w:pStyle w:val="Marginlie"/>
              <w:spacing w:after="120"/>
            </w:pPr>
          </w:p>
        </w:tc>
        <w:tc>
          <w:tcPr>
            <w:tcW w:w="205" w:type="dxa"/>
            <w:shd w:val="clear" w:color="auto" w:fill="auto"/>
          </w:tcPr>
          <w:p w14:paraId="2834D919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</w:tcPr>
          <w:p w14:paraId="0E79574C" w14:textId="77777777" w:rsidR="001F6483" w:rsidRPr="003E01D3" w:rsidRDefault="001F6483" w:rsidP="00594D20">
            <w:pPr>
              <w:spacing w:after="0"/>
              <w:rPr>
                <w:b/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0BD9F46E" wp14:editId="4382D563">
                  <wp:extent cx="4885055" cy="3534770"/>
                  <wp:effectExtent l="0" t="0" r="0" b="8890"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1F6483" w:rsidRPr="00191C35" w14:paraId="381FD5A6" w14:textId="77777777" w:rsidTr="00594D20">
        <w:trPr>
          <w:trHeight w:val="145"/>
        </w:trPr>
        <w:tc>
          <w:tcPr>
            <w:tcW w:w="1636" w:type="dxa"/>
            <w:shd w:val="clear" w:color="auto" w:fill="auto"/>
            <w:tcMar>
              <w:left w:w="0" w:type="dxa"/>
            </w:tcMar>
          </w:tcPr>
          <w:p w14:paraId="61562C30" w14:textId="77777777" w:rsidR="001F6483" w:rsidRDefault="001F6483" w:rsidP="00594D20">
            <w:pPr>
              <w:pStyle w:val="Marginlie"/>
              <w:spacing w:after="120"/>
            </w:pPr>
          </w:p>
        </w:tc>
        <w:tc>
          <w:tcPr>
            <w:tcW w:w="205" w:type="dxa"/>
            <w:shd w:val="clear" w:color="auto" w:fill="auto"/>
            <w:tcMar>
              <w:left w:w="0" w:type="dxa"/>
            </w:tcMar>
          </w:tcPr>
          <w:p w14:paraId="41EA23F9" w14:textId="77777777" w:rsidR="001F6483" w:rsidRPr="00B43216" w:rsidRDefault="001F6483" w:rsidP="00594D20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833" w:type="dxa"/>
            <w:shd w:val="clear" w:color="auto" w:fill="auto"/>
            <w:tcMar>
              <w:left w:w="0" w:type="dxa"/>
            </w:tcMar>
          </w:tcPr>
          <w:p w14:paraId="2A451ABF" w14:textId="06173059" w:rsidR="001F6483" w:rsidRPr="00F6560A" w:rsidRDefault="001F6483" w:rsidP="001F6483">
            <w:pPr>
              <w:tabs>
                <w:tab w:val="right" w:pos="7683"/>
              </w:tabs>
              <w:spacing w:after="0"/>
              <w:rPr>
                <w:noProof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Poznámka: Údaje jsou uvedeny za jednotlivá pololetí. </w:t>
            </w:r>
            <w:r w:rsidRPr="00F6560A">
              <w:rPr>
                <w:bCs/>
                <w:sz w:val="14"/>
                <w:szCs w:val="14"/>
              </w:rPr>
              <w:t>*Zahrnuje odvětví s významnou rolí státu: Veřejná správa a obrana, povinné sociální zabezpečení; Vzdělávání; Zdravotní a sociální péče; Kulturní, zábavní a rekreační činnosti.</w:t>
            </w:r>
            <w:r w:rsidRPr="00F6560A">
              <w:rPr>
                <w:bCs/>
                <w:sz w:val="14"/>
                <w:szCs w:val="14"/>
              </w:rPr>
              <w:tab/>
            </w:r>
            <w:r w:rsidRPr="00F6560A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</w:t>
            </w:r>
          </w:p>
        </w:tc>
      </w:tr>
      <w:bookmarkEnd w:id="1"/>
    </w:tbl>
    <w:p w14:paraId="5BAB8EA3" w14:textId="6926CA10" w:rsidR="000663F0" w:rsidRPr="00E42054" w:rsidRDefault="000663F0" w:rsidP="00D9511B">
      <w:pPr>
        <w:pStyle w:val="Nadpis11"/>
        <w:spacing w:after="120"/>
        <w:rPr>
          <w:b w:val="0"/>
          <w:sz w:val="2"/>
          <w:szCs w:val="2"/>
        </w:rPr>
      </w:pPr>
    </w:p>
    <w:sectPr w:rsidR="000663F0" w:rsidRPr="00E42054" w:rsidSect="00D9511B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9558" w14:textId="77777777" w:rsidR="00665501" w:rsidRDefault="00665501" w:rsidP="00E71A58">
      <w:r>
        <w:separator/>
      </w:r>
    </w:p>
  </w:endnote>
  <w:endnote w:type="continuationSeparator" w:id="0">
    <w:p w14:paraId="1D4B7205" w14:textId="77777777" w:rsidR="00665501" w:rsidRDefault="0066550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6C8" w14:textId="1E100CD2" w:rsidR="00275E43" w:rsidRPr="00932443" w:rsidRDefault="00275E4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42902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FAF" w14:textId="720FC4B9" w:rsidR="00275E43" w:rsidRPr="00932443" w:rsidRDefault="00275E4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42902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C823" w14:textId="77777777" w:rsidR="00665501" w:rsidRDefault="00665501" w:rsidP="00A21B4D">
      <w:pPr>
        <w:spacing w:after="0"/>
      </w:pPr>
      <w:r>
        <w:separator/>
      </w:r>
    </w:p>
  </w:footnote>
  <w:footnote w:type="continuationSeparator" w:id="0">
    <w:p w14:paraId="01B4EBFF" w14:textId="77777777" w:rsidR="00665501" w:rsidRDefault="00665501" w:rsidP="00E71A58">
      <w:r>
        <w:continuationSeparator/>
      </w:r>
    </w:p>
  </w:footnote>
  <w:footnote w:id="1">
    <w:p w14:paraId="0D40FE00" w14:textId="77777777" w:rsidR="001F6483" w:rsidRPr="00F72E52" w:rsidRDefault="001F6483" w:rsidP="001F6483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F72E52">
        <w:rPr>
          <w:color w:val="0D0D0D" w:themeColor="text1" w:themeTint="F2"/>
          <w:spacing w:val="-2"/>
          <w:sz w:val="16"/>
          <w:szCs w:val="16"/>
        </w:rPr>
        <w:t xml:space="preserve"> Údaje </w:t>
      </w:r>
      <w:r>
        <w:rPr>
          <w:color w:val="0D0D0D" w:themeColor="text1" w:themeTint="F2"/>
          <w:spacing w:val="-2"/>
          <w:sz w:val="16"/>
          <w:szCs w:val="16"/>
        </w:rPr>
        <w:t xml:space="preserve">o zaměstnanosti </w:t>
      </w:r>
      <w:r w:rsidRPr="00F72E52">
        <w:rPr>
          <w:color w:val="0D0D0D" w:themeColor="text1" w:themeTint="F2"/>
          <w:spacing w:val="-2"/>
          <w:sz w:val="16"/>
          <w:szCs w:val="16"/>
        </w:rPr>
        <w:t>vycház</w:t>
      </w:r>
      <w:r>
        <w:rPr>
          <w:color w:val="0D0D0D" w:themeColor="text1" w:themeTint="F2"/>
          <w:spacing w:val="-2"/>
          <w:sz w:val="16"/>
          <w:szCs w:val="16"/>
        </w:rPr>
        <w:t>ej</w:t>
      </w:r>
      <w:r w:rsidRPr="00F72E52">
        <w:rPr>
          <w:color w:val="0D0D0D" w:themeColor="text1" w:themeTint="F2"/>
          <w:spacing w:val="-2"/>
          <w:sz w:val="16"/>
          <w:szCs w:val="16"/>
        </w:rPr>
        <w:t>í z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pojetí národních účtů. Jsou vyjádřeny ve fyzických osobách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očištěny o sezónní vlivy.</w:t>
      </w:r>
    </w:p>
  </w:footnote>
  <w:footnote w:id="2">
    <w:p w14:paraId="115D00F9" w14:textId="77777777" w:rsidR="001F6483" w:rsidRPr="00946AFA" w:rsidRDefault="001F6483" w:rsidP="001F6483">
      <w:pPr>
        <w:pStyle w:val="Textpoznpodarou"/>
        <w:rPr>
          <w:sz w:val="16"/>
          <w:szCs w:val="16"/>
        </w:rPr>
      </w:pPr>
      <w:r w:rsidRPr="00946AFA">
        <w:rPr>
          <w:rStyle w:val="Znakapoznpodarou"/>
          <w:sz w:val="16"/>
          <w:szCs w:val="16"/>
        </w:rPr>
        <w:footnoteRef/>
      </w:r>
      <w:r w:rsidRPr="00946AFA">
        <w:rPr>
          <w:sz w:val="16"/>
          <w:szCs w:val="16"/>
        </w:rPr>
        <w:t xml:space="preserve"> Z detailnějších </w:t>
      </w:r>
      <w:r>
        <w:rPr>
          <w:sz w:val="16"/>
          <w:szCs w:val="16"/>
        </w:rPr>
        <w:t xml:space="preserve">údajů z </w:t>
      </w:r>
      <w:r w:rsidRPr="00946AFA">
        <w:rPr>
          <w:sz w:val="16"/>
          <w:szCs w:val="16"/>
        </w:rPr>
        <w:t xml:space="preserve">výběrového šetření pracovních sil </w:t>
      </w:r>
      <w:r>
        <w:rPr>
          <w:sz w:val="16"/>
          <w:szCs w:val="16"/>
        </w:rPr>
        <w:t xml:space="preserve">(VŠPS) </w:t>
      </w:r>
      <w:r w:rsidRPr="00946AFA">
        <w:rPr>
          <w:sz w:val="16"/>
          <w:szCs w:val="16"/>
        </w:rPr>
        <w:t>plyne, že počet zaměstnavatel</w:t>
      </w:r>
      <w:r>
        <w:rPr>
          <w:sz w:val="16"/>
          <w:szCs w:val="16"/>
        </w:rPr>
        <w:t>ů (podnikatelů se zaměstnanci) se nadále snižoval (čtvrtým rokem v řadě). Tato kategorie podnikatelů je v metodice národních účtů řazena do kategorie zaměstnanců.</w:t>
      </w:r>
    </w:p>
  </w:footnote>
  <w:footnote w:id="3">
    <w:p w14:paraId="37FB020F" w14:textId="77777777" w:rsidR="001F6483" w:rsidRPr="00F72E52" w:rsidRDefault="001F6483" w:rsidP="001F6483">
      <w:pPr>
        <w:pStyle w:val="Textpoznpodarou"/>
        <w:jc w:val="both"/>
        <w:rPr>
          <w:color w:val="0D0D0D" w:themeColor="text1" w:themeTint="F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z w:val="16"/>
          <w:szCs w:val="16"/>
        </w:rPr>
        <w:footnoteRef/>
      </w:r>
      <w:r w:rsidRPr="00F72E52">
        <w:rPr>
          <w:color w:val="0D0D0D" w:themeColor="text1" w:themeTint="F2"/>
          <w:sz w:val="16"/>
          <w:szCs w:val="16"/>
        </w:rPr>
        <w:t xml:space="preserve"> Odvětví s </w:t>
      </w:r>
      <w:r w:rsidRPr="009910EC">
        <w:rPr>
          <w:color w:val="0D0D0D" w:themeColor="text1" w:themeTint="F2"/>
          <w:sz w:val="16"/>
          <w:szCs w:val="16"/>
        </w:rPr>
        <w:t xml:space="preserve">převahou veřejných služeb, zahrnující veřejnou správu, obranu a sociální zabezpečení a také </w:t>
      </w:r>
      <w:r w:rsidRPr="009910EC">
        <w:rPr>
          <w:spacing w:val="-4"/>
          <w:sz w:val="16"/>
          <w:szCs w:val="16"/>
        </w:rPr>
        <w:t xml:space="preserve">vzdělávání i zdravotní a sociální péči, </w:t>
      </w:r>
      <w:r w:rsidRPr="009910EC">
        <w:rPr>
          <w:color w:val="0D0D0D" w:themeColor="text1" w:themeTint="F2"/>
          <w:sz w:val="16"/>
          <w:szCs w:val="16"/>
        </w:rPr>
        <w:t>působila</w:t>
      </w:r>
      <w:r w:rsidRPr="00F72E52">
        <w:rPr>
          <w:color w:val="0D0D0D" w:themeColor="text1" w:themeTint="F2"/>
          <w:sz w:val="16"/>
          <w:szCs w:val="16"/>
        </w:rPr>
        <w:t xml:space="preserve"> na celkovou zaměstnanost </w:t>
      </w:r>
      <w:proofErr w:type="spellStart"/>
      <w:r w:rsidRPr="00F72E52">
        <w:rPr>
          <w:color w:val="0D0D0D" w:themeColor="text1" w:themeTint="F2"/>
          <w:sz w:val="16"/>
          <w:szCs w:val="16"/>
        </w:rPr>
        <w:t>prorůstově</w:t>
      </w:r>
      <w:proofErr w:type="spellEnd"/>
      <w:r w:rsidRPr="00F72E52">
        <w:rPr>
          <w:color w:val="0D0D0D" w:themeColor="text1" w:themeTint="F2"/>
          <w:sz w:val="16"/>
          <w:szCs w:val="16"/>
        </w:rPr>
        <w:t xml:space="preserve"> nejvíce ze všech </w:t>
      </w:r>
      <w:r>
        <w:rPr>
          <w:color w:val="0D0D0D" w:themeColor="text1" w:themeTint="F2"/>
          <w:sz w:val="16"/>
          <w:szCs w:val="16"/>
        </w:rPr>
        <w:t xml:space="preserve">hlavních </w:t>
      </w:r>
      <w:r w:rsidRPr="00F72E52">
        <w:rPr>
          <w:color w:val="0D0D0D" w:themeColor="text1" w:themeTint="F2"/>
          <w:sz w:val="16"/>
          <w:szCs w:val="16"/>
        </w:rPr>
        <w:t xml:space="preserve">odvětví </w:t>
      </w:r>
      <w:r>
        <w:rPr>
          <w:color w:val="0D0D0D" w:themeColor="text1" w:themeTint="F2"/>
          <w:sz w:val="16"/>
          <w:szCs w:val="16"/>
        </w:rPr>
        <w:t xml:space="preserve">i v letech </w:t>
      </w:r>
      <w:r w:rsidRPr="00F72E52">
        <w:rPr>
          <w:color w:val="0D0D0D" w:themeColor="text1" w:themeTint="F2"/>
          <w:sz w:val="16"/>
          <w:szCs w:val="16"/>
        </w:rPr>
        <w:t>2020 a</w:t>
      </w:r>
      <w:r>
        <w:rPr>
          <w:color w:val="0D0D0D" w:themeColor="text1" w:themeTint="F2"/>
          <w:sz w:val="16"/>
          <w:szCs w:val="16"/>
        </w:rPr>
        <w:t> </w:t>
      </w:r>
      <w:r w:rsidRPr="00F72E52">
        <w:rPr>
          <w:color w:val="0D0D0D" w:themeColor="text1" w:themeTint="F2"/>
          <w:sz w:val="16"/>
          <w:szCs w:val="16"/>
        </w:rPr>
        <w:t>2021.</w:t>
      </w:r>
    </w:p>
  </w:footnote>
  <w:footnote w:id="4">
    <w:p w14:paraId="338ADCBB" w14:textId="77777777" w:rsidR="001F6483" w:rsidRPr="005C3B55" w:rsidRDefault="001F6483" w:rsidP="001F6483">
      <w:pPr>
        <w:pStyle w:val="Textpoznpodarou"/>
        <w:rPr>
          <w:sz w:val="16"/>
          <w:szCs w:val="16"/>
        </w:rPr>
      </w:pPr>
      <w:r w:rsidRPr="005C3B55">
        <w:rPr>
          <w:rStyle w:val="Znakapoznpodarou"/>
          <w:sz w:val="16"/>
          <w:szCs w:val="16"/>
        </w:rPr>
        <w:footnoteRef/>
      </w:r>
      <w:r w:rsidRPr="005C3B55">
        <w:rPr>
          <w:sz w:val="16"/>
          <w:szCs w:val="16"/>
        </w:rPr>
        <w:t xml:space="preserve"> Ty </w:t>
      </w:r>
      <w:r>
        <w:rPr>
          <w:sz w:val="16"/>
          <w:szCs w:val="16"/>
        </w:rPr>
        <w:t>z</w:t>
      </w:r>
      <w:r w:rsidRPr="005C3B55">
        <w:rPr>
          <w:sz w:val="16"/>
          <w:szCs w:val="16"/>
        </w:rPr>
        <w:t xml:space="preserve">ahrnují kulturní, zábavní a rekreační činnosti a dále zejména poskytování osobních služeb (např. kadeřnictví, kosmetické služby, </w:t>
      </w:r>
      <w:r w:rsidRPr="005C3B55">
        <w:rPr>
          <w:rFonts w:cs="Arial"/>
          <w:color w:val="0D0D0D" w:themeColor="text1" w:themeTint="F2"/>
          <w:spacing w:val="-2"/>
          <w:sz w:val="16"/>
          <w:szCs w:val="16"/>
        </w:rPr>
        <w:t xml:space="preserve">čisticí služby či </w:t>
      </w:r>
      <w:r w:rsidRPr="005C3B55">
        <w:rPr>
          <w:sz w:val="16"/>
          <w:szCs w:val="16"/>
        </w:rPr>
        <w:t>opravy výrobků pro osobní potřebu a převážně pro domácnost).</w:t>
      </w:r>
    </w:p>
  </w:footnote>
  <w:footnote w:id="5">
    <w:p w14:paraId="7142BF42" w14:textId="77777777" w:rsidR="001F6483" w:rsidRPr="005E586A" w:rsidRDefault="001F6483" w:rsidP="001F6483">
      <w:pPr>
        <w:pStyle w:val="Textpoznpodarou"/>
        <w:rPr>
          <w:sz w:val="16"/>
          <w:szCs w:val="16"/>
        </w:rPr>
      </w:pPr>
      <w:r w:rsidRPr="005E586A">
        <w:rPr>
          <w:rStyle w:val="Znakapoznpodarou"/>
          <w:sz w:val="16"/>
          <w:szCs w:val="16"/>
        </w:rPr>
        <w:footnoteRef/>
      </w:r>
      <w:r w:rsidRPr="005E586A">
        <w:rPr>
          <w:sz w:val="16"/>
          <w:szCs w:val="16"/>
        </w:rPr>
        <w:t xml:space="preserve"> V úhrnu za posledních šest let zde ubyla zhruba desetina pracovních míst (většinou drobných podnikatelů), naopak v odvětví ICT došlo k navýšení o více než čtvrtinu. Poklesy míst ve finančnictví souvisí i s</w:t>
      </w:r>
      <w:r>
        <w:rPr>
          <w:sz w:val="16"/>
          <w:szCs w:val="16"/>
        </w:rPr>
        <w:t> </w:t>
      </w:r>
      <w:r w:rsidRPr="005E586A">
        <w:rPr>
          <w:spacing w:val="-4"/>
          <w:sz w:val="16"/>
          <w:szCs w:val="16"/>
        </w:rPr>
        <w:t>postupující</w:t>
      </w:r>
      <w:r>
        <w:rPr>
          <w:spacing w:val="-4"/>
          <w:sz w:val="16"/>
          <w:szCs w:val="16"/>
        </w:rPr>
        <w:t>m procesem digitalizace</w:t>
      </w:r>
      <w:r w:rsidRPr="005E586A">
        <w:rPr>
          <w:spacing w:val="-4"/>
          <w:sz w:val="16"/>
          <w:szCs w:val="16"/>
        </w:rPr>
        <w:t>.</w:t>
      </w:r>
    </w:p>
  </w:footnote>
  <w:footnote w:id="6">
    <w:p w14:paraId="28B03233" w14:textId="77777777" w:rsidR="001F6483" w:rsidRPr="00A11CDF" w:rsidRDefault="001F6483" w:rsidP="001F6483">
      <w:pPr>
        <w:pStyle w:val="Textpoznpodarou"/>
        <w:rPr>
          <w:sz w:val="16"/>
          <w:szCs w:val="16"/>
        </w:rPr>
      </w:pPr>
      <w:r w:rsidRPr="00A11CDF">
        <w:rPr>
          <w:rStyle w:val="Znakapoznpodarou"/>
          <w:sz w:val="16"/>
          <w:szCs w:val="16"/>
        </w:rPr>
        <w:footnoteRef/>
      </w:r>
      <w:r w:rsidRPr="00A11CDF">
        <w:rPr>
          <w:sz w:val="16"/>
          <w:szCs w:val="16"/>
        </w:rPr>
        <w:t xml:space="preserve"> </w:t>
      </w:r>
      <w:proofErr w:type="spellStart"/>
      <w:r w:rsidRPr="00A11CDF">
        <w:rPr>
          <w:sz w:val="16"/>
          <w:szCs w:val="16"/>
        </w:rPr>
        <w:t>Sebezaměstnané</w:t>
      </w:r>
      <w:proofErr w:type="spellEnd"/>
      <w:r w:rsidRPr="00A11CDF">
        <w:rPr>
          <w:sz w:val="16"/>
          <w:szCs w:val="16"/>
        </w:rPr>
        <w:t xml:space="preserve"> osoby tvoří</w:t>
      </w:r>
      <w:r>
        <w:rPr>
          <w:sz w:val="16"/>
          <w:szCs w:val="16"/>
        </w:rPr>
        <w:t xml:space="preserve"> dlouhodobě</w:t>
      </w:r>
      <w:r w:rsidRPr="00A11CDF">
        <w:rPr>
          <w:sz w:val="16"/>
          <w:szCs w:val="16"/>
        </w:rPr>
        <w:t xml:space="preserve"> třetinu všech zaměstnaných osob ve stavebnictví.</w:t>
      </w:r>
    </w:p>
  </w:footnote>
  <w:footnote w:id="7">
    <w:p w14:paraId="0A82A5AC" w14:textId="77777777" w:rsidR="001F6483" w:rsidRPr="006C529B" w:rsidRDefault="001F6483" w:rsidP="001F6483">
      <w:pPr>
        <w:pStyle w:val="Textpoznpodarou"/>
        <w:rPr>
          <w:sz w:val="16"/>
          <w:szCs w:val="16"/>
        </w:rPr>
      </w:pPr>
      <w:r w:rsidRPr="006C529B">
        <w:rPr>
          <w:rStyle w:val="Znakapoznpodarou"/>
          <w:sz w:val="16"/>
          <w:szCs w:val="16"/>
        </w:rPr>
        <w:footnoteRef/>
      </w:r>
      <w:r w:rsidRPr="006C529B">
        <w:rPr>
          <w:sz w:val="16"/>
          <w:szCs w:val="16"/>
        </w:rPr>
        <w:t xml:space="preserve"> To dokládá i </w:t>
      </w:r>
      <w:r>
        <w:rPr>
          <w:sz w:val="16"/>
          <w:szCs w:val="16"/>
        </w:rPr>
        <w:t xml:space="preserve">dlouhodobý klesající trend </w:t>
      </w:r>
      <w:r w:rsidRPr="006C529B">
        <w:rPr>
          <w:sz w:val="16"/>
          <w:szCs w:val="16"/>
        </w:rPr>
        <w:t>poč</w:t>
      </w:r>
      <w:r>
        <w:rPr>
          <w:sz w:val="16"/>
          <w:szCs w:val="16"/>
        </w:rPr>
        <w:t>tu</w:t>
      </w:r>
      <w:r w:rsidRPr="006C529B">
        <w:rPr>
          <w:sz w:val="16"/>
          <w:szCs w:val="16"/>
        </w:rPr>
        <w:t xml:space="preserve"> ekonomicky neaktivních osob</w:t>
      </w:r>
      <w:r>
        <w:rPr>
          <w:sz w:val="16"/>
          <w:szCs w:val="16"/>
        </w:rPr>
        <w:t xml:space="preserve"> uvádějících zájem pracovat. Ten ve 3. čtvrtletí nedosahoval ani 60 tis. Spolu s </w:t>
      </w:r>
      <w:proofErr w:type="spellStart"/>
      <w:r>
        <w:rPr>
          <w:sz w:val="16"/>
          <w:szCs w:val="16"/>
        </w:rPr>
        <w:t>podzaměstnanými</w:t>
      </w:r>
      <w:proofErr w:type="spellEnd"/>
      <w:r>
        <w:rPr>
          <w:sz w:val="16"/>
          <w:szCs w:val="16"/>
        </w:rPr>
        <w:t xml:space="preserve"> a všemi nezaměstnanými se jednalo o necelých 200 tis. osob. V relaci k celkovému počtu zaměstnaných šlo o méně než 4 %.</w:t>
      </w:r>
    </w:p>
  </w:footnote>
  <w:footnote w:id="8">
    <w:p w14:paraId="511A747A" w14:textId="77777777" w:rsidR="001F6483" w:rsidRPr="00F41731" w:rsidRDefault="001F6483" w:rsidP="001F6483">
      <w:pPr>
        <w:pStyle w:val="Textpoznpodarou"/>
        <w:rPr>
          <w:color w:val="0D0D0D" w:themeColor="text1" w:themeTint="F2"/>
          <w:spacing w:val="-6"/>
          <w:sz w:val="16"/>
          <w:szCs w:val="16"/>
        </w:rPr>
      </w:pPr>
      <w:r w:rsidRPr="003757DB">
        <w:rPr>
          <w:rStyle w:val="Znakapoznpodarou"/>
          <w:color w:val="0D0D0D" w:themeColor="text1" w:themeTint="F2"/>
          <w:spacing w:val="-6"/>
          <w:sz w:val="16"/>
          <w:szCs w:val="16"/>
        </w:rPr>
        <w:footnoteRef/>
      </w:r>
      <w:r w:rsidRPr="003757DB">
        <w:rPr>
          <w:color w:val="0D0D0D" w:themeColor="text1" w:themeTint="F2"/>
          <w:spacing w:val="-6"/>
          <w:sz w:val="16"/>
          <w:szCs w:val="16"/>
        </w:rPr>
        <w:t xml:space="preserve"> Letos v listopadu registrovaly úřady práce (ÚP) rekordních 800 tis. cizích státních </w:t>
      </w:r>
      <w:r w:rsidRPr="00F41731">
        <w:rPr>
          <w:color w:val="0D0D0D" w:themeColor="text1" w:themeTint="F2"/>
          <w:spacing w:val="-6"/>
          <w:sz w:val="16"/>
          <w:szCs w:val="16"/>
        </w:rPr>
        <w:t>příslušníků v zaměstnaneckém postavení na území ČR. To b</w:t>
      </w:r>
      <w:r>
        <w:rPr>
          <w:color w:val="0D0D0D" w:themeColor="text1" w:themeTint="F2"/>
          <w:spacing w:val="-6"/>
          <w:sz w:val="16"/>
          <w:szCs w:val="16"/>
        </w:rPr>
        <w:t>ylo o</w:t>
      </w:r>
      <w:r w:rsidRPr="003757DB">
        <w:rPr>
          <w:color w:val="0D0D0D" w:themeColor="text1" w:themeTint="F2"/>
          <w:spacing w:val="-6"/>
          <w:sz w:val="16"/>
          <w:szCs w:val="16"/>
        </w:rPr>
        <w:t> </w:t>
      </w:r>
      <w:r>
        <w:rPr>
          <w:color w:val="0D0D0D" w:themeColor="text1" w:themeTint="F2"/>
          <w:spacing w:val="-6"/>
          <w:sz w:val="16"/>
          <w:szCs w:val="16"/>
        </w:rPr>
        <w:t>33 tis. více než na konci června 2022 (a o 98 tis. více než loni v prosinci).</w:t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K růstu počtu cizinců v zaměstnaneckých pozicích</w:t>
      </w:r>
      <w:r>
        <w:rPr>
          <w:color w:val="0D0D0D" w:themeColor="text1" w:themeTint="F2"/>
          <w:spacing w:val="-6"/>
          <w:sz w:val="16"/>
          <w:szCs w:val="16"/>
        </w:rPr>
        <w:t xml:space="preserve"> od ledna do listopadu 2022 zásadně přispěli </w:t>
      </w:r>
      <w:r w:rsidRPr="00F41731">
        <w:rPr>
          <w:color w:val="0D0D0D" w:themeColor="text1" w:themeTint="F2"/>
          <w:spacing w:val="-6"/>
          <w:sz w:val="16"/>
          <w:szCs w:val="16"/>
        </w:rPr>
        <w:t>pracovníci z Ukrajiny, j</w:t>
      </w:r>
      <w:r>
        <w:rPr>
          <w:color w:val="0D0D0D" w:themeColor="text1" w:themeTint="F2"/>
          <w:spacing w:val="-6"/>
          <w:sz w:val="16"/>
          <w:szCs w:val="16"/>
        </w:rPr>
        <w:t>ichž přibylo skoro o 40 % (+77 tis., z toho žen +60 tis.) na celkových 272 tis. Počet Slováků, kteří ještě vloni tvořili</w:t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nejpočetnější cizineckou skupinu, </w:t>
      </w:r>
      <w:r>
        <w:rPr>
          <w:color w:val="0D0D0D" w:themeColor="text1" w:themeTint="F2"/>
          <w:spacing w:val="-6"/>
          <w:sz w:val="16"/>
          <w:szCs w:val="16"/>
        </w:rPr>
        <w:t xml:space="preserve">narostl za stejné období řádově méně </w:t>
      </w:r>
      <w:r w:rsidRPr="00F41731">
        <w:rPr>
          <w:color w:val="0D0D0D" w:themeColor="text1" w:themeTint="F2"/>
          <w:spacing w:val="-6"/>
          <w:sz w:val="16"/>
          <w:szCs w:val="16"/>
        </w:rPr>
        <w:t>(</w:t>
      </w:r>
      <w:r>
        <w:rPr>
          <w:color w:val="0D0D0D" w:themeColor="text1" w:themeTint="F2"/>
          <w:spacing w:val="-6"/>
          <w:sz w:val="16"/>
          <w:szCs w:val="16"/>
        </w:rPr>
        <w:t>+3 %, na 215</w:t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tis.)</w:t>
      </w:r>
      <w:r>
        <w:rPr>
          <w:color w:val="0D0D0D" w:themeColor="text1" w:themeTint="F2"/>
          <w:spacing w:val="-6"/>
          <w:sz w:val="16"/>
          <w:szCs w:val="16"/>
        </w:rPr>
        <w:t xml:space="preserve">. Jen mírně se také rozrostly počty pracujících Poláků (na 49 tis.) a Rumunů (48 tis.). </w:t>
      </w:r>
      <w:r w:rsidRPr="00F41731">
        <w:rPr>
          <w:color w:val="0D0D0D" w:themeColor="text1" w:themeTint="F2"/>
          <w:spacing w:val="-6"/>
          <w:sz w:val="16"/>
          <w:szCs w:val="16"/>
        </w:rPr>
        <w:t>Bulharských či běloruských zaměst</w:t>
      </w:r>
      <w:r>
        <w:rPr>
          <w:color w:val="0D0D0D" w:themeColor="text1" w:themeTint="F2"/>
          <w:spacing w:val="-6"/>
          <w:sz w:val="16"/>
          <w:szCs w:val="16"/>
        </w:rPr>
        <w:t>nanců dokonce mírně ubylo (na 38</w:t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tis., resp. 6 tis.). Z významnějších skupin cizinců relativně nejvíce posílili ti z</w:t>
      </w:r>
      <w:r>
        <w:rPr>
          <w:color w:val="0D0D0D" w:themeColor="text1" w:themeTint="F2"/>
          <w:spacing w:val="-6"/>
          <w:sz w:val="16"/>
          <w:szCs w:val="16"/>
        </w:rPr>
        <w:t> Filipín (+48 %), Indie</w:t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</w:t>
      </w:r>
      <w:r>
        <w:rPr>
          <w:color w:val="0D0D0D" w:themeColor="text1" w:themeTint="F2"/>
          <w:spacing w:val="-6"/>
          <w:sz w:val="16"/>
          <w:szCs w:val="16"/>
        </w:rPr>
        <w:t>(+29 %) a Kazachstánu (+19 %), jejich celkové počty se ale i tak pohybovaly jen okolo 5 tis.</w:t>
      </w:r>
      <w:r w:rsidRPr="00F41731">
        <w:rPr>
          <w:color w:val="0D0D0D" w:themeColor="text1" w:themeTint="F2"/>
          <w:spacing w:val="-6"/>
          <w:sz w:val="16"/>
          <w:szCs w:val="16"/>
        </w:rPr>
        <w:t xml:space="preserve"> </w:t>
      </w:r>
      <w:r>
        <w:rPr>
          <w:color w:val="0D0D0D" w:themeColor="text1" w:themeTint="F2"/>
          <w:spacing w:val="-6"/>
          <w:sz w:val="16"/>
          <w:szCs w:val="16"/>
        </w:rPr>
        <w:t xml:space="preserve">Bezmála polovina všech </w:t>
      </w:r>
      <w:r w:rsidRPr="00F41731">
        <w:rPr>
          <w:color w:val="0D0D0D" w:themeColor="text1" w:themeTint="F2"/>
          <w:spacing w:val="-6"/>
          <w:sz w:val="16"/>
          <w:szCs w:val="16"/>
        </w:rPr>
        <w:t>cizinců v zaměstnaneckých pozicích</w:t>
      </w:r>
      <w:r>
        <w:rPr>
          <w:color w:val="0D0D0D" w:themeColor="text1" w:themeTint="F2"/>
          <w:spacing w:val="-6"/>
          <w:sz w:val="16"/>
          <w:szCs w:val="16"/>
        </w:rPr>
        <w:t xml:space="preserve"> byla registrována v Praze a Středočeském kraji. Dosavadní letošní navýšení počtu cizinců do značné míry záviselo na humanitárních ubytovacích kapacitách v jednotlivých regionech. Absolutně přibylo nejvíce cizinců ve středních Čechách (+15,7 tis.), relativně pak ve většině moravských krajů (mezi 25–30 %). </w:t>
      </w:r>
    </w:p>
  </w:footnote>
  <w:footnote w:id="9">
    <w:p w14:paraId="7EF3409C" w14:textId="77777777" w:rsidR="001F6483" w:rsidRPr="000058A7" w:rsidRDefault="001F6483" w:rsidP="001F6483">
      <w:pPr>
        <w:pStyle w:val="Textpoznpodarou"/>
        <w:rPr>
          <w:sz w:val="16"/>
          <w:szCs w:val="16"/>
        </w:rPr>
      </w:pPr>
      <w:r w:rsidRPr="000058A7">
        <w:rPr>
          <w:rStyle w:val="Znakapoznpodarou"/>
          <w:sz w:val="16"/>
          <w:szCs w:val="16"/>
        </w:rPr>
        <w:footnoteRef/>
      </w:r>
      <w:r w:rsidRPr="000058A7">
        <w:rPr>
          <w:sz w:val="16"/>
          <w:szCs w:val="16"/>
        </w:rPr>
        <w:t xml:space="preserve"> Údaje nejsou sezónně očištěny. </w:t>
      </w:r>
      <w:r>
        <w:rPr>
          <w:sz w:val="16"/>
          <w:szCs w:val="16"/>
        </w:rPr>
        <w:t xml:space="preserve">Nicméně i po očištění je ve 2. polovině letošního roku patrný rostoucí optimismus podnikatelů v obchodu, jenž kontrastuje se zvyšujícím se počtem podniků ve službách i zpracovatelském průmyslu očekávajících pokles vlastní zaměstnanosti  </w:t>
      </w:r>
    </w:p>
  </w:footnote>
  <w:footnote w:id="10">
    <w:p w14:paraId="5502AE23" w14:textId="77777777" w:rsidR="001F6483" w:rsidRPr="00CC045D" w:rsidRDefault="001F6483" w:rsidP="001F6483">
      <w:pPr>
        <w:pStyle w:val="Textpoznpodarou"/>
        <w:rPr>
          <w:sz w:val="16"/>
          <w:szCs w:val="16"/>
        </w:rPr>
      </w:pPr>
      <w:r w:rsidRPr="00CC045D">
        <w:rPr>
          <w:rStyle w:val="Znakapoznpodarou"/>
          <w:sz w:val="16"/>
          <w:szCs w:val="16"/>
        </w:rPr>
        <w:footnoteRef/>
      </w:r>
      <w:r w:rsidRPr="00CC045D">
        <w:rPr>
          <w:sz w:val="16"/>
          <w:szCs w:val="16"/>
        </w:rPr>
        <w:t xml:space="preserve"> Snižování zaměstnano</w:t>
      </w:r>
      <w:r>
        <w:rPr>
          <w:sz w:val="16"/>
          <w:szCs w:val="16"/>
        </w:rPr>
        <w:t xml:space="preserve">sti očekávaly dle listopadového šetření zejména průmyslové podniky v petrochemii, opravách strojů a zařízení, tiskárenství, </w:t>
      </w:r>
      <w:r w:rsidRPr="00CC045D">
        <w:rPr>
          <w:sz w:val="16"/>
          <w:szCs w:val="16"/>
        </w:rPr>
        <w:t xml:space="preserve">gumárenství a </w:t>
      </w:r>
      <w:proofErr w:type="spellStart"/>
      <w:r w:rsidRPr="00CC045D">
        <w:rPr>
          <w:sz w:val="16"/>
          <w:szCs w:val="16"/>
        </w:rPr>
        <w:t>p</w:t>
      </w:r>
      <w:r>
        <w:rPr>
          <w:sz w:val="16"/>
          <w:szCs w:val="16"/>
        </w:rPr>
        <w:t>lastikářství</w:t>
      </w:r>
      <w:proofErr w:type="spellEnd"/>
      <w:r>
        <w:rPr>
          <w:sz w:val="16"/>
          <w:szCs w:val="16"/>
        </w:rPr>
        <w:t xml:space="preserve"> a také v hutnictví a slévárenství. Ve službách byla negativní očekávání patrná zejména </w:t>
      </w:r>
      <w:r>
        <w:rPr>
          <w:sz w:val="16"/>
          <w:szCs w:val="16"/>
        </w:rPr>
        <w:br/>
        <w:t xml:space="preserve">v letecké dopravě, u cestovních kanceláří a agentur, ve vydavatelských činnostech, v peněžnictví, v činnostech v oblasti nemovitostí či v oblasti pronájmu </w:t>
      </w:r>
      <w:r w:rsidRPr="002C59E3">
        <w:rPr>
          <w:sz w:val="16"/>
          <w:szCs w:val="16"/>
        </w:rPr>
        <w:t>a operativního leasingu</w:t>
      </w:r>
      <w:r>
        <w:rPr>
          <w:sz w:val="16"/>
          <w:szCs w:val="16"/>
        </w:rPr>
        <w:t>.</w:t>
      </w:r>
    </w:p>
  </w:footnote>
  <w:footnote w:id="11">
    <w:p w14:paraId="62DF4C28" w14:textId="77777777" w:rsidR="001F6483" w:rsidRPr="004E68B1" w:rsidRDefault="001F6483" w:rsidP="001F6483">
      <w:pPr>
        <w:pStyle w:val="Textpoznpodarou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(dle metodiky ILO) a jsou očištěny o sezónní vlivy.</w:t>
      </w:r>
    </w:p>
  </w:footnote>
  <w:footnote w:id="12">
    <w:p w14:paraId="2B797366" w14:textId="77777777" w:rsidR="001F6483" w:rsidRPr="00D94F3D" w:rsidRDefault="001F6483" w:rsidP="001F6483">
      <w:pPr>
        <w:pStyle w:val="Textpoznpodarou"/>
        <w:rPr>
          <w:sz w:val="16"/>
          <w:szCs w:val="16"/>
        </w:rPr>
      </w:pPr>
      <w:r w:rsidRPr="00D94F3D">
        <w:rPr>
          <w:rStyle w:val="Znakapoznpodarou"/>
          <w:sz w:val="16"/>
          <w:szCs w:val="16"/>
        </w:rPr>
        <w:footnoteRef/>
      </w:r>
      <w:r w:rsidRPr="00D94F3D">
        <w:rPr>
          <w:sz w:val="16"/>
          <w:szCs w:val="16"/>
        </w:rPr>
        <w:t xml:space="preserve"> Podíl nezaměstnaných, vyjadřující počet dosažitelných uchazečů o zaměstnání ve věku 15–64 let k obyvatelstvu stejného věku, činil letos v září u mužů 3,0 %, u žen 4,0 %. Oba podíly jsou ovšem ve srovnání se shodným obdobím roku 2019 mírně vyšší (o 0,6 p. b.</w:t>
      </w:r>
      <w:r>
        <w:rPr>
          <w:sz w:val="16"/>
          <w:szCs w:val="16"/>
        </w:rPr>
        <w:t>, resp. 1,1</w:t>
      </w:r>
      <w:r w:rsidRPr="00D94F3D">
        <w:rPr>
          <w:sz w:val="16"/>
          <w:szCs w:val="16"/>
        </w:rPr>
        <w:t xml:space="preserve"> </w:t>
      </w:r>
      <w:proofErr w:type="gramStart"/>
      <w:r w:rsidRPr="00D94F3D">
        <w:rPr>
          <w:sz w:val="16"/>
          <w:szCs w:val="16"/>
        </w:rPr>
        <w:t>p .b</w:t>
      </w:r>
      <w:proofErr w:type="gramEnd"/>
      <w:r w:rsidRPr="00D94F3D">
        <w:rPr>
          <w:sz w:val="16"/>
          <w:szCs w:val="16"/>
        </w:rPr>
        <w:t>).</w:t>
      </w:r>
    </w:p>
  </w:footnote>
  <w:footnote w:id="13">
    <w:p w14:paraId="6D4CD3DD" w14:textId="513A0AC9" w:rsidR="001F6483" w:rsidRDefault="001F6483" w:rsidP="001F6483">
      <w:pPr>
        <w:pStyle w:val="Textpoznpodarou"/>
      </w:pPr>
      <w:r w:rsidRPr="00EB32E8">
        <w:rPr>
          <w:rStyle w:val="Znakapoznpodarou"/>
          <w:sz w:val="16"/>
          <w:szCs w:val="16"/>
        </w:rPr>
        <w:footnoteRef/>
      </w:r>
      <w:r w:rsidRPr="00EB32E8">
        <w:rPr>
          <w:sz w:val="16"/>
          <w:szCs w:val="16"/>
        </w:rPr>
        <w:t xml:space="preserve"> </w:t>
      </w:r>
      <w:r w:rsidRPr="00EB32E8">
        <w:rPr>
          <w:color w:val="0D0D0D" w:themeColor="text1" w:themeTint="F2"/>
          <w:sz w:val="16"/>
          <w:szCs w:val="16"/>
        </w:rPr>
        <w:t>Významnou</w:t>
      </w:r>
      <w:r w:rsidRPr="00B222D0">
        <w:rPr>
          <w:color w:val="0D0D0D" w:themeColor="text1" w:themeTint="F2"/>
          <w:sz w:val="16"/>
          <w:szCs w:val="16"/>
        </w:rPr>
        <w:t xml:space="preserve"> část míst ovšem nelze z různých důvodů považovat za aktivní. </w:t>
      </w:r>
      <w:r w:rsidRPr="00B222D0">
        <w:rPr>
          <w:sz w:val="16"/>
          <w:szCs w:val="16"/>
        </w:rPr>
        <w:t>Jde např. o pozice nabízené firmami, jež ukončily svou činnost, dále o místa, kter</w:t>
      </w:r>
      <w:r>
        <w:rPr>
          <w:sz w:val="16"/>
          <w:szCs w:val="16"/>
        </w:rPr>
        <w:t>á</w:t>
      </w:r>
      <w:r w:rsidRPr="00B222D0">
        <w:rPr>
          <w:sz w:val="16"/>
          <w:szCs w:val="16"/>
        </w:rPr>
        <w:t xml:space="preserve"> již nejso</w:t>
      </w:r>
      <w:r>
        <w:rPr>
          <w:sz w:val="16"/>
          <w:szCs w:val="16"/>
        </w:rPr>
        <w:t>u aktuální, ale z nabídky nebyla stažena</w:t>
      </w:r>
      <w:r w:rsidRPr="00B222D0">
        <w:rPr>
          <w:sz w:val="16"/>
          <w:szCs w:val="16"/>
        </w:rPr>
        <w:t>, či o pozice značně neatraktivní</w:t>
      </w:r>
      <w:r>
        <w:rPr>
          <w:sz w:val="16"/>
          <w:szCs w:val="16"/>
        </w:rPr>
        <w:t>, které zůstávají dlouhodobě neobsazeny</w:t>
      </w:r>
      <w:r w:rsidRPr="00B222D0">
        <w:rPr>
          <w:sz w:val="16"/>
          <w:szCs w:val="16"/>
        </w:rPr>
        <w:t xml:space="preserve"> (kombinace nízkého výdělku a relativně vyšších nároků na uchazeče)</w:t>
      </w:r>
      <w:r>
        <w:rPr>
          <w:color w:val="0D0D0D" w:themeColor="text1" w:themeTint="F2"/>
          <w:sz w:val="16"/>
          <w:szCs w:val="16"/>
        </w:rPr>
        <w:t>.</w:t>
      </w:r>
      <w:r w:rsidRPr="00B222D0">
        <w:rPr>
          <w:color w:val="0D0D0D" w:themeColor="text1" w:themeTint="F2"/>
          <w:sz w:val="16"/>
          <w:szCs w:val="16"/>
        </w:rPr>
        <w:t xml:space="preserve"> </w:t>
      </w:r>
      <w:r w:rsidRPr="00B222D0">
        <w:rPr>
          <w:sz w:val="16"/>
          <w:szCs w:val="16"/>
        </w:rPr>
        <w:t xml:space="preserve">Za skutečně aktivní lze </w:t>
      </w:r>
      <w:r>
        <w:rPr>
          <w:sz w:val="16"/>
          <w:szCs w:val="16"/>
        </w:rPr>
        <w:t>proto</w:t>
      </w:r>
      <w:r w:rsidRPr="00B222D0">
        <w:rPr>
          <w:sz w:val="16"/>
          <w:szCs w:val="16"/>
        </w:rPr>
        <w:t xml:space="preserve"> považovat pouze část veškeré nabídky</w:t>
      </w:r>
      <w:r>
        <w:rPr>
          <w:sz w:val="16"/>
          <w:szCs w:val="16"/>
        </w:rPr>
        <w:t xml:space="preserve"> míst. Počet pozic, které</w:t>
      </w:r>
      <w:r w:rsidRPr="00B222D0">
        <w:rPr>
          <w:sz w:val="16"/>
          <w:szCs w:val="16"/>
        </w:rPr>
        <w:t xml:space="preserve"> byly nabízeny méně než půl roku, činil na k</w:t>
      </w:r>
      <w:r>
        <w:rPr>
          <w:sz w:val="16"/>
          <w:szCs w:val="16"/>
        </w:rPr>
        <w:t>onci 3. čtvrtletí 2022 jen 136</w:t>
      </w:r>
      <w:r w:rsidRPr="00B222D0">
        <w:rPr>
          <w:sz w:val="16"/>
          <w:szCs w:val="16"/>
        </w:rPr>
        <w:t xml:space="preserve"> tis.</w:t>
      </w:r>
    </w:p>
  </w:footnote>
  <w:footnote w:id="14">
    <w:p w14:paraId="3768ADE3" w14:textId="77777777" w:rsidR="001F6483" w:rsidRPr="003C66DA" w:rsidRDefault="001F6483" w:rsidP="001F6483">
      <w:pPr>
        <w:pStyle w:val="Textpoznpodarou"/>
        <w:rPr>
          <w:sz w:val="16"/>
          <w:szCs w:val="16"/>
        </w:rPr>
      </w:pPr>
      <w:r w:rsidRPr="003C66DA">
        <w:rPr>
          <w:rStyle w:val="Znakapoznpodarou"/>
          <w:sz w:val="16"/>
          <w:szCs w:val="16"/>
        </w:rPr>
        <w:footnoteRef/>
      </w:r>
      <w:r w:rsidRPr="003C66DA">
        <w:rPr>
          <w:sz w:val="16"/>
          <w:szCs w:val="16"/>
        </w:rPr>
        <w:t xml:space="preserve"> Počet volných míst vyžadujících maximálně základní vzdělání se snížil o 44 tis. (na 213 tis.). Analogicky propadla i nabídka míst ve dvou nejnižších kvalifikačních třídách – nekvalifikovaných a pomocných pracovníků (o 23 %) a obsluhy strojů a zařízení (17 %).</w:t>
      </w:r>
    </w:p>
  </w:footnote>
  <w:footnote w:id="15">
    <w:p w14:paraId="45E3A6D2" w14:textId="77777777" w:rsidR="001F6483" w:rsidRPr="003C66DA" w:rsidRDefault="001F6483" w:rsidP="001F6483">
      <w:pPr>
        <w:pStyle w:val="Textpoznpodarou"/>
        <w:rPr>
          <w:sz w:val="16"/>
          <w:szCs w:val="16"/>
        </w:rPr>
      </w:pPr>
      <w:r w:rsidRPr="003C66DA">
        <w:rPr>
          <w:rStyle w:val="Znakapoznpodarou"/>
          <w:sz w:val="16"/>
          <w:szCs w:val="16"/>
        </w:rPr>
        <w:footnoteRef/>
      </w:r>
      <w:r w:rsidRPr="003C66DA">
        <w:rPr>
          <w:sz w:val="16"/>
          <w:szCs w:val="16"/>
        </w:rPr>
        <w:t xml:space="preserve"> </w:t>
      </w:r>
      <w:r>
        <w:rPr>
          <w:sz w:val="16"/>
          <w:szCs w:val="16"/>
        </w:rPr>
        <w:t>Nově zaměstnaní pracovníci z Ukrajiny (pocházející z velké části z uprchlické vlny) patrně obsazovali podobné zaměstnanecké pozice jako ukrajinští pracovníci v předchozích letech. Struktura všech ukrajinských pracovníků z pohledu odvětví i kvalifikačních tříd se během 1. pololetí 2022 prakticky nezměnila (pouze ve skupině ukrajinských žen mírně vzrostl podíl pracujících v průmyslu, resp. ve třídě obsluha strojů a zařízení. Téměř 70 % ukrajinských mužů i žen pracovalo ve dvou nejnižších kvalifikačních třídách (mezi cizinci ze zemí EU to byla pouze polovina). Z pohledu odvětví dominovali mezi mužskými zaměstnanci z Ukrajiny ti ve zpracovatelském průmyslu (30 %) a stavebnictví (24 %), mezi ženami rovněž ty ve zpracovatelském průmyslu (30 %) a v administrativních a podpůrných činnostech (25 %), kam patří i pracovní agentury.</w:t>
      </w:r>
    </w:p>
  </w:footnote>
  <w:footnote w:id="16">
    <w:p w14:paraId="49839976" w14:textId="77777777" w:rsidR="001F6483" w:rsidRPr="00D74B6C" w:rsidRDefault="001F6483" w:rsidP="001F6483">
      <w:pPr>
        <w:pStyle w:val="Textpoznpodarou"/>
        <w:rPr>
          <w:sz w:val="16"/>
          <w:szCs w:val="16"/>
        </w:rPr>
      </w:pPr>
      <w:r w:rsidRPr="003C66DA">
        <w:rPr>
          <w:rStyle w:val="Znakapoznpodarou"/>
          <w:sz w:val="16"/>
          <w:szCs w:val="16"/>
        </w:rPr>
        <w:footnoteRef/>
      </w:r>
      <w:r w:rsidRPr="003C66DA">
        <w:rPr>
          <w:sz w:val="16"/>
          <w:szCs w:val="16"/>
        </w:rPr>
        <w:t xml:space="preserve"> </w:t>
      </w:r>
      <w:r w:rsidRPr="003C66DA">
        <w:rPr>
          <w:color w:val="0D0D0D" w:themeColor="text1" w:themeTint="F2"/>
          <w:spacing w:val="-4"/>
          <w:sz w:val="16"/>
          <w:szCs w:val="16"/>
        </w:rPr>
        <w:t>Více než 3,5 uchazečů na volné místo připadalo jen v okresech Ústí nad Labem (4,0), Most (4,1), Bruntál (4,6) a zejména pak na Karvinsku (10,2), kde se projevoval dlouhodobý útlum těžebního průmyslu.</w:t>
      </w:r>
    </w:p>
  </w:footnote>
  <w:footnote w:id="17">
    <w:p w14:paraId="58A30F2B" w14:textId="77777777" w:rsidR="001F6483" w:rsidRPr="004E1C86" w:rsidRDefault="001F6483" w:rsidP="001F6483">
      <w:pPr>
        <w:pStyle w:val="Textpoznpodarou"/>
        <w:rPr>
          <w:sz w:val="16"/>
          <w:szCs w:val="16"/>
        </w:rPr>
      </w:pPr>
      <w:r w:rsidRPr="004E1C86">
        <w:rPr>
          <w:rStyle w:val="Znakapoznpodarou"/>
          <w:sz w:val="16"/>
          <w:szCs w:val="16"/>
        </w:rPr>
        <w:footnoteRef/>
      </w:r>
      <w:r w:rsidRPr="004E1C86">
        <w:rPr>
          <w:sz w:val="16"/>
          <w:szCs w:val="16"/>
        </w:rPr>
        <w:t xml:space="preserve"> Hrubý disponibilní důchod domác</w:t>
      </w:r>
      <w:r>
        <w:rPr>
          <w:sz w:val="16"/>
          <w:szCs w:val="16"/>
        </w:rPr>
        <w:t>ností se v reálném vyjádření v 2</w:t>
      </w:r>
      <w:r w:rsidRPr="004E1C86">
        <w:rPr>
          <w:sz w:val="16"/>
          <w:szCs w:val="16"/>
        </w:rPr>
        <w:t>. čtv</w:t>
      </w:r>
      <w:r>
        <w:rPr>
          <w:sz w:val="16"/>
          <w:szCs w:val="16"/>
        </w:rPr>
        <w:t>rtletí 2022 meziročně snížil o 6,4</w:t>
      </w:r>
      <w:r w:rsidRPr="004E1C86">
        <w:rPr>
          <w:sz w:val="16"/>
          <w:szCs w:val="16"/>
        </w:rPr>
        <w:t xml:space="preserve"> %. Ten přitom vedle mezd </w:t>
      </w:r>
      <w:r>
        <w:rPr>
          <w:sz w:val="16"/>
          <w:szCs w:val="16"/>
        </w:rPr>
        <w:t>a</w:t>
      </w:r>
      <w:r w:rsidRPr="004E1C86">
        <w:rPr>
          <w:sz w:val="16"/>
          <w:szCs w:val="16"/>
        </w:rPr>
        <w:t> </w:t>
      </w:r>
      <w:r>
        <w:rPr>
          <w:sz w:val="16"/>
          <w:szCs w:val="16"/>
        </w:rPr>
        <w:t xml:space="preserve">platů </w:t>
      </w:r>
      <w:r>
        <w:rPr>
          <w:spacing w:val="-4"/>
          <w:sz w:val="16"/>
          <w:szCs w:val="16"/>
        </w:rPr>
        <w:t>zohledňuje i další faktory (</w:t>
      </w:r>
      <w:r w:rsidRPr="004E1C86">
        <w:rPr>
          <w:spacing w:val="-4"/>
          <w:sz w:val="16"/>
          <w:szCs w:val="16"/>
        </w:rPr>
        <w:t xml:space="preserve">šedou ekonomiku, </w:t>
      </w:r>
      <w:r>
        <w:rPr>
          <w:spacing w:val="-4"/>
          <w:sz w:val="16"/>
          <w:szCs w:val="16"/>
        </w:rPr>
        <w:t xml:space="preserve">možné </w:t>
      </w:r>
      <w:r w:rsidRPr="004E1C86">
        <w:rPr>
          <w:spacing w:val="-4"/>
          <w:sz w:val="16"/>
          <w:szCs w:val="16"/>
        </w:rPr>
        <w:t>zvýšení ekonomické aktivity</w:t>
      </w:r>
      <w:r>
        <w:rPr>
          <w:spacing w:val="-4"/>
          <w:sz w:val="16"/>
          <w:szCs w:val="16"/>
        </w:rPr>
        <w:t xml:space="preserve"> obyvatel</w:t>
      </w:r>
      <w:r w:rsidRPr="004E1C86">
        <w:rPr>
          <w:spacing w:val="-4"/>
          <w:sz w:val="16"/>
          <w:szCs w:val="16"/>
        </w:rPr>
        <w:t>, např. formou druhých zaměst</w:t>
      </w:r>
      <w:r>
        <w:rPr>
          <w:spacing w:val="-4"/>
          <w:sz w:val="16"/>
          <w:szCs w:val="16"/>
        </w:rPr>
        <w:t>nání, dohod o</w:t>
      </w:r>
      <w:r w:rsidRPr="004E1C86">
        <w:rPr>
          <w:sz w:val="16"/>
          <w:szCs w:val="16"/>
        </w:rPr>
        <w:t> </w:t>
      </w:r>
      <w:r>
        <w:rPr>
          <w:spacing w:val="-4"/>
          <w:sz w:val="16"/>
          <w:szCs w:val="16"/>
        </w:rPr>
        <w:t>provedení práce</w:t>
      </w:r>
      <w:r w:rsidRPr="004E1C86">
        <w:rPr>
          <w:spacing w:val="-4"/>
          <w:sz w:val="16"/>
          <w:szCs w:val="16"/>
        </w:rPr>
        <w:t xml:space="preserve">, </w:t>
      </w:r>
      <w:r>
        <w:rPr>
          <w:spacing w:val="-4"/>
          <w:sz w:val="16"/>
          <w:szCs w:val="16"/>
        </w:rPr>
        <w:t xml:space="preserve">dále i </w:t>
      </w:r>
      <w:r w:rsidRPr="004E1C86">
        <w:rPr>
          <w:spacing w:val="-4"/>
          <w:sz w:val="16"/>
          <w:szCs w:val="16"/>
        </w:rPr>
        <w:t xml:space="preserve">příjmy plynoucí z podnikání či </w:t>
      </w:r>
      <w:r>
        <w:rPr>
          <w:spacing w:val="-4"/>
          <w:sz w:val="16"/>
          <w:szCs w:val="16"/>
        </w:rPr>
        <w:t>z vlastnictví kapitálu a také sociální transfery</w:t>
      </w:r>
      <w:r w:rsidRPr="004E1C86">
        <w:rPr>
          <w:spacing w:val="-4"/>
          <w:sz w:val="16"/>
          <w:szCs w:val="16"/>
        </w:rPr>
        <w:t xml:space="preserve"> od státu, vč. </w:t>
      </w:r>
      <w:r>
        <w:rPr>
          <w:spacing w:val="-4"/>
          <w:sz w:val="16"/>
          <w:szCs w:val="16"/>
        </w:rPr>
        <w:t xml:space="preserve">starobních </w:t>
      </w:r>
      <w:r w:rsidRPr="004E1C86">
        <w:rPr>
          <w:spacing w:val="-4"/>
          <w:sz w:val="16"/>
          <w:szCs w:val="16"/>
        </w:rPr>
        <w:t>důchodů).</w:t>
      </w:r>
    </w:p>
  </w:footnote>
  <w:footnote w:id="18">
    <w:p w14:paraId="0289D385" w14:textId="77777777" w:rsidR="001F6483" w:rsidRPr="000B1BC1" w:rsidRDefault="001F6483" w:rsidP="001F6483">
      <w:pPr>
        <w:pStyle w:val="Textpoznpodarou"/>
        <w:rPr>
          <w:sz w:val="16"/>
          <w:szCs w:val="16"/>
        </w:rPr>
      </w:pPr>
      <w:r w:rsidRPr="000B1BC1">
        <w:rPr>
          <w:rStyle w:val="Znakapoznpodarou"/>
          <w:sz w:val="16"/>
          <w:szCs w:val="16"/>
        </w:rPr>
        <w:footnoteRef/>
      </w:r>
      <w:r w:rsidRPr="000B1BC1">
        <w:rPr>
          <w:sz w:val="16"/>
          <w:szCs w:val="16"/>
        </w:rPr>
        <w:t xml:space="preserve"> </w:t>
      </w:r>
      <w:r w:rsidRPr="000B1BC1">
        <w:rPr>
          <w:spacing w:val="-4"/>
          <w:sz w:val="16"/>
          <w:szCs w:val="16"/>
        </w:rPr>
        <w:t>Tyto osoby se na pracovní trh zapojovaly pozvolna a často zřejmě prostřednictvím zkrácených úvazků či pouze formou různých dohod.</w:t>
      </w:r>
    </w:p>
  </w:footnote>
  <w:footnote w:id="19">
    <w:p w14:paraId="7C844232" w14:textId="77777777" w:rsidR="001F6483" w:rsidRPr="00F8704A" w:rsidRDefault="001F6483" w:rsidP="001F6483">
      <w:pPr>
        <w:pStyle w:val="Textpoznpodarou"/>
        <w:rPr>
          <w:sz w:val="16"/>
          <w:szCs w:val="16"/>
        </w:rPr>
      </w:pPr>
      <w:r w:rsidRPr="00F8704A">
        <w:rPr>
          <w:rStyle w:val="Znakapoznpodarou"/>
          <w:sz w:val="16"/>
          <w:szCs w:val="16"/>
        </w:rPr>
        <w:footnoteRef/>
      </w:r>
      <w:r w:rsidRPr="00F8704A">
        <w:rPr>
          <w:sz w:val="16"/>
          <w:szCs w:val="16"/>
        </w:rPr>
        <w:t xml:space="preserve"> Pro zjednodušení zde zahrnují </w:t>
      </w:r>
      <w:r w:rsidRPr="00F8704A">
        <w:rPr>
          <w:color w:val="0D0D0D" w:themeColor="text1" w:themeTint="F2"/>
          <w:sz w:val="16"/>
          <w:szCs w:val="16"/>
        </w:rPr>
        <w:t xml:space="preserve">veřejnou správu, obranu a sociální zabezpečení, </w:t>
      </w:r>
      <w:r w:rsidRPr="00F8704A">
        <w:rPr>
          <w:spacing w:val="-4"/>
          <w:sz w:val="16"/>
          <w:szCs w:val="16"/>
        </w:rPr>
        <w:t>vzdělávání i zdravotní a sociální péči a také kulturní zábavní a rekreační činnosti.</w:t>
      </w:r>
    </w:p>
  </w:footnote>
  <w:footnote w:id="20">
    <w:p w14:paraId="78EC70CC" w14:textId="77777777" w:rsidR="001F6483" w:rsidRPr="000036C2" w:rsidRDefault="001F6483" w:rsidP="001F6483">
      <w:pPr>
        <w:pStyle w:val="Textpoznpodarou"/>
        <w:rPr>
          <w:sz w:val="16"/>
          <w:szCs w:val="16"/>
        </w:rPr>
      </w:pPr>
      <w:r w:rsidRPr="000036C2">
        <w:rPr>
          <w:rStyle w:val="Znakapoznpodarou"/>
          <w:sz w:val="16"/>
          <w:szCs w:val="16"/>
        </w:rPr>
        <w:footnoteRef/>
      </w:r>
      <w:r w:rsidRPr="000036C2">
        <w:rPr>
          <w:sz w:val="16"/>
          <w:szCs w:val="16"/>
        </w:rPr>
        <w:t xml:space="preserve"> </w:t>
      </w:r>
      <w:r w:rsidRPr="000036C2">
        <w:rPr>
          <w:spacing w:val="-6"/>
          <w:sz w:val="16"/>
          <w:szCs w:val="16"/>
        </w:rPr>
        <w:t>Z větších průmyslových oborů na tom byla nejlépe výroba elektrických zařízení</w:t>
      </w:r>
      <w:r>
        <w:rPr>
          <w:spacing w:val="-6"/>
          <w:sz w:val="16"/>
          <w:szCs w:val="16"/>
        </w:rPr>
        <w:t>, kde mzdy</w:t>
      </w:r>
      <w:r w:rsidRPr="000036C2">
        <w:rPr>
          <w:spacing w:val="-6"/>
          <w:sz w:val="16"/>
          <w:szCs w:val="16"/>
        </w:rPr>
        <w:t xml:space="preserve"> vzrostly v průměru o 9,1 %. Rozdíly ve mzdové dynamice mezi ostatními významnějšími obory nebyly významné (na rozdíl od dosažených úrovní mezd).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A67" w14:textId="77777777" w:rsidR="00275E43" w:rsidRDefault="00275E43" w:rsidP="00937AE2">
    <w:pPr>
      <w:pStyle w:val="Zhlav"/>
    </w:pPr>
    <w:r>
      <w:t>Vývoj ekonomiky České republiky</w:t>
    </w:r>
  </w:p>
  <w:p w14:paraId="3E881AB3" w14:textId="77777777" w:rsidR="00275E43" w:rsidRPr="006F5416" w:rsidRDefault="00275E4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3DB" w14:textId="77777777" w:rsidR="00275E43" w:rsidRDefault="00275E43" w:rsidP="00937AE2">
    <w:pPr>
      <w:pStyle w:val="Zhlav"/>
    </w:pPr>
    <w:r>
      <w:t>Vývoj ekonomiky České republiky</w:t>
    </w:r>
  </w:p>
  <w:p w14:paraId="57266714" w14:textId="77777777" w:rsidR="00275E43" w:rsidRPr="006F5416" w:rsidRDefault="00275E4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337598">
    <w:abstractNumId w:val="24"/>
  </w:num>
  <w:num w:numId="2" w16cid:durableId="352264853">
    <w:abstractNumId w:val="8"/>
  </w:num>
  <w:num w:numId="3" w16cid:durableId="1115095472">
    <w:abstractNumId w:val="3"/>
  </w:num>
  <w:num w:numId="4" w16cid:durableId="1962372938">
    <w:abstractNumId w:val="2"/>
  </w:num>
  <w:num w:numId="5" w16cid:durableId="1958753753">
    <w:abstractNumId w:val="1"/>
  </w:num>
  <w:num w:numId="6" w16cid:durableId="125127467">
    <w:abstractNumId w:val="0"/>
  </w:num>
  <w:num w:numId="7" w16cid:durableId="113912191">
    <w:abstractNumId w:val="9"/>
  </w:num>
  <w:num w:numId="8" w16cid:durableId="625045448">
    <w:abstractNumId w:val="7"/>
  </w:num>
  <w:num w:numId="9" w16cid:durableId="1352488717">
    <w:abstractNumId w:val="6"/>
  </w:num>
  <w:num w:numId="10" w16cid:durableId="987368208">
    <w:abstractNumId w:val="5"/>
  </w:num>
  <w:num w:numId="11" w16cid:durableId="1039932949">
    <w:abstractNumId w:val="4"/>
  </w:num>
  <w:num w:numId="12" w16cid:durableId="1043288693">
    <w:abstractNumId w:val="14"/>
  </w:num>
  <w:num w:numId="13" w16cid:durableId="72968187">
    <w:abstractNumId w:val="26"/>
  </w:num>
  <w:num w:numId="14" w16cid:durableId="1649672820">
    <w:abstractNumId w:val="13"/>
  </w:num>
  <w:num w:numId="15" w16cid:durableId="1176924891">
    <w:abstractNumId w:val="19"/>
  </w:num>
  <w:num w:numId="16" w16cid:durableId="752629986">
    <w:abstractNumId w:val="15"/>
  </w:num>
  <w:num w:numId="17" w16cid:durableId="22023024">
    <w:abstractNumId w:val="27"/>
  </w:num>
  <w:num w:numId="18" w16cid:durableId="1387415516">
    <w:abstractNumId w:val="20"/>
  </w:num>
  <w:num w:numId="19" w16cid:durableId="676268872">
    <w:abstractNumId w:val="28"/>
  </w:num>
  <w:num w:numId="20" w16cid:durableId="429356725">
    <w:abstractNumId w:val="29"/>
  </w:num>
  <w:num w:numId="21" w16cid:durableId="909655302">
    <w:abstractNumId w:val="25"/>
  </w:num>
  <w:num w:numId="22" w16cid:durableId="1461801755">
    <w:abstractNumId w:val="18"/>
  </w:num>
  <w:num w:numId="23" w16cid:durableId="103696176">
    <w:abstractNumId w:val="16"/>
  </w:num>
  <w:num w:numId="24" w16cid:durableId="1816952523">
    <w:abstractNumId w:val="17"/>
  </w:num>
  <w:num w:numId="25" w16cid:durableId="1339426053">
    <w:abstractNumId w:val="12"/>
  </w:num>
  <w:num w:numId="26" w16cid:durableId="230043571">
    <w:abstractNumId w:val="22"/>
  </w:num>
  <w:num w:numId="27" w16cid:durableId="1841390614">
    <w:abstractNumId w:val="21"/>
  </w:num>
  <w:num w:numId="28" w16cid:durableId="347297665">
    <w:abstractNumId w:val="10"/>
  </w:num>
  <w:num w:numId="29" w16cid:durableId="1643383695">
    <w:abstractNumId w:val="29"/>
  </w:num>
  <w:num w:numId="30" w16cid:durableId="1728843360">
    <w:abstractNumId w:val="23"/>
  </w:num>
  <w:num w:numId="31" w16cid:durableId="1247303207">
    <w:abstractNumId w:val="11"/>
  </w:num>
  <w:num w:numId="32" w16cid:durableId="1867449779">
    <w:abstractNumId w:val="30"/>
  </w:num>
  <w:num w:numId="33" w16cid:durableId="458838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6077F"/>
    <w:rsid w:val="00360A35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8A9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11B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730A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polecne\JKAM%20CSU\PUBLIKACE\PUBLIKACE\2022\Q-Makro\3.%20&#269;tvrtlet&#237;%202022\Trh%20pr&#225;ce\Grafy-trh%20pr&#225;ce-3q-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polecne\JKAM%20CSU\PUBLIKACE\PUBLIKACE\2022\Q-Makro\3.%20&#269;tvrtlet&#237;%202022\Trh%20pr&#225;ce\Grafy-trh%20pr&#225;ce-3q-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Q-makro-2022\3.%20&#269;tvrtlet&#237;%202022\RI-3.%20kvart&#225;l\Trh%20pr&#225;ce\Grafy-trh%20pr&#225;ce-3q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1993E-2"/>
          <c:y val="1.4522051060224654E-2"/>
          <c:w val="0.8449512157496093"/>
          <c:h val="0.675571307394596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1-SNÚ'!$AC$28:$AC$59</c:f>
              <c:numCache>
                <c:formatCode>#\ ##0.0</c:formatCode>
                <c:ptCount val="32"/>
                <c:pt idx="0">
                  <c:v>-5.6991893197978323E-2</c:v>
                </c:pt>
                <c:pt idx="1">
                  <c:v>-5.3077004431979158E-2</c:v>
                </c:pt>
                <c:pt idx="2">
                  <c:v>-6.9683605158033388E-2</c:v>
                </c:pt>
                <c:pt idx="3">
                  <c:v>-0.13993931548915461</c:v>
                </c:pt>
                <c:pt idx="4">
                  <c:v>-0.12488466174466099</c:v>
                </c:pt>
                <c:pt idx="5">
                  <c:v>-3.2025271621926851E-2</c:v>
                </c:pt>
                <c:pt idx="6">
                  <c:v>-4.5209168072263287E-2</c:v>
                </c:pt>
                <c:pt idx="7">
                  <c:v>5.8178231424048286E-2</c:v>
                </c:pt>
                <c:pt idx="8">
                  <c:v>9.8473168738459183E-2</c:v>
                </c:pt>
                <c:pt idx="9">
                  <c:v>3.5827695758654132E-2</c:v>
                </c:pt>
                <c:pt idx="10">
                  <c:v>1.9597324357556151E-2</c:v>
                </c:pt>
                <c:pt idx="11">
                  <c:v>-9.3256093124704453E-2</c:v>
                </c:pt>
                <c:pt idx="12">
                  <c:v>2.8281779223500551E-2</c:v>
                </c:pt>
                <c:pt idx="13">
                  <c:v>3.1385538570036606E-2</c:v>
                </c:pt>
                <c:pt idx="14">
                  <c:v>1.6521075080556499E-2</c:v>
                </c:pt>
                <c:pt idx="15">
                  <c:v>8.339836020489598E-2</c:v>
                </c:pt>
                <c:pt idx="16">
                  <c:v>-3.2066957439228154E-2</c:v>
                </c:pt>
                <c:pt idx="17">
                  <c:v>-9.1886912097250723E-2</c:v>
                </c:pt>
                <c:pt idx="18">
                  <c:v>-0.12544281535318705</c:v>
                </c:pt>
                <c:pt idx="19">
                  <c:v>-0.13296546528421771</c:v>
                </c:pt>
                <c:pt idx="20">
                  <c:v>-8.0149764825409739E-2</c:v>
                </c:pt>
                <c:pt idx="21">
                  <c:v>1.2847127079559923E-4</c:v>
                </c:pt>
                <c:pt idx="22">
                  <c:v>9.2281662728676869E-2</c:v>
                </c:pt>
                <c:pt idx="23">
                  <c:v>7.8785121950452452E-2</c:v>
                </c:pt>
                <c:pt idx="24">
                  <c:v>4.1598401435506201E-2</c:v>
                </c:pt>
                <c:pt idx="25">
                  <c:v>-3.2565664084423795E-2</c:v>
                </c:pt>
                <c:pt idx="26">
                  <c:v>-6.3926765857289541E-2</c:v>
                </c:pt>
                <c:pt idx="27">
                  <c:v>-1.9048828497047487E-2</c:v>
                </c:pt>
                <c:pt idx="28">
                  <c:v>-2.2904557386353129E-2</c:v>
                </c:pt>
                <c:pt idx="29">
                  <c:v>8.5975270059869338E-2</c:v>
                </c:pt>
                <c:pt idx="30">
                  <c:v>3.2419275909985966E-2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C-4C7D-9736-5C6BBC770762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1-SNÚ'!$AD$28:$AD$59</c:f>
              <c:numCache>
                <c:formatCode>#\ ##0.0</c:formatCode>
                <c:ptCount val="32"/>
                <c:pt idx="0">
                  <c:v>0.88197902580416188</c:v>
                </c:pt>
                <c:pt idx="1">
                  <c:v>0.93619594656509786</c:v>
                </c:pt>
                <c:pt idx="2">
                  <c:v>0.7938067010022134</c:v>
                </c:pt>
                <c:pt idx="3">
                  <c:v>0.92941048859384778</c:v>
                </c:pt>
                <c:pt idx="4">
                  <c:v>0.86436958871149239</c:v>
                </c:pt>
                <c:pt idx="5">
                  <c:v>0.6430697678543803</c:v>
                </c:pt>
                <c:pt idx="6">
                  <c:v>0.67102358376255722</c:v>
                </c:pt>
                <c:pt idx="7">
                  <c:v>0.51768439491468099</c:v>
                </c:pt>
                <c:pt idx="8">
                  <c:v>0.27352595704925403</c:v>
                </c:pt>
                <c:pt idx="9">
                  <c:v>0.40495174469100209</c:v>
                </c:pt>
                <c:pt idx="10">
                  <c:v>0.48296390541252476</c:v>
                </c:pt>
                <c:pt idx="11">
                  <c:v>0.47073561501166572</c:v>
                </c:pt>
                <c:pt idx="12">
                  <c:v>0.35993792705298533</c:v>
                </c:pt>
                <c:pt idx="13">
                  <c:v>0.28632749685910491</c:v>
                </c:pt>
                <c:pt idx="14">
                  <c:v>9.320344949617218E-2</c:v>
                </c:pt>
                <c:pt idx="15">
                  <c:v>8.6360902490994762E-2</c:v>
                </c:pt>
                <c:pt idx="16">
                  <c:v>0.14709256185686431</c:v>
                </c:pt>
                <c:pt idx="17">
                  <c:v>-2.0854942188738998E-2</c:v>
                </c:pt>
                <c:pt idx="18">
                  <c:v>-0.16258097669671442</c:v>
                </c:pt>
                <c:pt idx="19">
                  <c:v>-0.55102805433099233</c:v>
                </c:pt>
                <c:pt idx="20">
                  <c:v>-0.82136508594643143</c:v>
                </c:pt>
                <c:pt idx="21">
                  <c:v>-1.0952359365711681</c:v>
                </c:pt>
                <c:pt idx="22">
                  <c:v>-1.0796051443294794</c:v>
                </c:pt>
                <c:pt idx="23">
                  <c:v>-0.9131415766236638</c:v>
                </c:pt>
                <c:pt idx="24">
                  <c:v>-0.48276380890898796</c:v>
                </c:pt>
                <c:pt idx="25">
                  <c:v>-6.9783565895193841E-2</c:v>
                </c:pt>
                <c:pt idx="26">
                  <c:v>0.17800799169008091</c:v>
                </c:pt>
                <c:pt idx="27">
                  <c:v>0.30784267481835675</c:v>
                </c:pt>
                <c:pt idx="28">
                  <c:v>7.5821983072064739E-2</c:v>
                </c:pt>
                <c:pt idx="29">
                  <c:v>0.38195662676532388</c:v>
                </c:pt>
                <c:pt idx="30">
                  <c:v>0.18553200068967871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DC-4C7D-9736-5C6BBC770762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1-SNÚ'!$AE$28:$AE$59</c:f>
              <c:numCache>
                <c:formatCode>#\ ##0.0</c:formatCode>
                <c:ptCount val="32"/>
                <c:pt idx="0">
                  <c:v>-0.11535945278349405</c:v>
                </c:pt>
                <c:pt idx="1">
                  <c:v>-0.10277905701098219</c:v>
                </c:pt>
                <c:pt idx="2">
                  <c:v>-0.15744780912986225</c:v>
                </c:pt>
                <c:pt idx="3">
                  <c:v>-0.17964656072744936</c:v>
                </c:pt>
                <c:pt idx="4">
                  <c:v>-0.1120525831789497</c:v>
                </c:pt>
                <c:pt idx="5">
                  <c:v>-0.12466911878830758</c:v>
                </c:pt>
                <c:pt idx="6">
                  <c:v>-2.5910926178730025E-2</c:v>
                </c:pt>
                <c:pt idx="7">
                  <c:v>9.6483224892210812E-3</c:v>
                </c:pt>
                <c:pt idx="8">
                  <c:v>-9.8473168738459193E-3</c:v>
                </c:pt>
                <c:pt idx="9">
                  <c:v>1.9091640634913781E-2</c:v>
                </c:pt>
                <c:pt idx="10">
                  <c:v>7.2407555983877492E-2</c:v>
                </c:pt>
                <c:pt idx="11">
                  <c:v>-7.2320666550757626E-2</c:v>
                </c:pt>
                <c:pt idx="12">
                  <c:v>0.10670200915568527</c:v>
                </c:pt>
                <c:pt idx="13">
                  <c:v>7.1029443792451546E-2</c:v>
                </c:pt>
                <c:pt idx="14">
                  <c:v>5.9006500400454326E-2</c:v>
                </c:pt>
                <c:pt idx="15">
                  <c:v>0.11179404853203211</c:v>
                </c:pt>
                <c:pt idx="16">
                  <c:v>3.5683531586509519E-2</c:v>
                </c:pt>
                <c:pt idx="17">
                  <c:v>8.4487365089419286E-2</c:v>
                </c:pt>
                <c:pt idx="18">
                  <c:v>9.8622860864049297E-2</c:v>
                </c:pt>
                <c:pt idx="19">
                  <c:v>0.12706817507064183</c:v>
                </c:pt>
                <c:pt idx="20">
                  <c:v>1.7073866434947422E-2</c:v>
                </c:pt>
                <c:pt idx="21">
                  <c:v>-0.21562985151107072</c:v>
                </c:pt>
                <c:pt idx="22">
                  <c:v>-0.10234473200166617</c:v>
                </c:pt>
                <c:pt idx="23">
                  <c:v>-5.2591242475965305E-2</c:v>
                </c:pt>
                <c:pt idx="24">
                  <c:v>-5.8182173945429606E-2</c:v>
                </c:pt>
                <c:pt idx="25">
                  <c:v>0.13802889189699899</c:v>
                </c:pt>
                <c:pt idx="26">
                  <c:v>-3.0171482095251407E-2</c:v>
                </c:pt>
                <c:pt idx="27">
                  <c:v>6.6122867967429694E-2</c:v>
                </c:pt>
                <c:pt idx="28">
                  <c:v>0.25181849586260913</c:v>
                </c:pt>
                <c:pt idx="29">
                  <c:v>0.27303967230008458</c:v>
                </c:pt>
                <c:pt idx="30">
                  <c:v>0.25461128395398197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DC-4C7D-9736-5C6BBC770762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1-SNÚ'!$AF$28:$AF$59</c:f>
              <c:numCache>
                <c:formatCode>#\ ##0.0</c:formatCode>
                <c:ptCount val="32"/>
                <c:pt idx="0">
                  <c:v>0.23291997178704801</c:v>
                </c:pt>
                <c:pt idx="1">
                  <c:v>0.49484250453607481</c:v>
                </c:pt>
                <c:pt idx="2">
                  <c:v>0.32328110679066313</c:v>
                </c:pt>
                <c:pt idx="3">
                  <c:v>0.1631521827397909</c:v>
                </c:pt>
                <c:pt idx="4">
                  <c:v>8.7514387555562262E-2</c:v>
                </c:pt>
                <c:pt idx="5">
                  <c:v>0.23539827888748027</c:v>
                </c:pt>
                <c:pt idx="6">
                  <c:v>-1.012145553856642E-2</c:v>
                </c:pt>
                <c:pt idx="7">
                  <c:v>6.4501534410011899E-2</c:v>
                </c:pt>
                <c:pt idx="8">
                  <c:v>0.17491894128532515</c:v>
                </c:pt>
                <c:pt idx="9">
                  <c:v>5.3760540295329376E-3</c:v>
                </c:pt>
                <c:pt idx="10">
                  <c:v>0.35548634881148361</c:v>
                </c:pt>
                <c:pt idx="11">
                  <c:v>0.17830036428397431</c:v>
                </c:pt>
                <c:pt idx="12">
                  <c:v>0.15887539134747283</c:v>
                </c:pt>
                <c:pt idx="13">
                  <c:v>0.40293713210708676</c:v>
                </c:pt>
                <c:pt idx="14">
                  <c:v>0.21063905082977832</c:v>
                </c:pt>
                <c:pt idx="15">
                  <c:v>0.22355083238122023</c:v>
                </c:pt>
                <c:pt idx="16">
                  <c:v>0.4391448341504014</c:v>
                </c:pt>
                <c:pt idx="17">
                  <c:v>0.11318361828645726</c:v>
                </c:pt>
                <c:pt idx="18">
                  <c:v>-1.4877414534236133E-2</c:v>
                </c:pt>
                <c:pt idx="19">
                  <c:v>-4.6754453974505922E-2</c:v>
                </c:pt>
                <c:pt idx="20">
                  <c:v>-0.115969964698082</c:v>
                </c:pt>
                <c:pt idx="21">
                  <c:v>-0.57289010255494699</c:v>
                </c:pt>
                <c:pt idx="22">
                  <c:v>-0.41512925330551581</c:v>
                </c:pt>
                <c:pt idx="23">
                  <c:v>-0.99009534683119649</c:v>
                </c:pt>
                <c:pt idx="24">
                  <c:v>-0.85525942764305551</c:v>
                </c:pt>
                <c:pt idx="25">
                  <c:v>-0.16068979178984688</c:v>
                </c:pt>
                <c:pt idx="26">
                  <c:v>0.24223497129956198</c:v>
                </c:pt>
                <c:pt idx="27">
                  <c:v>0.73670588306438423</c:v>
                </c:pt>
                <c:pt idx="28">
                  <c:v>0.44199402036851076</c:v>
                </c:pt>
                <c:pt idx="29">
                  <c:v>0.90664490569436151</c:v>
                </c:pt>
                <c:pt idx="30">
                  <c:v>0.4075194120411848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DC-4C7D-9736-5C6BBC770762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1-SNÚ'!$AG$28:$AG$59</c:f>
              <c:numCache>
                <c:formatCode>#\ ##0.0</c:formatCode>
                <c:ptCount val="32"/>
                <c:pt idx="0">
                  <c:v>1.2223778472118113E-2</c:v>
                </c:pt>
                <c:pt idx="1">
                  <c:v>6.0238966213004064E-2</c:v>
                </c:pt>
                <c:pt idx="2">
                  <c:v>7.0191816584150843E-2</c:v>
                </c:pt>
                <c:pt idx="3">
                  <c:v>9.7973099947945522E-2</c:v>
                </c:pt>
                <c:pt idx="4">
                  <c:v>0.11574107777423741</c:v>
                </c:pt>
                <c:pt idx="5">
                  <c:v>0.11485523362541726</c:v>
                </c:pt>
                <c:pt idx="6">
                  <c:v>0.13512625118059429</c:v>
                </c:pt>
                <c:pt idx="7">
                  <c:v>0.16390616372126982</c:v>
                </c:pt>
                <c:pt idx="8">
                  <c:v>0.13639011895367548</c:v>
                </c:pt>
                <c:pt idx="9">
                  <c:v>0.13690890950828224</c:v>
                </c:pt>
                <c:pt idx="10">
                  <c:v>0.13784590844137606</c:v>
                </c:pt>
                <c:pt idx="11">
                  <c:v>0.11872218009337369</c:v>
                </c:pt>
                <c:pt idx="12">
                  <c:v>0.12284956731327347</c:v>
                </c:pt>
                <c:pt idx="13">
                  <c:v>0.1377705293912645</c:v>
                </c:pt>
                <c:pt idx="14">
                  <c:v>0.12183128760081174</c:v>
                </c:pt>
                <c:pt idx="15">
                  <c:v>0.14710233552673227</c:v>
                </c:pt>
                <c:pt idx="16">
                  <c:v>0.15146954390177922</c:v>
                </c:pt>
                <c:pt idx="17">
                  <c:v>8.5481334090471192E-2</c:v>
                </c:pt>
                <c:pt idx="18">
                  <c:v>0.13044502296953692</c:v>
                </c:pt>
                <c:pt idx="19">
                  <c:v>0.14053979740227923</c:v>
                </c:pt>
                <c:pt idx="20">
                  <c:v>0.1289269892800389</c:v>
                </c:pt>
                <c:pt idx="21">
                  <c:v>8.7929408340245138E-2</c:v>
                </c:pt>
                <c:pt idx="22">
                  <c:v>0.10800290465149717</c:v>
                </c:pt>
                <c:pt idx="23">
                  <c:v>7.23106460916456E-2</c:v>
                </c:pt>
                <c:pt idx="24">
                  <c:v>7.0059490346391529E-2</c:v>
                </c:pt>
                <c:pt idx="25">
                  <c:v>0.12448487722594252</c:v>
                </c:pt>
                <c:pt idx="26">
                  <c:v>9.5824477027642477E-2</c:v>
                </c:pt>
                <c:pt idx="27">
                  <c:v>2.9990566294458662E-2</c:v>
                </c:pt>
                <c:pt idx="28">
                  <c:v>0.11495530320425108</c:v>
                </c:pt>
                <c:pt idx="29">
                  <c:v>0.1030694404433509</c:v>
                </c:pt>
                <c:pt idx="30">
                  <c:v>0.10283773752513471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DC-4C7D-9736-5C6BBC770762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1-SNÚ'!$AH$28:$AH$59</c:f>
              <c:numCache>
                <c:formatCode>#\ ##0.0</c:formatCode>
                <c:ptCount val="32"/>
                <c:pt idx="0">
                  <c:v>0.10850077322277187</c:v>
                </c:pt>
                <c:pt idx="1">
                  <c:v>0.12304838994193759</c:v>
                </c:pt>
                <c:pt idx="2">
                  <c:v>0.25299155723995115</c:v>
                </c:pt>
                <c:pt idx="3">
                  <c:v>0.35101672163818687</c:v>
                </c:pt>
                <c:pt idx="4">
                  <c:v>0.24190700606252472</c:v>
                </c:pt>
                <c:pt idx="5">
                  <c:v>0.24438309320163906</c:v>
                </c:pt>
                <c:pt idx="6">
                  <c:v>0.25066507602369625</c:v>
                </c:pt>
                <c:pt idx="7">
                  <c:v>0.26288795818240246</c:v>
                </c:pt>
                <c:pt idx="8">
                  <c:v>0.40909387284647242</c:v>
                </c:pt>
                <c:pt idx="9">
                  <c:v>0.3560353520194568</c:v>
                </c:pt>
                <c:pt idx="10">
                  <c:v>0.31414586903784059</c:v>
                </c:pt>
                <c:pt idx="11">
                  <c:v>0.14060149424955432</c:v>
                </c:pt>
                <c:pt idx="12">
                  <c:v>0.17385474809809426</c:v>
                </c:pt>
                <c:pt idx="13">
                  <c:v>0.14777045635809005</c:v>
                </c:pt>
                <c:pt idx="14">
                  <c:v>9.3482836335189487E-2</c:v>
                </c:pt>
                <c:pt idx="15">
                  <c:v>0.1886897215806482</c:v>
                </c:pt>
                <c:pt idx="16">
                  <c:v>-9.6071046579064082E-3</c:v>
                </c:pt>
                <c:pt idx="17">
                  <c:v>-3.2359213034248151E-2</c:v>
                </c:pt>
                <c:pt idx="18">
                  <c:v>-2.9422579116094791E-2</c:v>
                </c:pt>
                <c:pt idx="19">
                  <c:v>-0.2039356671982194</c:v>
                </c:pt>
                <c:pt idx="20">
                  <c:v>-0.16053845350835921</c:v>
                </c:pt>
                <c:pt idx="21">
                  <c:v>-0.28764717531134665</c:v>
                </c:pt>
                <c:pt idx="22">
                  <c:v>-0.41553472496120397</c:v>
                </c:pt>
                <c:pt idx="23">
                  <c:v>-0.19227343450410958</c:v>
                </c:pt>
                <c:pt idx="24">
                  <c:v>-0.18494148985647557</c:v>
                </c:pt>
                <c:pt idx="25">
                  <c:v>8.2989918150628353E-2</c:v>
                </c:pt>
                <c:pt idx="26">
                  <c:v>0.18710822105338745</c:v>
                </c:pt>
                <c:pt idx="27">
                  <c:v>8.3338624674582723E-2</c:v>
                </c:pt>
                <c:pt idx="28">
                  <c:v>7.8003369489814525E-2</c:v>
                </c:pt>
                <c:pt idx="29">
                  <c:v>3.7906089298451608E-2</c:v>
                </c:pt>
                <c:pt idx="30">
                  <c:v>0.11667591381717725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DC-4C7D-9736-5C6BBC770762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1-SNÚ'!$AI$28:$AI$59</c:f>
              <c:numCache>
                <c:formatCode>#\ ##0.0</c:formatCode>
                <c:ptCount val="32"/>
                <c:pt idx="0">
                  <c:v>0.22356544035179371</c:v>
                </c:pt>
                <c:pt idx="1">
                  <c:v>0.22121632087472576</c:v>
                </c:pt>
                <c:pt idx="2">
                  <c:v>0.12507865060484016</c:v>
                </c:pt>
                <c:pt idx="3">
                  <c:v>0.12632707202590387</c:v>
                </c:pt>
                <c:pt idx="4">
                  <c:v>0.32907195728800714</c:v>
                </c:pt>
                <c:pt idx="5">
                  <c:v>0.33515671077902126</c:v>
                </c:pt>
                <c:pt idx="6">
                  <c:v>0.44146897214787145</c:v>
                </c:pt>
                <c:pt idx="7">
                  <c:v>0.55904533116329436</c:v>
                </c:pt>
                <c:pt idx="8">
                  <c:v>0.45377965834973044</c:v>
                </c:pt>
                <c:pt idx="9">
                  <c:v>0.48758720415555445</c:v>
                </c:pt>
                <c:pt idx="10">
                  <c:v>0.52434236449693783</c:v>
                </c:pt>
                <c:pt idx="11">
                  <c:v>0.53403271627626758</c:v>
                </c:pt>
                <c:pt idx="12">
                  <c:v>0.43792479194710193</c:v>
                </c:pt>
                <c:pt idx="13">
                  <c:v>0.46550221824222554</c:v>
                </c:pt>
                <c:pt idx="14">
                  <c:v>0.29622455251541197</c:v>
                </c:pt>
                <c:pt idx="15">
                  <c:v>0.24393461389689408</c:v>
                </c:pt>
                <c:pt idx="16">
                  <c:v>0.2079251936675458</c:v>
                </c:pt>
                <c:pt idx="17">
                  <c:v>0.13389130580837377</c:v>
                </c:pt>
                <c:pt idx="18">
                  <c:v>0.1488479786651119</c:v>
                </c:pt>
                <c:pt idx="19">
                  <c:v>0.16857035494868172</c:v>
                </c:pt>
                <c:pt idx="20">
                  <c:v>0.34228599406292876</c:v>
                </c:pt>
                <c:pt idx="21">
                  <c:v>0.2712212056881948</c:v>
                </c:pt>
                <c:pt idx="22">
                  <c:v>0.38125393952574582</c:v>
                </c:pt>
                <c:pt idx="23">
                  <c:v>0.32350181091089747</c:v>
                </c:pt>
                <c:pt idx="24">
                  <c:v>0.17065535733675366</c:v>
                </c:pt>
                <c:pt idx="25">
                  <c:v>0.2872569205787911</c:v>
                </c:pt>
                <c:pt idx="26">
                  <c:v>0.28479027067271512</c:v>
                </c:pt>
                <c:pt idx="27">
                  <c:v>0.33911828113047343</c:v>
                </c:pt>
                <c:pt idx="28">
                  <c:v>0.42800305920640491</c:v>
                </c:pt>
                <c:pt idx="29">
                  <c:v>0.37833228900095833</c:v>
                </c:pt>
                <c:pt idx="30">
                  <c:v>0.44125926660269321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DC-4C7D-9736-5C6BBC770762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1-SNÚ'!$AJ$28:$AJ$59</c:f>
              <c:numCache>
                <c:formatCode>#\ ##0.0</c:formatCode>
                <c:ptCount val="32"/>
                <c:pt idx="0">
                  <c:v>-5.443708419255177E-2</c:v>
                </c:pt>
                <c:pt idx="1">
                  <c:v>8.9416602290768546E-2</c:v>
                </c:pt>
                <c:pt idx="2">
                  <c:v>4.9980639099324368E-2</c:v>
                </c:pt>
                <c:pt idx="3">
                  <c:v>-2.6133949538887483E-2</c:v>
                </c:pt>
                <c:pt idx="4">
                  <c:v>0.12610768889994067</c:v>
                </c:pt>
                <c:pt idx="5">
                  <c:v>7.9147344977730072E-2</c:v>
                </c:pt>
                <c:pt idx="6">
                  <c:v>0.10645843330278804</c:v>
                </c:pt>
                <c:pt idx="7">
                  <c:v>0.17588007788617954</c:v>
                </c:pt>
                <c:pt idx="8">
                  <c:v>-5.5355305533561015E-2</c:v>
                </c:pt>
                <c:pt idx="9">
                  <c:v>-2.8874919169222957E-3</c:v>
                </c:pt>
                <c:pt idx="10">
                  <c:v>4.6771521213818605E-2</c:v>
                </c:pt>
                <c:pt idx="11">
                  <c:v>4.0303999761385413E-2</c:v>
                </c:pt>
                <c:pt idx="12">
                  <c:v>0.20445408817735139</c:v>
                </c:pt>
                <c:pt idx="13">
                  <c:v>0.1937064504585076</c:v>
                </c:pt>
                <c:pt idx="14">
                  <c:v>1.6316191398610486E-2</c:v>
                </c:pt>
                <c:pt idx="15">
                  <c:v>1.8371488642097283E-2</c:v>
                </c:pt>
                <c:pt idx="16">
                  <c:v>-2.6762648689882144E-2</c:v>
                </c:pt>
                <c:pt idx="17">
                  <c:v>2.1167858355736844E-2</c:v>
                </c:pt>
                <c:pt idx="18">
                  <c:v>0.10524940158091123</c:v>
                </c:pt>
                <c:pt idx="19">
                  <c:v>0.12295850095305616</c:v>
                </c:pt>
                <c:pt idx="20">
                  <c:v>-0.12300902911636498</c:v>
                </c:pt>
                <c:pt idx="21">
                  <c:v>-0.3520846941346823</c:v>
                </c:pt>
                <c:pt idx="22">
                  <c:v>-0.34275256276516947</c:v>
                </c:pt>
                <c:pt idx="23">
                  <c:v>-0.43863649018293682</c:v>
                </c:pt>
                <c:pt idx="24">
                  <c:v>-0.16726448541573033</c:v>
                </c:pt>
                <c:pt idx="25">
                  <c:v>4.1738826375485566E-2</c:v>
                </c:pt>
                <c:pt idx="26">
                  <c:v>-1.3959939476907397E-2</c:v>
                </c:pt>
                <c:pt idx="27">
                  <c:v>0.11555911335262435</c:v>
                </c:pt>
                <c:pt idx="28">
                  <c:v>0.10577843620544997</c:v>
                </c:pt>
                <c:pt idx="29">
                  <c:v>0.18222572450325153</c:v>
                </c:pt>
                <c:pt idx="30">
                  <c:v>0.23744376148415136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CDC-4C7D-9736-5C6BBC770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166203776"/>
        <c:axId val="166205696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1-SNÚ'!$AK$28:$AK$59</c:f>
              <c:numCache>
                <c:formatCode>#\ ##0.0</c:formatCode>
                <c:ptCount val="32"/>
                <c:pt idx="0">
                  <c:v>1.2324005594638696</c:v>
                </c:pt>
                <c:pt idx="1">
                  <c:v>1.7691026689786471</c:v>
                </c:pt>
                <c:pt idx="2">
                  <c:v>1.3881990570332476</c:v>
                </c:pt>
                <c:pt idx="3">
                  <c:v>1.322159739190184</c:v>
                </c:pt>
                <c:pt idx="4">
                  <c:v>1.5277744613681534</c:v>
                </c:pt>
                <c:pt idx="5">
                  <c:v>1.4953160389154334</c:v>
                </c:pt>
                <c:pt idx="6">
                  <c:v>1.5235007666279472</c:v>
                </c:pt>
                <c:pt idx="7">
                  <c:v>1.811732014191108</c:v>
                </c:pt>
                <c:pt idx="8">
                  <c:v>1.4809790948155097</c:v>
                </c:pt>
                <c:pt idx="9">
                  <c:v>1.4428911088804734</c:v>
                </c:pt>
                <c:pt idx="10">
                  <c:v>1.9535607977554144</c:v>
                </c:pt>
                <c:pt idx="11">
                  <c:v>1.3171196100007592</c:v>
                </c:pt>
                <c:pt idx="12">
                  <c:v>1.5928803023154638</c:v>
                </c:pt>
                <c:pt idx="13">
                  <c:v>1.7364292657787674</c:v>
                </c:pt>
                <c:pt idx="14">
                  <c:v>0.90722494365698481</c:v>
                </c:pt>
                <c:pt idx="15">
                  <c:v>1.1032023032555145</c:v>
                </c:pt>
                <c:pt idx="16">
                  <c:v>0.91287895437608335</c:v>
                </c:pt>
                <c:pt idx="17">
                  <c:v>0.29311041431022045</c:v>
                </c:pt>
                <c:pt idx="18">
                  <c:v>0.15084147837937684</c:v>
                </c:pt>
                <c:pt idx="19">
                  <c:v>-0.37554681241327625</c:v>
                </c:pt>
                <c:pt idx="20">
                  <c:v>-0.8127454483167329</c:v>
                </c:pt>
                <c:pt idx="21">
                  <c:v>-2.1642086747839784</c:v>
                </c:pt>
                <c:pt idx="22">
                  <c:v>-1.7738279104571146</c:v>
                </c:pt>
                <c:pt idx="23">
                  <c:v>-2.112140511664875</c:v>
                </c:pt>
                <c:pt idx="24">
                  <c:v>-1.4660981366510275</c:v>
                </c:pt>
                <c:pt idx="25">
                  <c:v>0.41146041245838205</c:v>
                </c:pt>
                <c:pt idx="26">
                  <c:v>0.8799077443139397</c:v>
                </c:pt>
                <c:pt idx="27">
                  <c:v>1.6596291828052614</c:v>
                </c:pt>
                <c:pt idx="28">
                  <c:v>1.4734701100227454</c:v>
                </c:pt>
                <c:pt idx="29">
                  <c:v>2.3491500180656431</c:v>
                </c:pt>
                <c:pt idx="30">
                  <c:v>1.7782986520239914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CDC-4C7D-9736-5C6BBC770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203776"/>
        <c:axId val="166205696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1-SNÚ'!$AL$28:$AL$59</c:f>
              <c:numCache>
                <c:formatCode>General</c:formatCode>
                <c:ptCount val="3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CDC-4C7D-9736-5C6BBC770762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1-SNÚ'!$AM$28:$AM$59</c:f>
              <c:numCache>
                <c:formatCode>#\ ##0.0</c:formatCode>
                <c:ptCount val="32"/>
                <c:pt idx="0">
                  <c:v>-3</c:v>
                </c:pt>
                <c:pt idx="1">
                  <c:v>4.3</c:v>
                </c:pt>
                <c:pt idx="2">
                  <c:v>5.5</c:v>
                </c:pt>
                <c:pt idx="3">
                  <c:v>7.8</c:v>
                </c:pt>
                <c:pt idx="4">
                  <c:v>8.2000000000000011</c:v>
                </c:pt>
                <c:pt idx="5">
                  <c:v>9.9</c:v>
                </c:pt>
                <c:pt idx="6">
                  <c:v>3.8</c:v>
                </c:pt>
                <c:pt idx="7">
                  <c:v>9.5</c:v>
                </c:pt>
                <c:pt idx="8">
                  <c:v>11.1</c:v>
                </c:pt>
                <c:pt idx="9">
                  <c:v>5.7</c:v>
                </c:pt>
                <c:pt idx="10">
                  <c:v>8.2000000000000011</c:v>
                </c:pt>
                <c:pt idx="11">
                  <c:v>7.3</c:v>
                </c:pt>
                <c:pt idx="12">
                  <c:v>9.8000000000000007</c:v>
                </c:pt>
                <c:pt idx="13">
                  <c:v>9.4</c:v>
                </c:pt>
                <c:pt idx="14">
                  <c:v>6.2</c:v>
                </c:pt>
                <c:pt idx="15">
                  <c:v>6.3</c:v>
                </c:pt>
                <c:pt idx="16">
                  <c:v>2.5</c:v>
                </c:pt>
                <c:pt idx="17">
                  <c:v>2.6</c:v>
                </c:pt>
                <c:pt idx="18">
                  <c:v>0.5</c:v>
                </c:pt>
                <c:pt idx="19">
                  <c:v>-2.8</c:v>
                </c:pt>
                <c:pt idx="20">
                  <c:v>2.9</c:v>
                </c:pt>
                <c:pt idx="21">
                  <c:v>-19</c:v>
                </c:pt>
                <c:pt idx="22">
                  <c:v>-10.9</c:v>
                </c:pt>
                <c:pt idx="23">
                  <c:v>-3.5</c:v>
                </c:pt>
                <c:pt idx="24">
                  <c:v>4.4000000000000004</c:v>
                </c:pt>
                <c:pt idx="25">
                  <c:v>8.6</c:v>
                </c:pt>
                <c:pt idx="26">
                  <c:v>4.7</c:v>
                </c:pt>
                <c:pt idx="27">
                  <c:v>1.8</c:v>
                </c:pt>
                <c:pt idx="28">
                  <c:v>11.2</c:v>
                </c:pt>
                <c:pt idx="29">
                  <c:v>2.2999999999999998</c:v>
                </c:pt>
                <c:pt idx="30">
                  <c:v>2.1</c:v>
                </c:pt>
                <c:pt idx="31">
                  <c:v>-9.9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CDC-4C7D-9736-5C6BBC770762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1-SNÚ'!$AN$28:$AN$59</c:f>
              <c:numCache>
                <c:formatCode>#\ ##0.0</c:formatCode>
                <c:ptCount val="32"/>
                <c:pt idx="0">
                  <c:v>-4.2</c:v>
                </c:pt>
                <c:pt idx="1">
                  <c:v>7.4</c:v>
                </c:pt>
                <c:pt idx="2">
                  <c:v>1</c:v>
                </c:pt>
                <c:pt idx="3">
                  <c:v>-0.1</c:v>
                </c:pt>
                <c:pt idx="4">
                  <c:v>-3.5</c:v>
                </c:pt>
                <c:pt idx="5">
                  <c:v>-6.4</c:v>
                </c:pt>
                <c:pt idx="6">
                  <c:v>-4.7</c:v>
                </c:pt>
                <c:pt idx="7">
                  <c:v>-6.9</c:v>
                </c:pt>
                <c:pt idx="8">
                  <c:v>-7.5</c:v>
                </c:pt>
                <c:pt idx="9">
                  <c:v>-12.2</c:v>
                </c:pt>
                <c:pt idx="10">
                  <c:v>-6.2</c:v>
                </c:pt>
                <c:pt idx="11">
                  <c:v>-2.8</c:v>
                </c:pt>
                <c:pt idx="12">
                  <c:v>4.3</c:v>
                </c:pt>
                <c:pt idx="13">
                  <c:v>5.5</c:v>
                </c:pt>
                <c:pt idx="14">
                  <c:v>8.8000000000000007</c:v>
                </c:pt>
                <c:pt idx="15">
                  <c:v>9.6</c:v>
                </c:pt>
                <c:pt idx="16">
                  <c:v>6.4</c:v>
                </c:pt>
                <c:pt idx="17">
                  <c:v>9.6</c:v>
                </c:pt>
                <c:pt idx="18">
                  <c:v>3.8</c:v>
                </c:pt>
                <c:pt idx="19">
                  <c:v>10.7</c:v>
                </c:pt>
                <c:pt idx="20">
                  <c:v>5.5</c:v>
                </c:pt>
                <c:pt idx="21">
                  <c:v>-4.2</c:v>
                </c:pt>
                <c:pt idx="22">
                  <c:v>1.1000000000000001</c:v>
                </c:pt>
                <c:pt idx="23">
                  <c:v>-1.3</c:v>
                </c:pt>
                <c:pt idx="24">
                  <c:v>3.1</c:v>
                </c:pt>
                <c:pt idx="25">
                  <c:v>3.9</c:v>
                </c:pt>
                <c:pt idx="26">
                  <c:v>4.4000000000000004</c:v>
                </c:pt>
                <c:pt idx="27">
                  <c:v>9.2000000000000011</c:v>
                </c:pt>
                <c:pt idx="28">
                  <c:v>9</c:v>
                </c:pt>
                <c:pt idx="29">
                  <c:v>6.8</c:v>
                </c:pt>
                <c:pt idx="30">
                  <c:v>1.6</c:v>
                </c:pt>
                <c:pt idx="31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CDC-4C7D-9736-5C6BBC770762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1-SNÚ'!$AO$28:$AO$59</c:f>
              <c:numCache>
                <c:formatCode>#\ ##0.0</c:formatCode>
                <c:ptCount val="32"/>
                <c:pt idx="0">
                  <c:v>11.9</c:v>
                </c:pt>
                <c:pt idx="1">
                  <c:v>3.7</c:v>
                </c:pt>
                <c:pt idx="2">
                  <c:v>0.8</c:v>
                </c:pt>
                <c:pt idx="3">
                  <c:v>2.2999999999999998</c:v>
                </c:pt>
                <c:pt idx="4">
                  <c:v>14.8</c:v>
                </c:pt>
                <c:pt idx="5">
                  <c:v>18.2</c:v>
                </c:pt>
                <c:pt idx="6">
                  <c:v>18.7</c:v>
                </c:pt>
                <c:pt idx="7">
                  <c:v>21.4</c:v>
                </c:pt>
                <c:pt idx="8">
                  <c:v>14.5</c:v>
                </c:pt>
                <c:pt idx="9">
                  <c:v>17.100000000000001</c:v>
                </c:pt>
                <c:pt idx="10">
                  <c:v>18.8</c:v>
                </c:pt>
                <c:pt idx="11">
                  <c:v>15.3</c:v>
                </c:pt>
                <c:pt idx="12">
                  <c:v>29.9</c:v>
                </c:pt>
                <c:pt idx="13">
                  <c:v>32.5</c:v>
                </c:pt>
                <c:pt idx="14">
                  <c:v>27.1</c:v>
                </c:pt>
                <c:pt idx="15">
                  <c:v>15.3</c:v>
                </c:pt>
                <c:pt idx="16">
                  <c:v>11.9</c:v>
                </c:pt>
                <c:pt idx="17">
                  <c:v>15.9</c:v>
                </c:pt>
                <c:pt idx="18">
                  <c:v>13.7</c:v>
                </c:pt>
                <c:pt idx="19">
                  <c:v>13</c:v>
                </c:pt>
                <c:pt idx="20">
                  <c:v>11.4</c:v>
                </c:pt>
                <c:pt idx="21">
                  <c:v>-5.9</c:v>
                </c:pt>
                <c:pt idx="22">
                  <c:v>-3.5</c:v>
                </c:pt>
                <c:pt idx="23">
                  <c:v>0.70000000000000018</c:v>
                </c:pt>
                <c:pt idx="24">
                  <c:v>5.6</c:v>
                </c:pt>
                <c:pt idx="25">
                  <c:v>13.3</c:v>
                </c:pt>
                <c:pt idx="26">
                  <c:v>10.8</c:v>
                </c:pt>
                <c:pt idx="27">
                  <c:v>9.5</c:v>
                </c:pt>
                <c:pt idx="28">
                  <c:v>9.8000000000000007</c:v>
                </c:pt>
                <c:pt idx="29">
                  <c:v>3.2</c:v>
                </c:pt>
                <c:pt idx="30">
                  <c:v>5.4</c:v>
                </c:pt>
                <c:pt idx="31">
                  <c:v>12.6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CCDC-4C7D-9736-5C6BBC770762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1-SNÚ'!$AP$28:$AP$59</c:f>
              <c:numCache>
                <c:formatCode>#\ ##0.0</c:formatCode>
                <c:ptCount val="32"/>
                <c:pt idx="0">
                  <c:v>-16.2</c:v>
                </c:pt>
                <c:pt idx="1">
                  <c:v>-24.6</c:v>
                </c:pt>
                <c:pt idx="2">
                  <c:v>5.2</c:v>
                </c:pt>
                <c:pt idx="3">
                  <c:v>5.2</c:v>
                </c:pt>
                <c:pt idx="4">
                  <c:v>2.8</c:v>
                </c:pt>
                <c:pt idx="5">
                  <c:v>21.8</c:v>
                </c:pt>
                <c:pt idx="6">
                  <c:v>-4.8</c:v>
                </c:pt>
                <c:pt idx="7">
                  <c:v>7.9</c:v>
                </c:pt>
                <c:pt idx="8">
                  <c:v>11.1</c:v>
                </c:pt>
                <c:pt idx="9">
                  <c:v>11</c:v>
                </c:pt>
                <c:pt idx="10">
                  <c:v>19.7</c:v>
                </c:pt>
                <c:pt idx="11">
                  <c:v>3.1</c:v>
                </c:pt>
                <c:pt idx="12">
                  <c:v>15.7</c:v>
                </c:pt>
                <c:pt idx="13">
                  <c:v>10.5</c:v>
                </c:pt>
                <c:pt idx="14">
                  <c:v>9.5</c:v>
                </c:pt>
                <c:pt idx="15">
                  <c:v>-7.6</c:v>
                </c:pt>
                <c:pt idx="16">
                  <c:v>-6.5</c:v>
                </c:pt>
                <c:pt idx="17">
                  <c:v>-1.1000000000000001</c:v>
                </c:pt>
                <c:pt idx="18">
                  <c:v>-4.5999999999999996</c:v>
                </c:pt>
                <c:pt idx="19">
                  <c:v>-15.4</c:v>
                </c:pt>
                <c:pt idx="20">
                  <c:v>-20.5</c:v>
                </c:pt>
                <c:pt idx="21">
                  <c:v>-32.300000000000004</c:v>
                </c:pt>
                <c:pt idx="22">
                  <c:v>-28.6</c:v>
                </c:pt>
                <c:pt idx="23">
                  <c:v>-30.1</c:v>
                </c:pt>
                <c:pt idx="24">
                  <c:v>-27</c:v>
                </c:pt>
                <c:pt idx="25">
                  <c:v>-27.7</c:v>
                </c:pt>
                <c:pt idx="26">
                  <c:v>-12.1</c:v>
                </c:pt>
                <c:pt idx="27">
                  <c:v>-15.8</c:v>
                </c:pt>
                <c:pt idx="28">
                  <c:v>-6.8</c:v>
                </c:pt>
                <c:pt idx="29">
                  <c:v>-3.5</c:v>
                </c:pt>
                <c:pt idx="30">
                  <c:v>-6.1</c:v>
                </c:pt>
                <c:pt idx="31">
                  <c:v>-6.4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CDC-4C7D-9736-5C6BBC770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438784"/>
        <c:axId val="166429440"/>
      </c:lineChart>
      <c:catAx>
        <c:axId val="16620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66205696"/>
        <c:crosses val="autoZero"/>
        <c:auto val="1"/>
        <c:lblAlgn val="ctr"/>
        <c:lblOffset val="10"/>
        <c:noMultiLvlLbl val="0"/>
      </c:catAx>
      <c:valAx>
        <c:axId val="166205696"/>
        <c:scaling>
          <c:orientation val="minMax"/>
          <c:max val="2.5"/>
          <c:min val="-4.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66203776"/>
        <c:crosses val="autoZero"/>
        <c:crossBetween val="between"/>
        <c:majorUnit val="0.5"/>
      </c:valAx>
      <c:valAx>
        <c:axId val="166429440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66438784"/>
        <c:crosses val="max"/>
        <c:crossBetween val="between"/>
        <c:majorUnit val="10"/>
      </c:valAx>
      <c:catAx>
        <c:axId val="1664387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66429440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5472441370721636E-2"/>
          <c:y val="0.77992823117070775"/>
          <c:w val="0.96005692595618608"/>
          <c:h val="0.2119461831534996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366722205919E-2"/>
          <c:y val="1.6081916099773243E-2"/>
          <c:w val="0.83584199323559016"/>
          <c:h val="0.734548346164416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práce-2b'!$A$30</c:f>
              <c:strCache>
                <c:ptCount val="1"/>
                <c:pt idx="0">
                  <c:v>Míra nezaměstnanosti mužů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práce-2b'!$B$30:$AG$30</c:f>
              <c:numCache>
                <c:formatCode>0.0</c:formatCode>
                <c:ptCount val="32"/>
                <c:pt idx="0">
                  <c:v>5.0140024209645473</c:v>
                </c:pt>
                <c:pt idx="1">
                  <c:v>4.3129619157703774</c:v>
                </c:pt>
                <c:pt idx="2">
                  <c:v>4.0651395241260202</c:v>
                </c:pt>
                <c:pt idx="3">
                  <c:v>3.7931063879892144</c:v>
                </c:pt>
                <c:pt idx="4">
                  <c:v>3.6443690611831059</c:v>
                </c:pt>
                <c:pt idx="5">
                  <c:v>3.5629641186706311</c:v>
                </c:pt>
                <c:pt idx="6">
                  <c:v>3.3963535641399187</c:v>
                </c:pt>
                <c:pt idx="7">
                  <c:v>3.1571910964968048</c:v>
                </c:pt>
                <c:pt idx="8">
                  <c:v>2.6893564817403885</c:v>
                </c:pt>
                <c:pt idx="9">
                  <c:v>2.486892195961405</c:v>
                </c:pt>
                <c:pt idx="10">
                  <c:v>2.2541421025375801</c:v>
                </c:pt>
                <c:pt idx="11">
                  <c:v>2.0834819550780241</c:v>
                </c:pt>
                <c:pt idx="12">
                  <c:v>1.8908108879123648</c:v>
                </c:pt>
                <c:pt idx="13">
                  <c:v>1.8276311525328297</c:v>
                </c:pt>
                <c:pt idx="14">
                  <c:v>1.8925460808958399</c:v>
                </c:pt>
                <c:pt idx="15">
                  <c:v>1.6793476095734161</c:v>
                </c:pt>
                <c:pt idx="16">
                  <c:v>1.7990982464162784</c:v>
                </c:pt>
                <c:pt idx="17">
                  <c:v>1.6742304772679695</c:v>
                </c:pt>
                <c:pt idx="18">
                  <c:v>1.7686578001481523</c:v>
                </c:pt>
                <c:pt idx="19">
                  <c:v>1.8568835691212759</c:v>
                </c:pt>
                <c:pt idx="20">
                  <c:v>1.8391210475976532</c:v>
                </c:pt>
                <c:pt idx="21">
                  <c:v>2.2790618998303604</c:v>
                </c:pt>
                <c:pt idx="22">
                  <c:v>2.5164849663983477</c:v>
                </c:pt>
                <c:pt idx="23">
                  <c:v>2.5634849393913592</c:v>
                </c:pt>
                <c:pt idx="24">
                  <c:v>2.6487984153223016</c:v>
                </c:pt>
                <c:pt idx="25">
                  <c:v>2.5507967468025887</c:v>
                </c:pt>
                <c:pt idx="26">
                  <c:v>2.2857787968848542</c:v>
                </c:pt>
                <c:pt idx="27">
                  <c:v>1.9579037141097284</c:v>
                </c:pt>
                <c:pt idx="28">
                  <c:v>1.9714074657113443</c:v>
                </c:pt>
                <c:pt idx="29">
                  <c:v>1.8979965473385654</c:v>
                </c:pt>
                <c:pt idx="30">
                  <c:v>1.9013033078631032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63-44F5-8E45-19F3459E716F}"/>
            </c:ext>
          </c:extLst>
        </c:ser>
        <c:ser>
          <c:idx val="1"/>
          <c:order val="1"/>
          <c:tx>
            <c:strRef>
              <c:f>'Trh práce-2b'!$A$31</c:f>
              <c:strCache>
                <c:ptCount val="1"/>
                <c:pt idx="0">
                  <c:v>Míra nezaměstnanosti žen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práce-2b'!$B$31:$AG$31</c:f>
              <c:numCache>
                <c:formatCode>0.0</c:formatCode>
                <c:ptCount val="32"/>
                <c:pt idx="0">
                  <c:v>6.9330035356774511</c:v>
                </c:pt>
                <c:pt idx="1">
                  <c:v>6.165615431071279</c:v>
                </c:pt>
                <c:pt idx="2">
                  <c:v>5.9692047466043459</c:v>
                </c:pt>
                <c:pt idx="3">
                  <c:v>5.6766340555846115</c:v>
                </c:pt>
                <c:pt idx="4">
                  <c:v>5.0652581623053754</c:v>
                </c:pt>
                <c:pt idx="5">
                  <c:v>4.8088013514171148</c:v>
                </c:pt>
                <c:pt idx="6">
                  <c:v>4.7939937777567261</c:v>
                </c:pt>
                <c:pt idx="7">
                  <c:v>4.359807609038242</c:v>
                </c:pt>
                <c:pt idx="8">
                  <c:v>4.2751123500999455</c:v>
                </c:pt>
                <c:pt idx="9">
                  <c:v>3.8932469863618979</c:v>
                </c:pt>
                <c:pt idx="10">
                  <c:v>3.4005536528815492</c:v>
                </c:pt>
                <c:pt idx="11">
                  <c:v>3.0227741553887468</c:v>
                </c:pt>
                <c:pt idx="12">
                  <c:v>2.9385099420881686</c:v>
                </c:pt>
                <c:pt idx="13">
                  <c:v>2.8959070704400376</c:v>
                </c:pt>
                <c:pt idx="14">
                  <c:v>2.8575073871057413</c:v>
                </c:pt>
                <c:pt idx="15">
                  <c:v>2.6657266311011196</c:v>
                </c:pt>
                <c:pt idx="16">
                  <c:v>2.2536361958148921</c:v>
                </c:pt>
                <c:pt idx="17">
                  <c:v>2.477459388365864</c:v>
                </c:pt>
                <c:pt idx="18">
                  <c:v>2.5558877421406212</c:v>
                </c:pt>
                <c:pt idx="19">
                  <c:v>2.4625289133541766</c:v>
                </c:pt>
                <c:pt idx="20">
                  <c:v>2.04207288982724</c:v>
                </c:pt>
                <c:pt idx="21">
                  <c:v>2.8205170892721214</c:v>
                </c:pt>
                <c:pt idx="22">
                  <c:v>3.3593488678396644</c:v>
                </c:pt>
                <c:pt idx="23">
                  <c:v>3.9041254135398047</c:v>
                </c:pt>
                <c:pt idx="24">
                  <c:v>4.1368190875241231</c:v>
                </c:pt>
                <c:pt idx="25">
                  <c:v>3.9141317200004422</c:v>
                </c:pt>
                <c:pt idx="26">
                  <c:v>3.2721635871031745</c:v>
                </c:pt>
                <c:pt idx="27">
                  <c:v>2.7119301242424072</c:v>
                </c:pt>
                <c:pt idx="28">
                  <c:v>3.0108714299119828</c:v>
                </c:pt>
                <c:pt idx="29">
                  <c:v>3.2176028040647444</c:v>
                </c:pt>
                <c:pt idx="30">
                  <c:v>2.9098364445102987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63-44F5-8E45-19F3459E7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79980800"/>
        <c:axId val="80674816"/>
      </c:barChart>
      <c:lineChart>
        <c:grouping val="standard"/>
        <c:varyColors val="0"/>
        <c:ser>
          <c:idx val="2"/>
          <c:order val="2"/>
          <c:tx>
            <c:strRef>
              <c:f>'Trh práce-2b'!$A$32</c:f>
              <c:strCache>
                <c:ptCount val="1"/>
                <c:pt idx="0">
                  <c:v>Míra ekonomické aktivity mužů</c:v>
                </c:pt>
              </c:strCache>
            </c:strRef>
          </c:tx>
          <c:spPr>
            <a:ln w="19050">
              <a:solidFill>
                <a:srgbClr val="4FD1FF"/>
              </a:solidFill>
              <a:prstDash val="solid"/>
            </a:ln>
          </c:spPr>
          <c:marker>
            <c:symbol val="none"/>
          </c:marker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práce-2b'!$B$32:$AG$32</c:f>
              <c:numCache>
                <c:formatCode>0.0</c:formatCode>
                <c:ptCount val="32"/>
                <c:pt idx="0">
                  <c:v>81.413481997639408</c:v>
                </c:pt>
                <c:pt idx="1">
                  <c:v>81.419110594189576</c:v>
                </c:pt>
                <c:pt idx="2">
                  <c:v>81.349582359517356</c:v>
                </c:pt>
                <c:pt idx="3">
                  <c:v>81.513665177863871</c:v>
                </c:pt>
                <c:pt idx="4">
                  <c:v>81.95464671816957</c:v>
                </c:pt>
                <c:pt idx="5">
                  <c:v>82.083249820800901</c:v>
                </c:pt>
                <c:pt idx="6">
                  <c:v>82.176405797492109</c:v>
                </c:pt>
                <c:pt idx="7">
                  <c:v>82.467848071365196</c:v>
                </c:pt>
                <c:pt idx="8">
                  <c:v>82.727860041774363</c:v>
                </c:pt>
                <c:pt idx="9">
                  <c:v>82.857472384057957</c:v>
                </c:pt>
                <c:pt idx="10">
                  <c:v>83.019684737731751</c:v>
                </c:pt>
                <c:pt idx="11">
                  <c:v>83.176217916023987</c:v>
                </c:pt>
                <c:pt idx="12">
                  <c:v>83.366789147231728</c:v>
                </c:pt>
                <c:pt idx="13">
                  <c:v>83.412777616074408</c:v>
                </c:pt>
                <c:pt idx="14">
                  <c:v>83.227918264119168</c:v>
                </c:pt>
                <c:pt idx="15">
                  <c:v>83.42960666985536</c:v>
                </c:pt>
                <c:pt idx="16">
                  <c:v>83.682240247092309</c:v>
                </c:pt>
                <c:pt idx="17">
                  <c:v>83.455854890894571</c:v>
                </c:pt>
                <c:pt idx="18">
                  <c:v>83.299122325687904</c:v>
                </c:pt>
                <c:pt idx="19">
                  <c:v>83.581723193428701</c:v>
                </c:pt>
                <c:pt idx="20">
                  <c:v>83.439582450321751</c:v>
                </c:pt>
                <c:pt idx="21">
                  <c:v>83.067870438412911</c:v>
                </c:pt>
                <c:pt idx="22">
                  <c:v>83.403417829033472</c:v>
                </c:pt>
                <c:pt idx="23">
                  <c:v>83.153717731021871</c:v>
                </c:pt>
                <c:pt idx="24">
                  <c:v>83.010063903932448</c:v>
                </c:pt>
                <c:pt idx="25">
                  <c:v>83.038079834738454</c:v>
                </c:pt>
                <c:pt idx="26">
                  <c:v>83.320133785020033</c:v>
                </c:pt>
                <c:pt idx="27">
                  <c:v>83.526405769654943</c:v>
                </c:pt>
                <c:pt idx="28">
                  <c:v>83.959192743558788</c:v>
                </c:pt>
                <c:pt idx="29">
                  <c:v>83.759674916867979</c:v>
                </c:pt>
                <c:pt idx="30">
                  <c:v>83.654426788225024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63-44F5-8E45-19F3459E716F}"/>
            </c:ext>
          </c:extLst>
        </c:ser>
        <c:ser>
          <c:idx val="3"/>
          <c:order val="3"/>
          <c:tx>
            <c:strRef>
              <c:f>'Trh práce-2b'!$A$33</c:f>
              <c:strCache>
                <c:ptCount val="1"/>
                <c:pt idx="0">
                  <c:v>Míra ekonomické aktivity žen</c:v>
                </c:pt>
              </c:strCache>
            </c:strRef>
          </c:tx>
          <c:spPr>
            <a:ln w="19050">
              <a:solidFill>
                <a:schemeClr val="accent2">
                  <a:lumMod val="60000"/>
                  <a:lumOff val="40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práce-2b'!$B$33:$AG$33</c:f>
              <c:numCache>
                <c:formatCode>0.0</c:formatCode>
                <c:ptCount val="32"/>
                <c:pt idx="0">
                  <c:v>66.54252814007161</c:v>
                </c:pt>
                <c:pt idx="1">
                  <c:v>66.666431768491407</c:v>
                </c:pt>
                <c:pt idx="2">
                  <c:v>66.654792914968937</c:v>
                </c:pt>
                <c:pt idx="3">
                  <c:v>66.418889866464625</c:v>
                </c:pt>
                <c:pt idx="4">
                  <c:v>67.04627543928467</c:v>
                </c:pt>
                <c:pt idx="5">
                  <c:v>67.710621614993428</c:v>
                </c:pt>
                <c:pt idx="6">
                  <c:v>67.837768163348073</c:v>
                </c:pt>
                <c:pt idx="7">
                  <c:v>68.456265295297314</c:v>
                </c:pt>
                <c:pt idx="8">
                  <c:v>68.697468612411924</c:v>
                </c:pt>
                <c:pt idx="9">
                  <c:v>68.713756307271581</c:v>
                </c:pt>
                <c:pt idx="10">
                  <c:v>69.103189641889657</c:v>
                </c:pt>
                <c:pt idx="11">
                  <c:v>68.910813934937721</c:v>
                </c:pt>
                <c:pt idx="12">
                  <c:v>69.340516941843688</c:v>
                </c:pt>
                <c:pt idx="13">
                  <c:v>69.81384857147701</c:v>
                </c:pt>
                <c:pt idx="14">
                  <c:v>69.950002702371663</c:v>
                </c:pt>
                <c:pt idx="15">
                  <c:v>70.044975969350276</c:v>
                </c:pt>
                <c:pt idx="16">
                  <c:v>70.049718587143374</c:v>
                </c:pt>
                <c:pt idx="17">
                  <c:v>69.833313596022052</c:v>
                </c:pt>
                <c:pt idx="18">
                  <c:v>69.925958459528303</c:v>
                </c:pt>
                <c:pt idx="19">
                  <c:v>69.668015731742173</c:v>
                </c:pt>
                <c:pt idx="20">
                  <c:v>69.333922930053163</c:v>
                </c:pt>
                <c:pt idx="21">
                  <c:v>68.928487762383341</c:v>
                </c:pt>
                <c:pt idx="22">
                  <c:v>68.946784735681518</c:v>
                </c:pt>
                <c:pt idx="23">
                  <c:v>69.349546510975912</c:v>
                </c:pt>
                <c:pt idx="24">
                  <c:v>69.435569826158229</c:v>
                </c:pt>
                <c:pt idx="25">
                  <c:v>69.026293063886072</c:v>
                </c:pt>
                <c:pt idx="26">
                  <c:v>69.917521283014139</c:v>
                </c:pt>
                <c:pt idx="27">
                  <c:v>69.887382577566541</c:v>
                </c:pt>
                <c:pt idx="28">
                  <c:v>70.21792226777346</c:v>
                </c:pt>
                <c:pt idx="29">
                  <c:v>70.575580111173366</c:v>
                </c:pt>
                <c:pt idx="30">
                  <c:v>70.844989062422954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563-44F5-8E45-19F3459E716F}"/>
            </c:ext>
          </c:extLst>
        </c:ser>
        <c:ser>
          <c:idx val="4"/>
          <c:order val="4"/>
          <c:tx>
            <c:strRef>
              <c:f>'Trh práce-2b'!$A$34</c:f>
              <c:strCache>
                <c:ptCount val="1"/>
                <c:pt idx="0">
                  <c:v>Ekon. neaktivní chtějící pracovat</c:v>
                </c:pt>
              </c:strCache>
            </c:strRef>
          </c:tx>
          <c:spPr>
            <a:ln w="19050">
              <a:solidFill>
                <a:schemeClr val="bg2">
                  <a:lumMod val="5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práce-2b'!$B$34:$AG$34</c:f>
              <c:numCache>
                <c:formatCode>0.0</c:formatCode>
                <c:ptCount val="32"/>
                <c:pt idx="0">
                  <c:v>138.5</c:v>
                </c:pt>
                <c:pt idx="1">
                  <c:v>141.4</c:v>
                </c:pt>
                <c:pt idx="2">
                  <c:v>137.1</c:v>
                </c:pt>
                <c:pt idx="3">
                  <c:v>130.4</c:v>
                </c:pt>
                <c:pt idx="4">
                  <c:v>141</c:v>
                </c:pt>
                <c:pt idx="5">
                  <c:v>126.4</c:v>
                </c:pt>
                <c:pt idx="6">
                  <c:v>129.69999999999999</c:v>
                </c:pt>
                <c:pt idx="7">
                  <c:v>127.1</c:v>
                </c:pt>
                <c:pt idx="8">
                  <c:v>133.1</c:v>
                </c:pt>
                <c:pt idx="9">
                  <c:v>120.1</c:v>
                </c:pt>
                <c:pt idx="10">
                  <c:v>121.3</c:v>
                </c:pt>
                <c:pt idx="11">
                  <c:v>119.1</c:v>
                </c:pt>
                <c:pt idx="12">
                  <c:v>113.5</c:v>
                </c:pt>
                <c:pt idx="13">
                  <c:v>108.4</c:v>
                </c:pt>
                <c:pt idx="14">
                  <c:v>110.3</c:v>
                </c:pt>
                <c:pt idx="15">
                  <c:v>101.7</c:v>
                </c:pt>
                <c:pt idx="16">
                  <c:v>104.6</c:v>
                </c:pt>
                <c:pt idx="17">
                  <c:v>104.6</c:v>
                </c:pt>
                <c:pt idx="18">
                  <c:v>97.6</c:v>
                </c:pt>
                <c:pt idx="19">
                  <c:v>99.9</c:v>
                </c:pt>
                <c:pt idx="20">
                  <c:v>93.4</c:v>
                </c:pt>
                <c:pt idx="21">
                  <c:v>109.3</c:v>
                </c:pt>
                <c:pt idx="22">
                  <c:v>98.8</c:v>
                </c:pt>
                <c:pt idx="23">
                  <c:v>95.7</c:v>
                </c:pt>
                <c:pt idx="24">
                  <c:v>108</c:v>
                </c:pt>
                <c:pt idx="25">
                  <c:v>113.7</c:v>
                </c:pt>
                <c:pt idx="26">
                  <c:v>64.599999999999994</c:v>
                </c:pt>
                <c:pt idx="27">
                  <c:v>64.5</c:v>
                </c:pt>
                <c:pt idx="28">
                  <c:v>67</c:v>
                </c:pt>
                <c:pt idx="29">
                  <c:v>58.7</c:v>
                </c:pt>
                <c:pt idx="30">
                  <c:v>56.6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563-44F5-8E45-19F3459E716F}"/>
            </c:ext>
          </c:extLst>
        </c:ser>
        <c:ser>
          <c:idx val="5"/>
          <c:order val="5"/>
          <c:tx>
            <c:strRef>
              <c:f>'Trh práce-2b'!$A$35</c:f>
              <c:strCache>
                <c:ptCount val="1"/>
                <c:pt idx="0">
                  <c:v>Očekávání vývoje nezaměstnanosti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práce-2b'!$B$35:$AG$35</c:f>
              <c:numCache>
                <c:formatCode>0.0</c:formatCode>
                <c:ptCount val="32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-3</c:v>
                </c:pt>
                <c:pt idx="10">
                  <c:v>0</c:v>
                </c:pt>
                <c:pt idx="11">
                  <c:v>-1</c:v>
                </c:pt>
                <c:pt idx="12">
                  <c:v>-1</c:v>
                </c:pt>
                <c:pt idx="13">
                  <c:v>-2</c:v>
                </c:pt>
                <c:pt idx="14">
                  <c:v>-2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12</c:v>
                </c:pt>
                <c:pt idx="20">
                  <c:v>18</c:v>
                </c:pt>
                <c:pt idx="21">
                  <c:v>49</c:v>
                </c:pt>
                <c:pt idx="22">
                  <c:v>46</c:v>
                </c:pt>
                <c:pt idx="23">
                  <c:v>60</c:v>
                </c:pt>
                <c:pt idx="24">
                  <c:v>57</c:v>
                </c:pt>
                <c:pt idx="25">
                  <c:v>24</c:v>
                </c:pt>
                <c:pt idx="26">
                  <c:v>16</c:v>
                </c:pt>
                <c:pt idx="27">
                  <c:v>20</c:v>
                </c:pt>
                <c:pt idx="28">
                  <c:v>14</c:v>
                </c:pt>
                <c:pt idx="29">
                  <c:v>20</c:v>
                </c:pt>
                <c:pt idx="30">
                  <c:v>26</c:v>
                </c:pt>
                <c:pt idx="31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563-44F5-8E45-19F3459E716F}"/>
            </c:ext>
          </c:extLst>
        </c:ser>
        <c:ser>
          <c:idx val="6"/>
          <c:order val="6"/>
          <c:tx>
            <c:strRef>
              <c:f>'Trh práce-2b'!$A$36</c:f>
              <c:strCache>
                <c:ptCount val="1"/>
                <c:pt idx="0">
                  <c:v>VPM (pro vyučené a SŠ bez mat.)</c:v>
                </c:pt>
              </c:strCache>
            </c:strRef>
          </c:tx>
          <c:spPr>
            <a:ln w="6350">
              <a:solidFill>
                <a:srgbClr val="92D050"/>
              </a:solidFill>
              <a:prstDash val="sysDot"/>
            </a:ln>
          </c:spPr>
          <c:marker>
            <c:symbol val="diamond"/>
            <c:size val="5"/>
            <c:spPr>
              <a:solidFill>
                <a:srgbClr val="92D050"/>
              </a:solidFill>
              <a:ln>
                <a:noFill/>
              </a:ln>
            </c:spPr>
          </c:marker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práce-2b'!$B$36:$AG$36</c:f>
              <c:numCache>
                <c:formatCode>0.0</c:formatCode>
                <c:ptCount val="32"/>
                <c:pt idx="0">
                  <c:v>31.721</c:v>
                </c:pt>
                <c:pt idx="1">
                  <c:v>39.711000000000006</c:v>
                </c:pt>
                <c:pt idx="2">
                  <c:v>44.408000000000001</c:v>
                </c:pt>
                <c:pt idx="3">
                  <c:v>41.217000000000006</c:v>
                </c:pt>
                <c:pt idx="4">
                  <c:v>45.281000000000006</c:v>
                </c:pt>
                <c:pt idx="5">
                  <c:v>51.361000000000004</c:v>
                </c:pt>
                <c:pt idx="6">
                  <c:v>52.769000000000013</c:v>
                </c:pt>
                <c:pt idx="7">
                  <c:v>47.209000000000003</c:v>
                </c:pt>
                <c:pt idx="8">
                  <c:v>51.45</c:v>
                </c:pt>
                <c:pt idx="9">
                  <c:v>59.068000000000012</c:v>
                </c:pt>
                <c:pt idx="10">
                  <c:v>63.111000000000004</c:v>
                </c:pt>
                <c:pt idx="11">
                  <c:v>60.942</c:v>
                </c:pt>
                <c:pt idx="12">
                  <c:v>65.332999999999998</c:v>
                </c:pt>
                <c:pt idx="13">
                  <c:v>73.277000000000001</c:v>
                </c:pt>
                <c:pt idx="14">
                  <c:v>74.188999999999979</c:v>
                </c:pt>
                <c:pt idx="15">
                  <c:v>70.375999999999976</c:v>
                </c:pt>
                <c:pt idx="16">
                  <c:v>70.151999999999987</c:v>
                </c:pt>
                <c:pt idx="17">
                  <c:v>67.956999999999994</c:v>
                </c:pt>
                <c:pt idx="18">
                  <c:v>65.822999999999979</c:v>
                </c:pt>
                <c:pt idx="19">
                  <c:v>59.134</c:v>
                </c:pt>
                <c:pt idx="20">
                  <c:v>57.721000000000011</c:v>
                </c:pt>
                <c:pt idx="21">
                  <c:v>54.324000000000005</c:v>
                </c:pt>
                <c:pt idx="22">
                  <c:v>49.079000000000001</c:v>
                </c:pt>
                <c:pt idx="23">
                  <c:v>46.597000000000001</c:v>
                </c:pt>
                <c:pt idx="24">
                  <c:v>47.85</c:v>
                </c:pt>
                <c:pt idx="25">
                  <c:v>53.853000000000002</c:v>
                </c:pt>
                <c:pt idx="26">
                  <c:v>54.99</c:v>
                </c:pt>
                <c:pt idx="27">
                  <c:v>48.898000000000003</c:v>
                </c:pt>
                <c:pt idx="28">
                  <c:v>53.703000000000003</c:v>
                </c:pt>
                <c:pt idx="29">
                  <c:v>51.299000000000021</c:v>
                </c:pt>
                <c:pt idx="30">
                  <c:v>48.194000000000003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563-44F5-8E45-19F3459E716F}"/>
            </c:ext>
          </c:extLst>
        </c:ser>
        <c:ser>
          <c:idx val="7"/>
          <c:order val="7"/>
          <c:tx>
            <c:strRef>
              <c:f>'Trh práce-2b'!$A$37</c:f>
              <c:strCache>
                <c:ptCount val="1"/>
                <c:pt idx="0">
                  <c:v>VPM (pro SŠ s mat., VOŠ, VŠ)</c:v>
                </c:pt>
              </c:strCache>
            </c:strRef>
          </c:tx>
          <c:spPr>
            <a:ln w="6350">
              <a:solidFill>
                <a:srgbClr val="00B050"/>
              </a:solidFill>
              <a:prstDash val="sysDot"/>
            </a:ln>
          </c:spPr>
          <c:marker>
            <c:symbol val="diamond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cat>
            <c:multiLvlStrRef>
              <c:f>'Trh práce-2b'!$B$28:$AG$29</c:f>
              <c:multiLvlStrCache>
                <c:ptCount val="3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práce-2b'!$B$37:$AG$37</c:f>
              <c:numCache>
                <c:formatCode>0.0</c:formatCode>
                <c:ptCount val="32"/>
                <c:pt idx="0">
                  <c:v>16.571999999999999</c:v>
                </c:pt>
                <c:pt idx="1">
                  <c:v>19.332999999999991</c:v>
                </c:pt>
                <c:pt idx="2">
                  <c:v>20.007000000000001</c:v>
                </c:pt>
                <c:pt idx="3">
                  <c:v>19.622</c:v>
                </c:pt>
                <c:pt idx="4">
                  <c:v>23.402999999999988</c:v>
                </c:pt>
                <c:pt idx="5">
                  <c:v>24.803999999999991</c:v>
                </c:pt>
                <c:pt idx="6">
                  <c:v>25.2</c:v>
                </c:pt>
                <c:pt idx="7">
                  <c:v>23.474999999999994</c:v>
                </c:pt>
                <c:pt idx="8">
                  <c:v>25.937000000000001</c:v>
                </c:pt>
                <c:pt idx="9">
                  <c:v>30.282999999999991</c:v>
                </c:pt>
                <c:pt idx="10">
                  <c:v>31.446000000000002</c:v>
                </c:pt>
                <c:pt idx="11">
                  <c:v>31.79</c:v>
                </c:pt>
                <c:pt idx="12">
                  <c:v>34.306000000000004</c:v>
                </c:pt>
                <c:pt idx="13">
                  <c:v>37.973000000000006</c:v>
                </c:pt>
                <c:pt idx="14">
                  <c:v>37.242000000000012</c:v>
                </c:pt>
                <c:pt idx="15">
                  <c:v>36.566000000000003</c:v>
                </c:pt>
                <c:pt idx="16">
                  <c:v>37.266000000000012</c:v>
                </c:pt>
                <c:pt idx="17">
                  <c:v>38.271000000000001</c:v>
                </c:pt>
                <c:pt idx="18">
                  <c:v>38.604000000000006</c:v>
                </c:pt>
                <c:pt idx="19">
                  <c:v>36.266000000000012</c:v>
                </c:pt>
                <c:pt idx="20">
                  <c:v>37.673000000000002</c:v>
                </c:pt>
                <c:pt idx="21">
                  <c:v>38.076000000000001</c:v>
                </c:pt>
                <c:pt idx="22">
                  <c:v>34.399000000000001</c:v>
                </c:pt>
                <c:pt idx="23">
                  <c:v>34.065000000000012</c:v>
                </c:pt>
                <c:pt idx="24">
                  <c:v>36.285000000000011</c:v>
                </c:pt>
                <c:pt idx="25">
                  <c:v>39.608000000000011</c:v>
                </c:pt>
                <c:pt idx="26">
                  <c:v>40.273000000000003</c:v>
                </c:pt>
                <c:pt idx="27">
                  <c:v>39.239000000000011</c:v>
                </c:pt>
                <c:pt idx="28">
                  <c:v>42.484000000000002</c:v>
                </c:pt>
                <c:pt idx="29">
                  <c:v>41.018000000000001</c:v>
                </c:pt>
                <c:pt idx="30">
                  <c:v>38.51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563-44F5-8E45-19F3459E7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678912"/>
        <c:axId val="80676736"/>
      </c:lineChart>
      <c:catAx>
        <c:axId val="7998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80674816"/>
        <c:crossesAt val="-50"/>
        <c:auto val="1"/>
        <c:lblAlgn val="ctr"/>
        <c:lblOffset val="0"/>
        <c:noMultiLvlLbl val="0"/>
      </c:catAx>
      <c:valAx>
        <c:axId val="80674816"/>
        <c:scaling>
          <c:orientation val="minMax"/>
          <c:max val="7.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 nezaměstnanosti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79980800"/>
        <c:crosses val="autoZero"/>
        <c:crossBetween val="between"/>
        <c:majorUnit val="0.5"/>
      </c:valAx>
      <c:valAx>
        <c:axId val="80676736"/>
        <c:scaling>
          <c:orientation val="minMax"/>
          <c:max val="142"/>
          <c:min val="-1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</a:t>
                </a:r>
                <a:r>
                  <a:rPr lang="cs-CZ" sz="700" b="0" i="1" baseline="0"/>
                  <a:t> ek. aktivity, e</a:t>
                </a:r>
                <a:r>
                  <a:rPr lang="cs-CZ" sz="700" b="0" i="1"/>
                  <a:t>k. neaktivní, očekávání nezam., volná</a:t>
                </a:r>
                <a:r>
                  <a:rPr lang="cs-CZ" sz="700" b="0" i="1" baseline="0"/>
                  <a:t> místa</a:t>
                </a:r>
                <a:endParaRPr lang="cs-CZ" sz="700" b="0" i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80678912"/>
        <c:crosses val="max"/>
        <c:crossBetween val="between"/>
        <c:majorUnit val="10"/>
      </c:valAx>
      <c:catAx>
        <c:axId val="80678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0676736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7707837000111996E-2"/>
          <c:y val="0.84393568697958343"/>
          <c:w val="0.83964940085847384"/>
          <c:h val="0.14846823989116698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11162452186125E-2"/>
          <c:y val="2.0203894786331136E-2"/>
          <c:w val="0.94100987714831741"/>
          <c:h val="0.76395209750566928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3'!$D$8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'Trh práce 3'!$A$29:$B$59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3'!$D$29:$D$59</c:f>
              <c:numCache>
                <c:formatCode>#\ ##0.0</c:formatCode>
                <c:ptCount val="31"/>
                <c:pt idx="0">
                  <c:v>2.2000000000000037</c:v>
                </c:pt>
                <c:pt idx="1">
                  <c:v>2.5999999999999943</c:v>
                </c:pt>
                <c:pt idx="2">
                  <c:v>3.0999999999999943</c:v>
                </c:pt>
                <c:pt idx="3">
                  <c:v>3.5999999999999943</c:v>
                </c:pt>
                <c:pt idx="4">
                  <c:v>4.2000000000000028</c:v>
                </c:pt>
                <c:pt idx="5">
                  <c:v>3.7999999999999972</c:v>
                </c:pt>
                <c:pt idx="6">
                  <c:v>4.2000000000000028</c:v>
                </c:pt>
                <c:pt idx="7">
                  <c:v>3</c:v>
                </c:pt>
                <c:pt idx="8">
                  <c:v>2.5999999999999943</c:v>
                </c:pt>
                <c:pt idx="9">
                  <c:v>4.9000000000000075</c:v>
                </c:pt>
                <c:pt idx="10">
                  <c:v>4.0999999999999943</c:v>
                </c:pt>
                <c:pt idx="11">
                  <c:v>5.0999999999999943</c:v>
                </c:pt>
                <c:pt idx="12">
                  <c:v>6.5</c:v>
                </c:pt>
                <c:pt idx="13">
                  <c:v>6.2999999999999972</c:v>
                </c:pt>
                <c:pt idx="14">
                  <c:v>5.9000000000000075</c:v>
                </c:pt>
                <c:pt idx="15">
                  <c:v>4.9000000000000075</c:v>
                </c:pt>
                <c:pt idx="16">
                  <c:v>5.5</c:v>
                </c:pt>
                <c:pt idx="17">
                  <c:v>5.0999999999999943</c:v>
                </c:pt>
                <c:pt idx="18">
                  <c:v>4.7999999999999972</c:v>
                </c:pt>
                <c:pt idx="19">
                  <c:v>4.5</c:v>
                </c:pt>
                <c:pt idx="20">
                  <c:v>1.7999999999999965</c:v>
                </c:pt>
                <c:pt idx="21">
                  <c:v>-2.0999999999999943</c:v>
                </c:pt>
                <c:pt idx="22">
                  <c:v>2</c:v>
                </c:pt>
                <c:pt idx="23">
                  <c:v>4</c:v>
                </c:pt>
                <c:pt idx="24">
                  <c:v>-0.40000000000000568</c:v>
                </c:pt>
                <c:pt idx="25">
                  <c:v>7</c:v>
                </c:pt>
                <c:pt idx="26">
                  <c:v>0.29999999999999738</c:v>
                </c:pt>
                <c:pt idx="27">
                  <c:v>-3</c:v>
                </c:pt>
                <c:pt idx="28">
                  <c:v>-3.5</c:v>
                </c:pt>
                <c:pt idx="29">
                  <c:v>-9.8000000000000025</c:v>
                </c:pt>
                <c:pt idx="30">
                  <c:v>-9.8000000000000025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E-432B-B7D1-EF79A1DDF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80736640"/>
        <c:axId val="80738176"/>
      </c:barChart>
      <c:lineChart>
        <c:grouping val="standard"/>
        <c:varyColors val="0"/>
        <c:ser>
          <c:idx val="0"/>
          <c:order val="0"/>
          <c:tx>
            <c:strRef>
              <c:f>'Trh práce 3'!$C$8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 3'!$A$29:$B$59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3'!$C$29:$C$59</c:f>
              <c:numCache>
                <c:formatCode>0.0</c:formatCode>
                <c:ptCount val="31"/>
                <c:pt idx="0">
                  <c:v>2.2702659339777815</c:v>
                </c:pt>
                <c:pt idx="1">
                  <c:v>3.2813172200711884</c:v>
                </c:pt>
                <c:pt idx="2">
                  <c:v>3.4969737726967054</c:v>
                </c:pt>
                <c:pt idx="3">
                  <c:v>3.6572392795568769</c:v>
                </c:pt>
                <c:pt idx="4">
                  <c:v>4.6515276307016507</c:v>
                </c:pt>
                <c:pt idx="5">
                  <c:v>3.9533474704634983</c:v>
                </c:pt>
                <c:pt idx="6">
                  <c:v>4.7127622979016071</c:v>
                </c:pt>
                <c:pt idx="7">
                  <c:v>4.3633661264066887</c:v>
                </c:pt>
                <c:pt idx="8">
                  <c:v>5.0631488213469265</c:v>
                </c:pt>
                <c:pt idx="9">
                  <c:v>7.2125892466851251</c:v>
                </c:pt>
                <c:pt idx="10">
                  <c:v>6.7090086143962697</c:v>
                </c:pt>
                <c:pt idx="11">
                  <c:v>7.8362890373334153</c:v>
                </c:pt>
                <c:pt idx="12">
                  <c:v>8.536063351644426</c:v>
                </c:pt>
                <c:pt idx="13">
                  <c:v>8.7353900516444689</c:v>
                </c:pt>
                <c:pt idx="14">
                  <c:v>8.3840733392624998</c:v>
                </c:pt>
                <c:pt idx="15">
                  <c:v>7.0907490094962657</c:v>
                </c:pt>
                <c:pt idx="16">
                  <c:v>8.2952640746705129</c:v>
                </c:pt>
                <c:pt idx="17">
                  <c:v>8.0398712620691679</c:v>
                </c:pt>
                <c:pt idx="18">
                  <c:v>7.7071169323023545</c:v>
                </c:pt>
                <c:pt idx="19">
                  <c:v>7.5667263704965091</c:v>
                </c:pt>
                <c:pt idx="20">
                  <c:v>5.4930047646505376</c:v>
                </c:pt>
                <c:pt idx="21">
                  <c:v>0.86476168440536583</c:v>
                </c:pt>
                <c:pt idx="22">
                  <c:v>5.4150672488059381</c:v>
                </c:pt>
                <c:pt idx="23">
                  <c:v>6.7096140197630678</c:v>
                </c:pt>
                <c:pt idx="24">
                  <c:v>1.8267598745720761</c:v>
                </c:pt>
                <c:pt idx="25">
                  <c:v>10.078853046594968</c:v>
                </c:pt>
                <c:pt idx="26">
                  <c:v>4.4141765114662919</c:v>
                </c:pt>
                <c:pt idx="27">
                  <c:v>2.8957331423309123</c:v>
                </c:pt>
                <c:pt idx="28">
                  <c:v>7.2635326025539664</c:v>
                </c:pt>
                <c:pt idx="29">
                  <c:v>4.4073977598333034</c:v>
                </c:pt>
                <c:pt idx="30">
                  <c:v>6.1097356441178761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3E-432B-B7D1-EF79A1DDFF1E}"/>
            </c:ext>
          </c:extLst>
        </c:ser>
        <c:ser>
          <c:idx val="5"/>
          <c:order val="2"/>
          <c:tx>
            <c:strRef>
              <c:f>'Trh práce 3'!$E$8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3'!$A$29:$B$59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3'!$E$29:$E$59</c:f>
              <c:numCache>
                <c:formatCode>0.0</c:formatCode>
                <c:ptCount val="31"/>
                <c:pt idx="0">
                  <c:v>1.638111818937205</c:v>
                </c:pt>
                <c:pt idx="1">
                  <c:v>2.6920877025738719</c:v>
                </c:pt>
                <c:pt idx="2">
                  <c:v>3.0100597296447646</c:v>
                </c:pt>
                <c:pt idx="3">
                  <c:v>2.9788308269320822</c:v>
                </c:pt>
                <c:pt idx="4">
                  <c:v>4.6482656596722052</c:v>
                </c:pt>
                <c:pt idx="5">
                  <c:v>3.9508373250157827</c:v>
                </c:pt>
                <c:pt idx="6">
                  <c:v>4.6540016784924179</c:v>
                </c:pt>
                <c:pt idx="7">
                  <c:v>3.8977412011906836</c:v>
                </c:pt>
                <c:pt idx="8">
                  <c:v>5.1746586808526471</c:v>
                </c:pt>
                <c:pt idx="9">
                  <c:v>8.0728701553848907</c:v>
                </c:pt>
                <c:pt idx="10">
                  <c:v>6.8272945979441602</c:v>
                </c:pt>
                <c:pt idx="11">
                  <c:v>7.088445463125252</c:v>
                </c:pt>
                <c:pt idx="12">
                  <c:v>7.9018109790605555</c:v>
                </c:pt>
                <c:pt idx="13">
                  <c:v>8.1936869938853256</c:v>
                </c:pt>
                <c:pt idx="14">
                  <c:v>7.3566042242467784</c:v>
                </c:pt>
                <c:pt idx="15">
                  <c:v>7.6170092222467058</c:v>
                </c:pt>
                <c:pt idx="16">
                  <c:v>7.1985838851373387</c:v>
                </c:pt>
                <c:pt idx="17">
                  <c:v>7.0904869554591556</c:v>
                </c:pt>
                <c:pt idx="18">
                  <c:v>6.7539649747322112</c:v>
                </c:pt>
                <c:pt idx="19">
                  <c:v>5.6242870930946793</c:v>
                </c:pt>
                <c:pt idx="20">
                  <c:v>4.8529141948504826</c:v>
                </c:pt>
                <c:pt idx="21">
                  <c:v>-3.4830979888746341</c:v>
                </c:pt>
                <c:pt idx="22">
                  <c:v>2.9564130046445021</c:v>
                </c:pt>
                <c:pt idx="23">
                  <c:v>4.0067563825663104</c:v>
                </c:pt>
                <c:pt idx="24">
                  <c:v>0.94782583335764092</c:v>
                </c:pt>
                <c:pt idx="25">
                  <c:v>9.1091801146775424</c:v>
                </c:pt>
                <c:pt idx="26">
                  <c:v>3.7361556924322628</c:v>
                </c:pt>
                <c:pt idx="27">
                  <c:v>2.7581800271558174</c:v>
                </c:pt>
                <c:pt idx="28">
                  <c:v>6.8556075576356355</c:v>
                </c:pt>
                <c:pt idx="29">
                  <c:v>7.8827608624986425</c:v>
                </c:pt>
                <c:pt idx="30">
                  <c:v>7.727260056309774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3E-432B-B7D1-EF79A1DDFF1E}"/>
            </c:ext>
          </c:extLst>
        </c:ser>
        <c:ser>
          <c:idx val="1"/>
          <c:order val="3"/>
          <c:tx>
            <c:strRef>
              <c:f>'Trh práce 3'!$F$8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3'!$A$29:$B$59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3'!$F$29:$F$59</c:f>
              <c:numCache>
                <c:formatCode>0.0</c:formatCode>
                <c:ptCount val="31"/>
                <c:pt idx="0">
                  <c:v>3.1055099144049194</c:v>
                </c:pt>
                <c:pt idx="1">
                  <c:v>3.9141414141414117</c:v>
                </c:pt>
                <c:pt idx="2">
                  <c:v>3.949146815340427</c:v>
                </c:pt>
                <c:pt idx="3">
                  <c:v>5.7916298497871423</c:v>
                </c:pt>
                <c:pt idx="4">
                  <c:v>5.6443202202661498</c:v>
                </c:pt>
                <c:pt idx="5">
                  <c:v>3.9570676387201189</c:v>
                </c:pt>
                <c:pt idx="6">
                  <c:v>4.9977652269310493</c:v>
                </c:pt>
                <c:pt idx="7">
                  <c:v>4.4950645406226224</c:v>
                </c:pt>
                <c:pt idx="8">
                  <c:v>5.6231243089559193</c:v>
                </c:pt>
                <c:pt idx="9">
                  <c:v>7.9284684614485474</c:v>
                </c:pt>
                <c:pt idx="10">
                  <c:v>7.6932007275260172</c:v>
                </c:pt>
                <c:pt idx="11">
                  <c:v>8.3926754832146457</c:v>
                </c:pt>
                <c:pt idx="12">
                  <c:v>7.24166292806939</c:v>
                </c:pt>
                <c:pt idx="13">
                  <c:v>7.0392029456356964</c:v>
                </c:pt>
                <c:pt idx="14">
                  <c:v>6.8381903769449064</c:v>
                </c:pt>
                <c:pt idx="15">
                  <c:v>6.6970570490044956</c:v>
                </c:pt>
                <c:pt idx="16">
                  <c:v>9.5345999651385682</c:v>
                </c:pt>
                <c:pt idx="17">
                  <c:v>7.4227708080399264</c:v>
                </c:pt>
                <c:pt idx="18">
                  <c:v>8.1629221041302316</c:v>
                </c:pt>
                <c:pt idx="19">
                  <c:v>6.3018346318170426</c:v>
                </c:pt>
                <c:pt idx="20">
                  <c:v>6.3685550604710492</c:v>
                </c:pt>
                <c:pt idx="21">
                  <c:v>0.91357172008916621</c:v>
                </c:pt>
                <c:pt idx="22">
                  <c:v>4.73895332566312</c:v>
                </c:pt>
                <c:pt idx="23">
                  <c:v>2.4469531296175822</c:v>
                </c:pt>
                <c:pt idx="24">
                  <c:v>-1.1848837557224523</c:v>
                </c:pt>
                <c:pt idx="25">
                  <c:v>6.5299900447984083</c:v>
                </c:pt>
                <c:pt idx="26">
                  <c:v>3.4349671941335473</c:v>
                </c:pt>
                <c:pt idx="27">
                  <c:v>5.2414469509028994</c:v>
                </c:pt>
                <c:pt idx="28">
                  <c:v>9.5624526873580766</c:v>
                </c:pt>
                <c:pt idx="29">
                  <c:v>8.7755161638875165</c:v>
                </c:pt>
                <c:pt idx="30">
                  <c:v>6.8628013777267363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3E-432B-B7D1-EF79A1DDFF1E}"/>
            </c:ext>
          </c:extLst>
        </c:ser>
        <c:ser>
          <c:idx val="2"/>
          <c:order val="4"/>
          <c:tx>
            <c:strRef>
              <c:f>'Trh práce 3'!$G$8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3'!$A$29:$B$59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3'!$G$29:$G$59</c:f>
              <c:numCache>
                <c:formatCode>0.0</c:formatCode>
                <c:ptCount val="31"/>
                <c:pt idx="0">
                  <c:v>3.2925091204842674</c:v>
                </c:pt>
                <c:pt idx="1">
                  <c:v>4.3135889286729547</c:v>
                </c:pt>
                <c:pt idx="2">
                  <c:v>3.8145419077079774</c:v>
                </c:pt>
                <c:pt idx="3">
                  <c:v>3.6381766938736737</c:v>
                </c:pt>
                <c:pt idx="4">
                  <c:v>4.64178325585614</c:v>
                </c:pt>
                <c:pt idx="5">
                  <c:v>3.8061258933532103</c:v>
                </c:pt>
                <c:pt idx="6">
                  <c:v>4.8526374704253907</c:v>
                </c:pt>
                <c:pt idx="7">
                  <c:v>6.1351981806606259</c:v>
                </c:pt>
                <c:pt idx="8">
                  <c:v>5.4566112929362163</c:v>
                </c:pt>
                <c:pt idx="9">
                  <c:v>7.3192456135909234</c:v>
                </c:pt>
                <c:pt idx="10">
                  <c:v>7.9981713137873953</c:v>
                </c:pt>
                <c:pt idx="11">
                  <c:v>10.484072576559427</c:v>
                </c:pt>
                <c:pt idx="12">
                  <c:v>12.179699393983404</c:v>
                </c:pt>
                <c:pt idx="13">
                  <c:v>11.892177332541113</c:v>
                </c:pt>
                <c:pt idx="14">
                  <c:v>11.36132632162867</c:v>
                </c:pt>
                <c:pt idx="15">
                  <c:v>6.1282038917470629</c:v>
                </c:pt>
                <c:pt idx="16">
                  <c:v>9.4162908795776072</c:v>
                </c:pt>
                <c:pt idx="17">
                  <c:v>9.302238357009859</c:v>
                </c:pt>
                <c:pt idx="18">
                  <c:v>8.3925247282538464</c:v>
                </c:pt>
                <c:pt idx="19">
                  <c:v>11.041060141001235</c:v>
                </c:pt>
                <c:pt idx="20">
                  <c:v>5.22961170214265</c:v>
                </c:pt>
                <c:pt idx="21">
                  <c:v>4.9937922145909539</c:v>
                </c:pt>
                <c:pt idx="22">
                  <c:v>8.8109946466096609</c:v>
                </c:pt>
                <c:pt idx="23">
                  <c:v>13.948630451066606</c:v>
                </c:pt>
                <c:pt idx="24">
                  <c:v>4.0872778537601135</c:v>
                </c:pt>
                <c:pt idx="25">
                  <c:v>17.040292202235733</c:v>
                </c:pt>
                <c:pt idx="26">
                  <c:v>4.7904697566185916</c:v>
                </c:pt>
                <c:pt idx="27">
                  <c:v>-0.87797314296285833</c:v>
                </c:pt>
                <c:pt idx="28">
                  <c:v>3.0944527852714714</c:v>
                </c:pt>
                <c:pt idx="29">
                  <c:v>-6.1550379744855066</c:v>
                </c:pt>
                <c:pt idx="30">
                  <c:v>1.3291494968755728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33E-432B-B7D1-EF79A1DDFF1E}"/>
            </c:ext>
          </c:extLst>
        </c:ser>
        <c:ser>
          <c:idx val="3"/>
          <c:order val="5"/>
          <c:tx>
            <c:strRef>
              <c:f>'Trh práce 3'!$H$8</c:f>
              <c:strCache>
                <c:ptCount val="1"/>
                <c:pt idx="0">
                  <c:v>Mediánová mzda celkem (nominálně)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'Trh práce 3'!$A$29:$B$59</c:f>
              <c:multiLvlStrCache>
                <c:ptCount val="3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</c:lvl>
              </c:multiLvlStrCache>
            </c:multiLvlStrRef>
          </c:cat>
          <c:val>
            <c:numRef>
              <c:f>'Trh práce 3'!$H$29:$H$59</c:f>
              <c:numCache>
                <c:formatCode>0.0</c:formatCode>
                <c:ptCount val="31"/>
                <c:pt idx="0">
                  <c:v>0.70000000000000284</c:v>
                </c:pt>
                <c:pt idx="1">
                  <c:v>2.2999999999999972</c:v>
                </c:pt>
                <c:pt idx="2">
                  <c:v>3.7999999999999972</c:v>
                </c:pt>
                <c:pt idx="3">
                  <c:v>4.7000000000000028</c:v>
                </c:pt>
                <c:pt idx="4">
                  <c:v>6.7000000000000028</c:v>
                </c:pt>
                <c:pt idx="5">
                  <c:v>4.5999999999999943</c:v>
                </c:pt>
                <c:pt idx="6">
                  <c:v>5.2999999999999972</c:v>
                </c:pt>
                <c:pt idx="7">
                  <c:v>6.2000000000000028</c:v>
                </c:pt>
                <c:pt idx="8">
                  <c:v>4.9000000000000075</c:v>
                </c:pt>
                <c:pt idx="9">
                  <c:v>7.7000000000000028</c:v>
                </c:pt>
                <c:pt idx="10">
                  <c:v>7</c:v>
                </c:pt>
                <c:pt idx="11">
                  <c:v>8.9000000000000057</c:v>
                </c:pt>
                <c:pt idx="12">
                  <c:v>8.7000000000000011</c:v>
                </c:pt>
                <c:pt idx="13">
                  <c:v>9.7000000000000011</c:v>
                </c:pt>
                <c:pt idx="14">
                  <c:v>9.3000000000000025</c:v>
                </c:pt>
                <c:pt idx="15">
                  <c:v>6.7000000000000028</c:v>
                </c:pt>
                <c:pt idx="16">
                  <c:v>7.2000000000000028</c:v>
                </c:pt>
                <c:pt idx="17">
                  <c:v>6.4000000000000075</c:v>
                </c:pt>
                <c:pt idx="18">
                  <c:v>7.2999999999999972</c:v>
                </c:pt>
                <c:pt idx="19">
                  <c:v>6.4000000000000075</c:v>
                </c:pt>
                <c:pt idx="20">
                  <c:v>7</c:v>
                </c:pt>
                <c:pt idx="21">
                  <c:v>1.4000000000000057</c:v>
                </c:pt>
                <c:pt idx="22">
                  <c:v>6.7000000000000028</c:v>
                </c:pt>
                <c:pt idx="23">
                  <c:v>6.7000000000000028</c:v>
                </c:pt>
                <c:pt idx="24">
                  <c:v>0.79999999999999738</c:v>
                </c:pt>
                <c:pt idx="25">
                  <c:v>9.7000000000000011</c:v>
                </c:pt>
                <c:pt idx="26">
                  <c:v>4.2000000000000028</c:v>
                </c:pt>
                <c:pt idx="27">
                  <c:v>3.5999999999999943</c:v>
                </c:pt>
                <c:pt idx="28">
                  <c:v>6.7000000000000028</c:v>
                </c:pt>
                <c:pt idx="29">
                  <c:v>5.2999999999999972</c:v>
                </c:pt>
                <c:pt idx="3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33E-432B-B7D1-EF79A1DDF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736640"/>
        <c:axId val="80738176"/>
      </c:lineChart>
      <c:catAx>
        <c:axId val="8073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80738176"/>
        <c:crosses val="autoZero"/>
        <c:auto val="1"/>
        <c:lblAlgn val="ctr"/>
        <c:lblOffset val="0"/>
        <c:tickMarkSkip val="4"/>
        <c:noMultiLvlLbl val="0"/>
      </c:catAx>
      <c:valAx>
        <c:axId val="80738176"/>
        <c:scaling>
          <c:orientation val="minMax"/>
          <c:max val="18"/>
          <c:min val="-10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80736640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9.1291858669558714E-3"/>
          <c:y val="0.8757817460317463"/>
          <c:w val="0.97744444842554012"/>
          <c:h val="0.1134189342403627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02EAB-49C7-4DE4-9ED7-50D36407C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79350-D56E-4794-82D9-60659CC7F9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B725A-5D7B-4B96-9227-ACEE22926018}"/>
</file>

<file path=customXml/itemProps4.xml><?xml version="1.0" encoding="utf-8"?>
<ds:datastoreItem xmlns:ds="http://schemas.openxmlformats.org/officeDocument/2006/customXml" ds:itemID="{8383986B-ACDC-457A-945F-CAAB119436AC}"/>
</file>

<file path=customXml/itemProps5.xml><?xml version="1.0" encoding="utf-8"?>
<ds:datastoreItem xmlns:ds="http://schemas.openxmlformats.org/officeDocument/2006/customXml" ds:itemID="{36947028-F738-4B55-B574-03161320555A}"/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5</Pages>
  <Words>2201</Words>
  <Characters>12990</Characters>
  <Application>Microsoft Office Word</Application>
  <DocSecurity>0</DocSecurity>
  <Lines>108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15161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3</cp:revision>
  <cp:lastPrinted>2019-04-08T10:52:00Z</cp:lastPrinted>
  <dcterms:created xsi:type="dcterms:W3CDTF">2022-12-15T09:52:00Z</dcterms:created>
  <dcterms:modified xsi:type="dcterms:W3CDTF">2022-12-15T10:00:00Z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