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CD25E6" w:rsidP="00E42E00">
      <w:pPr>
        <w:pStyle w:val="Datum"/>
      </w:pPr>
      <w:r>
        <w:t>17. 2. 2014</w:t>
      </w:r>
    </w:p>
    <w:p w:rsidR="00867569" w:rsidRPr="00A56C80" w:rsidRDefault="00CD25E6" w:rsidP="00A56C80">
      <w:pPr>
        <w:pStyle w:val="Nzev"/>
      </w:pPr>
      <w:r>
        <w:t xml:space="preserve">Flash odhad HDP: Držme se zatím při zemi </w:t>
      </w:r>
    </w:p>
    <w:p w:rsidR="00CD25E6" w:rsidRPr="00BB0037" w:rsidRDefault="00CD25E6" w:rsidP="00CD25E6">
      <w:pPr>
        <w:pStyle w:val="Nadpis3"/>
        <w:rPr>
          <w:rFonts w:cs="Arial"/>
        </w:rPr>
      </w:pPr>
      <w:r w:rsidRPr="00BB0037">
        <w:rPr>
          <w:rFonts w:cs="Arial"/>
        </w:rPr>
        <w:t xml:space="preserve">Velmi překvapivé a velmi pozitivní – takový je první dojem z výsledku bleskového odhadu HDP České republiky za poslední čtvrtletí loňského roku. Proti stejnému období 2012 stoupl reálně podle očištěných dat o 0,8 %, proti předchozímu čtvrtletí dokonce o 1,6 %. S čísly ale opatrně. </w:t>
      </w:r>
    </w:p>
    <w:p w:rsidR="00CD25E6" w:rsidRPr="00CD25E6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>Podobně překvapivý, i když s opačným znaménkem, byl i flash výsledek za třetí čtvrtletí, který však byl v dalších dvou zpřesňujících odhadech značně modifikován. Co se tedy v loňském posledním čtvrtletí stalo?</w:t>
      </w:r>
    </w:p>
    <w:p w:rsidR="00CD25E6" w:rsidRDefault="00CD25E6" w:rsidP="00CD25E6">
      <w:pPr>
        <w:pStyle w:val="Nadpis3"/>
        <w:tabs>
          <w:tab w:val="left" w:pos="1050"/>
        </w:tabs>
        <w:rPr>
          <w:rFonts w:cs="Arial"/>
        </w:rPr>
      </w:pPr>
      <w:r w:rsidRPr="00BB0037">
        <w:rPr>
          <w:rFonts w:cs="Arial"/>
        </w:rPr>
        <w:t xml:space="preserve">Přidané hodnoty zatím v úhrnu příliš nepřibývá... </w:t>
      </w:r>
    </w:p>
    <w:p w:rsidR="00CD25E6" w:rsidRPr="002B545B" w:rsidRDefault="00CD25E6" w:rsidP="002B545B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 xml:space="preserve">Pokusme se rozebrat stranu nabídky. Příznivých signálů o vývoji české ekonomiky přibývalo již loni v létě, nepromítaly se však přesvědčivě do vývoje hrubé přidané hodnoty. To však v určité míře pokračovalo i v posledním čtvrtletí. Výkonnost odvětví v úhrnu má stále daleko do růstových hodnot, i když v průmyslu dosahuje produkce výše, která byla naposledy pozorována v polovině roku 2008. To však lze číst i tak, že v českém průmyslu „pět let jakoby nebylo“ - po krizových peripetiích v roce </w:t>
      </w:r>
      <w:smartTag w:uri="urn:schemas-microsoft-com:office:smarttags" w:element="metricconverter">
        <w:smartTagPr>
          <w:attr w:name="ProductID" w:val="2009 a"/>
        </w:smartTagPr>
        <w:r w:rsidRPr="00BB0037">
          <w:rPr>
            <w:rFonts w:cs="Arial"/>
            <w:b w:val="0"/>
          </w:rPr>
          <w:t>2009 a</w:t>
        </w:r>
      </w:smartTag>
      <w:r w:rsidRPr="00BB0037">
        <w:rPr>
          <w:rFonts w:cs="Arial"/>
          <w:b w:val="0"/>
        </w:rPr>
        <w:t xml:space="preserve"> recesi roku 2012 s přesahem do roku 2013 se průmyslová výroba podle produkčních statistik teprve navrátila k předkrizovým hodnotám.  Proč se však silný růstový náboj v průmyslu, patrný v poslední měsících loňského roku, nepromítl výrazněji do růstu hrubé přidané hodnoty a tedy výkonnosti celé ekonomiky?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</w:rPr>
      </w:pPr>
      <w:r w:rsidRPr="00BB0037">
        <w:rPr>
          <w:rFonts w:cs="Arial"/>
        </w:rPr>
        <w:t>... vlivem slabšího výkonu v sektoru služeb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>Vzhledem k tomu, že služby tvoří v ekonomice ČR přes tři pětiny přidané hodnoty, nepřekvapuje, že se nastartovaný silný výkon průmyslu zatím neovlivnil výrazněji výkonnost celé ekonomiky. Přitom však služby vázané na výrobu už také rostou. Tržby v dopravě a skladování zrychlovaly loni svůj růst v každém čtvrtletí a v posledních třech měsících byly meziročně reálně výš dokonce o 8,7 % - ve skupině Skladování a vedlejší činnosti v dopravě stouply o téměř pětinu, tj. +19,1 % (!).  Tržby agentur zprostředkovávajících práci rovněž stouply o silných 12,2 %, což indikuje, že firmy sice otálejí s přijímáním pracovníků do kmenového fondu, neváhají však s jejich najímáním přes pracovní agentury. To vrhá samozřejmě jiný pohled na trh práce v současné době.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 xml:space="preserve">Jiné druhy služeb jsou však povětšinou reálně stále v hlubokém útlumu a poptávka po nich neroste. O víc než desetinu méně stržila v loňském posledním čtvrtletí proti stejnému období předchozího roku pošta vč. kurýrů, dále i reklama a průzkum trhu, profesní vědecké a technické činnosti. Po celý loňský rok byly v útlumu i cestovní kanceláře, architekti a inženýrské činnosti vůbec, developeři a v úhrnu i celé odvětví ICT.   </w:t>
      </w:r>
    </w:p>
    <w:p w:rsidR="00CD25E6" w:rsidRDefault="00CD25E6" w:rsidP="00CD25E6"/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</w:rPr>
      </w:pPr>
      <w:r w:rsidRPr="00BB0037">
        <w:rPr>
          <w:rFonts w:cs="Arial"/>
        </w:rPr>
        <w:lastRenderedPageBreak/>
        <w:t>Produkce kontra hrubá přidaná hodnota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 xml:space="preserve">Nakonec je tu i rozdíl ve vývoji produkce v pojetí produkčních statistik a vývoji hrubé přidané hodnoty, která odráží náročnost odvětví zejména na lidskou práci. Přímo směrem dolů táhne hrubou přidanou hodnotu v ekonomice stavebnictví, které je stále v krizi – podle produkčních statistik odvětví neroste již šest let v řadě a pět let soustavně klesá. Jestliže zpracovatelský průmysl začala zase táhnout především auta, je dobré mít na paměti, že i při vysokém růstu jejich produkce je přidaná hodnota v tomto odvětví relativně nízká. Odtud tedy jen chabý impuls nabídkové straně ekonomiky. 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</w:rPr>
      </w:pPr>
      <w:r w:rsidRPr="00BB0037">
        <w:rPr>
          <w:rFonts w:cs="Arial"/>
        </w:rPr>
        <w:t>Konečná spotřeba již zřejmě neklesá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 xml:space="preserve">A výdaje na HDP? Co se konečné spotřeby týká, domácnosti se – alespoň podle vykázaného vývoje jejich výdajů – začaly z nejhoršího vymaňovat počínaje loňským prvním čtvrtletím, ovšem předchozí zaznamenané poklesy se „vylepšily“ do pouhé stagnace, která zřejmě pokračovala i v posledních třech měsících loňského roku. Dynamika výdajů vládního sektoru již dosahovala meziročně kladných čísel od počátku roku, k jejich poklesu pravděpodobně nedošlo. Zahraniční obchod, který loni - oproti pozitivním příspěvkům k vývoji HDP v předchozích dvou letech – v prvním a třetím čtvrtletí přispěl svým záporný m saldem k poklesu ekonomiky, se v posledním čtvrtletí znovu vrátil  k přebytku a jeho vliv na HDP tedy byl příznivý.  Ale jen nepatrně, neboť dynamika dovozů byla relativně silná a navodila naděje na oživování ekonomiky. 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</w:rPr>
        <w:t xml:space="preserve">Oživení investic by bylo žádoucí 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 xml:space="preserve">Investice v mezikvartálním vyjádření zmírňovaly meziroční poklesy již od počátku loňského roku, v posledním čtvrtletí podle flash odhadu již i meziročně rostly vlivem investic do dopravních prostředků a strojního vybavení. V české ekonomice jsou však ve čtyřpětinové převaze fixní aktiva typu stavebních investic a zde se růstu nadít zatím nelze. Navíc u investic firem do dopravních prostředků není jisté, do jaké míry jde o oživení vlivem zvýšené poptávky a jejich optimismu a do jaké míry působí zvláštní doprovodný efekt na zdejším trhu s auty, který je zčásti ovlivněn jejich pouhou registrací a následným vývozem. V takovémto případě samozřejmě nelze předpokládat, že jde o jev vedoucí k budoucímu růstu české ekonomiky postaveném na oživené firemní aktivitě v tomto směru.          </w:t>
      </w:r>
    </w:p>
    <w:p w:rsidR="002B545B" w:rsidRDefault="00CD25E6" w:rsidP="00CD25E6">
      <w:pPr>
        <w:pStyle w:val="Nadpis3"/>
        <w:tabs>
          <w:tab w:val="left" w:pos="1050"/>
        </w:tabs>
        <w:rPr>
          <w:rFonts w:cs="Arial"/>
        </w:rPr>
      </w:pPr>
      <w:r>
        <w:rPr>
          <w:rFonts w:cs="Arial"/>
        </w:rPr>
        <w:t>Vliv daní</w:t>
      </w:r>
    </w:p>
    <w:p w:rsidR="00CD25E6" w:rsidRPr="002B545B" w:rsidRDefault="00CD25E6" w:rsidP="00CD25E6">
      <w:pPr>
        <w:pStyle w:val="Nadpis3"/>
        <w:tabs>
          <w:tab w:val="left" w:pos="1050"/>
        </w:tabs>
        <w:rPr>
          <w:rFonts w:cs="Arial"/>
        </w:rPr>
      </w:pPr>
      <w:r w:rsidRPr="00BB0037">
        <w:rPr>
          <w:rFonts w:cs="Arial"/>
          <w:b w:val="0"/>
        </w:rPr>
        <w:t xml:space="preserve">Jestliže tedy zatím vykázaný meziroční i a zejména mezikvartální růst české ekonomiky nelze připsat jednoznačně úhrnné výkonnosti odvětví, je evidentní, že tempo HDP ovlivnila významně položka čistých daní z produktů. Vyjdeme-li pouze z pokladního plnění státního rozpočtu, pak v samotném čtvrtém čtvrtletí stouply daňové příjmy meziročně o více než 6,6 mld. korun, tj. o 2,8 % a pomineme-li příjmy ze sociálního pojistného, pak byl přírůstek samotných daňových příjmů vyšší meziročně o 3,4 %. Lidé „prokouřili“ v loňském posledním čtvrtletí dost na to, aby příjmy rozpočtu v podobě spotřební daně z tabáku byly meziročně o více než půl miliardy vyšší (+3,5 %). Více získal stát  rovněž z relativně snadno inkasovatelných daní z příjmů fyzických osob (o 0,8 mld. korun, tj. +2,9 %).  Data o daňových příjmech však bývají dále modifikována a proto právě tato položka může významně ovlivnit budoucí zpřesněné odhady za loňské poslední čtvrtletí i celý rok. 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</w:rPr>
      </w:pPr>
      <w:r w:rsidRPr="00BB0037">
        <w:rPr>
          <w:rFonts w:cs="Arial"/>
        </w:rPr>
        <w:t>Ekonomika poroste až letos</w:t>
      </w:r>
    </w:p>
    <w:p w:rsidR="00CD25E6" w:rsidRPr="00BB0037" w:rsidRDefault="00CD25E6" w:rsidP="00CD25E6">
      <w:pPr>
        <w:pStyle w:val="Nadpis3"/>
        <w:tabs>
          <w:tab w:val="left" w:pos="1050"/>
        </w:tabs>
        <w:rPr>
          <w:rFonts w:cs="Arial"/>
          <w:b w:val="0"/>
        </w:rPr>
      </w:pPr>
      <w:r w:rsidRPr="00BB0037">
        <w:rPr>
          <w:rFonts w:cs="Arial"/>
          <w:b w:val="0"/>
        </w:rPr>
        <w:t xml:space="preserve">Nadcházející oživování indikovaly již od druhé poloviny loňského roku rostoucí dovozy, alokované však především do zásob. Teprve později bylo ze sílící produkce průmyslu patrné jejich použití ve výrobě. I kdyby se nakonec zpřesňování odhadu HDP neodchýlilo příliš od aktuálního flash čísla, zůstane rok 2013 opět rokem recese, už podruhé za sebou – HDP klesl o 1,1 %. Na růstovou trajektorii naskočí česká ekonomika až letos. </w:t>
      </w:r>
    </w:p>
    <w:p w:rsidR="00CD25E6" w:rsidRPr="00CD25E6" w:rsidRDefault="00CD25E6" w:rsidP="00CD25E6"/>
    <w:p w:rsidR="000B6F63" w:rsidRPr="00043BF4" w:rsidRDefault="000B6F63" w:rsidP="00E42E00">
      <w:pPr>
        <w:pStyle w:val="TabulkaGraf"/>
      </w:pPr>
      <w:r>
        <w:t>Graf</w:t>
      </w:r>
      <w:r w:rsidR="00CD25E6">
        <w:t xml:space="preserve">: </w:t>
      </w:r>
      <w:r w:rsidR="000453D9">
        <w:t xml:space="preserve">HDP a výdajové komponenty </w:t>
      </w:r>
      <w:r w:rsidR="000453D9" w:rsidRPr="000453D9">
        <w:rPr>
          <w:b w:val="0"/>
        </w:rPr>
        <w:t>(</w:t>
      </w:r>
      <w:r w:rsidR="000453D9">
        <w:rPr>
          <w:b w:val="0"/>
        </w:rPr>
        <w:t>reálně, v očištění o sezónnost a kalendářní vlivy, index meziročních změn)</w:t>
      </w:r>
    </w:p>
    <w:p w:rsidR="00D27D69" w:rsidRPr="002B545B" w:rsidRDefault="00D27D69" w:rsidP="00E42E00">
      <w:pPr>
        <w:rPr>
          <w:sz w:val="10"/>
          <w:szCs w:val="10"/>
        </w:rPr>
      </w:pPr>
    </w:p>
    <w:p w:rsidR="005F699D" w:rsidRDefault="002B545B" w:rsidP="00E42E00">
      <w:pPr>
        <w:rPr>
          <w:noProof/>
          <w:lang w:eastAsia="cs-CZ"/>
        </w:rPr>
      </w:pPr>
      <w:r w:rsidRPr="001240F7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24.5pt;height:18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">
            <v:imagedata r:id="rId7" o:title=""/>
            <o:lock v:ext="edit" aspectratio="f"/>
          </v:shape>
        </w:pict>
      </w:r>
    </w:p>
    <w:p w:rsidR="00CD25E6" w:rsidRPr="00CD25E6" w:rsidRDefault="00CD25E6" w:rsidP="00CD25E6">
      <w:pPr>
        <w:jc w:val="right"/>
        <w:rPr>
          <w:sz w:val="18"/>
          <w:szCs w:val="18"/>
        </w:rPr>
      </w:pPr>
      <w:r w:rsidRPr="00CD25E6">
        <w:rPr>
          <w:noProof/>
          <w:sz w:val="18"/>
          <w:szCs w:val="18"/>
          <w:lang w:eastAsia="cs-CZ"/>
        </w:rPr>
        <w:t>Pramen. ČSÚ</w:t>
      </w:r>
    </w:p>
    <w:p w:rsidR="00CD25E6" w:rsidRDefault="00CD25E6" w:rsidP="00E42E00">
      <w:pPr>
        <w:rPr>
          <w:b/>
        </w:rPr>
      </w:pPr>
    </w:p>
    <w:p w:rsidR="007B1333" w:rsidRDefault="007B1333" w:rsidP="00E42E00">
      <w:pPr>
        <w:rPr>
          <w:b/>
        </w:rPr>
      </w:pPr>
      <w:r>
        <w:rPr>
          <w:b/>
        </w:rPr>
        <w:t>Autor</w:t>
      </w:r>
      <w:r w:rsidR="00CD25E6">
        <w:rPr>
          <w:b/>
        </w:rPr>
        <w:t xml:space="preserve">ka </w:t>
      </w:r>
    </w:p>
    <w:p w:rsidR="00CD25E6" w:rsidRPr="00BB0037" w:rsidRDefault="00CD25E6" w:rsidP="00CD25E6">
      <w:pPr>
        <w:tabs>
          <w:tab w:val="left" w:pos="1050"/>
        </w:tabs>
        <w:spacing w:line="240" w:lineRule="auto"/>
        <w:rPr>
          <w:rFonts w:cs="Arial"/>
          <w:szCs w:val="20"/>
        </w:rPr>
      </w:pPr>
      <w:r w:rsidRPr="00BB0037">
        <w:rPr>
          <w:rFonts w:cs="Arial"/>
          <w:szCs w:val="20"/>
        </w:rPr>
        <w:t>Drahomíra Dubská</w:t>
      </w:r>
    </w:p>
    <w:p w:rsidR="00CD25E6" w:rsidRPr="00BB0037" w:rsidRDefault="00CD25E6" w:rsidP="00CD25E6">
      <w:pPr>
        <w:tabs>
          <w:tab w:val="left" w:pos="1050"/>
        </w:tabs>
        <w:spacing w:line="240" w:lineRule="auto"/>
        <w:rPr>
          <w:rFonts w:cs="Arial"/>
          <w:szCs w:val="20"/>
        </w:rPr>
      </w:pPr>
      <w:r w:rsidRPr="00BB0037">
        <w:rPr>
          <w:rFonts w:cs="Arial"/>
          <w:szCs w:val="20"/>
        </w:rPr>
        <w:t xml:space="preserve">analytička </w:t>
      </w:r>
    </w:p>
    <w:p w:rsidR="00CD25E6" w:rsidRPr="00BB0037" w:rsidRDefault="00CD25E6" w:rsidP="00CD25E6">
      <w:pPr>
        <w:tabs>
          <w:tab w:val="left" w:pos="1050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BB0037">
        <w:rPr>
          <w:rFonts w:cs="Arial"/>
          <w:szCs w:val="20"/>
        </w:rPr>
        <w:t>ddělení svodných analýz ČSÚ</w:t>
      </w:r>
    </w:p>
    <w:p w:rsidR="00CD25E6" w:rsidRDefault="00CD25E6" w:rsidP="00CD25E6">
      <w:pPr>
        <w:pStyle w:val="Nadpis3"/>
        <w:tabs>
          <w:tab w:val="left" w:pos="1050"/>
        </w:tabs>
        <w:spacing w:before="0"/>
        <w:rPr>
          <w:rFonts w:cs="Arial"/>
          <w:b w:val="0"/>
        </w:rPr>
      </w:pPr>
      <w:r>
        <w:rPr>
          <w:rFonts w:cs="Arial"/>
          <w:b w:val="0"/>
        </w:rPr>
        <w:t>Tel. 2 7405 4041</w:t>
      </w:r>
    </w:p>
    <w:p w:rsidR="00CD25E6" w:rsidRDefault="00CD25E6" w:rsidP="00CD25E6">
      <w:pPr>
        <w:pStyle w:val="Nadpis3"/>
        <w:tabs>
          <w:tab w:val="left" w:pos="1050"/>
        </w:tabs>
        <w:spacing w:before="0"/>
        <w:rPr>
          <w:rFonts w:cs="Arial"/>
          <w:b w:val="0"/>
        </w:rPr>
      </w:pPr>
      <w:r>
        <w:rPr>
          <w:rFonts w:cs="Arial"/>
          <w:b w:val="0"/>
        </w:rPr>
        <w:t xml:space="preserve">E-mail: </w:t>
      </w:r>
      <w:hyperlink r:id="rId8" w:history="1">
        <w:r w:rsidRPr="00D63C63">
          <w:rPr>
            <w:rStyle w:val="Hypertextovodkaz"/>
            <w:rFonts w:cs="Arial"/>
            <w:b w:val="0"/>
          </w:rPr>
          <w:t>drahomira.dubska@czso.cz</w:t>
        </w:r>
      </w:hyperlink>
    </w:p>
    <w:p w:rsidR="00CD25E6" w:rsidRPr="00BB0037" w:rsidRDefault="00CD25E6" w:rsidP="00CD25E6">
      <w:pPr>
        <w:pStyle w:val="Nadpis3"/>
        <w:tabs>
          <w:tab w:val="left" w:pos="1050"/>
        </w:tabs>
        <w:spacing w:before="0"/>
        <w:rPr>
          <w:rFonts w:cs="Arial"/>
          <w:b w:val="0"/>
        </w:rPr>
      </w:pPr>
    </w:p>
    <w:sectPr w:rsidR="00CD25E6" w:rsidRPr="00BB003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C2" w:rsidRDefault="00092DC2" w:rsidP="00BA6370">
      <w:r>
        <w:separator/>
      </w:r>
    </w:p>
  </w:endnote>
  <w:endnote w:type="continuationSeparator" w:id="0">
    <w:p w:rsidR="00092DC2" w:rsidRDefault="00092DC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36B4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36B4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36B4F" w:rsidRPr="004E479E">
                  <w:rPr>
                    <w:rFonts w:cs="Arial"/>
                    <w:szCs w:val="15"/>
                  </w:rPr>
                  <w:fldChar w:fldCharType="separate"/>
                </w:r>
                <w:r w:rsidR="00092DC2">
                  <w:rPr>
                    <w:rFonts w:cs="Arial"/>
                    <w:noProof/>
                    <w:szCs w:val="15"/>
                  </w:rPr>
                  <w:t>1</w:t>
                </w:r>
                <w:r w:rsidR="00036B4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C2" w:rsidRDefault="00092DC2" w:rsidP="00BA6370">
      <w:r>
        <w:separator/>
      </w:r>
    </w:p>
  </w:footnote>
  <w:footnote w:type="continuationSeparator" w:id="0">
    <w:p w:rsidR="00092DC2" w:rsidRDefault="00092DC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36B4F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71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3D9"/>
    <w:rsid w:val="00036B4F"/>
    <w:rsid w:val="00043BF4"/>
    <w:rsid w:val="000453D9"/>
    <w:rsid w:val="000843A5"/>
    <w:rsid w:val="00092DC2"/>
    <w:rsid w:val="000B6F63"/>
    <w:rsid w:val="000F5B28"/>
    <w:rsid w:val="00127216"/>
    <w:rsid w:val="001404AB"/>
    <w:rsid w:val="001658A9"/>
    <w:rsid w:val="0017231D"/>
    <w:rsid w:val="00175ABA"/>
    <w:rsid w:val="001810DC"/>
    <w:rsid w:val="001A59BF"/>
    <w:rsid w:val="001B607F"/>
    <w:rsid w:val="001D369A"/>
    <w:rsid w:val="001F6C45"/>
    <w:rsid w:val="002070FB"/>
    <w:rsid w:val="00213729"/>
    <w:rsid w:val="002406FA"/>
    <w:rsid w:val="002B2E47"/>
    <w:rsid w:val="002B545B"/>
    <w:rsid w:val="002D6A6C"/>
    <w:rsid w:val="003301A3"/>
    <w:rsid w:val="0036777B"/>
    <w:rsid w:val="0038282A"/>
    <w:rsid w:val="00397580"/>
    <w:rsid w:val="003A1794"/>
    <w:rsid w:val="003A45C8"/>
    <w:rsid w:val="003C2DCF"/>
    <w:rsid w:val="003C7FE7"/>
    <w:rsid w:val="003D0499"/>
    <w:rsid w:val="003F526A"/>
    <w:rsid w:val="00405244"/>
    <w:rsid w:val="004436EE"/>
    <w:rsid w:val="0045547F"/>
    <w:rsid w:val="00461AA0"/>
    <w:rsid w:val="004920AD"/>
    <w:rsid w:val="004D05B3"/>
    <w:rsid w:val="004E479E"/>
    <w:rsid w:val="004F78E6"/>
    <w:rsid w:val="00512D99"/>
    <w:rsid w:val="00531DBB"/>
    <w:rsid w:val="005320B3"/>
    <w:rsid w:val="00553DAA"/>
    <w:rsid w:val="005646B3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C09DD"/>
    <w:rsid w:val="006E024F"/>
    <w:rsid w:val="006E4E81"/>
    <w:rsid w:val="00707F7D"/>
    <w:rsid w:val="00717EC5"/>
    <w:rsid w:val="00737B80"/>
    <w:rsid w:val="007A57F2"/>
    <w:rsid w:val="007B1333"/>
    <w:rsid w:val="007E23A3"/>
    <w:rsid w:val="007F4AEB"/>
    <w:rsid w:val="007F75B2"/>
    <w:rsid w:val="008043C4"/>
    <w:rsid w:val="00815588"/>
    <w:rsid w:val="00830309"/>
    <w:rsid w:val="00831B1B"/>
    <w:rsid w:val="00861D0E"/>
    <w:rsid w:val="00867569"/>
    <w:rsid w:val="008A18A9"/>
    <w:rsid w:val="008A750A"/>
    <w:rsid w:val="008C384C"/>
    <w:rsid w:val="008D0F11"/>
    <w:rsid w:val="008F73B4"/>
    <w:rsid w:val="0090741A"/>
    <w:rsid w:val="00931A52"/>
    <w:rsid w:val="009B55B1"/>
    <w:rsid w:val="00A4343D"/>
    <w:rsid w:val="00A502F1"/>
    <w:rsid w:val="00A56C80"/>
    <w:rsid w:val="00A70A83"/>
    <w:rsid w:val="00A81EB3"/>
    <w:rsid w:val="00B00C1D"/>
    <w:rsid w:val="00B33194"/>
    <w:rsid w:val="00BA439F"/>
    <w:rsid w:val="00BA6370"/>
    <w:rsid w:val="00BC748B"/>
    <w:rsid w:val="00C269D4"/>
    <w:rsid w:val="00C4160D"/>
    <w:rsid w:val="00C8406E"/>
    <w:rsid w:val="00CB2709"/>
    <w:rsid w:val="00CB6F89"/>
    <w:rsid w:val="00CD25E6"/>
    <w:rsid w:val="00CE228C"/>
    <w:rsid w:val="00CF545B"/>
    <w:rsid w:val="00D27D69"/>
    <w:rsid w:val="00D448C2"/>
    <w:rsid w:val="00D666C3"/>
    <w:rsid w:val="00DD1EAE"/>
    <w:rsid w:val="00DF47FE"/>
    <w:rsid w:val="00E26704"/>
    <w:rsid w:val="00E31980"/>
    <w:rsid w:val="00E42E00"/>
    <w:rsid w:val="00E6423C"/>
    <w:rsid w:val="00E93830"/>
    <w:rsid w:val="00E93E0E"/>
    <w:rsid w:val="00EA7B94"/>
    <w:rsid w:val="00EB1ED3"/>
    <w:rsid w:val="00EC2D51"/>
    <w:rsid w:val="00ED7B69"/>
    <w:rsid w:val="00F13564"/>
    <w:rsid w:val="00F26395"/>
    <w:rsid w:val="00F32DA4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mira.dubska@czs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UBSKA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06A3-5CDE-44E7-93C4-C13EA5C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24</TotalTime>
  <Pages>3</Pages>
  <Words>963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/>
      <vt:lpstr>Flash odhad HDP: Držme se zatím při zemi </vt:lpstr>
      <vt:lpstr>        Velmi překvapivé a velmi pozitivní – takový je první dojem z výsledku bleskového</vt:lpstr>
      <vt:lpstr>        Podobně překvapivý, i když s opačným znaménkem, byl i flash výsledek za třetí čt</vt:lpstr>
      <vt:lpstr>        Přidané hodnoty zatím v úhrnu příliš nepřibývá... </vt:lpstr>
      <vt:lpstr>        Pokusme se rozebrat stranu nabídky. Příznivých signálů o vývoji české ekonomiky </vt:lpstr>
      <vt:lpstr>        ... vlivem slabšího výkonu v sektoru služeb</vt:lpstr>
      <vt:lpstr>        Vzhledem k tomu, že služby tvoří v ekonomice ČR přes tři pětiny přidané hodnoty,</vt:lpstr>
      <vt:lpstr>        Jiné druhy služeb jsou však povětšinou reálně stále v hlubokém útlumu a poptávka</vt:lpstr>
      <vt:lpstr>        Produkce kontra hrubá přidaná hodnota</vt:lpstr>
      <vt:lpstr>        Nakonec je tu i rozdíl ve vývoji produkce v pojetí produkčních statistik a vývoj</vt:lpstr>
      <vt:lpstr>        Konečná spotřeba již zřejmě neklesá</vt:lpstr>
      <vt:lpstr>        A výdaje na HDP? Co se konečné spotřeby týká, domácnosti se – alespoň podle vyká</vt:lpstr>
      <vt:lpstr>        Oživení investic by bylo žádoucí </vt:lpstr>
      <vt:lpstr>        Investice v mezikvartálním vyjádření zmírňovaly meziroční poklesy již od počátku</vt:lpstr>
      <vt:lpstr>        Vliv daní</vt:lpstr>
      <vt:lpstr>        Jestliže tedy zatím vykázaný meziroční i a zejména mezikvartální růst české ekon</vt:lpstr>
      <vt:lpstr>        Ekonomika poroste až letos</vt:lpstr>
      <vt:lpstr>        Nadcházející oživování indikovaly již od druhé poloviny loňského roku rostoucí d</vt:lpstr>
      <vt:lpstr>        Tel. 2 7405 4041</vt:lpstr>
      <vt:lpstr>        E-mail: drahomira.dubska@czso.cz</vt:lpstr>
      <vt:lpstr>        </vt:lpstr>
    </vt:vector>
  </TitlesOfParts>
  <Company/>
  <LinksUpToDate>false</LinksUpToDate>
  <CharactersWithSpaces>6638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System Service</cp:lastModifiedBy>
  <cp:revision>2</cp:revision>
  <dcterms:created xsi:type="dcterms:W3CDTF">2014-02-17T11:35:00Z</dcterms:created>
  <dcterms:modified xsi:type="dcterms:W3CDTF">2014-02-17T12:01:00Z</dcterms:modified>
</cp:coreProperties>
</file>