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2B969" w14:textId="13DA50AC" w:rsidR="00C65C22" w:rsidRPr="00995C95" w:rsidRDefault="00C65C22" w:rsidP="00C65C22">
      <w:pPr>
        <w:pStyle w:val="Nadpis1"/>
        <w:rPr>
          <w:lang w:val="en-GB"/>
        </w:rPr>
      </w:pPr>
      <w:bookmarkStart w:id="0" w:name="_Toc227235021"/>
      <w:r w:rsidRPr="00995C95">
        <w:rPr>
          <w:lang w:val="en-GB"/>
        </w:rPr>
        <w:t>7. M</w:t>
      </w:r>
      <w:r w:rsidR="00804252" w:rsidRPr="00995C95">
        <w:rPr>
          <w:lang w:val="en-GB"/>
        </w:rPr>
        <w:t>onetary Conditions</w:t>
      </w:r>
      <w:bookmarkEnd w:id="0"/>
    </w:p>
    <w:tbl>
      <w:tblPr>
        <w:tblW w:w="9641" w:type="dxa"/>
        <w:tblInd w:w="-15" w:type="dxa"/>
        <w:tblCellMar>
          <w:left w:w="0" w:type="dxa"/>
          <w:right w:w="0" w:type="dxa"/>
        </w:tblCellMar>
        <w:tblLook w:val="00A0" w:firstRow="1" w:lastRow="0" w:firstColumn="1" w:lastColumn="0" w:noHBand="0" w:noVBand="0"/>
      </w:tblPr>
      <w:tblGrid>
        <w:gridCol w:w="1802"/>
        <w:gridCol w:w="229"/>
        <w:gridCol w:w="7610"/>
      </w:tblGrid>
      <w:tr w:rsidR="00C65C22" w:rsidRPr="00995C95" w14:paraId="3B53E859" w14:textId="77777777" w:rsidTr="00E87182">
        <w:trPr>
          <w:trHeight w:val="145"/>
        </w:trPr>
        <w:tc>
          <w:tcPr>
            <w:tcW w:w="1802" w:type="dxa"/>
          </w:tcPr>
          <w:p w14:paraId="395FBB66" w14:textId="3732C595" w:rsidR="00C65C22" w:rsidRPr="00995C95" w:rsidRDefault="000169A6" w:rsidP="000169A6">
            <w:pPr>
              <w:pStyle w:val="Marginlie"/>
              <w:rPr>
                <w:lang w:eastAsia="en-US"/>
              </w:rPr>
            </w:pPr>
            <w:r w:rsidRPr="00995C95">
              <w:rPr>
                <w:lang w:eastAsia="en-US"/>
              </w:rPr>
              <w:t>Monetary policy</w:t>
            </w:r>
            <w:r w:rsidR="00484319" w:rsidRPr="00995C95">
              <w:rPr>
                <w:lang w:eastAsia="en-US"/>
              </w:rPr>
              <w:t>-relevant</w:t>
            </w:r>
            <w:r w:rsidRPr="00995C95">
              <w:rPr>
                <w:lang w:eastAsia="en-US"/>
              </w:rPr>
              <w:t xml:space="preserve"> interest rates have not changed since May.</w:t>
            </w:r>
          </w:p>
        </w:tc>
        <w:tc>
          <w:tcPr>
            <w:tcW w:w="229" w:type="dxa"/>
          </w:tcPr>
          <w:p w14:paraId="28A5121F" w14:textId="77777777" w:rsidR="00C65C22" w:rsidRPr="00995C95" w:rsidRDefault="00C65C22" w:rsidP="00E87182">
            <w:pPr>
              <w:pStyle w:val="Textpoznpodarou"/>
              <w:jc w:val="both"/>
              <w:rPr>
                <w:spacing w:val="-4"/>
                <w:lang w:eastAsia="en-US"/>
              </w:rPr>
            </w:pPr>
          </w:p>
        </w:tc>
        <w:tc>
          <w:tcPr>
            <w:tcW w:w="7610" w:type="dxa"/>
          </w:tcPr>
          <w:p w14:paraId="5FB4EF79" w14:textId="43F76371" w:rsidR="00C65C22" w:rsidRPr="00995C95" w:rsidRDefault="005C415F" w:rsidP="005C415F">
            <w:pPr>
              <w:rPr>
                <w:spacing w:val="-2"/>
                <w:lang w:eastAsia="en-US"/>
              </w:rPr>
            </w:pPr>
            <w:r w:rsidRPr="00995C95">
              <w:rPr>
                <w:spacing w:val="-2"/>
                <w:lang w:eastAsia="en-US"/>
              </w:rPr>
              <w:t>The stabilisation of inflation in 2025 also meant a pause in the process of lowering monetary policy</w:t>
            </w:r>
            <w:r w:rsidR="00B40069" w:rsidRPr="00995C95">
              <w:rPr>
                <w:spacing w:val="-2"/>
                <w:lang w:eastAsia="en-US"/>
              </w:rPr>
              <w:t>-relevant interest</w:t>
            </w:r>
            <w:r w:rsidRPr="00995C95">
              <w:rPr>
                <w:spacing w:val="-2"/>
                <w:lang w:eastAsia="en-US"/>
              </w:rPr>
              <w:t xml:space="preserve"> rates. After the last cut, which took place last May, the two-week repo rate remained at 3.50%, the discount rate at 2.50% and the Lombard rate at 4.50% until the end of the year</w:t>
            </w:r>
            <w:r w:rsidR="00366248" w:rsidRPr="00995C95">
              <w:rPr>
                <w:rStyle w:val="Znakapoznpodarou"/>
                <w:spacing w:val="-2"/>
                <w:lang w:eastAsia="en-US"/>
              </w:rPr>
              <w:footnoteReference w:id="1"/>
            </w:r>
            <w:r w:rsidRPr="00995C95">
              <w:rPr>
                <w:spacing w:val="-2"/>
                <w:lang w:eastAsia="en-US"/>
              </w:rPr>
              <w:t>. For most of last year, the koruna also strengthened against the euro and the dollar, which had an anti-inflationary effect. The exchange rate against the euro strengthened from 25.175 CZK/EUR at the beginning of January to 24.245 CZK/EUR at the end of December.</w:t>
            </w:r>
            <w:r w:rsidR="001F3E67" w:rsidRPr="00995C95">
              <w:rPr>
                <w:spacing w:val="-2"/>
                <w:lang w:eastAsia="en-US"/>
              </w:rPr>
              <w:t xml:space="preserve"> T</w:t>
            </w:r>
            <w:r w:rsidRPr="00995C95">
              <w:rPr>
                <w:spacing w:val="-2"/>
                <w:lang w:eastAsia="en-US"/>
              </w:rPr>
              <w:t>he exchange rate reached 2</w:t>
            </w:r>
            <w:r w:rsidR="000A4AFE">
              <w:rPr>
                <w:spacing w:val="-2"/>
                <w:lang w:eastAsia="en-US"/>
              </w:rPr>
              <w:t>4</w:t>
            </w:r>
            <w:r w:rsidRPr="00995C95">
              <w:rPr>
                <w:spacing w:val="-2"/>
                <w:lang w:eastAsia="en-US"/>
              </w:rPr>
              <w:t>.273 CZK/EUR</w:t>
            </w:r>
            <w:r w:rsidR="001F3E67" w:rsidRPr="00995C95">
              <w:rPr>
                <w:spacing w:val="-2"/>
                <w:lang w:eastAsia="en-US"/>
              </w:rPr>
              <w:t xml:space="preserve"> on average for Q4</w:t>
            </w:r>
            <w:r w:rsidRPr="00995C95">
              <w:rPr>
                <w:spacing w:val="-2"/>
                <w:lang w:eastAsia="en-US"/>
              </w:rPr>
              <w:t xml:space="preserve">. It was stronger by </w:t>
            </w:r>
            <w:r w:rsidR="000A4AFE">
              <w:rPr>
                <w:spacing w:val="-2"/>
                <w:lang w:eastAsia="en-US"/>
              </w:rPr>
              <w:t>0.</w:t>
            </w:r>
            <w:r w:rsidRPr="00995C95">
              <w:rPr>
                <w:spacing w:val="-2"/>
                <w:lang w:eastAsia="en-US"/>
              </w:rPr>
              <w:t xml:space="preserve">98 </w:t>
            </w:r>
            <w:r w:rsidR="00485B0F">
              <w:rPr>
                <w:spacing w:val="-2"/>
                <w:lang w:eastAsia="en-US"/>
              </w:rPr>
              <w:t>CZK</w:t>
            </w:r>
            <w:r w:rsidRPr="00995C95">
              <w:rPr>
                <w:spacing w:val="-2"/>
                <w:lang w:eastAsia="en-US"/>
              </w:rPr>
              <w:t xml:space="preserve"> (3.9%)</w:t>
            </w:r>
            <w:r w:rsidR="00BA6AAF" w:rsidRPr="00995C95">
              <w:rPr>
                <w:spacing w:val="-2"/>
                <w:lang w:eastAsia="en-US"/>
              </w:rPr>
              <w:t>,</w:t>
            </w:r>
            <w:r w:rsidRPr="00995C95">
              <w:rPr>
                <w:spacing w:val="-2"/>
                <w:lang w:eastAsia="en-US"/>
              </w:rPr>
              <w:t xml:space="preserve"> year-on-year</w:t>
            </w:r>
            <w:r w:rsidR="00BA6AAF" w:rsidRPr="00995C95">
              <w:rPr>
                <w:spacing w:val="-2"/>
                <w:lang w:eastAsia="en-US"/>
              </w:rPr>
              <w:t>,</w:t>
            </w:r>
            <w:r w:rsidRPr="00995C95">
              <w:rPr>
                <w:spacing w:val="-2"/>
                <w:lang w:eastAsia="en-US"/>
              </w:rPr>
              <w:t xml:space="preserve"> and by </w:t>
            </w:r>
            <w:r w:rsidR="00485B0F">
              <w:rPr>
                <w:spacing w:val="-2"/>
                <w:lang w:eastAsia="en-US"/>
              </w:rPr>
              <w:t>0.</w:t>
            </w:r>
            <w:r w:rsidRPr="00995C95">
              <w:rPr>
                <w:spacing w:val="-2"/>
                <w:lang w:eastAsia="en-US"/>
              </w:rPr>
              <w:t xml:space="preserve">23 </w:t>
            </w:r>
            <w:r w:rsidR="00485B0F">
              <w:rPr>
                <w:spacing w:val="-2"/>
                <w:lang w:eastAsia="en-US"/>
              </w:rPr>
              <w:t>CZK</w:t>
            </w:r>
            <w:r w:rsidRPr="00995C95">
              <w:rPr>
                <w:spacing w:val="-2"/>
                <w:lang w:eastAsia="en-US"/>
              </w:rPr>
              <w:t xml:space="preserve"> (0.9%)</w:t>
            </w:r>
            <w:r w:rsidR="00BA6AAF" w:rsidRPr="00995C95">
              <w:rPr>
                <w:spacing w:val="-2"/>
                <w:lang w:eastAsia="en-US"/>
              </w:rPr>
              <w:t>,</w:t>
            </w:r>
            <w:r w:rsidRPr="00995C95">
              <w:rPr>
                <w:spacing w:val="-2"/>
                <w:lang w:eastAsia="en-US"/>
              </w:rPr>
              <w:t xml:space="preserve"> quarter-on-quarter. The exchange rate of the koruna against the dollar reached 24.398 CZK/USD at the beginning of January and strengthened to 20.632 CZK/USD by the end of December.</w:t>
            </w:r>
            <w:r w:rsidR="00860E39" w:rsidRPr="00995C95">
              <w:rPr>
                <w:spacing w:val="-2"/>
                <w:lang w:eastAsia="en-US"/>
              </w:rPr>
              <w:t xml:space="preserve"> T</w:t>
            </w:r>
            <w:r w:rsidRPr="00995C95">
              <w:rPr>
                <w:spacing w:val="-2"/>
                <w:lang w:eastAsia="en-US"/>
              </w:rPr>
              <w:t>he exchange rate was 20.866 CZK/USD</w:t>
            </w:r>
            <w:r w:rsidR="00860E39" w:rsidRPr="00995C95">
              <w:rPr>
                <w:spacing w:val="-2"/>
                <w:lang w:eastAsia="en-US"/>
              </w:rPr>
              <w:t xml:space="preserve"> on average for Q4</w:t>
            </w:r>
            <w:r w:rsidRPr="00995C95">
              <w:rPr>
                <w:spacing w:val="-2"/>
                <w:lang w:eastAsia="en-US"/>
              </w:rPr>
              <w:t xml:space="preserve"> and was stronger by 2</w:t>
            </w:r>
            <w:r w:rsidR="00485B0F">
              <w:rPr>
                <w:spacing w:val="-2"/>
                <w:lang w:eastAsia="en-US"/>
              </w:rPr>
              <w:t>.77</w:t>
            </w:r>
            <w:r w:rsidRPr="00995C95">
              <w:rPr>
                <w:spacing w:val="-2"/>
                <w:lang w:eastAsia="en-US"/>
              </w:rPr>
              <w:t xml:space="preserve"> </w:t>
            </w:r>
            <w:r w:rsidR="00860E39" w:rsidRPr="00995C95">
              <w:rPr>
                <w:spacing w:val="-2"/>
                <w:lang w:eastAsia="en-US"/>
              </w:rPr>
              <w:t xml:space="preserve">CZK </w:t>
            </w:r>
            <w:r w:rsidRPr="00995C95">
              <w:rPr>
                <w:spacing w:val="-2"/>
                <w:lang w:eastAsia="en-US"/>
              </w:rPr>
              <w:t>(11.7%)</w:t>
            </w:r>
            <w:r w:rsidR="001501ED" w:rsidRPr="00995C95">
              <w:rPr>
                <w:spacing w:val="-2"/>
                <w:lang w:eastAsia="en-US"/>
              </w:rPr>
              <w:t>,</w:t>
            </w:r>
            <w:r w:rsidRPr="00995C95">
              <w:rPr>
                <w:spacing w:val="-2"/>
                <w:lang w:eastAsia="en-US"/>
              </w:rPr>
              <w:t xml:space="preserve"> year-on-year</w:t>
            </w:r>
            <w:r w:rsidR="001501ED" w:rsidRPr="00995C95">
              <w:rPr>
                <w:spacing w:val="-2"/>
                <w:lang w:eastAsia="en-US"/>
              </w:rPr>
              <w:t>,</w:t>
            </w:r>
            <w:r w:rsidRPr="00995C95">
              <w:rPr>
                <w:spacing w:val="-2"/>
                <w:lang w:eastAsia="en-US"/>
              </w:rPr>
              <w:t xml:space="preserve"> and by </w:t>
            </w:r>
            <w:r w:rsidR="00485B0F">
              <w:rPr>
                <w:spacing w:val="-2"/>
                <w:lang w:eastAsia="en-US"/>
              </w:rPr>
              <w:t>0.</w:t>
            </w:r>
            <w:r w:rsidRPr="00995C95">
              <w:rPr>
                <w:spacing w:val="-2"/>
                <w:lang w:eastAsia="en-US"/>
              </w:rPr>
              <w:t xml:space="preserve">51 </w:t>
            </w:r>
            <w:r w:rsidR="00A13BDB">
              <w:rPr>
                <w:spacing w:val="-2"/>
                <w:lang w:eastAsia="en-US"/>
              </w:rPr>
              <w:t>CZK</w:t>
            </w:r>
            <w:r w:rsidRPr="00995C95">
              <w:rPr>
                <w:spacing w:val="-2"/>
                <w:lang w:eastAsia="en-US"/>
              </w:rPr>
              <w:t xml:space="preserve"> (0.1%)</w:t>
            </w:r>
            <w:r w:rsidR="001501ED" w:rsidRPr="00995C95">
              <w:rPr>
                <w:spacing w:val="-2"/>
                <w:lang w:eastAsia="en-US"/>
              </w:rPr>
              <w:t>,</w:t>
            </w:r>
            <w:r w:rsidRPr="00995C95">
              <w:rPr>
                <w:spacing w:val="-2"/>
                <w:lang w:eastAsia="en-US"/>
              </w:rPr>
              <w:t xml:space="preserve"> quarter-on-quarter.</w:t>
            </w:r>
            <w:r w:rsidR="00BA6AAF" w:rsidRPr="00995C95">
              <w:rPr>
                <w:spacing w:val="-2"/>
                <w:lang w:eastAsia="en-US"/>
              </w:rPr>
              <w:t xml:space="preserve"> </w:t>
            </w:r>
          </w:p>
        </w:tc>
      </w:tr>
      <w:tr w:rsidR="00C65C22" w:rsidRPr="00995C95" w14:paraId="7BB31825" w14:textId="77777777" w:rsidTr="00E87182">
        <w:trPr>
          <w:trHeight w:val="145"/>
        </w:trPr>
        <w:tc>
          <w:tcPr>
            <w:tcW w:w="1802" w:type="dxa"/>
          </w:tcPr>
          <w:p w14:paraId="1D056DAF" w14:textId="53456482" w:rsidR="00C65C22" w:rsidRPr="00995C95" w:rsidRDefault="00D075CF" w:rsidP="00D075CF">
            <w:pPr>
              <w:pStyle w:val="Marginlie"/>
              <w:rPr>
                <w:lang w:eastAsia="en-US"/>
              </w:rPr>
            </w:pPr>
            <w:r w:rsidRPr="00995C95">
              <w:rPr>
                <w:lang w:eastAsia="en-US"/>
              </w:rPr>
              <w:t xml:space="preserve">Government bond yields rose. </w:t>
            </w:r>
          </w:p>
        </w:tc>
        <w:tc>
          <w:tcPr>
            <w:tcW w:w="229" w:type="dxa"/>
          </w:tcPr>
          <w:p w14:paraId="744D93C2" w14:textId="77777777" w:rsidR="00C65C22" w:rsidRPr="00995C95" w:rsidRDefault="00C65C22" w:rsidP="00E87182">
            <w:pPr>
              <w:pStyle w:val="Textpoznpodarou"/>
              <w:jc w:val="both"/>
              <w:rPr>
                <w:spacing w:val="-4"/>
                <w:lang w:eastAsia="en-US"/>
              </w:rPr>
            </w:pPr>
          </w:p>
        </w:tc>
        <w:tc>
          <w:tcPr>
            <w:tcW w:w="7610" w:type="dxa"/>
          </w:tcPr>
          <w:p w14:paraId="5F2A7ABA" w14:textId="454DE003" w:rsidR="00C65C22" w:rsidRPr="00995C95" w:rsidRDefault="002178DF" w:rsidP="00DA44DC">
            <w:pPr>
              <w:rPr>
                <w:spacing w:val="-1"/>
                <w:lang w:eastAsia="en-US"/>
              </w:rPr>
            </w:pPr>
            <w:r w:rsidRPr="00995C95">
              <w:rPr>
                <w:spacing w:val="-1"/>
                <w:lang w:eastAsia="en-US"/>
              </w:rPr>
              <w:t xml:space="preserve">The </w:t>
            </w:r>
            <w:r w:rsidR="00DA44DC" w:rsidRPr="00995C95">
              <w:rPr>
                <w:spacing w:val="-1"/>
                <w:lang w:eastAsia="en-US"/>
              </w:rPr>
              <w:t xml:space="preserve">interbank </w:t>
            </w:r>
            <w:r w:rsidR="00383708" w:rsidRPr="00995C95">
              <w:rPr>
                <w:spacing w:val="-1"/>
                <w:lang w:eastAsia="en-US"/>
              </w:rPr>
              <w:t xml:space="preserve">interest </w:t>
            </w:r>
            <w:r w:rsidR="00DA44DC" w:rsidRPr="00995C95">
              <w:rPr>
                <w:spacing w:val="-1"/>
                <w:lang w:eastAsia="en-US"/>
              </w:rPr>
              <w:t>rates showed slight upward shifts</w:t>
            </w:r>
            <w:r w:rsidRPr="00995C95">
              <w:rPr>
                <w:spacing w:val="-1"/>
                <w:lang w:eastAsia="en-US"/>
              </w:rPr>
              <w:t xml:space="preserve"> in the final quarter of the year</w:t>
            </w:r>
            <w:r w:rsidR="00F853CC" w:rsidRPr="00995C95">
              <w:rPr>
                <w:rStyle w:val="Znakapoznpodarou"/>
                <w:spacing w:val="-1"/>
                <w:lang w:eastAsia="en-US"/>
              </w:rPr>
              <w:footnoteReference w:id="2"/>
            </w:r>
            <w:r w:rsidR="00DA44DC" w:rsidRPr="00995C95">
              <w:rPr>
                <w:spacing w:val="-1"/>
                <w:lang w:eastAsia="en-US"/>
              </w:rPr>
              <w:t>, breaking the previous trend of gradual decline. At the end of December, the three-month PRIBOR rate was 3.54% (+0.05 p.p.), the six-month rate was 3.57% (+0.09 p.p.) and the annual rate was 3.60% (+0.12 p.p.). An increase was also recorded in the area of interest rates on government bonds.</w:t>
            </w:r>
            <w:r w:rsidR="00642EAC" w:rsidRPr="00995C95">
              <w:rPr>
                <w:spacing w:val="-1"/>
                <w:lang w:eastAsia="en-US"/>
              </w:rPr>
              <w:t xml:space="preserve"> T</w:t>
            </w:r>
            <w:r w:rsidR="00DA44DC" w:rsidRPr="00995C95">
              <w:rPr>
                <w:spacing w:val="-1"/>
                <w:lang w:eastAsia="en-US"/>
              </w:rPr>
              <w:t>hose with a maturity of up to two years bore an average interest rate of 3.60% (+0.05 p.p.)</w:t>
            </w:r>
            <w:r w:rsidR="00642EAC" w:rsidRPr="00995C95">
              <w:rPr>
                <w:spacing w:val="-1"/>
                <w:lang w:eastAsia="en-US"/>
              </w:rPr>
              <w:t xml:space="preserve"> at the end of December 2025</w:t>
            </w:r>
            <w:r w:rsidR="00DA44DC" w:rsidRPr="00995C95">
              <w:rPr>
                <w:spacing w:val="-1"/>
                <w:lang w:eastAsia="en-US"/>
              </w:rPr>
              <w:t>, the yield for medium-term bonds with a maturity of up to 5 years was 4.12% (+0.19 p.p.) and 4.46%</w:t>
            </w:r>
            <w:r w:rsidR="00265F50" w:rsidRPr="00995C95">
              <w:rPr>
                <w:spacing w:val="-1"/>
                <w:lang w:eastAsia="en-US"/>
              </w:rPr>
              <w:t xml:space="preserve"> for long-term bonds</w:t>
            </w:r>
            <w:r w:rsidR="00DA44DC" w:rsidRPr="00995C95">
              <w:rPr>
                <w:spacing w:val="-1"/>
                <w:lang w:eastAsia="en-US"/>
              </w:rPr>
              <w:t xml:space="preserve"> (+0.22 p.p.). </w:t>
            </w:r>
          </w:p>
        </w:tc>
      </w:tr>
      <w:tr w:rsidR="00C65C22" w:rsidRPr="00995C95" w14:paraId="0786E34E" w14:textId="77777777" w:rsidTr="00E87182">
        <w:trPr>
          <w:trHeight w:val="145"/>
        </w:trPr>
        <w:tc>
          <w:tcPr>
            <w:tcW w:w="1802" w:type="dxa"/>
          </w:tcPr>
          <w:p w14:paraId="20B236D5" w14:textId="770819E0" w:rsidR="00C65C22" w:rsidRPr="00995C95" w:rsidRDefault="008534B7" w:rsidP="008534B7">
            <w:pPr>
              <w:pStyle w:val="Marginlie"/>
              <w:rPr>
                <w:lang w:eastAsia="en-US"/>
              </w:rPr>
            </w:pPr>
            <w:r w:rsidRPr="00995C95">
              <w:rPr>
                <w:lang w:eastAsia="en-US"/>
              </w:rPr>
              <w:t xml:space="preserve">Households and general government contributed the most to the growth </w:t>
            </w:r>
            <w:r w:rsidR="002178DF" w:rsidRPr="00995C95">
              <w:rPr>
                <w:lang w:eastAsia="en-US"/>
              </w:rPr>
              <w:t>of</w:t>
            </w:r>
            <w:r w:rsidRPr="00995C95">
              <w:rPr>
                <w:lang w:eastAsia="en-US"/>
              </w:rPr>
              <w:t xml:space="preserve"> deposits.</w:t>
            </w:r>
          </w:p>
        </w:tc>
        <w:tc>
          <w:tcPr>
            <w:tcW w:w="229" w:type="dxa"/>
          </w:tcPr>
          <w:p w14:paraId="6FEE58BA" w14:textId="77777777" w:rsidR="00C65C22" w:rsidRPr="00995C95" w:rsidRDefault="00C65C22" w:rsidP="00E87182">
            <w:pPr>
              <w:pStyle w:val="Textpoznpodarou"/>
              <w:jc w:val="both"/>
              <w:rPr>
                <w:spacing w:val="-4"/>
                <w:lang w:eastAsia="en-US"/>
              </w:rPr>
            </w:pPr>
          </w:p>
        </w:tc>
        <w:tc>
          <w:tcPr>
            <w:tcW w:w="7610" w:type="dxa"/>
          </w:tcPr>
          <w:p w14:paraId="25CEBF20" w14:textId="213FD823" w:rsidR="00C65C22" w:rsidRPr="00995C95" w:rsidRDefault="00623D49" w:rsidP="00623D49">
            <w:pPr>
              <w:rPr>
                <w:spacing w:val="-3"/>
                <w:lang w:eastAsia="en-US"/>
              </w:rPr>
            </w:pPr>
            <w:r w:rsidRPr="00995C95">
              <w:rPr>
                <w:spacing w:val="-3"/>
                <w:lang w:eastAsia="en-US"/>
              </w:rPr>
              <w:t xml:space="preserve">Upward changes in the order of hundredths of a percentage point were recorded </w:t>
            </w:r>
            <w:r w:rsidR="00FF4206" w:rsidRPr="00995C95">
              <w:rPr>
                <w:spacing w:val="-3"/>
                <w:lang w:eastAsia="en-US"/>
              </w:rPr>
              <w:t xml:space="preserve">for </w:t>
            </w:r>
            <w:r w:rsidRPr="00995C95">
              <w:rPr>
                <w:spacing w:val="-3"/>
                <w:lang w:eastAsia="en-US"/>
              </w:rPr>
              <w:t xml:space="preserve">the average interest rate on overnight deposits (1.44% at the end of 2025), current accounts (0.14%) and deposits with agreed maturity of households (2.89%). Similarly, the average remuneration on deposits of non-financial </w:t>
            </w:r>
            <w:r w:rsidR="006509D3" w:rsidRPr="00995C95">
              <w:rPr>
                <w:spacing w:val="-3"/>
                <w:lang w:eastAsia="en-US"/>
              </w:rPr>
              <w:t xml:space="preserve">businesses </w:t>
            </w:r>
            <w:r w:rsidRPr="00995C95">
              <w:rPr>
                <w:spacing w:val="-3"/>
                <w:lang w:eastAsia="en-US"/>
              </w:rPr>
              <w:t>was unchanged, whether they were current accounts (0.57% at the end of December) or deposits with an agreed maturity (2.90%). The total volume of deposits deposited in Czech banks reached 7,663.8 trillion</w:t>
            </w:r>
            <w:r w:rsidR="006F31C9" w:rsidRPr="00995C95">
              <w:rPr>
                <w:spacing w:val="-3"/>
                <w:lang w:eastAsia="en-US"/>
              </w:rPr>
              <w:t xml:space="preserve"> CZK</w:t>
            </w:r>
            <w:r w:rsidRPr="00995C95">
              <w:rPr>
                <w:spacing w:val="-3"/>
                <w:lang w:eastAsia="en-US"/>
              </w:rPr>
              <w:t xml:space="preserve"> at the end of 2025 and increased by 442.3 billion</w:t>
            </w:r>
            <w:r w:rsidR="006F31C9" w:rsidRPr="00995C95">
              <w:rPr>
                <w:spacing w:val="-3"/>
                <w:lang w:eastAsia="en-US"/>
              </w:rPr>
              <w:t xml:space="preserve"> CZK</w:t>
            </w:r>
            <w:r w:rsidRPr="00995C95">
              <w:rPr>
                <w:spacing w:val="-3"/>
                <w:lang w:eastAsia="en-US"/>
              </w:rPr>
              <w:t xml:space="preserve"> (6.1%)</w:t>
            </w:r>
            <w:r w:rsidR="006F31C9" w:rsidRPr="00995C95">
              <w:rPr>
                <w:spacing w:val="-3"/>
                <w:lang w:eastAsia="en-US"/>
              </w:rPr>
              <w:t>,</w:t>
            </w:r>
            <w:r w:rsidRPr="00995C95">
              <w:rPr>
                <w:spacing w:val="-3"/>
                <w:lang w:eastAsia="en-US"/>
              </w:rPr>
              <w:t xml:space="preserve"> year-on-year. After a six-quarter downturn, the growth rate of </w:t>
            </w:r>
            <w:r w:rsidR="005502CF" w:rsidRPr="00995C95">
              <w:rPr>
                <w:spacing w:val="-3"/>
                <w:lang w:eastAsia="en-US"/>
              </w:rPr>
              <w:t xml:space="preserve">the </w:t>
            </w:r>
            <w:r w:rsidRPr="00995C95">
              <w:rPr>
                <w:spacing w:val="-3"/>
                <w:lang w:eastAsia="en-US"/>
              </w:rPr>
              <w:t>term deposit</w:t>
            </w:r>
            <w:r w:rsidR="005502CF" w:rsidRPr="00995C95">
              <w:rPr>
                <w:spacing w:val="-3"/>
                <w:lang w:eastAsia="en-US"/>
              </w:rPr>
              <w:t xml:space="preserve"> volume </w:t>
            </w:r>
            <w:r w:rsidRPr="00995C95">
              <w:rPr>
                <w:spacing w:val="-3"/>
                <w:lang w:eastAsia="en-US"/>
              </w:rPr>
              <w:t>recovered (+238.8 b</w:t>
            </w:r>
            <w:r w:rsidR="003877E5" w:rsidRPr="00995C95">
              <w:rPr>
                <w:spacing w:val="-3"/>
                <w:lang w:eastAsia="en-US"/>
              </w:rPr>
              <w:t>n CZK</w:t>
            </w:r>
            <w:r w:rsidRPr="00995C95">
              <w:rPr>
                <w:spacing w:val="-3"/>
                <w:lang w:eastAsia="en-US"/>
              </w:rPr>
              <w:t>, 10.1%). Non-term deposits increased by 203.5 b</w:t>
            </w:r>
            <w:r w:rsidR="00467406" w:rsidRPr="00995C95">
              <w:rPr>
                <w:spacing w:val="-3"/>
                <w:lang w:eastAsia="en-US"/>
              </w:rPr>
              <w:t xml:space="preserve">n CZK </w:t>
            </w:r>
            <w:r w:rsidRPr="00995C95">
              <w:rPr>
                <w:spacing w:val="-3"/>
                <w:lang w:eastAsia="en-US"/>
              </w:rPr>
              <w:t>(4.2%), y</w:t>
            </w:r>
            <w:r w:rsidR="00467406" w:rsidRPr="00995C95">
              <w:rPr>
                <w:spacing w:val="-3"/>
                <w:lang w:eastAsia="en-US"/>
              </w:rPr>
              <w:t>ear</w:t>
            </w:r>
            <w:r w:rsidRPr="00995C95">
              <w:rPr>
                <w:spacing w:val="-3"/>
                <w:lang w:eastAsia="en-US"/>
              </w:rPr>
              <w:t>-o</w:t>
            </w:r>
            <w:r w:rsidR="00467406" w:rsidRPr="00995C95">
              <w:rPr>
                <w:spacing w:val="-3"/>
                <w:lang w:eastAsia="en-US"/>
              </w:rPr>
              <w:t>n</w:t>
            </w:r>
            <w:r w:rsidRPr="00995C95">
              <w:rPr>
                <w:spacing w:val="-3"/>
                <w:lang w:eastAsia="en-US"/>
              </w:rPr>
              <w:t>-y</w:t>
            </w:r>
            <w:r w:rsidR="00467406" w:rsidRPr="00995C95">
              <w:rPr>
                <w:spacing w:val="-3"/>
                <w:lang w:eastAsia="en-US"/>
              </w:rPr>
              <w:t>ear</w:t>
            </w:r>
            <w:r w:rsidRPr="00995C95">
              <w:rPr>
                <w:spacing w:val="-3"/>
                <w:lang w:eastAsia="en-US"/>
              </w:rPr>
              <w:t>. From the point of view of individual sectors, households</w:t>
            </w:r>
            <w:r w:rsidR="00A64380" w:rsidRPr="00995C95">
              <w:rPr>
                <w:rStyle w:val="Znakapoznpodarou"/>
                <w:spacing w:val="-3"/>
                <w:lang w:eastAsia="en-US"/>
              </w:rPr>
              <w:footnoteReference w:id="3"/>
            </w:r>
            <w:r w:rsidRPr="00995C95">
              <w:rPr>
                <w:spacing w:val="-3"/>
                <w:lang w:eastAsia="en-US"/>
              </w:rPr>
              <w:t xml:space="preserve"> (+182.9 b</w:t>
            </w:r>
            <w:r w:rsidR="002866A1" w:rsidRPr="00995C95">
              <w:rPr>
                <w:spacing w:val="-3"/>
                <w:lang w:eastAsia="en-US"/>
              </w:rPr>
              <w:t>n CZK</w:t>
            </w:r>
            <w:r w:rsidRPr="00995C95">
              <w:rPr>
                <w:spacing w:val="-3"/>
                <w:lang w:eastAsia="en-US"/>
              </w:rPr>
              <w:t>) and general government institutions (+182.9 b</w:t>
            </w:r>
            <w:r w:rsidR="00A64380" w:rsidRPr="00995C95">
              <w:rPr>
                <w:spacing w:val="-3"/>
                <w:lang w:eastAsia="en-US"/>
              </w:rPr>
              <w:t>n CZK</w:t>
            </w:r>
            <w:r w:rsidRPr="00995C95">
              <w:rPr>
                <w:spacing w:val="-3"/>
                <w:lang w:eastAsia="en-US"/>
              </w:rPr>
              <w:t xml:space="preserve">) contributed to the year-on-year increase </w:t>
            </w:r>
            <w:r w:rsidR="00A64380" w:rsidRPr="00995C95">
              <w:rPr>
                <w:spacing w:val="-3"/>
                <w:lang w:eastAsia="en-US"/>
              </w:rPr>
              <w:t>of</w:t>
            </w:r>
            <w:r w:rsidRPr="00995C95">
              <w:rPr>
                <w:spacing w:val="-3"/>
                <w:lang w:eastAsia="en-US"/>
              </w:rPr>
              <w:t xml:space="preserve"> deposits </w:t>
            </w:r>
            <w:r w:rsidR="006509D3" w:rsidRPr="00995C95">
              <w:rPr>
                <w:spacing w:val="-3"/>
                <w:lang w:eastAsia="en-US"/>
              </w:rPr>
              <w:t xml:space="preserve">by </w:t>
            </w:r>
            <w:r w:rsidRPr="00995C95">
              <w:rPr>
                <w:spacing w:val="-3"/>
                <w:lang w:eastAsia="en-US"/>
              </w:rPr>
              <w:t xml:space="preserve">a similar amount. Increases were </w:t>
            </w:r>
            <w:r w:rsidR="006509D3" w:rsidRPr="00995C95">
              <w:rPr>
                <w:spacing w:val="-3"/>
                <w:lang w:eastAsia="en-US"/>
              </w:rPr>
              <w:t xml:space="preserve">then </w:t>
            </w:r>
            <w:r w:rsidRPr="00995C95">
              <w:rPr>
                <w:spacing w:val="-3"/>
                <w:lang w:eastAsia="en-US"/>
              </w:rPr>
              <w:t>more moderate in financial institutions (+34.3 b</w:t>
            </w:r>
            <w:r w:rsidR="006509D3" w:rsidRPr="00995C95">
              <w:rPr>
                <w:spacing w:val="-3"/>
                <w:lang w:eastAsia="en-US"/>
              </w:rPr>
              <w:t>n CZK</w:t>
            </w:r>
            <w:r w:rsidRPr="00995C95">
              <w:rPr>
                <w:spacing w:val="-3"/>
                <w:lang w:eastAsia="en-US"/>
              </w:rPr>
              <w:t xml:space="preserve">) and non-financial </w:t>
            </w:r>
            <w:r w:rsidR="006509D3" w:rsidRPr="00995C95">
              <w:rPr>
                <w:spacing w:val="-3"/>
                <w:lang w:eastAsia="en-US"/>
              </w:rPr>
              <w:t xml:space="preserve">businesses </w:t>
            </w:r>
            <w:r w:rsidRPr="00995C95">
              <w:rPr>
                <w:spacing w:val="-3"/>
                <w:lang w:eastAsia="en-US"/>
              </w:rPr>
              <w:t>(+29.0 b</w:t>
            </w:r>
            <w:r w:rsidR="006509D3" w:rsidRPr="00995C95">
              <w:rPr>
                <w:spacing w:val="-3"/>
                <w:lang w:eastAsia="en-US"/>
              </w:rPr>
              <w:t>n CZK</w:t>
            </w:r>
            <w:r w:rsidRPr="00995C95">
              <w:rPr>
                <w:spacing w:val="-3"/>
                <w:lang w:eastAsia="en-US"/>
              </w:rPr>
              <w:t>).</w:t>
            </w:r>
            <w:r w:rsidR="00FF4206" w:rsidRPr="00995C95">
              <w:rPr>
                <w:spacing w:val="-3"/>
                <w:lang w:eastAsia="en-US"/>
              </w:rPr>
              <w:t xml:space="preserve"> </w:t>
            </w:r>
          </w:p>
        </w:tc>
      </w:tr>
      <w:tr w:rsidR="00C65C22" w:rsidRPr="00995C95" w14:paraId="34B8D1D4" w14:textId="77777777" w:rsidTr="00E87182">
        <w:trPr>
          <w:trHeight w:val="145"/>
        </w:trPr>
        <w:tc>
          <w:tcPr>
            <w:tcW w:w="1802" w:type="dxa"/>
          </w:tcPr>
          <w:p w14:paraId="5CCACF0C" w14:textId="136119E3" w:rsidR="00C65C22" w:rsidRPr="00995C95" w:rsidRDefault="003E1419" w:rsidP="003E1419">
            <w:pPr>
              <w:pStyle w:val="Marginlie"/>
              <w:rPr>
                <w:lang w:eastAsia="en-US"/>
              </w:rPr>
            </w:pPr>
            <w:r w:rsidRPr="00995C95">
              <w:rPr>
                <w:lang w:eastAsia="en-US"/>
              </w:rPr>
              <w:t>The volume of new mortgage contracts was significantly driven up by other new arrangements.</w:t>
            </w:r>
            <w:r w:rsidR="00F52BD7" w:rsidRPr="00995C95">
              <w:rPr>
                <w:lang w:eastAsia="en-US"/>
              </w:rPr>
              <w:t xml:space="preserve"> </w:t>
            </w:r>
          </w:p>
        </w:tc>
        <w:tc>
          <w:tcPr>
            <w:tcW w:w="229" w:type="dxa"/>
          </w:tcPr>
          <w:p w14:paraId="6B75E389" w14:textId="77777777" w:rsidR="00C65C22" w:rsidRPr="00995C95" w:rsidRDefault="00C65C22" w:rsidP="00E87182">
            <w:pPr>
              <w:pStyle w:val="Textpoznpodarou"/>
              <w:jc w:val="both"/>
              <w:rPr>
                <w:spacing w:val="-4"/>
                <w:lang w:eastAsia="en-US"/>
              </w:rPr>
            </w:pPr>
          </w:p>
        </w:tc>
        <w:tc>
          <w:tcPr>
            <w:tcW w:w="7610" w:type="dxa"/>
          </w:tcPr>
          <w:p w14:paraId="24A6F95B" w14:textId="1A0A0FA1" w:rsidR="00C65C22" w:rsidRPr="00995C95" w:rsidRDefault="00AE5CB9" w:rsidP="001837AD">
            <w:pPr>
              <w:rPr>
                <w:lang w:eastAsia="en-US"/>
              </w:rPr>
            </w:pPr>
            <w:r w:rsidRPr="00995C95">
              <w:rPr>
                <w:lang w:eastAsia="en-US"/>
              </w:rPr>
              <w:t xml:space="preserve">The average interest rate on consumer </w:t>
            </w:r>
            <w:r w:rsidR="003C7549" w:rsidRPr="00995C95">
              <w:rPr>
                <w:lang w:eastAsia="en-US"/>
              </w:rPr>
              <w:t xml:space="preserve">credit </w:t>
            </w:r>
            <w:r w:rsidRPr="00995C95">
              <w:rPr>
                <w:lang w:eastAsia="en-US"/>
              </w:rPr>
              <w:t xml:space="preserve">of households stood at 7.98% at the end of December and remained unchanged compared to the end of September. A slight downward shift in the order of hundredths was recorded </w:t>
            </w:r>
            <w:r w:rsidR="003C7549" w:rsidRPr="00995C95">
              <w:rPr>
                <w:lang w:eastAsia="en-US"/>
              </w:rPr>
              <w:t xml:space="preserve">for </w:t>
            </w:r>
            <w:r w:rsidRPr="00995C95">
              <w:rPr>
                <w:lang w:eastAsia="en-US"/>
              </w:rPr>
              <w:t xml:space="preserve">interest rates on </w:t>
            </w:r>
            <w:r w:rsidR="005515C5" w:rsidRPr="00995C95">
              <w:rPr>
                <w:lang w:eastAsia="en-US"/>
              </w:rPr>
              <w:t xml:space="preserve">mortgages </w:t>
            </w:r>
            <w:r w:rsidRPr="00995C95">
              <w:rPr>
                <w:lang w:eastAsia="en-US"/>
              </w:rPr>
              <w:t xml:space="preserve">(4.57%). There were differences between the individual </w:t>
            </w:r>
            <w:r w:rsidR="0090149C" w:rsidRPr="00995C95">
              <w:rPr>
                <w:lang w:eastAsia="en-US"/>
              </w:rPr>
              <w:t>length</w:t>
            </w:r>
            <w:r w:rsidR="0007457A" w:rsidRPr="00995C95">
              <w:rPr>
                <w:lang w:eastAsia="en-US"/>
              </w:rPr>
              <w:t xml:space="preserve">s </w:t>
            </w:r>
            <w:r w:rsidR="0090149C" w:rsidRPr="00995C95">
              <w:rPr>
                <w:lang w:eastAsia="en-US"/>
              </w:rPr>
              <w:t xml:space="preserve">of </w:t>
            </w:r>
            <w:r w:rsidRPr="00995C95">
              <w:rPr>
                <w:lang w:eastAsia="en-US"/>
              </w:rPr>
              <w:t xml:space="preserve">fixation </w:t>
            </w:r>
            <w:r w:rsidR="006D6FE6" w:rsidRPr="00995C95">
              <w:rPr>
                <w:lang w:eastAsia="en-US"/>
              </w:rPr>
              <w:t>periods</w:t>
            </w:r>
            <w:r w:rsidRPr="00995C95">
              <w:rPr>
                <w:lang w:eastAsia="en-US"/>
              </w:rPr>
              <w:t>. While the average interest rate decreased noticeably for fixations up to 1 year and over 10 years, there was an increase in the category between 5 and 10 years and the interest rate for the most frequently used fixation between 1 and 5 years remained almost unchanged</w:t>
            </w:r>
            <w:r w:rsidR="000F7A6C" w:rsidRPr="00995C95">
              <w:rPr>
                <w:lang w:eastAsia="en-US"/>
              </w:rPr>
              <w:t>. T</w:t>
            </w:r>
            <w:r w:rsidRPr="00995C95">
              <w:rPr>
                <w:lang w:eastAsia="en-US"/>
              </w:rPr>
              <w:t xml:space="preserve">he year-on-year growth rate of the volume of </w:t>
            </w:r>
            <w:r w:rsidR="00E13996">
              <w:rPr>
                <w:lang w:eastAsia="en-US"/>
              </w:rPr>
              <w:t xml:space="preserve">provided </w:t>
            </w:r>
            <w:r w:rsidRPr="00995C95">
              <w:rPr>
                <w:lang w:eastAsia="en-US"/>
              </w:rPr>
              <w:t>consumption</w:t>
            </w:r>
            <w:r w:rsidR="00817E55" w:rsidRPr="00995C95">
              <w:rPr>
                <w:lang w:eastAsia="en-US"/>
              </w:rPr>
              <w:t xml:space="preserve"> credit</w:t>
            </w:r>
            <w:r w:rsidR="00E13996">
              <w:rPr>
                <w:lang w:eastAsia="en-US"/>
              </w:rPr>
              <w:t xml:space="preserve"> </w:t>
            </w:r>
            <w:r w:rsidRPr="00995C95">
              <w:rPr>
                <w:lang w:eastAsia="en-US"/>
              </w:rPr>
              <w:t>strengthened again</w:t>
            </w:r>
            <w:r w:rsidR="00817E55" w:rsidRPr="00995C95">
              <w:rPr>
                <w:lang w:eastAsia="en-US"/>
              </w:rPr>
              <w:t xml:space="preserve"> in Q4</w:t>
            </w:r>
            <w:r w:rsidR="00F87A6A">
              <w:rPr>
                <w:lang w:eastAsia="en-US"/>
              </w:rPr>
              <w:t xml:space="preserve"> </w:t>
            </w:r>
            <w:r w:rsidR="0061142E" w:rsidRPr="00995C95">
              <w:rPr>
                <w:lang w:eastAsia="en-US"/>
              </w:rPr>
              <w:t xml:space="preserve">and </w:t>
            </w:r>
            <w:r w:rsidRPr="00995C95">
              <w:rPr>
                <w:lang w:eastAsia="en-US"/>
              </w:rPr>
              <w:t>increased by 38.4 b</w:t>
            </w:r>
            <w:r w:rsidR="0061142E" w:rsidRPr="00995C95">
              <w:rPr>
                <w:lang w:eastAsia="en-US"/>
              </w:rPr>
              <w:t>n CZK</w:t>
            </w:r>
            <w:r w:rsidRPr="00995C95">
              <w:rPr>
                <w:lang w:eastAsia="en-US"/>
              </w:rPr>
              <w:t xml:space="preserve"> (11.0%). The volume of</w:t>
            </w:r>
            <w:r w:rsidR="0061142E" w:rsidRPr="00995C95">
              <w:rPr>
                <w:lang w:eastAsia="en-US"/>
              </w:rPr>
              <w:t xml:space="preserve"> mortgages </w:t>
            </w:r>
            <w:r w:rsidRPr="00995C95">
              <w:rPr>
                <w:lang w:eastAsia="en-US"/>
              </w:rPr>
              <w:t>was higher by 151.3 b</w:t>
            </w:r>
            <w:r w:rsidR="0061142E" w:rsidRPr="00995C95">
              <w:rPr>
                <w:lang w:eastAsia="en-US"/>
              </w:rPr>
              <w:t xml:space="preserve">n CZK </w:t>
            </w:r>
            <w:r w:rsidRPr="00995C95">
              <w:rPr>
                <w:lang w:eastAsia="en-US"/>
              </w:rPr>
              <w:t xml:space="preserve">(7.7%) at the end of December, and growth </w:t>
            </w:r>
            <w:r w:rsidRPr="00995C95">
              <w:rPr>
                <w:lang w:eastAsia="en-US"/>
              </w:rPr>
              <w:lastRenderedPageBreak/>
              <w:t>also accelerated</w:t>
            </w:r>
            <w:r w:rsidR="0026033E" w:rsidRPr="00995C95">
              <w:rPr>
                <w:lang w:eastAsia="en-US"/>
              </w:rPr>
              <w:t xml:space="preserve"> here</w:t>
            </w:r>
            <w:r w:rsidRPr="00995C95">
              <w:rPr>
                <w:lang w:eastAsia="en-US"/>
              </w:rPr>
              <w:t xml:space="preserve">, mainly under the influence of mortgages, but also bridging loans from building </w:t>
            </w:r>
            <w:r w:rsidR="00F73F9D" w:rsidRPr="00995C95">
              <w:rPr>
                <w:lang w:eastAsia="en-US"/>
              </w:rPr>
              <w:t>society accounts</w:t>
            </w:r>
            <w:r w:rsidRPr="00995C95">
              <w:rPr>
                <w:lang w:eastAsia="en-US"/>
              </w:rPr>
              <w:t>, which were higher by more than a fifth</w:t>
            </w:r>
            <w:r w:rsidR="0026033E" w:rsidRPr="00995C95">
              <w:rPr>
                <w:lang w:eastAsia="en-US"/>
              </w:rPr>
              <w:t>,</w:t>
            </w:r>
            <w:r w:rsidRPr="00995C95">
              <w:rPr>
                <w:lang w:eastAsia="en-US"/>
              </w:rPr>
              <w:t xml:space="preserve"> year-on-year. The volume of new mortgage contracts</w:t>
            </w:r>
            <w:r w:rsidR="003A1F60" w:rsidRPr="00995C95">
              <w:rPr>
                <w:rStyle w:val="Znakapoznpodarou"/>
                <w:lang w:eastAsia="en-US"/>
              </w:rPr>
              <w:footnoteReference w:id="4"/>
            </w:r>
            <w:r w:rsidR="003A1F60" w:rsidRPr="00995C95">
              <w:rPr>
                <w:lang w:eastAsia="en-US"/>
              </w:rPr>
              <w:t xml:space="preserve"> </w:t>
            </w:r>
            <w:r w:rsidRPr="00995C95">
              <w:rPr>
                <w:lang w:eastAsia="en-US"/>
              </w:rPr>
              <w:t>amounted to 192.1 b</w:t>
            </w:r>
            <w:r w:rsidR="003A1F60" w:rsidRPr="00995C95">
              <w:rPr>
                <w:lang w:eastAsia="en-US"/>
              </w:rPr>
              <w:t>n CZK in Q4 2025</w:t>
            </w:r>
            <w:r w:rsidRPr="00995C95">
              <w:rPr>
                <w:lang w:eastAsia="en-US"/>
              </w:rPr>
              <w:t>, of which net new loans accounted for 85.9 b</w:t>
            </w:r>
            <w:r w:rsidR="001837AD" w:rsidRPr="00995C95">
              <w:rPr>
                <w:lang w:eastAsia="en-US"/>
              </w:rPr>
              <w:t>n CZK</w:t>
            </w:r>
            <w:r w:rsidRPr="00995C95">
              <w:rPr>
                <w:lang w:eastAsia="en-US"/>
              </w:rPr>
              <w:t>, refinanced loans for 18.0 b</w:t>
            </w:r>
            <w:r w:rsidR="001837AD" w:rsidRPr="00995C95">
              <w:rPr>
                <w:lang w:eastAsia="en-US"/>
              </w:rPr>
              <w:t xml:space="preserve">n CZK </w:t>
            </w:r>
            <w:r w:rsidRPr="00995C95">
              <w:rPr>
                <w:lang w:eastAsia="en-US"/>
              </w:rPr>
              <w:t>and other new arrangements for 88.3 b</w:t>
            </w:r>
            <w:r w:rsidR="001837AD" w:rsidRPr="00995C95">
              <w:rPr>
                <w:lang w:eastAsia="en-US"/>
              </w:rPr>
              <w:t>n CZK</w:t>
            </w:r>
            <w:r w:rsidRPr="00995C95">
              <w:rPr>
                <w:lang w:eastAsia="en-US"/>
              </w:rPr>
              <w:t xml:space="preserve">. Other new arrangements also contributed the most to the </w:t>
            </w:r>
            <w:r w:rsidR="001837AD" w:rsidRPr="00995C95">
              <w:rPr>
                <w:lang w:eastAsia="en-US"/>
              </w:rPr>
              <w:t xml:space="preserve">total </w:t>
            </w:r>
            <w:r w:rsidRPr="00995C95">
              <w:rPr>
                <w:lang w:eastAsia="en-US"/>
              </w:rPr>
              <w:t xml:space="preserve">growth </w:t>
            </w:r>
            <w:r w:rsidR="001837AD" w:rsidRPr="00995C95">
              <w:rPr>
                <w:lang w:eastAsia="en-US"/>
              </w:rPr>
              <w:t>of the n</w:t>
            </w:r>
            <w:r w:rsidRPr="00995C95">
              <w:rPr>
                <w:lang w:eastAsia="en-US"/>
              </w:rPr>
              <w:t>ew contracts</w:t>
            </w:r>
            <w:r w:rsidR="001837AD" w:rsidRPr="00995C95">
              <w:rPr>
                <w:lang w:eastAsia="en-US"/>
              </w:rPr>
              <w:t xml:space="preserve"> volume</w:t>
            </w:r>
            <w:r w:rsidRPr="00995C95">
              <w:rPr>
                <w:lang w:eastAsia="en-US"/>
              </w:rPr>
              <w:t>. For the whole of 2025, new mortgage contracts were concluded in the amount of 691.3 b</w:t>
            </w:r>
            <w:r w:rsidR="00610A25" w:rsidRPr="00995C95">
              <w:rPr>
                <w:lang w:eastAsia="en-US"/>
              </w:rPr>
              <w:t xml:space="preserve">n CZK </w:t>
            </w:r>
            <w:r w:rsidRPr="00995C95">
              <w:rPr>
                <w:lang w:eastAsia="en-US"/>
              </w:rPr>
              <w:t>(+218.0 b</w:t>
            </w:r>
            <w:r w:rsidR="00610A25" w:rsidRPr="00995C95">
              <w:rPr>
                <w:lang w:eastAsia="en-US"/>
              </w:rPr>
              <w:t xml:space="preserve">n, </w:t>
            </w:r>
            <w:r w:rsidRPr="00995C95">
              <w:rPr>
                <w:lang w:eastAsia="en-US"/>
              </w:rPr>
              <w:t>year-on-year), which nominally surpassed the record year 2021. Net new loans accounted for 320.1 b</w:t>
            </w:r>
            <w:r w:rsidR="000A5017" w:rsidRPr="00995C95">
              <w:rPr>
                <w:lang w:eastAsia="en-US"/>
              </w:rPr>
              <w:t xml:space="preserve">n CZK </w:t>
            </w:r>
            <w:r w:rsidRPr="00995C95">
              <w:rPr>
                <w:lang w:eastAsia="en-US"/>
              </w:rPr>
              <w:t>from new contracts and other arrangements for 315.0 b</w:t>
            </w:r>
            <w:r w:rsidR="007C7381" w:rsidRPr="00995C95">
              <w:rPr>
                <w:lang w:eastAsia="en-US"/>
              </w:rPr>
              <w:t>n CZK</w:t>
            </w:r>
            <w:r w:rsidRPr="00995C95">
              <w:rPr>
                <w:lang w:eastAsia="en-US"/>
              </w:rPr>
              <w:t>. Total household debt stood at 2,661.7 b</w:t>
            </w:r>
            <w:r w:rsidR="007C7381" w:rsidRPr="00995C95">
              <w:rPr>
                <w:lang w:eastAsia="en-US"/>
              </w:rPr>
              <w:t xml:space="preserve">n CZK </w:t>
            </w:r>
            <w:r w:rsidRPr="00995C95">
              <w:rPr>
                <w:lang w:eastAsia="en-US"/>
              </w:rPr>
              <w:t>at the end of December and was 10.3% higher</w:t>
            </w:r>
            <w:r w:rsidR="007C7381" w:rsidRPr="00995C95">
              <w:rPr>
                <w:lang w:eastAsia="en-US"/>
              </w:rPr>
              <w:t>,</w:t>
            </w:r>
            <w:r w:rsidRPr="00995C95">
              <w:rPr>
                <w:lang w:eastAsia="en-US"/>
              </w:rPr>
              <w:t xml:space="preserve"> year-on-year.</w:t>
            </w:r>
            <w:r w:rsidR="001837AD" w:rsidRPr="00995C95">
              <w:rPr>
                <w:lang w:eastAsia="en-US"/>
              </w:rPr>
              <w:t xml:space="preserve"> </w:t>
            </w:r>
          </w:p>
        </w:tc>
      </w:tr>
      <w:tr w:rsidR="00C65C22" w:rsidRPr="00995C95" w14:paraId="3F7D438B" w14:textId="77777777" w:rsidTr="00E87182">
        <w:trPr>
          <w:trHeight w:val="145"/>
        </w:trPr>
        <w:tc>
          <w:tcPr>
            <w:tcW w:w="1802" w:type="dxa"/>
          </w:tcPr>
          <w:p w14:paraId="31568D94" w14:textId="5BA4C803" w:rsidR="00C65C22" w:rsidRPr="00995C95" w:rsidRDefault="00D3074E" w:rsidP="00D3074E">
            <w:pPr>
              <w:pStyle w:val="Marginlie"/>
              <w:rPr>
                <w:lang w:eastAsia="en-US"/>
              </w:rPr>
            </w:pPr>
            <w:r w:rsidRPr="00995C95">
              <w:rPr>
                <w:lang w:eastAsia="en-US"/>
              </w:rPr>
              <w:lastRenderedPageBreak/>
              <w:t xml:space="preserve">The share of loans denominated in foreign currency to non-financial </w:t>
            </w:r>
            <w:r w:rsidR="003A1F60" w:rsidRPr="00995C95">
              <w:rPr>
                <w:lang w:eastAsia="en-US"/>
              </w:rPr>
              <w:t xml:space="preserve">businesses </w:t>
            </w:r>
            <w:r w:rsidRPr="00995C95">
              <w:rPr>
                <w:lang w:eastAsia="en-US"/>
              </w:rPr>
              <w:t>was declining.</w:t>
            </w:r>
          </w:p>
        </w:tc>
        <w:tc>
          <w:tcPr>
            <w:tcW w:w="229" w:type="dxa"/>
          </w:tcPr>
          <w:p w14:paraId="60823F41" w14:textId="77777777" w:rsidR="00C65C22" w:rsidRPr="00995C95" w:rsidRDefault="00C65C22" w:rsidP="00E87182">
            <w:pPr>
              <w:pStyle w:val="Textpoznpodarou"/>
              <w:jc w:val="both"/>
              <w:rPr>
                <w:spacing w:val="-4"/>
                <w:lang w:eastAsia="en-US"/>
              </w:rPr>
            </w:pPr>
          </w:p>
        </w:tc>
        <w:tc>
          <w:tcPr>
            <w:tcW w:w="7610" w:type="dxa"/>
          </w:tcPr>
          <w:p w14:paraId="7FC18E4E" w14:textId="357EAB55" w:rsidR="00C65C22" w:rsidRPr="00995C95" w:rsidRDefault="001D2CEA" w:rsidP="009A4E7B">
            <w:pPr>
              <w:rPr>
                <w:lang w:eastAsia="en-US"/>
              </w:rPr>
            </w:pPr>
            <w:r w:rsidRPr="00995C95">
              <w:rPr>
                <w:lang w:eastAsia="en-US"/>
              </w:rPr>
              <w:t>T</w:t>
            </w:r>
            <w:r w:rsidR="009A4E7B" w:rsidRPr="00995C95">
              <w:rPr>
                <w:lang w:eastAsia="en-US"/>
              </w:rPr>
              <w:t>he average interest rate on loans up to 7.5 million</w:t>
            </w:r>
            <w:r w:rsidRPr="00995C95">
              <w:rPr>
                <w:lang w:eastAsia="en-US"/>
              </w:rPr>
              <w:t xml:space="preserve"> CZK</w:t>
            </w:r>
            <w:r w:rsidR="009A4E7B" w:rsidRPr="00995C95">
              <w:rPr>
                <w:lang w:eastAsia="en-US"/>
              </w:rPr>
              <w:t xml:space="preserve"> for non-financial </w:t>
            </w:r>
            <w:r w:rsidRPr="00995C95">
              <w:rPr>
                <w:lang w:eastAsia="en-US"/>
              </w:rPr>
              <w:t xml:space="preserve">businesses </w:t>
            </w:r>
            <w:r w:rsidR="009A4E7B" w:rsidRPr="00995C95">
              <w:rPr>
                <w:lang w:eastAsia="en-US"/>
              </w:rPr>
              <w:t>was 5.63% (+0.13 p.p.)</w:t>
            </w:r>
            <w:r w:rsidRPr="00995C95">
              <w:rPr>
                <w:lang w:eastAsia="en-US"/>
              </w:rPr>
              <w:t xml:space="preserve"> at the end of December, </w:t>
            </w:r>
            <w:r w:rsidR="009A4E7B" w:rsidRPr="00995C95">
              <w:rPr>
                <w:lang w:eastAsia="en-US"/>
              </w:rPr>
              <w:t>between 7.5 and 30 million</w:t>
            </w:r>
            <w:r w:rsidRPr="00995C95">
              <w:rPr>
                <w:lang w:eastAsia="en-US"/>
              </w:rPr>
              <w:t xml:space="preserve"> CZK</w:t>
            </w:r>
            <w:r w:rsidR="009A4E7B" w:rsidRPr="00995C95">
              <w:rPr>
                <w:lang w:eastAsia="en-US"/>
              </w:rPr>
              <w:t xml:space="preserve"> 5.30% (−0.05 p.p.) and above 30 million</w:t>
            </w:r>
            <w:r w:rsidR="007C2D11" w:rsidRPr="00995C95">
              <w:rPr>
                <w:lang w:eastAsia="en-US"/>
              </w:rPr>
              <w:t xml:space="preserve"> CZK</w:t>
            </w:r>
            <w:r w:rsidR="009A4E7B" w:rsidRPr="00995C95">
              <w:rPr>
                <w:lang w:eastAsia="en-US"/>
              </w:rPr>
              <w:t xml:space="preserve"> 5.13% (+0.06 p.p.). The total volume of </w:t>
            </w:r>
            <w:r w:rsidR="00117365" w:rsidRPr="00995C95">
              <w:rPr>
                <w:lang w:eastAsia="en-US"/>
              </w:rPr>
              <w:t xml:space="preserve">credit and claims </w:t>
            </w:r>
            <w:r w:rsidR="009A4E7B" w:rsidRPr="00995C95">
              <w:rPr>
                <w:lang w:eastAsia="en-US"/>
              </w:rPr>
              <w:t xml:space="preserve">of non-financial </w:t>
            </w:r>
            <w:r w:rsidR="00117365" w:rsidRPr="00995C95">
              <w:rPr>
                <w:lang w:eastAsia="en-US"/>
              </w:rPr>
              <w:t xml:space="preserve">businesses </w:t>
            </w:r>
            <w:r w:rsidR="009A4E7B" w:rsidRPr="00995C95">
              <w:rPr>
                <w:lang w:eastAsia="en-US"/>
              </w:rPr>
              <w:t>was 2.9% higher</w:t>
            </w:r>
            <w:r w:rsidR="00117365" w:rsidRPr="00995C95">
              <w:rPr>
                <w:lang w:eastAsia="en-US"/>
              </w:rPr>
              <w:t>,</w:t>
            </w:r>
            <w:r w:rsidR="009A4E7B" w:rsidRPr="00995C95">
              <w:rPr>
                <w:lang w:eastAsia="en-US"/>
              </w:rPr>
              <w:t xml:space="preserve"> year-on-year</w:t>
            </w:r>
            <w:r w:rsidR="00117365" w:rsidRPr="00995C95">
              <w:rPr>
                <w:lang w:eastAsia="en-US"/>
              </w:rPr>
              <w:t>,</w:t>
            </w:r>
            <w:r w:rsidR="009A4E7B" w:rsidRPr="00995C95">
              <w:rPr>
                <w:lang w:eastAsia="en-US"/>
              </w:rPr>
              <w:t xml:space="preserve"> at the end of December. Only koruna</w:t>
            </w:r>
            <w:r w:rsidR="00117365" w:rsidRPr="00995C95">
              <w:rPr>
                <w:lang w:eastAsia="en-US"/>
              </w:rPr>
              <w:t xml:space="preserve"> denominated credit</w:t>
            </w:r>
            <w:r w:rsidR="009A4E7B" w:rsidRPr="00995C95">
              <w:rPr>
                <w:lang w:eastAsia="en-US"/>
              </w:rPr>
              <w:t xml:space="preserve"> contributed to the increase, </w:t>
            </w:r>
            <w:r w:rsidR="00995C6D" w:rsidRPr="00995C95">
              <w:rPr>
                <w:lang w:eastAsia="en-US"/>
              </w:rPr>
              <w:t>w</w:t>
            </w:r>
            <w:r w:rsidR="00592E71" w:rsidRPr="00995C95">
              <w:rPr>
                <w:lang w:eastAsia="en-US"/>
              </w:rPr>
              <w:t xml:space="preserve">hose </w:t>
            </w:r>
            <w:r w:rsidR="009A4E7B" w:rsidRPr="00995C95">
              <w:rPr>
                <w:lang w:eastAsia="en-US"/>
              </w:rPr>
              <w:t xml:space="preserve">volume was higher by 10.9%. </w:t>
            </w:r>
            <w:r w:rsidR="00592E71" w:rsidRPr="00995C95">
              <w:rPr>
                <w:lang w:eastAsia="en-US"/>
              </w:rPr>
              <w:t>Credit denominated i</w:t>
            </w:r>
            <w:r w:rsidR="009A4E7B" w:rsidRPr="00995C95">
              <w:rPr>
                <w:lang w:eastAsia="en-US"/>
              </w:rPr>
              <w:t xml:space="preserve">n foreign currencies fell by 4.4%, and with it </w:t>
            </w:r>
            <w:r w:rsidR="00CC08A4" w:rsidRPr="00995C95">
              <w:rPr>
                <w:lang w:eastAsia="en-US"/>
              </w:rPr>
              <w:t xml:space="preserve">also </w:t>
            </w:r>
            <w:r w:rsidR="009A4E7B" w:rsidRPr="00995C95">
              <w:rPr>
                <w:lang w:eastAsia="en-US"/>
              </w:rPr>
              <w:t xml:space="preserve">the share of </w:t>
            </w:r>
            <w:r w:rsidR="00CC08A4" w:rsidRPr="00995C95">
              <w:rPr>
                <w:lang w:eastAsia="en-US"/>
              </w:rPr>
              <w:t xml:space="preserve">credit </w:t>
            </w:r>
            <w:r w:rsidR="009A4E7B" w:rsidRPr="00995C95">
              <w:rPr>
                <w:lang w:eastAsia="en-US"/>
              </w:rPr>
              <w:t xml:space="preserve">denominated in foreign currency </w:t>
            </w:r>
            <w:r w:rsidR="00CC08A4" w:rsidRPr="00995C95">
              <w:rPr>
                <w:lang w:eastAsia="en-US"/>
              </w:rPr>
              <w:t xml:space="preserve">on </w:t>
            </w:r>
            <w:r w:rsidR="009A4E7B" w:rsidRPr="00995C95">
              <w:rPr>
                <w:lang w:eastAsia="en-US"/>
              </w:rPr>
              <w:t xml:space="preserve">total </w:t>
            </w:r>
            <w:r w:rsidR="00CC08A4" w:rsidRPr="00995C95">
              <w:rPr>
                <w:lang w:eastAsia="en-US"/>
              </w:rPr>
              <w:t>credit</w:t>
            </w:r>
            <w:r w:rsidR="009A4E7B" w:rsidRPr="00995C95">
              <w:rPr>
                <w:lang w:eastAsia="en-US"/>
              </w:rPr>
              <w:t>, which reached 48.2% at the end of 2025</w:t>
            </w:r>
            <w:r w:rsidR="00CC08A4" w:rsidRPr="00995C95">
              <w:rPr>
                <w:rStyle w:val="Znakapoznpodarou"/>
                <w:lang w:eastAsia="en-US"/>
              </w:rPr>
              <w:footnoteReference w:id="5"/>
            </w:r>
            <w:r w:rsidR="009A4E7B" w:rsidRPr="00995C95">
              <w:rPr>
                <w:lang w:eastAsia="en-US"/>
              </w:rPr>
              <w:t xml:space="preserve">. The largest increase </w:t>
            </w:r>
            <w:r w:rsidR="00A91C1B" w:rsidRPr="00995C95">
              <w:rPr>
                <w:lang w:eastAsia="en-US"/>
              </w:rPr>
              <w:t xml:space="preserve">of </w:t>
            </w:r>
            <w:r w:rsidR="009A4E7B" w:rsidRPr="00995C95">
              <w:rPr>
                <w:lang w:eastAsia="en-US"/>
              </w:rPr>
              <w:t xml:space="preserve">the volume of </w:t>
            </w:r>
            <w:r w:rsidR="00A91C1B" w:rsidRPr="00995C95">
              <w:rPr>
                <w:lang w:eastAsia="en-US"/>
              </w:rPr>
              <w:t xml:space="preserve">credit </w:t>
            </w:r>
            <w:r w:rsidR="009A4E7B" w:rsidRPr="00995C95">
              <w:rPr>
                <w:lang w:eastAsia="en-US"/>
              </w:rPr>
              <w:t>provided at the end of December was in information and communication (58.9%</w:t>
            </w:r>
            <w:r w:rsidR="00034EA1" w:rsidRPr="00995C95">
              <w:rPr>
                <w:rStyle w:val="Znakapoznpodarou"/>
                <w:lang w:eastAsia="en-US"/>
              </w:rPr>
              <w:footnoteReference w:id="6"/>
            </w:r>
            <w:r w:rsidR="009A4E7B" w:rsidRPr="00995C95">
              <w:rPr>
                <w:lang w:eastAsia="en-US"/>
              </w:rPr>
              <w:t xml:space="preserve">), public administration and defence, compulsory social security, education and </w:t>
            </w:r>
            <w:r w:rsidR="002F266A" w:rsidRPr="00995C95">
              <w:rPr>
                <w:lang w:eastAsia="en-US"/>
              </w:rPr>
              <w:t xml:space="preserve">human </w:t>
            </w:r>
            <w:r w:rsidR="009A4E7B" w:rsidRPr="00995C95">
              <w:rPr>
                <w:lang w:eastAsia="en-US"/>
              </w:rPr>
              <w:t>health and social work</w:t>
            </w:r>
            <w:r w:rsidR="002F266A" w:rsidRPr="00995C95">
              <w:rPr>
                <w:lang w:eastAsia="en-US"/>
              </w:rPr>
              <w:t xml:space="preserve"> activities</w:t>
            </w:r>
            <w:r w:rsidR="009A4E7B" w:rsidRPr="00995C95">
              <w:rPr>
                <w:lang w:eastAsia="en-US"/>
              </w:rPr>
              <w:t xml:space="preserve"> (26.3%). Double-digit year-on-year increases </w:t>
            </w:r>
            <w:r w:rsidR="00D8454D" w:rsidRPr="00995C95">
              <w:rPr>
                <w:lang w:eastAsia="en-US"/>
              </w:rPr>
              <w:t xml:space="preserve">of credit continued </w:t>
            </w:r>
            <w:r w:rsidR="009A4E7B" w:rsidRPr="00995C95">
              <w:rPr>
                <w:lang w:eastAsia="en-US"/>
              </w:rPr>
              <w:t xml:space="preserve">in accommodation and food </w:t>
            </w:r>
            <w:r w:rsidR="00D8454D" w:rsidRPr="00995C95">
              <w:rPr>
                <w:lang w:eastAsia="en-US"/>
              </w:rPr>
              <w:t xml:space="preserve">service </w:t>
            </w:r>
            <w:r w:rsidR="009A4E7B" w:rsidRPr="00995C95">
              <w:rPr>
                <w:lang w:eastAsia="en-US"/>
              </w:rPr>
              <w:t xml:space="preserve">(18.6%). By contrast, the volume of </w:t>
            </w:r>
            <w:r w:rsidR="00521B64" w:rsidRPr="00995C95">
              <w:rPr>
                <w:lang w:eastAsia="en-US"/>
              </w:rPr>
              <w:t xml:space="preserve">credit </w:t>
            </w:r>
            <w:r w:rsidR="009A4E7B" w:rsidRPr="00995C95">
              <w:rPr>
                <w:lang w:eastAsia="en-US"/>
              </w:rPr>
              <w:t>granted decreased year-on-year in mining and quarrying (−34.0%), in manufacturing and in professional, scientific, technical and administrative activities (</w:t>
            </w:r>
            <w:r w:rsidR="00521B64" w:rsidRPr="00995C95">
              <w:rPr>
                <w:lang w:eastAsia="en-US"/>
              </w:rPr>
              <w:t xml:space="preserve">similarly </w:t>
            </w:r>
            <w:r w:rsidR="009A4E7B" w:rsidRPr="00995C95">
              <w:rPr>
                <w:lang w:eastAsia="en-US"/>
              </w:rPr>
              <w:t xml:space="preserve">−4.2%) and </w:t>
            </w:r>
            <w:r w:rsidR="00521B64" w:rsidRPr="00995C95">
              <w:rPr>
                <w:lang w:eastAsia="en-US"/>
              </w:rPr>
              <w:t xml:space="preserve">in </w:t>
            </w:r>
            <w:r w:rsidR="009A4E7B" w:rsidRPr="00995C95">
              <w:rPr>
                <w:lang w:eastAsia="en-US"/>
              </w:rPr>
              <w:t>transport</w:t>
            </w:r>
            <w:r w:rsidR="00521B64" w:rsidRPr="00995C95">
              <w:rPr>
                <w:lang w:eastAsia="en-US"/>
              </w:rPr>
              <w:t>ation</w:t>
            </w:r>
            <w:r w:rsidR="009A4E7B" w:rsidRPr="00995C95">
              <w:rPr>
                <w:lang w:eastAsia="en-US"/>
              </w:rPr>
              <w:t xml:space="preserve"> and storage (−1.0%).</w:t>
            </w:r>
            <w:r w:rsidRPr="00995C95">
              <w:rPr>
                <w:lang w:eastAsia="en-US"/>
              </w:rPr>
              <w:t xml:space="preserve"> </w:t>
            </w:r>
          </w:p>
        </w:tc>
      </w:tr>
      <w:tr w:rsidR="00C65C22" w:rsidRPr="00995C95" w14:paraId="5D6714CE" w14:textId="77777777" w:rsidTr="00E87182">
        <w:trPr>
          <w:trHeight w:val="304"/>
        </w:trPr>
        <w:tc>
          <w:tcPr>
            <w:tcW w:w="1802" w:type="dxa"/>
            <w:vMerge w:val="restart"/>
          </w:tcPr>
          <w:p w14:paraId="4394F30D" w14:textId="77777777" w:rsidR="00C65C22" w:rsidRPr="00995C95" w:rsidRDefault="00C65C22" w:rsidP="00E87182">
            <w:pPr>
              <w:pStyle w:val="Marginlie"/>
              <w:rPr>
                <w:lang w:eastAsia="en-US"/>
              </w:rPr>
            </w:pPr>
          </w:p>
        </w:tc>
        <w:tc>
          <w:tcPr>
            <w:tcW w:w="229" w:type="dxa"/>
            <w:vMerge w:val="restart"/>
          </w:tcPr>
          <w:p w14:paraId="443D2578" w14:textId="77777777" w:rsidR="00C65C22" w:rsidRPr="00995C95" w:rsidRDefault="00C65C22" w:rsidP="00E87182">
            <w:pPr>
              <w:pStyle w:val="Textpoznpodarou"/>
              <w:jc w:val="both"/>
              <w:rPr>
                <w:spacing w:val="-4"/>
                <w:lang w:eastAsia="en-US"/>
              </w:rPr>
            </w:pPr>
          </w:p>
        </w:tc>
        <w:tc>
          <w:tcPr>
            <w:tcW w:w="7610" w:type="dxa"/>
            <w:hideMark/>
          </w:tcPr>
          <w:p w14:paraId="78D34E13" w14:textId="62D0D7C1" w:rsidR="00C65C22" w:rsidRPr="00995C95" w:rsidRDefault="00187611" w:rsidP="00E87182">
            <w:pPr>
              <w:spacing w:after="0"/>
              <w:rPr>
                <w:szCs w:val="20"/>
                <w:lang w:eastAsia="en-US"/>
              </w:rPr>
            </w:pPr>
            <w:r w:rsidRPr="00995C95">
              <w:rPr>
                <w:rFonts w:cs="Arial"/>
                <w:b/>
                <w:bCs/>
                <w:color w:val="000000"/>
                <w:szCs w:val="20"/>
                <w:lang w:eastAsia="en-US"/>
              </w:rPr>
              <w:t xml:space="preserve">Chart </w:t>
            </w:r>
            <w:r w:rsidR="00C65C22" w:rsidRPr="00995C95">
              <w:rPr>
                <w:rFonts w:cs="Arial"/>
                <w:b/>
                <w:bCs/>
                <w:color w:val="000000"/>
                <w:szCs w:val="20"/>
                <w:lang w:eastAsia="en-US"/>
              </w:rPr>
              <w:t>1</w:t>
            </w:r>
            <w:r w:rsidR="00281666" w:rsidRPr="00995C95">
              <w:rPr>
                <w:rFonts w:cs="Arial"/>
                <w:b/>
                <w:bCs/>
                <w:color w:val="000000"/>
                <w:szCs w:val="20"/>
                <w:lang w:eastAsia="en-US"/>
              </w:rPr>
              <w:t>7</w:t>
            </w:r>
            <w:r w:rsidR="00C65C22" w:rsidRPr="00995C95">
              <w:rPr>
                <w:rFonts w:cs="Arial"/>
                <w:b/>
                <w:bCs/>
                <w:color w:val="000000"/>
                <w:szCs w:val="20"/>
                <w:lang w:eastAsia="en-US"/>
              </w:rPr>
              <w:t xml:space="preserve"> </w:t>
            </w:r>
            <w:r w:rsidRPr="00995C95">
              <w:rPr>
                <w:rFonts w:cs="Arial"/>
                <w:b/>
                <w:bCs/>
                <w:color w:val="000000"/>
                <w:szCs w:val="20"/>
                <w:lang w:eastAsia="en-US"/>
              </w:rPr>
              <w:t xml:space="preserve">Market interest rates </w:t>
            </w:r>
            <w:r w:rsidR="00C65C22" w:rsidRPr="00995C95">
              <w:rPr>
                <w:bCs/>
                <w:spacing w:val="-4"/>
                <w:szCs w:val="20"/>
                <w:lang w:eastAsia="en-US"/>
              </w:rPr>
              <w:t>(</w:t>
            </w:r>
            <w:r w:rsidRPr="00995C95">
              <w:rPr>
                <w:bCs/>
                <w:spacing w:val="-4"/>
                <w:szCs w:val="20"/>
                <w:lang w:eastAsia="en-US"/>
              </w:rPr>
              <w:t>in</w:t>
            </w:r>
            <w:r w:rsidR="00C65C22" w:rsidRPr="00995C95">
              <w:rPr>
                <w:bCs/>
                <w:spacing w:val="-4"/>
                <w:szCs w:val="20"/>
                <w:lang w:eastAsia="en-US"/>
              </w:rPr>
              <w:t> %)</w:t>
            </w:r>
          </w:p>
        </w:tc>
      </w:tr>
      <w:tr w:rsidR="00C65C22" w:rsidRPr="00995C95" w14:paraId="47DE5639" w14:textId="77777777" w:rsidTr="00BC77F6">
        <w:tblPrEx>
          <w:tblCellMar>
            <w:left w:w="70" w:type="dxa"/>
            <w:right w:w="70" w:type="dxa"/>
          </w:tblCellMar>
        </w:tblPrEx>
        <w:trPr>
          <w:trHeight w:val="170"/>
        </w:trPr>
        <w:tc>
          <w:tcPr>
            <w:tcW w:w="1802" w:type="dxa"/>
            <w:vMerge/>
            <w:vAlign w:val="center"/>
            <w:hideMark/>
          </w:tcPr>
          <w:p w14:paraId="5695FDDF" w14:textId="77777777" w:rsidR="00C65C22" w:rsidRPr="00995C95" w:rsidRDefault="00C65C22" w:rsidP="00E87182">
            <w:pPr>
              <w:spacing w:after="0" w:line="240" w:lineRule="auto"/>
              <w:jc w:val="left"/>
              <w:rPr>
                <w:spacing w:val="-2"/>
                <w:sz w:val="16"/>
                <w:szCs w:val="16"/>
                <w:lang w:eastAsia="en-US"/>
              </w:rPr>
            </w:pPr>
          </w:p>
        </w:tc>
        <w:tc>
          <w:tcPr>
            <w:tcW w:w="229" w:type="dxa"/>
            <w:vMerge/>
            <w:vAlign w:val="center"/>
            <w:hideMark/>
          </w:tcPr>
          <w:p w14:paraId="53394873" w14:textId="77777777" w:rsidR="00C65C22" w:rsidRPr="00995C95" w:rsidRDefault="00C65C22" w:rsidP="00E87182">
            <w:pPr>
              <w:spacing w:after="0" w:line="240" w:lineRule="auto"/>
              <w:jc w:val="left"/>
              <w:rPr>
                <w:rFonts w:eastAsia="Calibri"/>
                <w:spacing w:val="-4"/>
                <w:szCs w:val="20"/>
                <w:lang w:eastAsia="en-US"/>
              </w:rPr>
            </w:pPr>
          </w:p>
        </w:tc>
        <w:tc>
          <w:tcPr>
            <w:tcW w:w="7610" w:type="dxa"/>
            <w:hideMark/>
          </w:tcPr>
          <w:p w14:paraId="579D47F5" w14:textId="7BBCD41F" w:rsidR="00C65C22" w:rsidRPr="00995C95" w:rsidRDefault="00BC77F6" w:rsidP="00E87182">
            <w:pPr>
              <w:spacing w:after="0"/>
              <w:rPr>
                <w:sz w:val="14"/>
                <w:szCs w:val="14"/>
                <w:lang w:eastAsia="en-US"/>
              </w:rPr>
            </w:pPr>
            <w:r>
              <w:rPr>
                <w:noProof/>
              </w:rPr>
              <w:drawing>
                <wp:inline distT="0" distB="0" distL="0" distR="0" wp14:anchorId="1622B395" wp14:editId="16CF88CA">
                  <wp:extent cx="4734425" cy="3276000"/>
                  <wp:effectExtent l="0" t="0" r="0" b="635"/>
                  <wp:docPr id="499206651" name="Graf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C65C22" w:rsidRPr="00995C95" w14:paraId="79B2195D" w14:textId="77777777" w:rsidTr="00E87182">
        <w:trPr>
          <w:trHeight w:val="170"/>
        </w:trPr>
        <w:tc>
          <w:tcPr>
            <w:tcW w:w="0" w:type="auto"/>
            <w:vMerge/>
            <w:vAlign w:val="center"/>
            <w:hideMark/>
          </w:tcPr>
          <w:p w14:paraId="379EA8D7" w14:textId="77777777" w:rsidR="00C65C22" w:rsidRPr="00995C95" w:rsidRDefault="00C65C22" w:rsidP="00E87182">
            <w:pPr>
              <w:spacing w:after="0" w:line="240" w:lineRule="auto"/>
              <w:jc w:val="left"/>
              <w:rPr>
                <w:spacing w:val="-2"/>
                <w:sz w:val="16"/>
                <w:szCs w:val="16"/>
                <w:lang w:eastAsia="en-US"/>
              </w:rPr>
            </w:pPr>
          </w:p>
        </w:tc>
        <w:tc>
          <w:tcPr>
            <w:tcW w:w="0" w:type="auto"/>
            <w:vMerge/>
            <w:vAlign w:val="center"/>
            <w:hideMark/>
          </w:tcPr>
          <w:p w14:paraId="5CC01BAB" w14:textId="77777777" w:rsidR="00C65C22" w:rsidRPr="00995C95" w:rsidRDefault="00C65C22" w:rsidP="00E87182">
            <w:pPr>
              <w:spacing w:after="0" w:line="240" w:lineRule="auto"/>
              <w:jc w:val="left"/>
              <w:rPr>
                <w:rFonts w:eastAsia="Calibri"/>
                <w:spacing w:val="-4"/>
                <w:szCs w:val="20"/>
                <w:lang w:eastAsia="en-US"/>
              </w:rPr>
            </w:pPr>
          </w:p>
        </w:tc>
        <w:tc>
          <w:tcPr>
            <w:tcW w:w="7610" w:type="dxa"/>
            <w:hideMark/>
          </w:tcPr>
          <w:p w14:paraId="50F2479C" w14:textId="24831D03" w:rsidR="002B14BE" w:rsidRPr="00995C95" w:rsidRDefault="009A4E7B" w:rsidP="00BC77F6">
            <w:pPr>
              <w:spacing w:after="0"/>
              <w:rPr>
                <w:b/>
                <w:bCs/>
                <w:sz w:val="16"/>
                <w:szCs w:val="16"/>
                <w:lang w:eastAsia="en-US"/>
              </w:rPr>
            </w:pPr>
            <w:r w:rsidRPr="00995C95">
              <w:rPr>
                <w:sz w:val="14"/>
                <w:szCs w:val="14"/>
                <w:lang w:eastAsia="en-US"/>
              </w:rPr>
              <w:t>Source</w:t>
            </w:r>
            <w:r w:rsidR="00C65C22" w:rsidRPr="00995C95">
              <w:rPr>
                <w:sz w:val="14"/>
                <w:szCs w:val="14"/>
                <w:lang w:eastAsia="en-US"/>
              </w:rPr>
              <w:t xml:space="preserve">: ARAD, </w:t>
            </w:r>
            <w:r w:rsidRPr="00995C95">
              <w:rPr>
                <w:sz w:val="14"/>
                <w:szCs w:val="14"/>
                <w:lang w:eastAsia="en-US"/>
              </w:rPr>
              <w:t>C</w:t>
            </w:r>
            <w:r w:rsidR="00C65C22" w:rsidRPr="00995C95">
              <w:rPr>
                <w:sz w:val="14"/>
                <w:szCs w:val="14"/>
                <w:lang w:eastAsia="en-US"/>
              </w:rPr>
              <w:t>NB</w:t>
            </w:r>
          </w:p>
        </w:tc>
      </w:tr>
    </w:tbl>
    <w:p w14:paraId="2143296F" w14:textId="24A80B91" w:rsidR="00A50D73" w:rsidRPr="00356BD3" w:rsidRDefault="00A50D73" w:rsidP="00356BD3">
      <w:pPr>
        <w:spacing w:after="0"/>
        <w:rPr>
          <w:sz w:val="2"/>
          <w:szCs w:val="2"/>
        </w:rPr>
      </w:pPr>
    </w:p>
    <w:sectPr w:rsidR="00A50D73" w:rsidRPr="00356BD3" w:rsidSect="00A65222">
      <w:headerReference w:type="even" r:id="rId12"/>
      <w:headerReference w:type="default" r:id="rId13"/>
      <w:footerReference w:type="even" r:id="rId14"/>
      <w:footerReference w:type="default" r:id="rId15"/>
      <w:pgSz w:w="11906" w:h="16838" w:code="9"/>
      <w:pgMar w:top="1134" w:right="1134" w:bottom="1418" w:left="1134" w:header="680" w:footer="680"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29E78" w14:textId="77777777" w:rsidR="004C2A5B" w:rsidRPr="00995C95" w:rsidRDefault="004C2A5B" w:rsidP="00E71A58">
      <w:r w:rsidRPr="00995C95">
        <w:separator/>
      </w:r>
    </w:p>
  </w:endnote>
  <w:endnote w:type="continuationSeparator" w:id="0">
    <w:p w14:paraId="57303909" w14:textId="77777777" w:rsidR="004C2A5B" w:rsidRPr="00995C95" w:rsidRDefault="004C2A5B" w:rsidP="00E71A58">
      <w:r w:rsidRPr="0099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62E7" w14:textId="0715AFCD"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fldChar w:fldCharType="begin"/>
    </w:r>
    <w:r w:rsidRPr="00995C95">
      <w:rPr>
        <w:noProof w:val="0"/>
        <w:szCs w:val="16"/>
        <w:lang w:val="en-GB"/>
      </w:rPr>
      <w:instrText>PAGE   \* MERGEFORMAT</w:instrText>
    </w:r>
    <w:r w:rsidRPr="00995C95">
      <w:rPr>
        <w:noProof w:val="0"/>
        <w:szCs w:val="16"/>
        <w:lang w:val="en-GB"/>
      </w:rPr>
      <w:fldChar w:fldCharType="separate"/>
    </w:r>
    <w:r w:rsidR="00233D05" w:rsidRPr="00995C95">
      <w:rPr>
        <w:noProof w:val="0"/>
        <w:szCs w:val="16"/>
        <w:lang w:val="en-GB"/>
      </w:rPr>
      <w:t>50</w:t>
    </w:r>
    <w:r w:rsidRPr="00995C95">
      <w:rPr>
        <w:noProof w:val="0"/>
        <w:szCs w:val="16"/>
        <w:lang w:val="en-GB"/>
      </w:rPr>
      <w:fldChar w:fldCharType="end"/>
    </w:r>
    <w:r w:rsidRPr="00995C95">
      <w:rPr>
        <w:noProof w:val="0"/>
        <w:szCs w:val="16"/>
        <w:lang w:val="en-GB"/>
      </w:rPr>
      <w:tab/>
    </w:r>
    <w:r w:rsidR="005A327C" w:rsidRPr="00995C95">
      <w:rPr>
        <w:noProof w:val="0"/>
        <w:szCs w:val="16"/>
        <w:lang w:val="en-GB"/>
      </w:rPr>
      <w:t xml:space="preserve">year </w:t>
    </w:r>
    <w:r w:rsidR="00C5418A" w:rsidRPr="00995C95">
      <w:rPr>
        <w:noProof w:val="0"/>
        <w:szCs w:val="16"/>
        <w:lang w:val="en-GB"/>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360E7FB6" w:rsidR="004C456F" w:rsidRPr="00995C95" w:rsidRDefault="004C456F" w:rsidP="00A418BC">
    <w:pPr>
      <w:pStyle w:val="Zpat"/>
      <w:rPr>
        <w:noProof w:val="0"/>
        <w:szCs w:val="16"/>
        <w:lang w:val="en-GB"/>
      </w:rPr>
    </w:pPr>
    <w:r w:rsidRPr="00995C95">
      <w:rPr>
        <w:szCs w:val="16"/>
        <w:lang w:val="en-GB" w:eastAsia="cs-CZ"/>
      </w:rPr>
      <w:drawing>
        <wp:anchor distT="0" distB="0" distL="114300" distR="114300" simplePos="0" relativeHeight="251658240" behindDoc="0" locked="0" layoutInCell="1" allowOverlap="1" wp14:anchorId="2143298C" wp14:editId="2143298D">
          <wp:simplePos x="0" y="0"/>
          <wp:positionH relativeFrom="column">
            <wp:align>left</wp:align>
          </wp:positionH>
          <wp:positionV relativeFrom="paragraph">
            <wp:posOffset>-122555</wp:posOffset>
          </wp:positionV>
          <wp:extent cx="510540" cy="272415"/>
          <wp:effectExtent l="0" t="0" r="0" b="6985"/>
          <wp:wrapNone/>
          <wp:docPr id="22" name="Picture 16"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C95">
      <w:rPr>
        <w:noProof w:val="0"/>
        <w:szCs w:val="16"/>
        <w:lang w:val="en-GB"/>
      </w:rPr>
      <w:tab/>
    </w:r>
    <w:r w:rsidR="005370C0" w:rsidRPr="00995C95">
      <w:rPr>
        <w:noProof w:val="0"/>
        <w:szCs w:val="16"/>
        <w:lang w:val="en-GB"/>
      </w:rPr>
      <w:t xml:space="preserve">Year </w:t>
    </w:r>
    <w:r w:rsidRPr="00995C95">
      <w:rPr>
        <w:noProof w:val="0"/>
        <w:szCs w:val="16"/>
        <w:lang w:val="en-GB"/>
      </w:rPr>
      <w:t>2025</w:t>
    </w:r>
    <w:r w:rsidRPr="00995C95">
      <w:rPr>
        <w:noProof w:val="0"/>
        <w:szCs w:val="16"/>
        <w:lang w:val="en-GB"/>
      </w:rPr>
      <w:tab/>
    </w:r>
    <w:r w:rsidRPr="00995C95">
      <w:rPr>
        <w:rStyle w:val="ZpatChar"/>
        <w:noProof w:val="0"/>
        <w:szCs w:val="16"/>
        <w:lang w:val="en-GB"/>
      </w:rPr>
      <w:fldChar w:fldCharType="begin"/>
    </w:r>
    <w:r w:rsidRPr="00995C95">
      <w:rPr>
        <w:rStyle w:val="ZpatChar"/>
        <w:noProof w:val="0"/>
        <w:szCs w:val="16"/>
        <w:lang w:val="en-GB"/>
      </w:rPr>
      <w:instrText>PAGE   \* MERGEFORMAT</w:instrText>
    </w:r>
    <w:r w:rsidRPr="00995C95">
      <w:rPr>
        <w:rStyle w:val="ZpatChar"/>
        <w:noProof w:val="0"/>
        <w:szCs w:val="16"/>
        <w:lang w:val="en-GB"/>
      </w:rPr>
      <w:fldChar w:fldCharType="separate"/>
    </w:r>
    <w:r w:rsidR="00233D05" w:rsidRPr="00995C95">
      <w:rPr>
        <w:rStyle w:val="ZpatChar"/>
        <w:noProof w:val="0"/>
        <w:szCs w:val="16"/>
        <w:lang w:val="en-GB"/>
      </w:rPr>
      <w:t>49</w:t>
    </w:r>
    <w:r w:rsidRPr="00995C95">
      <w:rPr>
        <w:rStyle w:val="ZpatChar"/>
        <w:noProof w:val="0"/>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4C41" w14:textId="77777777" w:rsidR="004C2A5B" w:rsidRPr="00995C95" w:rsidRDefault="004C2A5B" w:rsidP="00EA4302">
      <w:pPr>
        <w:spacing w:after="0"/>
      </w:pPr>
      <w:r w:rsidRPr="00995C95">
        <w:separator/>
      </w:r>
    </w:p>
  </w:footnote>
  <w:footnote w:type="continuationSeparator" w:id="0">
    <w:p w14:paraId="1F56A3FF" w14:textId="77777777" w:rsidR="004C2A5B" w:rsidRPr="00995C95" w:rsidRDefault="004C2A5B" w:rsidP="00E71A58">
      <w:r w:rsidRPr="00995C95">
        <w:continuationSeparator/>
      </w:r>
    </w:p>
  </w:footnote>
  <w:footnote w:id="1">
    <w:p w14:paraId="1A7752F2" w14:textId="6CA05A48" w:rsidR="00366248" w:rsidRPr="00995C95" w:rsidRDefault="00366248" w:rsidP="00403226">
      <w:pPr>
        <w:pStyle w:val="Textpoznpodarou"/>
        <w:rPr>
          <w:sz w:val="16"/>
          <w:szCs w:val="16"/>
        </w:rPr>
      </w:pPr>
      <w:r w:rsidRPr="00995C95">
        <w:rPr>
          <w:rStyle w:val="Znakapoznpodarou"/>
          <w:sz w:val="16"/>
          <w:szCs w:val="16"/>
        </w:rPr>
        <w:footnoteRef/>
      </w:r>
      <w:r w:rsidRPr="00995C95">
        <w:rPr>
          <w:sz w:val="16"/>
          <w:szCs w:val="16"/>
        </w:rPr>
        <w:t xml:space="preserve"> </w:t>
      </w:r>
      <w:r w:rsidR="00403226" w:rsidRPr="00995C95">
        <w:rPr>
          <w:sz w:val="16"/>
          <w:szCs w:val="16"/>
        </w:rPr>
        <w:t xml:space="preserve">The </w:t>
      </w:r>
      <w:r w:rsidR="00403226" w:rsidRPr="00995C95">
        <w:rPr>
          <w:i/>
          <w:sz w:val="16"/>
          <w:szCs w:val="16"/>
        </w:rPr>
        <w:t>ARAD</w:t>
      </w:r>
      <w:r w:rsidR="00403226" w:rsidRPr="00995C95">
        <w:rPr>
          <w:sz w:val="16"/>
          <w:szCs w:val="16"/>
        </w:rPr>
        <w:t xml:space="preserve"> database of the Czech National Bank (CNB) is the data source in this chapter. Values of exchange rates are also from the CNB. </w:t>
      </w:r>
    </w:p>
  </w:footnote>
  <w:footnote w:id="2">
    <w:p w14:paraId="5797B372" w14:textId="65C67F87" w:rsidR="00F853CC" w:rsidRPr="00995C95" w:rsidRDefault="00F853CC" w:rsidP="00F853CC">
      <w:pPr>
        <w:pStyle w:val="Textpoznpodarou"/>
        <w:rPr>
          <w:sz w:val="16"/>
          <w:szCs w:val="16"/>
        </w:rPr>
      </w:pPr>
      <w:r w:rsidRPr="00995C95">
        <w:rPr>
          <w:rStyle w:val="Znakapoznpodarou"/>
          <w:sz w:val="16"/>
          <w:szCs w:val="16"/>
        </w:rPr>
        <w:footnoteRef/>
      </w:r>
      <w:r w:rsidRPr="00995C95">
        <w:rPr>
          <w:sz w:val="16"/>
          <w:szCs w:val="16"/>
        </w:rPr>
        <w:t xml:space="preserve"> Unless otherwise stated, the difference between the value as of 31 December 2025 and 30 September 2025 is understood as the change of interest rates.  </w:t>
      </w:r>
    </w:p>
  </w:footnote>
  <w:footnote w:id="3">
    <w:p w14:paraId="5BC330DF" w14:textId="77777777" w:rsidR="00A64380" w:rsidRPr="00995C95" w:rsidRDefault="00A64380" w:rsidP="00A64380">
      <w:pPr>
        <w:pStyle w:val="Textpoznpodarou"/>
        <w:rPr>
          <w:sz w:val="16"/>
          <w:szCs w:val="16"/>
        </w:rPr>
      </w:pPr>
      <w:r w:rsidRPr="00995C95">
        <w:rPr>
          <w:rStyle w:val="Znakapoznpodarou"/>
          <w:sz w:val="16"/>
          <w:szCs w:val="16"/>
        </w:rPr>
        <w:footnoteRef/>
      </w:r>
      <w:r w:rsidRPr="00995C95">
        <w:rPr>
          <w:sz w:val="16"/>
          <w:szCs w:val="16"/>
        </w:rPr>
        <w:t xml:space="preserve"> Population including self-employed persons.</w:t>
      </w:r>
    </w:p>
  </w:footnote>
  <w:footnote w:id="4">
    <w:p w14:paraId="57288B0C" w14:textId="1DF4DA4E" w:rsidR="003A1F60" w:rsidRPr="00995C95" w:rsidRDefault="003A1F60" w:rsidP="005D2579">
      <w:pPr>
        <w:pStyle w:val="Textpoznpodarou"/>
        <w:jc w:val="both"/>
        <w:rPr>
          <w:sz w:val="16"/>
          <w:szCs w:val="16"/>
        </w:rPr>
      </w:pPr>
      <w:r w:rsidRPr="00995C95">
        <w:rPr>
          <w:rStyle w:val="Znakapoznpodarou"/>
          <w:sz w:val="16"/>
          <w:szCs w:val="16"/>
        </w:rPr>
        <w:footnoteRef/>
      </w:r>
      <w:r w:rsidRPr="00995C95">
        <w:rPr>
          <w:sz w:val="16"/>
          <w:szCs w:val="16"/>
        </w:rPr>
        <w:t xml:space="preserve"> </w:t>
      </w:r>
      <w:r w:rsidR="00F468D9" w:rsidRPr="00995C95">
        <w:rPr>
          <w:sz w:val="16"/>
          <w:szCs w:val="16"/>
        </w:rPr>
        <w:t xml:space="preserve">New contracts also include the refinanced credit and other renegotiated loans. Refinanced credit includes current contracts concluded newly at other bank, while other renegotiated loans are current contracts concluded with new conditions at the same bank. </w:t>
      </w:r>
    </w:p>
  </w:footnote>
  <w:footnote w:id="5">
    <w:p w14:paraId="1A58E23E" w14:textId="262946A7" w:rsidR="00CC08A4" w:rsidRPr="00995C95" w:rsidRDefault="00CC08A4" w:rsidP="00DA3F50">
      <w:pPr>
        <w:pStyle w:val="Textpoznpodarou"/>
        <w:rPr>
          <w:sz w:val="16"/>
          <w:szCs w:val="16"/>
        </w:rPr>
      </w:pPr>
      <w:r w:rsidRPr="00995C95">
        <w:rPr>
          <w:rStyle w:val="Znakapoznpodarou"/>
          <w:sz w:val="16"/>
          <w:szCs w:val="16"/>
        </w:rPr>
        <w:footnoteRef/>
      </w:r>
      <w:r w:rsidRPr="00995C95">
        <w:rPr>
          <w:sz w:val="16"/>
          <w:szCs w:val="16"/>
        </w:rPr>
        <w:t xml:space="preserve"> </w:t>
      </w:r>
      <w:r w:rsidR="00D11A3A" w:rsidRPr="00995C95">
        <w:rPr>
          <w:sz w:val="16"/>
          <w:szCs w:val="16"/>
        </w:rPr>
        <w:t>The share began to grow sharply at the turn of 2021 and 2022 and peaked at 52.5% at the end of December 2024.</w:t>
      </w:r>
    </w:p>
  </w:footnote>
  <w:footnote w:id="6">
    <w:p w14:paraId="741AD021" w14:textId="5B128E45" w:rsidR="00034EA1" w:rsidRPr="00995C95" w:rsidRDefault="00034EA1" w:rsidP="006A3D17">
      <w:pPr>
        <w:pStyle w:val="Textpoznpodarou"/>
      </w:pPr>
      <w:r w:rsidRPr="00995C95">
        <w:rPr>
          <w:rStyle w:val="Znakapoznpodarou"/>
          <w:sz w:val="16"/>
          <w:szCs w:val="16"/>
        </w:rPr>
        <w:footnoteRef/>
      </w:r>
      <w:r w:rsidRPr="00995C95">
        <w:rPr>
          <w:sz w:val="16"/>
          <w:szCs w:val="16"/>
        </w:rPr>
        <w:t xml:space="preserve"> </w:t>
      </w:r>
      <w:r w:rsidR="00C7466F" w:rsidRPr="00995C95">
        <w:rPr>
          <w:sz w:val="16"/>
          <w:szCs w:val="16"/>
        </w:rPr>
        <w:t xml:space="preserve">The volume of </w:t>
      </w:r>
      <w:r w:rsidR="00DA3F50" w:rsidRPr="00995C95">
        <w:rPr>
          <w:sz w:val="16"/>
          <w:szCs w:val="16"/>
        </w:rPr>
        <w:t xml:space="preserve">credit </w:t>
      </w:r>
      <w:r w:rsidR="00C7466F" w:rsidRPr="00995C95">
        <w:rPr>
          <w:sz w:val="16"/>
          <w:szCs w:val="16"/>
        </w:rPr>
        <w:t xml:space="preserve">here often fluctuates significantly. The current results were mainly driven by a sharp increase </w:t>
      </w:r>
      <w:r w:rsidR="00DA3F50" w:rsidRPr="00995C95">
        <w:rPr>
          <w:sz w:val="16"/>
          <w:szCs w:val="16"/>
        </w:rPr>
        <w:t xml:space="preserve">of credit </w:t>
      </w:r>
      <w:r w:rsidR="00C7466F" w:rsidRPr="00995C95">
        <w:rPr>
          <w:sz w:val="16"/>
          <w:szCs w:val="16"/>
        </w:rPr>
        <w:t xml:space="preserve">in the </w:t>
      </w:r>
      <w:r w:rsidR="001A5661" w:rsidRPr="00995C95">
        <w:rPr>
          <w:sz w:val="16"/>
          <w:szCs w:val="16"/>
        </w:rPr>
        <w:t xml:space="preserve">branch of </w:t>
      </w:r>
      <w:r w:rsidR="00C7466F" w:rsidRPr="00995C95">
        <w:rPr>
          <w:sz w:val="16"/>
          <w:szCs w:val="16"/>
        </w:rPr>
        <w:t>publishing</w:t>
      </w:r>
      <w:r w:rsidR="001A5661" w:rsidRPr="00995C95">
        <w:rPr>
          <w:sz w:val="16"/>
          <w:szCs w:val="16"/>
        </w:rPr>
        <w:t xml:space="preserve"> acti</w:t>
      </w:r>
      <w:r w:rsidR="006A3D17" w:rsidRPr="00995C95">
        <w:rPr>
          <w:sz w:val="16"/>
          <w:szCs w:val="16"/>
        </w:rPr>
        <w:t>vities</w:t>
      </w:r>
      <w:r w:rsidR="00C7466F" w:rsidRPr="00995C95">
        <w:rPr>
          <w:sz w:val="16"/>
          <w:szCs w:val="16"/>
        </w:rPr>
        <w:t>, programming</w:t>
      </w:r>
      <w:r w:rsidR="006A3D17" w:rsidRPr="00995C95">
        <w:rPr>
          <w:sz w:val="16"/>
          <w:szCs w:val="16"/>
        </w:rPr>
        <w:t xml:space="preserve">, </w:t>
      </w:r>
      <w:r w:rsidR="00C7466F" w:rsidRPr="00995C95">
        <w:rPr>
          <w:sz w:val="16"/>
          <w:szCs w:val="16"/>
        </w:rPr>
        <w:t>broadcasting and information activities</w:t>
      </w:r>
      <w:r w:rsidR="006A3D17" w:rsidRPr="00995C95">
        <w:rPr>
          <w:sz w:val="16"/>
          <w:szCs w:val="16"/>
        </w:rPr>
        <w:t xml:space="preserve">. </w:t>
      </w:r>
      <w:r w:rsidR="00C7466F" w:rsidRPr="00995C95">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1194052D" w:rsidR="004C456F" w:rsidRPr="00995C95" w:rsidRDefault="004B5D8A" w:rsidP="00C27E4F">
    <w:pPr>
      <w:pStyle w:val="Zhlav"/>
      <w:rPr>
        <w:lang w:val="en-GB"/>
      </w:rPr>
    </w:pPr>
    <w:r w:rsidRPr="00995C95">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475889E2" w:rsidR="004C456F" w:rsidRPr="00995C95" w:rsidRDefault="005A327C" w:rsidP="00937AE2">
    <w:pPr>
      <w:pStyle w:val="Zhlav"/>
      <w:rPr>
        <w:lang w:val="en-GB"/>
      </w:rPr>
    </w:pPr>
    <w:r w:rsidRPr="00995C95">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858498FC"/>
    <w:lvl w:ilvl="0" w:tplc="B4A838D0">
      <w:start w:val="1"/>
      <w:numFmt w:val="bullet"/>
      <w:pStyle w:val="Normalodrka"/>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94960533">
    <w:abstractNumId w:val="31"/>
  </w:num>
  <w:num w:numId="2" w16cid:durableId="997685702">
    <w:abstractNumId w:val="8"/>
  </w:num>
  <w:num w:numId="3" w16cid:durableId="2038313518">
    <w:abstractNumId w:val="3"/>
  </w:num>
  <w:num w:numId="4" w16cid:durableId="331031531">
    <w:abstractNumId w:val="2"/>
  </w:num>
  <w:num w:numId="5" w16cid:durableId="1757743337">
    <w:abstractNumId w:val="1"/>
  </w:num>
  <w:num w:numId="6" w16cid:durableId="409816451">
    <w:abstractNumId w:val="0"/>
  </w:num>
  <w:num w:numId="7" w16cid:durableId="1318534121">
    <w:abstractNumId w:val="9"/>
  </w:num>
  <w:num w:numId="8" w16cid:durableId="262305282">
    <w:abstractNumId w:val="7"/>
  </w:num>
  <w:num w:numId="9" w16cid:durableId="136917715">
    <w:abstractNumId w:val="6"/>
  </w:num>
  <w:num w:numId="10" w16cid:durableId="2045862263">
    <w:abstractNumId w:val="5"/>
  </w:num>
  <w:num w:numId="11" w16cid:durableId="191305307">
    <w:abstractNumId w:val="4"/>
  </w:num>
  <w:num w:numId="12" w16cid:durableId="333654438">
    <w:abstractNumId w:val="18"/>
  </w:num>
  <w:num w:numId="13" w16cid:durableId="969557016">
    <w:abstractNumId w:val="34"/>
  </w:num>
  <w:num w:numId="14" w16cid:durableId="607392429">
    <w:abstractNumId w:val="15"/>
  </w:num>
  <w:num w:numId="15" w16cid:durableId="1953782534">
    <w:abstractNumId w:val="24"/>
  </w:num>
  <w:num w:numId="16" w16cid:durableId="2048219208">
    <w:abstractNumId w:val="19"/>
  </w:num>
  <w:num w:numId="17" w16cid:durableId="684745295">
    <w:abstractNumId w:val="35"/>
  </w:num>
  <w:num w:numId="18" w16cid:durableId="1764376373">
    <w:abstractNumId w:val="25"/>
  </w:num>
  <w:num w:numId="19" w16cid:durableId="807280038">
    <w:abstractNumId w:val="38"/>
  </w:num>
  <w:num w:numId="20" w16cid:durableId="1692685976">
    <w:abstractNumId w:val="43"/>
  </w:num>
  <w:num w:numId="21" w16cid:durableId="1978029892">
    <w:abstractNumId w:val="33"/>
  </w:num>
  <w:num w:numId="22" w16cid:durableId="718896653">
    <w:abstractNumId w:val="23"/>
  </w:num>
  <w:num w:numId="23" w16cid:durableId="159078720">
    <w:abstractNumId w:val="21"/>
  </w:num>
  <w:num w:numId="24" w16cid:durableId="1135441192">
    <w:abstractNumId w:val="22"/>
  </w:num>
  <w:num w:numId="25" w16cid:durableId="1815366340">
    <w:abstractNumId w:val="41"/>
  </w:num>
  <w:num w:numId="26" w16cid:durableId="1577863405">
    <w:abstractNumId w:val="42"/>
  </w:num>
  <w:num w:numId="27" w16cid:durableId="223610688">
    <w:abstractNumId w:val="43"/>
  </w:num>
  <w:num w:numId="28" w16cid:durableId="1207061094">
    <w:abstractNumId w:val="13"/>
  </w:num>
  <w:num w:numId="29" w16cid:durableId="1693920833">
    <w:abstractNumId w:val="27"/>
  </w:num>
  <w:num w:numId="30" w16cid:durableId="1876775477">
    <w:abstractNumId w:val="26"/>
  </w:num>
  <w:num w:numId="31" w16cid:durableId="179972127">
    <w:abstractNumId w:val="10"/>
  </w:num>
  <w:num w:numId="32" w16cid:durableId="970136012">
    <w:abstractNumId w:val="28"/>
  </w:num>
  <w:num w:numId="33" w16cid:durableId="1617836376">
    <w:abstractNumId w:val="12"/>
  </w:num>
  <w:num w:numId="34" w16cid:durableId="357007340">
    <w:abstractNumId w:val="45"/>
  </w:num>
  <w:num w:numId="35" w16cid:durableId="2131776467">
    <w:abstractNumId w:val="11"/>
  </w:num>
  <w:num w:numId="36" w16cid:durableId="1776095800">
    <w:abstractNumId w:val="37"/>
  </w:num>
  <w:num w:numId="37" w16cid:durableId="862209000">
    <w:abstractNumId w:val="30"/>
  </w:num>
  <w:num w:numId="38" w16cid:durableId="322010878">
    <w:abstractNumId w:val="29"/>
  </w:num>
  <w:num w:numId="39" w16cid:durableId="1458373311">
    <w:abstractNumId w:val="39"/>
  </w:num>
  <w:num w:numId="40" w16cid:durableId="288441997">
    <w:abstractNumId w:val="44"/>
  </w:num>
  <w:num w:numId="41" w16cid:durableId="952595072">
    <w:abstractNumId w:val="40"/>
  </w:num>
  <w:num w:numId="42" w16cid:durableId="1427652868">
    <w:abstractNumId w:val="32"/>
  </w:num>
  <w:num w:numId="43" w16cid:durableId="1024401835">
    <w:abstractNumId w:val="20"/>
  </w:num>
  <w:num w:numId="44" w16cid:durableId="428089243">
    <w:abstractNumId w:val="14"/>
  </w:num>
  <w:num w:numId="45" w16cid:durableId="82647767">
    <w:abstractNumId w:val="36"/>
  </w:num>
  <w:num w:numId="46" w16cid:durableId="215163427">
    <w:abstractNumId w:val="16"/>
  </w:num>
  <w:num w:numId="47" w16cid:durableId="222064403">
    <w:abstractNumId w:val="43"/>
  </w:num>
  <w:num w:numId="48" w16cid:durableId="1639922006">
    <w:abstractNumId w:val="43"/>
    <w:lvlOverride w:ilvl="0">
      <w:startOverride w:val="1"/>
    </w:lvlOverride>
  </w:num>
  <w:num w:numId="49" w16cid:durableId="1509101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0EDA"/>
    <w:rsid w:val="00001697"/>
    <w:rsid w:val="0000209D"/>
    <w:rsid w:val="0000213A"/>
    <w:rsid w:val="00003077"/>
    <w:rsid w:val="00003202"/>
    <w:rsid w:val="00003C75"/>
    <w:rsid w:val="00004D5A"/>
    <w:rsid w:val="00004FCC"/>
    <w:rsid w:val="000056D5"/>
    <w:rsid w:val="00006ABD"/>
    <w:rsid w:val="00006D53"/>
    <w:rsid w:val="00006E79"/>
    <w:rsid w:val="0000767A"/>
    <w:rsid w:val="00007880"/>
    <w:rsid w:val="000078DF"/>
    <w:rsid w:val="00007F73"/>
    <w:rsid w:val="00010256"/>
    <w:rsid w:val="000103D1"/>
    <w:rsid w:val="00010702"/>
    <w:rsid w:val="00011031"/>
    <w:rsid w:val="00011912"/>
    <w:rsid w:val="00011959"/>
    <w:rsid w:val="00011B41"/>
    <w:rsid w:val="00011F39"/>
    <w:rsid w:val="00012FA5"/>
    <w:rsid w:val="00014E03"/>
    <w:rsid w:val="00015B3B"/>
    <w:rsid w:val="00015B45"/>
    <w:rsid w:val="000169A6"/>
    <w:rsid w:val="00017058"/>
    <w:rsid w:val="00017134"/>
    <w:rsid w:val="0001750B"/>
    <w:rsid w:val="00020C46"/>
    <w:rsid w:val="0002195D"/>
    <w:rsid w:val="00022C67"/>
    <w:rsid w:val="000234D6"/>
    <w:rsid w:val="00023D29"/>
    <w:rsid w:val="00026006"/>
    <w:rsid w:val="00026389"/>
    <w:rsid w:val="00027613"/>
    <w:rsid w:val="0003024B"/>
    <w:rsid w:val="00031A7B"/>
    <w:rsid w:val="00031AE0"/>
    <w:rsid w:val="00031BBA"/>
    <w:rsid w:val="00031DF3"/>
    <w:rsid w:val="000322EF"/>
    <w:rsid w:val="0003364D"/>
    <w:rsid w:val="00033FCD"/>
    <w:rsid w:val="000347D3"/>
    <w:rsid w:val="00034ACC"/>
    <w:rsid w:val="00034B0E"/>
    <w:rsid w:val="00034EA1"/>
    <w:rsid w:val="000352CE"/>
    <w:rsid w:val="000354CD"/>
    <w:rsid w:val="00035561"/>
    <w:rsid w:val="000358AF"/>
    <w:rsid w:val="000359B2"/>
    <w:rsid w:val="00036A9B"/>
    <w:rsid w:val="00040211"/>
    <w:rsid w:val="0004072B"/>
    <w:rsid w:val="00040D10"/>
    <w:rsid w:val="00041AA3"/>
    <w:rsid w:val="00041CEC"/>
    <w:rsid w:val="00042534"/>
    <w:rsid w:val="000436F5"/>
    <w:rsid w:val="0004427A"/>
    <w:rsid w:val="0004694F"/>
    <w:rsid w:val="00046C77"/>
    <w:rsid w:val="00047175"/>
    <w:rsid w:val="00047A93"/>
    <w:rsid w:val="00050173"/>
    <w:rsid w:val="000501B2"/>
    <w:rsid w:val="0005137A"/>
    <w:rsid w:val="0005142D"/>
    <w:rsid w:val="000522E4"/>
    <w:rsid w:val="0005235B"/>
    <w:rsid w:val="0005414D"/>
    <w:rsid w:val="00054EA4"/>
    <w:rsid w:val="000554BE"/>
    <w:rsid w:val="00055507"/>
    <w:rsid w:val="000572CC"/>
    <w:rsid w:val="000573B7"/>
    <w:rsid w:val="000578C1"/>
    <w:rsid w:val="00057D7B"/>
    <w:rsid w:val="00060AD9"/>
    <w:rsid w:val="00060D9D"/>
    <w:rsid w:val="000610D5"/>
    <w:rsid w:val="000610E1"/>
    <w:rsid w:val="00061107"/>
    <w:rsid w:val="0006166D"/>
    <w:rsid w:val="00062177"/>
    <w:rsid w:val="000626A9"/>
    <w:rsid w:val="00062EC5"/>
    <w:rsid w:val="00062F22"/>
    <w:rsid w:val="00064C17"/>
    <w:rsid w:val="00064C43"/>
    <w:rsid w:val="000673C2"/>
    <w:rsid w:val="000675C7"/>
    <w:rsid w:val="00071146"/>
    <w:rsid w:val="000712B3"/>
    <w:rsid w:val="00071381"/>
    <w:rsid w:val="00072597"/>
    <w:rsid w:val="00072C02"/>
    <w:rsid w:val="00072E8F"/>
    <w:rsid w:val="0007329F"/>
    <w:rsid w:val="00073A4E"/>
    <w:rsid w:val="00073FF8"/>
    <w:rsid w:val="0007457A"/>
    <w:rsid w:val="00074635"/>
    <w:rsid w:val="00074AC2"/>
    <w:rsid w:val="000752CE"/>
    <w:rsid w:val="000816AF"/>
    <w:rsid w:val="0008263E"/>
    <w:rsid w:val="000829B1"/>
    <w:rsid w:val="00082C19"/>
    <w:rsid w:val="00083CB1"/>
    <w:rsid w:val="0008426E"/>
    <w:rsid w:val="00084944"/>
    <w:rsid w:val="00085365"/>
    <w:rsid w:val="00085395"/>
    <w:rsid w:val="00085440"/>
    <w:rsid w:val="000864D8"/>
    <w:rsid w:val="00086848"/>
    <w:rsid w:val="00086C49"/>
    <w:rsid w:val="00087634"/>
    <w:rsid w:val="00087F2B"/>
    <w:rsid w:val="0009044A"/>
    <w:rsid w:val="00090C90"/>
    <w:rsid w:val="000912CC"/>
    <w:rsid w:val="000913C1"/>
    <w:rsid w:val="00092201"/>
    <w:rsid w:val="0009317A"/>
    <w:rsid w:val="0009372A"/>
    <w:rsid w:val="00094112"/>
    <w:rsid w:val="00095135"/>
    <w:rsid w:val="00095C4D"/>
    <w:rsid w:val="000968F4"/>
    <w:rsid w:val="000974D1"/>
    <w:rsid w:val="00097972"/>
    <w:rsid w:val="0009799E"/>
    <w:rsid w:val="000A01AA"/>
    <w:rsid w:val="000A0D06"/>
    <w:rsid w:val="000A1183"/>
    <w:rsid w:val="000A17AA"/>
    <w:rsid w:val="000A1AC6"/>
    <w:rsid w:val="000A256D"/>
    <w:rsid w:val="000A25B3"/>
    <w:rsid w:val="000A25BD"/>
    <w:rsid w:val="000A395A"/>
    <w:rsid w:val="000A3A2C"/>
    <w:rsid w:val="000A3BA8"/>
    <w:rsid w:val="000A3F17"/>
    <w:rsid w:val="000A48F6"/>
    <w:rsid w:val="000A4AFE"/>
    <w:rsid w:val="000A4C10"/>
    <w:rsid w:val="000A5017"/>
    <w:rsid w:val="000A5265"/>
    <w:rsid w:val="000A57D4"/>
    <w:rsid w:val="000A66B9"/>
    <w:rsid w:val="000A7275"/>
    <w:rsid w:val="000A7D27"/>
    <w:rsid w:val="000B1F8C"/>
    <w:rsid w:val="000B2870"/>
    <w:rsid w:val="000B2CB2"/>
    <w:rsid w:val="000B3563"/>
    <w:rsid w:val="000B3CE2"/>
    <w:rsid w:val="000B44D1"/>
    <w:rsid w:val="000B48DB"/>
    <w:rsid w:val="000B772A"/>
    <w:rsid w:val="000B7C8D"/>
    <w:rsid w:val="000C004E"/>
    <w:rsid w:val="000C28DE"/>
    <w:rsid w:val="000C2CF1"/>
    <w:rsid w:val="000C3408"/>
    <w:rsid w:val="000C5923"/>
    <w:rsid w:val="000C6AFD"/>
    <w:rsid w:val="000C7C6F"/>
    <w:rsid w:val="000D0B52"/>
    <w:rsid w:val="000D1B52"/>
    <w:rsid w:val="000D21E0"/>
    <w:rsid w:val="000D248B"/>
    <w:rsid w:val="000D3CE8"/>
    <w:rsid w:val="000D3DFB"/>
    <w:rsid w:val="000D3FEF"/>
    <w:rsid w:val="000D4139"/>
    <w:rsid w:val="000D49C6"/>
    <w:rsid w:val="000D50C8"/>
    <w:rsid w:val="000D5637"/>
    <w:rsid w:val="000E0655"/>
    <w:rsid w:val="000E0B09"/>
    <w:rsid w:val="000E15EA"/>
    <w:rsid w:val="000E1BD5"/>
    <w:rsid w:val="000E22F0"/>
    <w:rsid w:val="000E4A05"/>
    <w:rsid w:val="000E4DFB"/>
    <w:rsid w:val="000E5ADB"/>
    <w:rsid w:val="000E5E94"/>
    <w:rsid w:val="000E6FBD"/>
    <w:rsid w:val="000E722B"/>
    <w:rsid w:val="000F0563"/>
    <w:rsid w:val="000F072B"/>
    <w:rsid w:val="000F17BE"/>
    <w:rsid w:val="000F2DBC"/>
    <w:rsid w:val="000F49A9"/>
    <w:rsid w:val="000F5540"/>
    <w:rsid w:val="000F563A"/>
    <w:rsid w:val="000F63BA"/>
    <w:rsid w:val="000F7A6C"/>
    <w:rsid w:val="00100F5C"/>
    <w:rsid w:val="0010109F"/>
    <w:rsid w:val="001015F8"/>
    <w:rsid w:val="0010181E"/>
    <w:rsid w:val="00101CDA"/>
    <w:rsid w:val="00101E8C"/>
    <w:rsid w:val="00102C41"/>
    <w:rsid w:val="00102C8C"/>
    <w:rsid w:val="00104C4C"/>
    <w:rsid w:val="00105BEE"/>
    <w:rsid w:val="0010768F"/>
    <w:rsid w:val="00107F50"/>
    <w:rsid w:val="00110148"/>
    <w:rsid w:val="001102E1"/>
    <w:rsid w:val="00110840"/>
    <w:rsid w:val="00111F6C"/>
    <w:rsid w:val="00112002"/>
    <w:rsid w:val="0011216E"/>
    <w:rsid w:val="00113333"/>
    <w:rsid w:val="00113951"/>
    <w:rsid w:val="00114E34"/>
    <w:rsid w:val="00115BC3"/>
    <w:rsid w:val="00115FDB"/>
    <w:rsid w:val="001162C6"/>
    <w:rsid w:val="001172EE"/>
    <w:rsid w:val="00117365"/>
    <w:rsid w:val="00117623"/>
    <w:rsid w:val="00117774"/>
    <w:rsid w:val="00117E12"/>
    <w:rsid w:val="0012096D"/>
    <w:rsid w:val="0012192F"/>
    <w:rsid w:val="00122351"/>
    <w:rsid w:val="0012244B"/>
    <w:rsid w:val="001224E5"/>
    <w:rsid w:val="001226D4"/>
    <w:rsid w:val="0012354A"/>
    <w:rsid w:val="00124940"/>
    <w:rsid w:val="0012541F"/>
    <w:rsid w:val="001257AD"/>
    <w:rsid w:val="00125D69"/>
    <w:rsid w:val="00125DCF"/>
    <w:rsid w:val="00125E96"/>
    <w:rsid w:val="0012727F"/>
    <w:rsid w:val="00127CCE"/>
    <w:rsid w:val="00131BA6"/>
    <w:rsid w:val="00132022"/>
    <w:rsid w:val="001321B1"/>
    <w:rsid w:val="00133D19"/>
    <w:rsid w:val="00134AC4"/>
    <w:rsid w:val="001352AD"/>
    <w:rsid w:val="00136221"/>
    <w:rsid w:val="00137BBA"/>
    <w:rsid w:val="001400C5"/>
    <w:rsid w:val="001405FA"/>
    <w:rsid w:val="00141374"/>
    <w:rsid w:val="00142254"/>
    <w:rsid w:val="001425AB"/>
    <w:rsid w:val="001425C3"/>
    <w:rsid w:val="00142940"/>
    <w:rsid w:val="00143E21"/>
    <w:rsid w:val="001448C5"/>
    <w:rsid w:val="0014513A"/>
    <w:rsid w:val="00145BAE"/>
    <w:rsid w:val="001476BD"/>
    <w:rsid w:val="0014793D"/>
    <w:rsid w:val="001501ED"/>
    <w:rsid w:val="00150C2C"/>
    <w:rsid w:val="00151145"/>
    <w:rsid w:val="00151983"/>
    <w:rsid w:val="00151BE2"/>
    <w:rsid w:val="00153A07"/>
    <w:rsid w:val="00153D91"/>
    <w:rsid w:val="00153F2C"/>
    <w:rsid w:val="001543B3"/>
    <w:rsid w:val="00154F9D"/>
    <w:rsid w:val="00156585"/>
    <w:rsid w:val="00161101"/>
    <w:rsid w:val="001612F4"/>
    <w:rsid w:val="00161AB8"/>
    <w:rsid w:val="0016256B"/>
    <w:rsid w:val="001625B5"/>
    <w:rsid w:val="00163793"/>
    <w:rsid w:val="001655A3"/>
    <w:rsid w:val="00165ED3"/>
    <w:rsid w:val="0016649F"/>
    <w:rsid w:val="00170621"/>
    <w:rsid w:val="001706D6"/>
    <w:rsid w:val="001709D9"/>
    <w:rsid w:val="001714F2"/>
    <w:rsid w:val="00172E03"/>
    <w:rsid w:val="00173DC2"/>
    <w:rsid w:val="00174B88"/>
    <w:rsid w:val="00175B9F"/>
    <w:rsid w:val="00175C9E"/>
    <w:rsid w:val="001777BA"/>
    <w:rsid w:val="00180341"/>
    <w:rsid w:val="00180CF9"/>
    <w:rsid w:val="00181BBC"/>
    <w:rsid w:val="00181C33"/>
    <w:rsid w:val="00182925"/>
    <w:rsid w:val="00182C10"/>
    <w:rsid w:val="001837AD"/>
    <w:rsid w:val="0018462C"/>
    <w:rsid w:val="001846F9"/>
    <w:rsid w:val="00184B08"/>
    <w:rsid w:val="00185010"/>
    <w:rsid w:val="001858D3"/>
    <w:rsid w:val="001866B1"/>
    <w:rsid w:val="00187611"/>
    <w:rsid w:val="0019075C"/>
    <w:rsid w:val="00190A93"/>
    <w:rsid w:val="00190F19"/>
    <w:rsid w:val="0019143B"/>
    <w:rsid w:val="00192144"/>
    <w:rsid w:val="00192938"/>
    <w:rsid w:val="0019310E"/>
    <w:rsid w:val="001936A2"/>
    <w:rsid w:val="00193925"/>
    <w:rsid w:val="00193D2D"/>
    <w:rsid w:val="00193E13"/>
    <w:rsid w:val="00195AF7"/>
    <w:rsid w:val="0019688F"/>
    <w:rsid w:val="0019702D"/>
    <w:rsid w:val="001A0044"/>
    <w:rsid w:val="001A0487"/>
    <w:rsid w:val="001A108E"/>
    <w:rsid w:val="001A14D3"/>
    <w:rsid w:val="001A1C28"/>
    <w:rsid w:val="001A2B9D"/>
    <w:rsid w:val="001A2EA4"/>
    <w:rsid w:val="001A451A"/>
    <w:rsid w:val="001A4CA3"/>
    <w:rsid w:val="001A4D40"/>
    <w:rsid w:val="001A4F13"/>
    <w:rsid w:val="001A50CE"/>
    <w:rsid w:val="001A552F"/>
    <w:rsid w:val="001A5661"/>
    <w:rsid w:val="001A5B6F"/>
    <w:rsid w:val="001A6170"/>
    <w:rsid w:val="001A7280"/>
    <w:rsid w:val="001B0A39"/>
    <w:rsid w:val="001B1DB9"/>
    <w:rsid w:val="001B2C41"/>
    <w:rsid w:val="001B2CA9"/>
    <w:rsid w:val="001B3110"/>
    <w:rsid w:val="001B4218"/>
    <w:rsid w:val="001B4729"/>
    <w:rsid w:val="001B478D"/>
    <w:rsid w:val="001B4A9B"/>
    <w:rsid w:val="001B4E69"/>
    <w:rsid w:val="001B6310"/>
    <w:rsid w:val="001B66CB"/>
    <w:rsid w:val="001B6C09"/>
    <w:rsid w:val="001B73E6"/>
    <w:rsid w:val="001B7DE2"/>
    <w:rsid w:val="001C05CD"/>
    <w:rsid w:val="001C3924"/>
    <w:rsid w:val="001C598A"/>
    <w:rsid w:val="001C7433"/>
    <w:rsid w:val="001D01AD"/>
    <w:rsid w:val="001D0236"/>
    <w:rsid w:val="001D0F00"/>
    <w:rsid w:val="001D1815"/>
    <w:rsid w:val="001D1940"/>
    <w:rsid w:val="001D2CEA"/>
    <w:rsid w:val="001D2D03"/>
    <w:rsid w:val="001D40D7"/>
    <w:rsid w:val="001D48D4"/>
    <w:rsid w:val="001D4D6E"/>
    <w:rsid w:val="001D5E6D"/>
    <w:rsid w:val="001D5F9D"/>
    <w:rsid w:val="001D6600"/>
    <w:rsid w:val="001D68B2"/>
    <w:rsid w:val="001D68CA"/>
    <w:rsid w:val="001D7AC6"/>
    <w:rsid w:val="001E15C5"/>
    <w:rsid w:val="001E1BCD"/>
    <w:rsid w:val="001E1C2E"/>
    <w:rsid w:val="001E44B5"/>
    <w:rsid w:val="001E504C"/>
    <w:rsid w:val="001E57ED"/>
    <w:rsid w:val="001E5850"/>
    <w:rsid w:val="001E6062"/>
    <w:rsid w:val="001E6753"/>
    <w:rsid w:val="001E6E34"/>
    <w:rsid w:val="001E709A"/>
    <w:rsid w:val="001E7497"/>
    <w:rsid w:val="001E79C3"/>
    <w:rsid w:val="001F024D"/>
    <w:rsid w:val="001F2170"/>
    <w:rsid w:val="001F2CDE"/>
    <w:rsid w:val="001F32ED"/>
    <w:rsid w:val="001F3BFD"/>
    <w:rsid w:val="001F3E67"/>
    <w:rsid w:val="001F4041"/>
    <w:rsid w:val="001F4597"/>
    <w:rsid w:val="001F591A"/>
    <w:rsid w:val="001F5D9A"/>
    <w:rsid w:val="001F775B"/>
    <w:rsid w:val="00202226"/>
    <w:rsid w:val="00203DA4"/>
    <w:rsid w:val="002047E2"/>
    <w:rsid w:val="00205104"/>
    <w:rsid w:val="002067A6"/>
    <w:rsid w:val="0020733A"/>
    <w:rsid w:val="00207871"/>
    <w:rsid w:val="00210502"/>
    <w:rsid w:val="002118B9"/>
    <w:rsid w:val="00213515"/>
    <w:rsid w:val="002137D3"/>
    <w:rsid w:val="00213E46"/>
    <w:rsid w:val="00214ABA"/>
    <w:rsid w:val="00214CF7"/>
    <w:rsid w:val="00214D9F"/>
    <w:rsid w:val="002152E4"/>
    <w:rsid w:val="00215CD1"/>
    <w:rsid w:val="00215DC5"/>
    <w:rsid w:val="00216255"/>
    <w:rsid w:val="00216286"/>
    <w:rsid w:val="00216A01"/>
    <w:rsid w:val="002175EA"/>
    <w:rsid w:val="00217676"/>
    <w:rsid w:val="002178DF"/>
    <w:rsid w:val="00217C5B"/>
    <w:rsid w:val="00217CF4"/>
    <w:rsid w:val="002208ED"/>
    <w:rsid w:val="0022139E"/>
    <w:rsid w:val="00221F4F"/>
    <w:rsid w:val="00222729"/>
    <w:rsid w:val="00222833"/>
    <w:rsid w:val="00222EF2"/>
    <w:rsid w:val="002232AB"/>
    <w:rsid w:val="002238B5"/>
    <w:rsid w:val="00223BF5"/>
    <w:rsid w:val="00225218"/>
    <w:rsid w:val="002252E0"/>
    <w:rsid w:val="002255F6"/>
    <w:rsid w:val="00226A43"/>
    <w:rsid w:val="00227850"/>
    <w:rsid w:val="00227A53"/>
    <w:rsid w:val="00227DA6"/>
    <w:rsid w:val="0023038D"/>
    <w:rsid w:val="00230682"/>
    <w:rsid w:val="00230A96"/>
    <w:rsid w:val="00230C6E"/>
    <w:rsid w:val="00230D06"/>
    <w:rsid w:val="002317B3"/>
    <w:rsid w:val="00233052"/>
    <w:rsid w:val="00233546"/>
    <w:rsid w:val="00233CD7"/>
    <w:rsid w:val="00233D05"/>
    <w:rsid w:val="002341E2"/>
    <w:rsid w:val="00235014"/>
    <w:rsid w:val="00235BFD"/>
    <w:rsid w:val="00235CCD"/>
    <w:rsid w:val="00236443"/>
    <w:rsid w:val="0023665A"/>
    <w:rsid w:val="00237B95"/>
    <w:rsid w:val="002411EA"/>
    <w:rsid w:val="00241328"/>
    <w:rsid w:val="0024148B"/>
    <w:rsid w:val="00241B06"/>
    <w:rsid w:val="00242119"/>
    <w:rsid w:val="002421C4"/>
    <w:rsid w:val="00242C10"/>
    <w:rsid w:val="00242CF0"/>
    <w:rsid w:val="002436BA"/>
    <w:rsid w:val="00244A15"/>
    <w:rsid w:val="00245617"/>
    <w:rsid w:val="0024611B"/>
    <w:rsid w:val="0024661A"/>
    <w:rsid w:val="00247319"/>
    <w:rsid w:val="0024741D"/>
    <w:rsid w:val="0024799E"/>
    <w:rsid w:val="00247EE7"/>
    <w:rsid w:val="00251928"/>
    <w:rsid w:val="00252475"/>
    <w:rsid w:val="0025270B"/>
    <w:rsid w:val="00252D48"/>
    <w:rsid w:val="00253C0F"/>
    <w:rsid w:val="00254181"/>
    <w:rsid w:val="002543D7"/>
    <w:rsid w:val="002551A3"/>
    <w:rsid w:val="002558C1"/>
    <w:rsid w:val="00255985"/>
    <w:rsid w:val="00255B30"/>
    <w:rsid w:val="0025735B"/>
    <w:rsid w:val="00260149"/>
    <w:rsid w:val="00260303"/>
    <w:rsid w:val="0026031E"/>
    <w:rsid w:val="0026033E"/>
    <w:rsid w:val="002610E9"/>
    <w:rsid w:val="00261A17"/>
    <w:rsid w:val="00263FDC"/>
    <w:rsid w:val="00264251"/>
    <w:rsid w:val="00264E5F"/>
    <w:rsid w:val="00264F47"/>
    <w:rsid w:val="002659AC"/>
    <w:rsid w:val="00265F50"/>
    <w:rsid w:val="00267033"/>
    <w:rsid w:val="00267B71"/>
    <w:rsid w:val="00270752"/>
    <w:rsid w:val="0027099B"/>
    <w:rsid w:val="002710E9"/>
    <w:rsid w:val="00271465"/>
    <w:rsid w:val="00272844"/>
    <w:rsid w:val="0027398A"/>
    <w:rsid w:val="002740D8"/>
    <w:rsid w:val="00275385"/>
    <w:rsid w:val="00275657"/>
    <w:rsid w:val="002763D6"/>
    <w:rsid w:val="0027724A"/>
    <w:rsid w:val="00280386"/>
    <w:rsid w:val="00280B2A"/>
    <w:rsid w:val="00281666"/>
    <w:rsid w:val="00281DE0"/>
    <w:rsid w:val="00281FB2"/>
    <w:rsid w:val="0028207A"/>
    <w:rsid w:val="00282918"/>
    <w:rsid w:val="00283600"/>
    <w:rsid w:val="00283DE9"/>
    <w:rsid w:val="00283DF4"/>
    <w:rsid w:val="00284145"/>
    <w:rsid w:val="00284D28"/>
    <w:rsid w:val="00285412"/>
    <w:rsid w:val="00285868"/>
    <w:rsid w:val="002864B9"/>
    <w:rsid w:val="002866A1"/>
    <w:rsid w:val="002867D8"/>
    <w:rsid w:val="002869B8"/>
    <w:rsid w:val="00290725"/>
    <w:rsid w:val="00291407"/>
    <w:rsid w:val="00291640"/>
    <w:rsid w:val="00292339"/>
    <w:rsid w:val="00292B59"/>
    <w:rsid w:val="00292D62"/>
    <w:rsid w:val="002931F2"/>
    <w:rsid w:val="00293DCB"/>
    <w:rsid w:val="00294BE5"/>
    <w:rsid w:val="0029568F"/>
    <w:rsid w:val="00295A5D"/>
    <w:rsid w:val="0029663C"/>
    <w:rsid w:val="00296B21"/>
    <w:rsid w:val="00297ECA"/>
    <w:rsid w:val="00297F7D"/>
    <w:rsid w:val="002A02D5"/>
    <w:rsid w:val="002A1407"/>
    <w:rsid w:val="002A16D4"/>
    <w:rsid w:val="002A230C"/>
    <w:rsid w:val="002A23FD"/>
    <w:rsid w:val="002A28FC"/>
    <w:rsid w:val="002A3DA7"/>
    <w:rsid w:val="002A5287"/>
    <w:rsid w:val="002A53C9"/>
    <w:rsid w:val="002A56A6"/>
    <w:rsid w:val="002A59D2"/>
    <w:rsid w:val="002A6268"/>
    <w:rsid w:val="002A66B0"/>
    <w:rsid w:val="002A73AC"/>
    <w:rsid w:val="002B14BE"/>
    <w:rsid w:val="002B2299"/>
    <w:rsid w:val="002B333E"/>
    <w:rsid w:val="002B478A"/>
    <w:rsid w:val="002B4845"/>
    <w:rsid w:val="002B48B4"/>
    <w:rsid w:val="002B518C"/>
    <w:rsid w:val="002B5326"/>
    <w:rsid w:val="002B62BB"/>
    <w:rsid w:val="002B7440"/>
    <w:rsid w:val="002C1025"/>
    <w:rsid w:val="002C2029"/>
    <w:rsid w:val="002C2899"/>
    <w:rsid w:val="002C2FE9"/>
    <w:rsid w:val="002C3E22"/>
    <w:rsid w:val="002C43BD"/>
    <w:rsid w:val="002C4587"/>
    <w:rsid w:val="002C4700"/>
    <w:rsid w:val="002C4B4F"/>
    <w:rsid w:val="002C4DD7"/>
    <w:rsid w:val="002C5568"/>
    <w:rsid w:val="002C55E4"/>
    <w:rsid w:val="002C59FD"/>
    <w:rsid w:val="002C5B9A"/>
    <w:rsid w:val="002C6E0A"/>
    <w:rsid w:val="002D0E59"/>
    <w:rsid w:val="002E02A1"/>
    <w:rsid w:val="002E273D"/>
    <w:rsid w:val="002E30BE"/>
    <w:rsid w:val="002E3BE7"/>
    <w:rsid w:val="002E42AC"/>
    <w:rsid w:val="002E4E4C"/>
    <w:rsid w:val="002E5FE3"/>
    <w:rsid w:val="002E6A7F"/>
    <w:rsid w:val="002F0BC1"/>
    <w:rsid w:val="002F1ABE"/>
    <w:rsid w:val="002F1BA0"/>
    <w:rsid w:val="002F266A"/>
    <w:rsid w:val="002F3A5E"/>
    <w:rsid w:val="002F3E4F"/>
    <w:rsid w:val="002F47DD"/>
    <w:rsid w:val="002F48F7"/>
    <w:rsid w:val="002F564C"/>
    <w:rsid w:val="002F5C7F"/>
    <w:rsid w:val="002F6A3C"/>
    <w:rsid w:val="002F6BE3"/>
    <w:rsid w:val="002F787D"/>
    <w:rsid w:val="003000D7"/>
    <w:rsid w:val="00300927"/>
    <w:rsid w:val="00300F53"/>
    <w:rsid w:val="00302ADD"/>
    <w:rsid w:val="00304771"/>
    <w:rsid w:val="0030495D"/>
    <w:rsid w:val="003052D4"/>
    <w:rsid w:val="00306C5B"/>
    <w:rsid w:val="00307B34"/>
    <w:rsid w:val="003103E0"/>
    <w:rsid w:val="003107EA"/>
    <w:rsid w:val="00310A58"/>
    <w:rsid w:val="003113A6"/>
    <w:rsid w:val="0031173F"/>
    <w:rsid w:val="0031233C"/>
    <w:rsid w:val="0031241D"/>
    <w:rsid w:val="00313263"/>
    <w:rsid w:val="003145B3"/>
    <w:rsid w:val="00314BBE"/>
    <w:rsid w:val="00314F9F"/>
    <w:rsid w:val="00315C01"/>
    <w:rsid w:val="00315E9B"/>
    <w:rsid w:val="003162C5"/>
    <w:rsid w:val="00316DC1"/>
    <w:rsid w:val="0031748E"/>
    <w:rsid w:val="0032050F"/>
    <w:rsid w:val="003209D6"/>
    <w:rsid w:val="00320A06"/>
    <w:rsid w:val="00321205"/>
    <w:rsid w:val="00321924"/>
    <w:rsid w:val="00322F9E"/>
    <w:rsid w:val="00323353"/>
    <w:rsid w:val="00324442"/>
    <w:rsid w:val="0032656E"/>
    <w:rsid w:val="00327467"/>
    <w:rsid w:val="00327D4E"/>
    <w:rsid w:val="00331BDC"/>
    <w:rsid w:val="00331C10"/>
    <w:rsid w:val="00332190"/>
    <w:rsid w:val="003321C3"/>
    <w:rsid w:val="00332D84"/>
    <w:rsid w:val="00333289"/>
    <w:rsid w:val="00333A75"/>
    <w:rsid w:val="00334A3A"/>
    <w:rsid w:val="00334E68"/>
    <w:rsid w:val="003352EB"/>
    <w:rsid w:val="003355FA"/>
    <w:rsid w:val="00336EF5"/>
    <w:rsid w:val="00336FC2"/>
    <w:rsid w:val="00340188"/>
    <w:rsid w:val="00340586"/>
    <w:rsid w:val="00341625"/>
    <w:rsid w:val="00341824"/>
    <w:rsid w:val="003421E1"/>
    <w:rsid w:val="0034226A"/>
    <w:rsid w:val="00343182"/>
    <w:rsid w:val="0034335E"/>
    <w:rsid w:val="00343FA5"/>
    <w:rsid w:val="00344092"/>
    <w:rsid w:val="00344668"/>
    <w:rsid w:val="0034540D"/>
    <w:rsid w:val="0034571B"/>
    <w:rsid w:val="003462D9"/>
    <w:rsid w:val="0034749A"/>
    <w:rsid w:val="00347B3C"/>
    <w:rsid w:val="00347F45"/>
    <w:rsid w:val="00350895"/>
    <w:rsid w:val="00350FEA"/>
    <w:rsid w:val="0035253A"/>
    <w:rsid w:val="00352FFD"/>
    <w:rsid w:val="00353044"/>
    <w:rsid w:val="00354DEC"/>
    <w:rsid w:val="00355256"/>
    <w:rsid w:val="00356287"/>
    <w:rsid w:val="00356723"/>
    <w:rsid w:val="00356BD3"/>
    <w:rsid w:val="00360C86"/>
    <w:rsid w:val="00360FBC"/>
    <w:rsid w:val="00361951"/>
    <w:rsid w:val="003619E4"/>
    <w:rsid w:val="00362133"/>
    <w:rsid w:val="00362328"/>
    <w:rsid w:val="00362DEB"/>
    <w:rsid w:val="00362E90"/>
    <w:rsid w:val="0036408E"/>
    <w:rsid w:val="003646EA"/>
    <w:rsid w:val="00364728"/>
    <w:rsid w:val="00364875"/>
    <w:rsid w:val="00364FA0"/>
    <w:rsid w:val="00365420"/>
    <w:rsid w:val="003656AF"/>
    <w:rsid w:val="003657F3"/>
    <w:rsid w:val="0036587E"/>
    <w:rsid w:val="00366248"/>
    <w:rsid w:val="00366591"/>
    <w:rsid w:val="00366EA0"/>
    <w:rsid w:val="00370268"/>
    <w:rsid w:val="00370EDF"/>
    <w:rsid w:val="00371826"/>
    <w:rsid w:val="00373504"/>
    <w:rsid w:val="003738E1"/>
    <w:rsid w:val="00373E47"/>
    <w:rsid w:val="003740E7"/>
    <w:rsid w:val="00374FEF"/>
    <w:rsid w:val="003751D1"/>
    <w:rsid w:val="003766F8"/>
    <w:rsid w:val="00376778"/>
    <w:rsid w:val="00377162"/>
    <w:rsid w:val="00377C0F"/>
    <w:rsid w:val="0038123E"/>
    <w:rsid w:val="003818DC"/>
    <w:rsid w:val="00382C5B"/>
    <w:rsid w:val="00383708"/>
    <w:rsid w:val="00384327"/>
    <w:rsid w:val="0038561B"/>
    <w:rsid w:val="00385D98"/>
    <w:rsid w:val="003873D1"/>
    <w:rsid w:val="003877E5"/>
    <w:rsid w:val="00390517"/>
    <w:rsid w:val="00390833"/>
    <w:rsid w:val="00391ACF"/>
    <w:rsid w:val="00391B12"/>
    <w:rsid w:val="00392FB5"/>
    <w:rsid w:val="0039595A"/>
    <w:rsid w:val="003A0393"/>
    <w:rsid w:val="003A1A03"/>
    <w:rsid w:val="003A1F60"/>
    <w:rsid w:val="003A2B4D"/>
    <w:rsid w:val="003A2B5E"/>
    <w:rsid w:val="003A2D12"/>
    <w:rsid w:val="003A478C"/>
    <w:rsid w:val="003A5525"/>
    <w:rsid w:val="003A5529"/>
    <w:rsid w:val="003A6626"/>
    <w:rsid w:val="003A6B38"/>
    <w:rsid w:val="003A7362"/>
    <w:rsid w:val="003A7C49"/>
    <w:rsid w:val="003B00FF"/>
    <w:rsid w:val="003B07B3"/>
    <w:rsid w:val="003B0A0F"/>
    <w:rsid w:val="003B1C54"/>
    <w:rsid w:val="003B224C"/>
    <w:rsid w:val="003B3AFF"/>
    <w:rsid w:val="003B461F"/>
    <w:rsid w:val="003B54A6"/>
    <w:rsid w:val="003B5A32"/>
    <w:rsid w:val="003B5F52"/>
    <w:rsid w:val="003B6097"/>
    <w:rsid w:val="003B6309"/>
    <w:rsid w:val="003B6B31"/>
    <w:rsid w:val="003B7AFA"/>
    <w:rsid w:val="003C0365"/>
    <w:rsid w:val="003C0458"/>
    <w:rsid w:val="003C1099"/>
    <w:rsid w:val="003C2324"/>
    <w:rsid w:val="003C2ADC"/>
    <w:rsid w:val="003C3281"/>
    <w:rsid w:val="003C3490"/>
    <w:rsid w:val="003C3BFE"/>
    <w:rsid w:val="003C49B9"/>
    <w:rsid w:val="003C631A"/>
    <w:rsid w:val="003C6550"/>
    <w:rsid w:val="003C68ED"/>
    <w:rsid w:val="003C7549"/>
    <w:rsid w:val="003C7792"/>
    <w:rsid w:val="003C7E62"/>
    <w:rsid w:val="003D1A7F"/>
    <w:rsid w:val="003D5946"/>
    <w:rsid w:val="003D5A56"/>
    <w:rsid w:val="003D5B4E"/>
    <w:rsid w:val="003D60FE"/>
    <w:rsid w:val="003D6920"/>
    <w:rsid w:val="003D6A58"/>
    <w:rsid w:val="003D74CF"/>
    <w:rsid w:val="003D7B09"/>
    <w:rsid w:val="003E0C17"/>
    <w:rsid w:val="003E10D3"/>
    <w:rsid w:val="003E1252"/>
    <w:rsid w:val="003E1419"/>
    <w:rsid w:val="003E1D28"/>
    <w:rsid w:val="003E2301"/>
    <w:rsid w:val="003E3F1E"/>
    <w:rsid w:val="003E48F2"/>
    <w:rsid w:val="003E4C91"/>
    <w:rsid w:val="003E5DB7"/>
    <w:rsid w:val="003E62A5"/>
    <w:rsid w:val="003F0011"/>
    <w:rsid w:val="003F10C7"/>
    <w:rsid w:val="003F13A5"/>
    <w:rsid w:val="003F313C"/>
    <w:rsid w:val="003F346D"/>
    <w:rsid w:val="003F37FC"/>
    <w:rsid w:val="003F4B2C"/>
    <w:rsid w:val="003F551C"/>
    <w:rsid w:val="003F5AD6"/>
    <w:rsid w:val="003F62B0"/>
    <w:rsid w:val="003F6448"/>
    <w:rsid w:val="003F68C1"/>
    <w:rsid w:val="003F72ED"/>
    <w:rsid w:val="003F73E4"/>
    <w:rsid w:val="003F7D23"/>
    <w:rsid w:val="004005A2"/>
    <w:rsid w:val="00400A0E"/>
    <w:rsid w:val="00400DF4"/>
    <w:rsid w:val="00402489"/>
    <w:rsid w:val="00402612"/>
    <w:rsid w:val="00403226"/>
    <w:rsid w:val="00403D59"/>
    <w:rsid w:val="004043F2"/>
    <w:rsid w:val="0040550D"/>
    <w:rsid w:val="004069FF"/>
    <w:rsid w:val="00406A16"/>
    <w:rsid w:val="00406D06"/>
    <w:rsid w:val="00406F34"/>
    <w:rsid w:val="00407510"/>
    <w:rsid w:val="00407526"/>
    <w:rsid w:val="004076D8"/>
    <w:rsid w:val="00407C13"/>
    <w:rsid w:val="0041041D"/>
    <w:rsid w:val="00410638"/>
    <w:rsid w:val="00410694"/>
    <w:rsid w:val="00410C52"/>
    <w:rsid w:val="00410D1C"/>
    <w:rsid w:val="00410EB0"/>
    <w:rsid w:val="004111A5"/>
    <w:rsid w:val="0041172B"/>
    <w:rsid w:val="0041368A"/>
    <w:rsid w:val="00413788"/>
    <w:rsid w:val="0041501E"/>
    <w:rsid w:val="004159C3"/>
    <w:rsid w:val="00416EB7"/>
    <w:rsid w:val="00417505"/>
    <w:rsid w:val="00420136"/>
    <w:rsid w:val="004206B6"/>
    <w:rsid w:val="00420CFF"/>
    <w:rsid w:val="00420DC0"/>
    <w:rsid w:val="0042359B"/>
    <w:rsid w:val="00423AE9"/>
    <w:rsid w:val="00424375"/>
    <w:rsid w:val="00426C41"/>
    <w:rsid w:val="004304E9"/>
    <w:rsid w:val="004307FC"/>
    <w:rsid w:val="00432A58"/>
    <w:rsid w:val="00432D19"/>
    <w:rsid w:val="00433C0A"/>
    <w:rsid w:val="00433D92"/>
    <w:rsid w:val="00434395"/>
    <w:rsid w:val="004345F4"/>
    <w:rsid w:val="00434617"/>
    <w:rsid w:val="004349BF"/>
    <w:rsid w:val="00435361"/>
    <w:rsid w:val="00435656"/>
    <w:rsid w:val="00436477"/>
    <w:rsid w:val="00436DCF"/>
    <w:rsid w:val="00437A54"/>
    <w:rsid w:val="00437FD1"/>
    <w:rsid w:val="00440900"/>
    <w:rsid w:val="00441A23"/>
    <w:rsid w:val="00441BF6"/>
    <w:rsid w:val="00442D09"/>
    <w:rsid w:val="00442E6B"/>
    <w:rsid w:val="00443556"/>
    <w:rsid w:val="004437FE"/>
    <w:rsid w:val="004441A0"/>
    <w:rsid w:val="00444B1D"/>
    <w:rsid w:val="004455BA"/>
    <w:rsid w:val="00446D0C"/>
    <w:rsid w:val="00446D77"/>
    <w:rsid w:val="00447037"/>
    <w:rsid w:val="004501F9"/>
    <w:rsid w:val="0045021C"/>
    <w:rsid w:val="0045078A"/>
    <w:rsid w:val="0045086D"/>
    <w:rsid w:val="00450A94"/>
    <w:rsid w:val="00451305"/>
    <w:rsid w:val="00451504"/>
    <w:rsid w:val="00451878"/>
    <w:rsid w:val="00451FEF"/>
    <w:rsid w:val="00453626"/>
    <w:rsid w:val="00453F52"/>
    <w:rsid w:val="004554AD"/>
    <w:rsid w:val="004557A9"/>
    <w:rsid w:val="00456339"/>
    <w:rsid w:val="0045677C"/>
    <w:rsid w:val="004607BF"/>
    <w:rsid w:val="004609D9"/>
    <w:rsid w:val="00460FB3"/>
    <w:rsid w:val="0046255F"/>
    <w:rsid w:val="00463329"/>
    <w:rsid w:val="00463B19"/>
    <w:rsid w:val="004644C4"/>
    <w:rsid w:val="0046474F"/>
    <w:rsid w:val="0046530C"/>
    <w:rsid w:val="00465F26"/>
    <w:rsid w:val="0046627E"/>
    <w:rsid w:val="00467406"/>
    <w:rsid w:val="00467A03"/>
    <w:rsid w:val="004717BF"/>
    <w:rsid w:val="004749E3"/>
    <w:rsid w:val="00475C63"/>
    <w:rsid w:val="00475F3F"/>
    <w:rsid w:val="00476240"/>
    <w:rsid w:val="00476439"/>
    <w:rsid w:val="0047735C"/>
    <w:rsid w:val="004776BC"/>
    <w:rsid w:val="0048139F"/>
    <w:rsid w:val="00481CEB"/>
    <w:rsid w:val="00481E40"/>
    <w:rsid w:val="00481F58"/>
    <w:rsid w:val="00483465"/>
    <w:rsid w:val="004834E5"/>
    <w:rsid w:val="00483BED"/>
    <w:rsid w:val="0048429C"/>
    <w:rsid w:val="004842DB"/>
    <w:rsid w:val="00484319"/>
    <w:rsid w:val="00484915"/>
    <w:rsid w:val="00484D49"/>
    <w:rsid w:val="00484ECE"/>
    <w:rsid w:val="00484FF1"/>
    <w:rsid w:val="00485567"/>
    <w:rsid w:val="00485B0F"/>
    <w:rsid w:val="00485B76"/>
    <w:rsid w:val="00485E39"/>
    <w:rsid w:val="00487E9D"/>
    <w:rsid w:val="00490F35"/>
    <w:rsid w:val="004915CB"/>
    <w:rsid w:val="00492327"/>
    <w:rsid w:val="004924DC"/>
    <w:rsid w:val="004925F0"/>
    <w:rsid w:val="00493AE0"/>
    <w:rsid w:val="00494CB8"/>
    <w:rsid w:val="00495663"/>
    <w:rsid w:val="004962DC"/>
    <w:rsid w:val="004963C7"/>
    <w:rsid w:val="00496E81"/>
    <w:rsid w:val="004976EF"/>
    <w:rsid w:val="004A14E4"/>
    <w:rsid w:val="004A21DE"/>
    <w:rsid w:val="004A3212"/>
    <w:rsid w:val="004A3A0F"/>
    <w:rsid w:val="004A3D00"/>
    <w:rsid w:val="004A46B3"/>
    <w:rsid w:val="004A5494"/>
    <w:rsid w:val="004A6198"/>
    <w:rsid w:val="004A61C5"/>
    <w:rsid w:val="004A767E"/>
    <w:rsid w:val="004A77DF"/>
    <w:rsid w:val="004B1321"/>
    <w:rsid w:val="004B1417"/>
    <w:rsid w:val="004B3545"/>
    <w:rsid w:val="004B55B7"/>
    <w:rsid w:val="004B57B8"/>
    <w:rsid w:val="004B5893"/>
    <w:rsid w:val="004B5A60"/>
    <w:rsid w:val="004B5D8A"/>
    <w:rsid w:val="004B6468"/>
    <w:rsid w:val="004B672F"/>
    <w:rsid w:val="004B6A60"/>
    <w:rsid w:val="004B7125"/>
    <w:rsid w:val="004B7985"/>
    <w:rsid w:val="004B7D56"/>
    <w:rsid w:val="004C123D"/>
    <w:rsid w:val="004C180F"/>
    <w:rsid w:val="004C1A40"/>
    <w:rsid w:val="004C2A08"/>
    <w:rsid w:val="004C2A5B"/>
    <w:rsid w:val="004C2DE9"/>
    <w:rsid w:val="004C384C"/>
    <w:rsid w:val="004C3867"/>
    <w:rsid w:val="004C456F"/>
    <w:rsid w:val="004C4CD0"/>
    <w:rsid w:val="004C5B81"/>
    <w:rsid w:val="004C5E2B"/>
    <w:rsid w:val="004C6092"/>
    <w:rsid w:val="004C63B5"/>
    <w:rsid w:val="004C64E7"/>
    <w:rsid w:val="004C68CC"/>
    <w:rsid w:val="004C70DC"/>
    <w:rsid w:val="004D0211"/>
    <w:rsid w:val="004D0794"/>
    <w:rsid w:val="004D0974"/>
    <w:rsid w:val="004D1C4E"/>
    <w:rsid w:val="004D40CC"/>
    <w:rsid w:val="004D43B0"/>
    <w:rsid w:val="004D4C36"/>
    <w:rsid w:val="004D54EE"/>
    <w:rsid w:val="004D5C93"/>
    <w:rsid w:val="004D797A"/>
    <w:rsid w:val="004D7F47"/>
    <w:rsid w:val="004E1288"/>
    <w:rsid w:val="004E1CDC"/>
    <w:rsid w:val="004E285C"/>
    <w:rsid w:val="004E32F5"/>
    <w:rsid w:val="004E350A"/>
    <w:rsid w:val="004E418F"/>
    <w:rsid w:val="004E53BA"/>
    <w:rsid w:val="004E5681"/>
    <w:rsid w:val="004E5A45"/>
    <w:rsid w:val="004E5A64"/>
    <w:rsid w:val="004E70E9"/>
    <w:rsid w:val="004E75B6"/>
    <w:rsid w:val="004E7646"/>
    <w:rsid w:val="004E7C6B"/>
    <w:rsid w:val="004F06F5"/>
    <w:rsid w:val="004F1254"/>
    <w:rsid w:val="004F16B2"/>
    <w:rsid w:val="004F16E1"/>
    <w:rsid w:val="004F1744"/>
    <w:rsid w:val="004F19AD"/>
    <w:rsid w:val="004F2652"/>
    <w:rsid w:val="004F2C1B"/>
    <w:rsid w:val="004F33A0"/>
    <w:rsid w:val="004F3A59"/>
    <w:rsid w:val="004F3A84"/>
    <w:rsid w:val="004F5E61"/>
    <w:rsid w:val="004F6154"/>
    <w:rsid w:val="005005CD"/>
    <w:rsid w:val="00500CEE"/>
    <w:rsid w:val="005015F6"/>
    <w:rsid w:val="005019AE"/>
    <w:rsid w:val="00501E5A"/>
    <w:rsid w:val="0050385E"/>
    <w:rsid w:val="00503A6E"/>
    <w:rsid w:val="00503B80"/>
    <w:rsid w:val="005040A8"/>
    <w:rsid w:val="005042BB"/>
    <w:rsid w:val="00504EE1"/>
    <w:rsid w:val="0050689D"/>
    <w:rsid w:val="0050736A"/>
    <w:rsid w:val="005075D4"/>
    <w:rsid w:val="005076A1"/>
    <w:rsid w:val="00510205"/>
    <w:rsid w:val="005108C0"/>
    <w:rsid w:val="00510A58"/>
    <w:rsid w:val="00511873"/>
    <w:rsid w:val="00511DE3"/>
    <w:rsid w:val="005124B6"/>
    <w:rsid w:val="00512A2F"/>
    <w:rsid w:val="00512F82"/>
    <w:rsid w:val="00513B7E"/>
    <w:rsid w:val="00513EE1"/>
    <w:rsid w:val="00513F7F"/>
    <w:rsid w:val="0051484B"/>
    <w:rsid w:val="00514AE7"/>
    <w:rsid w:val="00515684"/>
    <w:rsid w:val="00515737"/>
    <w:rsid w:val="00515C74"/>
    <w:rsid w:val="00515D55"/>
    <w:rsid w:val="00516086"/>
    <w:rsid w:val="00516E42"/>
    <w:rsid w:val="0051713B"/>
    <w:rsid w:val="0052007E"/>
    <w:rsid w:val="00520D1D"/>
    <w:rsid w:val="00521344"/>
    <w:rsid w:val="0052164F"/>
    <w:rsid w:val="005217F8"/>
    <w:rsid w:val="00521B64"/>
    <w:rsid w:val="00522317"/>
    <w:rsid w:val="005223DB"/>
    <w:rsid w:val="0052337A"/>
    <w:rsid w:val="005235E2"/>
    <w:rsid w:val="00523720"/>
    <w:rsid w:val="005243E8"/>
    <w:rsid w:val="00525137"/>
    <w:rsid w:val="005251DD"/>
    <w:rsid w:val="00525933"/>
    <w:rsid w:val="005259A8"/>
    <w:rsid w:val="00526DF6"/>
    <w:rsid w:val="00526FCE"/>
    <w:rsid w:val="00530D0C"/>
    <w:rsid w:val="005325DB"/>
    <w:rsid w:val="0053263A"/>
    <w:rsid w:val="00532CE7"/>
    <w:rsid w:val="00532E62"/>
    <w:rsid w:val="00532F43"/>
    <w:rsid w:val="0053324C"/>
    <w:rsid w:val="00533323"/>
    <w:rsid w:val="00533DAC"/>
    <w:rsid w:val="00533E77"/>
    <w:rsid w:val="00534644"/>
    <w:rsid w:val="00534A28"/>
    <w:rsid w:val="00534D01"/>
    <w:rsid w:val="00535403"/>
    <w:rsid w:val="00535514"/>
    <w:rsid w:val="00536E13"/>
    <w:rsid w:val="00536EE7"/>
    <w:rsid w:val="005370C0"/>
    <w:rsid w:val="00537F1F"/>
    <w:rsid w:val="00541508"/>
    <w:rsid w:val="00542F0D"/>
    <w:rsid w:val="00543409"/>
    <w:rsid w:val="00543498"/>
    <w:rsid w:val="00544315"/>
    <w:rsid w:val="00545290"/>
    <w:rsid w:val="00545512"/>
    <w:rsid w:val="00545834"/>
    <w:rsid w:val="005467BD"/>
    <w:rsid w:val="00547D28"/>
    <w:rsid w:val="005502CF"/>
    <w:rsid w:val="00550D51"/>
    <w:rsid w:val="005515C5"/>
    <w:rsid w:val="00552952"/>
    <w:rsid w:val="0055298F"/>
    <w:rsid w:val="00552F16"/>
    <w:rsid w:val="00553016"/>
    <w:rsid w:val="00554DC2"/>
    <w:rsid w:val="005552D3"/>
    <w:rsid w:val="00555943"/>
    <w:rsid w:val="0055599F"/>
    <w:rsid w:val="00556995"/>
    <w:rsid w:val="00556D68"/>
    <w:rsid w:val="00557C98"/>
    <w:rsid w:val="00560AAF"/>
    <w:rsid w:val="0056129B"/>
    <w:rsid w:val="005624E3"/>
    <w:rsid w:val="00562CFC"/>
    <w:rsid w:val="0056347F"/>
    <w:rsid w:val="00563EB8"/>
    <w:rsid w:val="005647BF"/>
    <w:rsid w:val="0056486D"/>
    <w:rsid w:val="00564AF1"/>
    <w:rsid w:val="00564F39"/>
    <w:rsid w:val="0056516B"/>
    <w:rsid w:val="0056601A"/>
    <w:rsid w:val="005675BA"/>
    <w:rsid w:val="00570868"/>
    <w:rsid w:val="00571D4F"/>
    <w:rsid w:val="005722EB"/>
    <w:rsid w:val="0057364B"/>
    <w:rsid w:val="00574773"/>
    <w:rsid w:val="005763D0"/>
    <w:rsid w:val="00576DB1"/>
    <w:rsid w:val="00577F85"/>
    <w:rsid w:val="005803F3"/>
    <w:rsid w:val="0058050D"/>
    <w:rsid w:val="005825E4"/>
    <w:rsid w:val="0058308D"/>
    <w:rsid w:val="0058383C"/>
    <w:rsid w:val="00583FFD"/>
    <w:rsid w:val="00584678"/>
    <w:rsid w:val="0058472C"/>
    <w:rsid w:val="00584F6E"/>
    <w:rsid w:val="005853F9"/>
    <w:rsid w:val="00585C37"/>
    <w:rsid w:val="005860A7"/>
    <w:rsid w:val="00586645"/>
    <w:rsid w:val="00586801"/>
    <w:rsid w:val="00586C79"/>
    <w:rsid w:val="00587873"/>
    <w:rsid w:val="00591099"/>
    <w:rsid w:val="005911BE"/>
    <w:rsid w:val="0059174C"/>
    <w:rsid w:val="00592E71"/>
    <w:rsid w:val="00593152"/>
    <w:rsid w:val="00593455"/>
    <w:rsid w:val="00593649"/>
    <w:rsid w:val="005938E3"/>
    <w:rsid w:val="00593B81"/>
    <w:rsid w:val="00593F47"/>
    <w:rsid w:val="00594294"/>
    <w:rsid w:val="00595412"/>
    <w:rsid w:val="00596010"/>
    <w:rsid w:val="005A0C11"/>
    <w:rsid w:val="005A0DA4"/>
    <w:rsid w:val="005A0EF2"/>
    <w:rsid w:val="005A10F2"/>
    <w:rsid w:val="005A117B"/>
    <w:rsid w:val="005A14E8"/>
    <w:rsid w:val="005A2052"/>
    <w:rsid w:val="005A21E0"/>
    <w:rsid w:val="005A28FF"/>
    <w:rsid w:val="005A2F33"/>
    <w:rsid w:val="005A3003"/>
    <w:rsid w:val="005A30C1"/>
    <w:rsid w:val="005A327C"/>
    <w:rsid w:val="005A3DF8"/>
    <w:rsid w:val="005A4270"/>
    <w:rsid w:val="005A5113"/>
    <w:rsid w:val="005A5549"/>
    <w:rsid w:val="005A5960"/>
    <w:rsid w:val="005A609F"/>
    <w:rsid w:val="005A6ADC"/>
    <w:rsid w:val="005A6E72"/>
    <w:rsid w:val="005A7038"/>
    <w:rsid w:val="005A70B0"/>
    <w:rsid w:val="005B0A44"/>
    <w:rsid w:val="005B1010"/>
    <w:rsid w:val="005B121D"/>
    <w:rsid w:val="005B1FC6"/>
    <w:rsid w:val="005B2C13"/>
    <w:rsid w:val="005B2E23"/>
    <w:rsid w:val="005B3361"/>
    <w:rsid w:val="005B3CE6"/>
    <w:rsid w:val="005B4276"/>
    <w:rsid w:val="005B461B"/>
    <w:rsid w:val="005B650E"/>
    <w:rsid w:val="005B684D"/>
    <w:rsid w:val="005B70DB"/>
    <w:rsid w:val="005B720C"/>
    <w:rsid w:val="005C06ED"/>
    <w:rsid w:val="005C0E54"/>
    <w:rsid w:val="005C17A3"/>
    <w:rsid w:val="005C2609"/>
    <w:rsid w:val="005C3800"/>
    <w:rsid w:val="005C415F"/>
    <w:rsid w:val="005C45E1"/>
    <w:rsid w:val="005C4A78"/>
    <w:rsid w:val="005C4E8C"/>
    <w:rsid w:val="005C51EA"/>
    <w:rsid w:val="005C572E"/>
    <w:rsid w:val="005C63DE"/>
    <w:rsid w:val="005C6589"/>
    <w:rsid w:val="005C69C1"/>
    <w:rsid w:val="005C6CF0"/>
    <w:rsid w:val="005D0D46"/>
    <w:rsid w:val="005D1C83"/>
    <w:rsid w:val="005D2579"/>
    <w:rsid w:val="005D2CDA"/>
    <w:rsid w:val="005D4DDB"/>
    <w:rsid w:val="005D5600"/>
    <w:rsid w:val="005D5802"/>
    <w:rsid w:val="005D5B5E"/>
    <w:rsid w:val="005D67FE"/>
    <w:rsid w:val="005D7119"/>
    <w:rsid w:val="005D7241"/>
    <w:rsid w:val="005D7890"/>
    <w:rsid w:val="005D78EA"/>
    <w:rsid w:val="005E1A7A"/>
    <w:rsid w:val="005E1F82"/>
    <w:rsid w:val="005E274A"/>
    <w:rsid w:val="005E57C0"/>
    <w:rsid w:val="005E5E4D"/>
    <w:rsid w:val="005E6221"/>
    <w:rsid w:val="005E705E"/>
    <w:rsid w:val="005E7C78"/>
    <w:rsid w:val="005F0465"/>
    <w:rsid w:val="005F131C"/>
    <w:rsid w:val="005F18C5"/>
    <w:rsid w:val="005F19BD"/>
    <w:rsid w:val="005F19DB"/>
    <w:rsid w:val="005F3033"/>
    <w:rsid w:val="005F3374"/>
    <w:rsid w:val="005F3491"/>
    <w:rsid w:val="005F3EB1"/>
    <w:rsid w:val="005F3F91"/>
    <w:rsid w:val="005F46D8"/>
    <w:rsid w:val="005F5469"/>
    <w:rsid w:val="005F6E1D"/>
    <w:rsid w:val="005F73E7"/>
    <w:rsid w:val="00601755"/>
    <w:rsid w:val="00602444"/>
    <w:rsid w:val="00603FF5"/>
    <w:rsid w:val="00604307"/>
    <w:rsid w:val="00604792"/>
    <w:rsid w:val="0060487F"/>
    <w:rsid w:val="00604A3B"/>
    <w:rsid w:val="00604EAD"/>
    <w:rsid w:val="006057BE"/>
    <w:rsid w:val="00605D96"/>
    <w:rsid w:val="00606957"/>
    <w:rsid w:val="006104FB"/>
    <w:rsid w:val="006105C1"/>
    <w:rsid w:val="0061096C"/>
    <w:rsid w:val="00610A25"/>
    <w:rsid w:val="0061142E"/>
    <w:rsid w:val="00611CC2"/>
    <w:rsid w:val="00612A2F"/>
    <w:rsid w:val="00613469"/>
    <w:rsid w:val="0061390C"/>
    <w:rsid w:val="00615195"/>
    <w:rsid w:val="00615DB6"/>
    <w:rsid w:val="006162DC"/>
    <w:rsid w:val="006165E5"/>
    <w:rsid w:val="006167D7"/>
    <w:rsid w:val="00616997"/>
    <w:rsid w:val="00616E05"/>
    <w:rsid w:val="006206AF"/>
    <w:rsid w:val="00622275"/>
    <w:rsid w:val="00622E4E"/>
    <w:rsid w:val="00623178"/>
    <w:rsid w:val="006234F7"/>
    <w:rsid w:val="00623D49"/>
    <w:rsid w:val="00623DAE"/>
    <w:rsid w:val="00624093"/>
    <w:rsid w:val="00625F8F"/>
    <w:rsid w:val="006266AD"/>
    <w:rsid w:val="00626BF5"/>
    <w:rsid w:val="00626EDC"/>
    <w:rsid w:val="006273B9"/>
    <w:rsid w:val="00631232"/>
    <w:rsid w:val="006313A5"/>
    <w:rsid w:val="006322E1"/>
    <w:rsid w:val="0063327C"/>
    <w:rsid w:val="006340DD"/>
    <w:rsid w:val="00634144"/>
    <w:rsid w:val="00634272"/>
    <w:rsid w:val="00634573"/>
    <w:rsid w:val="00634F8F"/>
    <w:rsid w:val="00634FA8"/>
    <w:rsid w:val="006350D5"/>
    <w:rsid w:val="0063592B"/>
    <w:rsid w:val="006369C4"/>
    <w:rsid w:val="00637719"/>
    <w:rsid w:val="006404A7"/>
    <w:rsid w:val="006413CE"/>
    <w:rsid w:val="00641A8B"/>
    <w:rsid w:val="00642EAC"/>
    <w:rsid w:val="00642FA3"/>
    <w:rsid w:val="00643D6B"/>
    <w:rsid w:val="00643D99"/>
    <w:rsid w:val="006451E4"/>
    <w:rsid w:val="00645392"/>
    <w:rsid w:val="00645B33"/>
    <w:rsid w:val="006463B9"/>
    <w:rsid w:val="00647166"/>
    <w:rsid w:val="006509D3"/>
    <w:rsid w:val="00650DD6"/>
    <w:rsid w:val="006510BC"/>
    <w:rsid w:val="006516CB"/>
    <w:rsid w:val="00652C41"/>
    <w:rsid w:val="00653662"/>
    <w:rsid w:val="006554E9"/>
    <w:rsid w:val="00656FC8"/>
    <w:rsid w:val="00657168"/>
    <w:rsid w:val="006576BA"/>
    <w:rsid w:val="00657E87"/>
    <w:rsid w:val="00660023"/>
    <w:rsid w:val="00660072"/>
    <w:rsid w:val="00661C4F"/>
    <w:rsid w:val="006625C2"/>
    <w:rsid w:val="00662BD4"/>
    <w:rsid w:val="006630A1"/>
    <w:rsid w:val="00664803"/>
    <w:rsid w:val="0066504F"/>
    <w:rsid w:val="006658AB"/>
    <w:rsid w:val="00665BA4"/>
    <w:rsid w:val="00666906"/>
    <w:rsid w:val="00666AE9"/>
    <w:rsid w:val="00666DCD"/>
    <w:rsid w:val="006674B6"/>
    <w:rsid w:val="00667AF2"/>
    <w:rsid w:val="0067086B"/>
    <w:rsid w:val="006710C9"/>
    <w:rsid w:val="006712EC"/>
    <w:rsid w:val="00671407"/>
    <w:rsid w:val="006714DC"/>
    <w:rsid w:val="0067229E"/>
    <w:rsid w:val="00673247"/>
    <w:rsid w:val="006732EA"/>
    <w:rsid w:val="006741AC"/>
    <w:rsid w:val="00674D89"/>
    <w:rsid w:val="00675596"/>
    <w:rsid w:val="0067563A"/>
    <w:rsid w:val="00675E37"/>
    <w:rsid w:val="00676CA2"/>
    <w:rsid w:val="00676F28"/>
    <w:rsid w:val="006812CF"/>
    <w:rsid w:val="0068174E"/>
    <w:rsid w:val="00681C9F"/>
    <w:rsid w:val="00681DCE"/>
    <w:rsid w:val="006825E7"/>
    <w:rsid w:val="0068260E"/>
    <w:rsid w:val="006838AC"/>
    <w:rsid w:val="006840DA"/>
    <w:rsid w:val="006843C9"/>
    <w:rsid w:val="00685695"/>
    <w:rsid w:val="0068672C"/>
    <w:rsid w:val="0068697A"/>
    <w:rsid w:val="00687E97"/>
    <w:rsid w:val="00690FBB"/>
    <w:rsid w:val="00691046"/>
    <w:rsid w:val="00693265"/>
    <w:rsid w:val="00693CAA"/>
    <w:rsid w:val="00693FEC"/>
    <w:rsid w:val="006947DD"/>
    <w:rsid w:val="006947E3"/>
    <w:rsid w:val="0069490A"/>
    <w:rsid w:val="00694CC9"/>
    <w:rsid w:val="00694D9C"/>
    <w:rsid w:val="00695158"/>
    <w:rsid w:val="00695BEF"/>
    <w:rsid w:val="0069608D"/>
    <w:rsid w:val="006969F4"/>
    <w:rsid w:val="006977F6"/>
    <w:rsid w:val="00697A13"/>
    <w:rsid w:val="006A0211"/>
    <w:rsid w:val="006A0658"/>
    <w:rsid w:val="006A109C"/>
    <w:rsid w:val="006A1507"/>
    <w:rsid w:val="006A1528"/>
    <w:rsid w:val="006A15F2"/>
    <w:rsid w:val="006A1E43"/>
    <w:rsid w:val="006A1EB8"/>
    <w:rsid w:val="006A2056"/>
    <w:rsid w:val="006A211B"/>
    <w:rsid w:val="006A31AB"/>
    <w:rsid w:val="006A363D"/>
    <w:rsid w:val="006A3D17"/>
    <w:rsid w:val="006A5477"/>
    <w:rsid w:val="006A55AA"/>
    <w:rsid w:val="006A70B1"/>
    <w:rsid w:val="006B0F92"/>
    <w:rsid w:val="006B173A"/>
    <w:rsid w:val="006B1C9A"/>
    <w:rsid w:val="006B2AFD"/>
    <w:rsid w:val="006B32C8"/>
    <w:rsid w:val="006B344A"/>
    <w:rsid w:val="006B4367"/>
    <w:rsid w:val="006B436C"/>
    <w:rsid w:val="006B6C74"/>
    <w:rsid w:val="006B759B"/>
    <w:rsid w:val="006B78D8"/>
    <w:rsid w:val="006B7F88"/>
    <w:rsid w:val="006C055D"/>
    <w:rsid w:val="006C0BAC"/>
    <w:rsid w:val="006C0BE2"/>
    <w:rsid w:val="006C0E68"/>
    <w:rsid w:val="006C113F"/>
    <w:rsid w:val="006C123E"/>
    <w:rsid w:val="006C1752"/>
    <w:rsid w:val="006C1901"/>
    <w:rsid w:val="006C1957"/>
    <w:rsid w:val="006C398B"/>
    <w:rsid w:val="006C4460"/>
    <w:rsid w:val="006C4C0E"/>
    <w:rsid w:val="006C4ED6"/>
    <w:rsid w:val="006C56D4"/>
    <w:rsid w:val="006C6071"/>
    <w:rsid w:val="006C6924"/>
    <w:rsid w:val="006C70EB"/>
    <w:rsid w:val="006C7CA6"/>
    <w:rsid w:val="006D006E"/>
    <w:rsid w:val="006D0720"/>
    <w:rsid w:val="006D146C"/>
    <w:rsid w:val="006D1917"/>
    <w:rsid w:val="006D2077"/>
    <w:rsid w:val="006D2CB3"/>
    <w:rsid w:val="006D3E8A"/>
    <w:rsid w:val="006D4017"/>
    <w:rsid w:val="006D61F6"/>
    <w:rsid w:val="006D6FE6"/>
    <w:rsid w:val="006E1465"/>
    <w:rsid w:val="006E1709"/>
    <w:rsid w:val="006E279A"/>
    <w:rsid w:val="006E313B"/>
    <w:rsid w:val="006E3ACB"/>
    <w:rsid w:val="006E3C21"/>
    <w:rsid w:val="006E41EC"/>
    <w:rsid w:val="006E4254"/>
    <w:rsid w:val="006E4448"/>
    <w:rsid w:val="006E50F8"/>
    <w:rsid w:val="006E6A58"/>
    <w:rsid w:val="006E7227"/>
    <w:rsid w:val="006E7AAF"/>
    <w:rsid w:val="006F0002"/>
    <w:rsid w:val="006F12E9"/>
    <w:rsid w:val="006F2394"/>
    <w:rsid w:val="006F31C9"/>
    <w:rsid w:val="006F438E"/>
    <w:rsid w:val="006F5416"/>
    <w:rsid w:val="006F67E5"/>
    <w:rsid w:val="006F7076"/>
    <w:rsid w:val="006F71F3"/>
    <w:rsid w:val="00702368"/>
    <w:rsid w:val="00702448"/>
    <w:rsid w:val="007038CD"/>
    <w:rsid w:val="00703F77"/>
    <w:rsid w:val="00705242"/>
    <w:rsid w:val="007057B2"/>
    <w:rsid w:val="00706755"/>
    <w:rsid w:val="00706AD4"/>
    <w:rsid w:val="00707150"/>
    <w:rsid w:val="0070732E"/>
    <w:rsid w:val="00707CCC"/>
    <w:rsid w:val="00710078"/>
    <w:rsid w:val="00710229"/>
    <w:rsid w:val="007119E0"/>
    <w:rsid w:val="0071217E"/>
    <w:rsid w:val="0071371F"/>
    <w:rsid w:val="007140BE"/>
    <w:rsid w:val="007143B4"/>
    <w:rsid w:val="007150C7"/>
    <w:rsid w:val="0071517E"/>
    <w:rsid w:val="00717F5E"/>
    <w:rsid w:val="00720155"/>
    <w:rsid w:val="007204F0"/>
    <w:rsid w:val="00720C33"/>
    <w:rsid w:val="007211F5"/>
    <w:rsid w:val="00721212"/>
    <w:rsid w:val="00721E09"/>
    <w:rsid w:val="0072213B"/>
    <w:rsid w:val="0072313F"/>
    <w:rsid w:val="00723605"/>
    <w:rsid w:val="00723946"/>
    <w:rsid w:val="007240E2"/>
    <w:rsid w:val="00725BB5"/>
    <w:rsid w:val="00730517"/>
    <w:rsid w:val="00730996"/>
    <w:rsid w:val="00730AE8"/>
    <w:rsid w:val="00730F1B"/>
    <w:rsid w:val="00731EEE"/>
    <w:rsid w:val="0073215D"/>
    <w:rsid w:val="00733628"/>
    <w:rsid w:val="007342AC"/>
    <w:rsid w:val="00734E77"/>
    <w:rsid w:val="00735104"/>
    <w:rsid w:val="007357C1"/>
    <w:rsid w:val="007358C3"/>
    <w:rsid w:val="00736B32"/>
    <w:rsid w:val="0074009D"/>
    <w:rsid w:val="00740A88"/>
    <w:rsid w:val="00740BC7"/>
    <w:rsid w:val="00740CF5"/>
    <w:rsid w:val="00741493"/>
    <w:rsid w:val="007435D2"/>
    <w:rsid w:val="00743B7C"/>
    <w:rsid w:val="00743C34"/>
    <w:rsid w:val="00743C7A"/>
    <w:rsid w:val="007457F6"/>
    <w:rsid w:val="00746155"/>
    <w:rsid w:val="0074779B"/>
    <w:rsid w:val="00751A85"/>
    <w:rsid w:val="00752180"/>
    <w:rsid w:val="00752D71"/>
    <w:rsid w:val="00753CAB"/>
    <w:rsid w:val="00753EB4"/>
    <w:rsid w:val="007551EA"/>
    <w:rsid w:val="00755202"/>
    <w:rsid w:val="00755C4F"/>
    <w:rsid w:val="00755D3A"/>
    <w:rsid w:val="00756417"/>
    <w:rsid w:val="00756C54"/>
    <w:rsid w:val="00756EAB"/>
    <w:rsid w:val="00757754"/>
    <w:rsid w:val="007578D3"/>
    <w:rsid w:val="007579AE"/>
    <w:rsid w:val="00757EBE"/>
    <w:rsid w:val="00760522"/>
    <w:rsid w:val="0076097A"/>
    <w:rsid w:val="007609C6"/>
    <w:rsid w:val="00760EA4"/>
    <w:rsid w:val="00761361"/>
    <w:rsid w:val="0076175D"/>
    <w:rsid w:val="00763B85"/>
    <w:rsid w:val="00764344"/>
    <w:rsid w:val="00764744"/>
    <w:rsid w:val="0076521E"/>
    <w:rsid w:val="007653FB"/>
    <w:rsid w:val="00765C12"/>
    <w:rsid w:val="007661E9"/>
    <w:rsid w:val="00766359"/>
    <w:rsid w:val="007679B9"/>
    <w:rsid w:val="00770784"/>
    <w:rsid w:val="00770A8A"/>
    <w:rsid w:val="00770FC8"/>
    <w:rsid w:val="00773220"/>
    <w:rsid w:val="00773598"/>
    <w:rsid w:val="00773692"/>
    <w:rsid w:val="00774215"/>
    <w:rsid w:val="007745D4"/>
    <w:rsid w:val="00774C0A"/>
    <w:rsid w:val="00774D45"/>
    <w:rsid w:val="007755ED"/>
    <w:rsid w:val="00776169"/>
    <w:rsid w:val="00776527"/>
    <w:rsid w:val="00776EAB"/>
    <w:rsid w:val="00777CAB"/>
    <w:rsid w:val="00780903"/>
    <w:rsid w:val="00780EF1"/>
    <w:rsid w:val="00781D13"/>
    <w:rsid w:val="00781F7F"/>
    <w:rsid w:val="00782952"/>
    <w:rsid w:val="00782AD8"/>
    <w:rsid w:val="00783F21"/>
    <w:rsid w:val="00785275"/>
    <w:rsid w:val="00786429"/>
    <w:rsid w:val="0078669A"/>
    <w:rsid w:val="00786880"/>
    <w:rsid w:val="00787D37"/>
    <w:rsid w:val="00787E2A"/>
    <w:rsid w:val="00790711"/>
    <w:rsid w:val="00790764"/>
    <w:rsid w:val="0079124F"/>
    <w:rsid w:val="00791254"/>
    <w:rsid w:val="00791F56"/>
    <w:rsid w:val="007928AB"/>
    <w:rsid w:val="00793DB3"/>
    <w:rsid w:val="0079453C"/>
    <w:rsid w:val="00794677"/>
    <w:rsid w:val="007946E5"/>
    <w:rsid w:val="007956AB"/>
    <w:rsid w:val="00795928"/>
    <w:rsid w:val="00797445"/>
    <w:rsid w:val="007A0265"/>
    <w:rsid w:val="007A3861"/>
    <w:rsid w:val="007A4282"/>
    <w:rsid w:val="007A4577"/>
    <w:rsid w:val="007A4DEE"/>
    <w:rsid w:val="007A516D"/>
    <w:rsid w:val="007A60A6"/>
    <w:rsid w:val="007A72C3"/>
    <w:rsid w:val="007A7985"/>
    <w:rsid w:val="007B14DE"/>
    <w:rsid w:val="007B1827"/>
    <w:rsid w:val="007B23EC"/>
    <w:rsid w:val="007B4498"/>
    <w:rsid w:val="007B5212"/>
    <w:rsid w:val="007B6689"/>
    <w:rsid w:val="007C042D"/>
    <w:rsid w:val="007C17A1"/>
    <w:rsid w:val="007C20B2"/>
    <w:rsid w:val="007C222B"/>
    <w:rsid w:val="007C2D11"/>
    <w:rsid w:val="007C398F"/>
    <w:rsid w:val="007C4222"/>
    <w:rsid w:val="007C42C1"/>
    <w:rsid w:val="007C4955"/>
    <w:rsid w:val="007C6BBD"/>
    <w:rsid w:val="007C7252"/>
    <w:rsid w:val="007C7381"/>
    <w:rsid w:val="007D0B6E"/>
    <w:rsid w:val="007D13C8"/>
    <w:rsid w:val="007D223A"/>
    <w:rsid w:val="007D293C"/>
    <w:rsid w:val="007D318F"/>
    <w:rsid w:val="007D385F"/>
    <w:rsid w:val="007D3C6C"/>
    <w:rsid w:val="007D40DF"/>
    <w:rsid w:val="007D5AE6"/>
    <w:rsid w:val="007D713E"/>
    <w:rsid w:val="007D7DF1"/>
    <w:rsid w:val="007E10B7"/>
    <w:rsid w:val="007E11DF"/>
    <w:rsid w:val="007E1327"/>
    <w:rsid w:val="007E1FE8"/>
    <w:rsid w:val="007E29B4"/>
    <w:rsid w:val="007E2E22"/>
    <w:rsid w:val="007E435A"/>
    <w:rsid w:val="007E5052"/>
    <w:rsid w:val="007E5B38"/>
    <w:rsid w:val="007E5C29"/>
    <w:rsid w:val="007E6A6D"/>
    <w:rsid w:val="007E76C3"/>
    <w:rsid w:val="007E79DF"/>
    <w:rsid w:val="007E7DD7"/>
    <w:rsid w:val="007E7E61"/>
    <w:rsid w:val="007E7FCE"/>
    <w:rsid w:val="007F0076"/>
    <w:rsid w:val="007F02BF"/>
    <w:rsid w:val="007F0845"/>
    <w:rsid w:val="007F1D19"/>
    <w:rsid w:val="007F2276"/>
    <w:rsid w:val="007F2FC9"/>
    <w:rsid w:val="007F3C5C"/>
    <w:rsid w:val="007F4FAD"/>
    <w:rsid w:val="007F6133"/>
    <w:rsid w:val="007F6CA3"/>
    <w:rsid w:val="007F6DCB"/>
    <w:rsid w:val="007F708D"/>
    <w:rsid w:val="007F74C4"/>
    <w:rsid w:val="007F7CA0"/>
    <w:rsid w:val="00800216"/>
    <w:rsid w:val="00800A3B"/>
    <w:rsid w:val="0080170D"/>
    <w:rsid w:val="00801C76"/>
    <w:rsid w:val="00801E13"/>
    <w:rsid w:val="008031D4"/>
    <w:rsid w:val="00804202"/>
    <w:rsid w:val="00804252"/>
    <w:rsid w:val="00804B15"/>
    <w:rsid w:val="00804BA6"/>
    <w:rsid w:val="008068B1"/>
    <w:rsid w:val="00806CCE"/>
    <w:rsid w:val="00807365"/>
    <w:rsid w:val="00807C82"/>
    <w:rsid w:val="00810C82"/>
    <w:rsid w:val="00811E1D"/>
    <w:rsid w:val="00811EC3"/>
    <w:rsid w:val="00812141"/>
    <w:rsid w:val="00813F1A"/>
    <w:rsid w:val="008143E9"/>
    <w:rsid w:val="008145C6"/>
    <w:rsid w:val="008147D5"/>
    <w:rsid w:val="00814B15"/>
    <w:rsid w:val="008161A3"/>
    <w:rsid w:val="00816905"/>
    <w:rsid w:val="00817E55"/>
    <w:rsid w:val="00820D37"/>
    <w:rsid w:val="00820E1C"/>
    <w:rsid w:val="0082132C"/>
    <w:rsid w:val="00821373"/>
    <w:rsid w:val="0082151E"/>
    <w:rsid w:val="0082159F"/>
    <w:rsid w:val="00821777"/>
    <w:rsid w:val="00821C44"/>
    <w:rsid w:val="00821FF6"/>
    <w:rsid w:val="00822574"/>
    <w:rsid w:val="00822BB6"/>
    <w:rsid w:val="00822EE1"/>
    <w:rsid w:val="0082342B"/>
    <w:rsid w:val="0082466B"/>
    <w:rsid w:val="0082526C"/>
    <w:rsid w:val="00825C4D"/>
    <w:rsid w:val="00825CC3"/>
    <w:rsid w:val="00826D39"/>
    <w:rsid w:val="008304D1"/>
    <w:rsid w:val="0083071E"/>
    <w:rsid w:val="0083078E"/>
    <w:rsid w:val="00830824"/>
    <w:rsid w:val="008308D5"/>
    <w:rsid w:val="00830D03"/>
    <w:rsid w:val="0083143E"/>
    <w:rsid w:val="00831631"/>
    <w:rsid w:val="00831CDE"/>
    <w:rsid w:val="00832736"/>
    <w:rsid w:val="00833097"/>
    <w:rsid w:val="00833F17"/>
    <w:rsid w:val="00834304"/>
    <w:rsid w:val="00834FAA"/>
    <w:rsid w:val="0083516C"/>
    <w:rsid w:val="00836086"/>
    <w:rsid w:val="008403BB"/>
    <w:rsid w:val="00840DD4"/>
    <w:rsid w:val="00842B6F"/>
    <w:rsid w:val="008439CC"/>
    <w:rsid w:val="00843A14"/>
    <w:rsid w:val="00843FE9"/>
    <w:rsid w:val="0084472B"/>
    <w:rsid w:val="008456E4"/>
    <w:rsid w:val="00845CD7"/>
    <w:rsid w:val="00846121"/>
    <w:rsid w:val="008462A8"/>
    <w:rsid w:val="008464C4"/>
    <w:rsid w:val="0084708F"/>
    <w:rsid w:val="008477C8"/>
    <w:rsid w:val="00847963"/>
    <w:rsid w:val="00850815"/>
    <w:rsid w:val="0085114D"/>
    <w:rsid w:val="0085194F"/>
    <w:rsid w:val="00852217"/>
    <w:rsid w:val="00852C9C"/>
    <w:rsid w:val="008534B7"/>
    <w:rsid w:val="00853B8D"/>
    <w:rsid w:val="00854B29"/>
    <w:rsid w:val="00854F24"/>
    <w:rsid w:val="00855408"/>
    <w:rsid w:val="00855712"/>
    <w:rsid w:val="00856D65"/>
    <w:rsid w:val="00856FA5"/>
    <w:rsid w:val="008575BE"/>
    <w:rsid w:val="00860454"/>
    <w:rsid w:val="008606F3"/>
    <w:rsid w:val="00860E39"/>
    <w:rsid w:val="0086148F"/>
    <w:rsid w:val="00861B41"/>
    <w:rsid w:val="00861BE3"/>
    <w:rsid w:val="00863434"/>
    <w:rsid w:val="00864382"/>
    <w:rsid w:val="00864386"/>
    <w:rsid w:val="008644C3"/>
    <w:rsid w:val="008649BC"/>
    <w:rsid w:val="00865D45"/>
    <w:rsid w:val="00865E4C"/>
    <w:rsid w:val="00867414"/>
    <w:rsid w:val="008701E4"/>
    <w:rsid w:val="0087052A"/>
    <w:rsid w:val="00871069"/>
    <w:rsid w:val="008715A3"/>
    <w:rsid w:val="00872C9A"/>
    <w:rsid w:val="008734A8"/>
    <w:rsid w:val="008734E6"/>
    <w:rsid w:val="008736BF"/>
    <w:rsid w:val="008738FC"/>
    <w:rsid w:val="00875473"/>
    <w:rsid w:val="00875A32"/>
    <w:rsid w:val="00876086"/>
    <w:rsid w:val="008766AC"/>
    <w:rsid w:val="00876995"/>
    <w:rsid w:val="008774C1"/>
    <w:rsid w:val="00877928"/>
    <w:rsid w:val="00877BEC"/>
    <w:rsid w:val="008809C2"/>
    <w:rsid w:val="008813CE"/>
    <w:rsid w:val="00881EAF"/>
    <w:rsid w:val="008825B0"/>
    <w:rsid w:val="0088317A"/>
    <w:rsid w:val="0088395C"/>
    <w:rsid w:val="00884AD6"/>
    <w:rsid w:val="00884D49"/>
    <w:rsid w:val="00884EC7"/>
    <w:rsid w:val="00884F46"/>
    <w:rsid w:val="00885509"/>
    <w:rsid w:val="008870F7"/>
    <w:rsid w:val="008871FC"/>
    <w:rsid w:val="008873D4"/>
    <w:rsid w:val="0088793E"/>
    <w:rsid w:val="00890D6D"/>
    <w:rsid w:val="0089126C"/>
    <w:rsid w:val="0089151D"/>
    <w:rsid w:val="0089296D"/>
    <w:rsid w:val="00893119"/>
    <w:rsid w:val="00893404"/>
    <w:rsid w:val="00893E85"/>
    <w:rsid w:val="00894031"/>
    <w:rsid w:val="008942C9"/>
    <w:rsid w:val="00895508"/>
    <w:rsid w:val="0089588A"/>
    <w:rsid w:val="00896167"/>
    <w:rsid w:val="008965B7"/>
    <w:rsid w:val="00896807"/>
    <w:rsid w:val="00897F41"/>
    <w:rsid w:val="008A0BBE"/>
    <w:rsid w:val="008A1483"/>
    <w:rsid w:val="008A2099"/>
    <w:rsid w:val="008A28CE"/>
    <w:rsid w:val="008A3594"/>
    <w:rsid w:val="008A3D77"/>
    <w:rsid w:val="008A473C"/>
    <w:rsid w:val="008A6493"/>
    <w:rsid w:val="008A6CB4"/>
    <w:rsid w:val="008B09A7"/>
    <w:rsid w:val="008B13FE"/>
    <w:rsid w:val="008B1FA6"/>
    <w:rsid w:val="008B258B"/>
    <w:rsid w:val="008B2877"/>
    <w:rsid w:val="008B3A79"/>
    <w:rsid w:val="008B4833"/>
    <w:rsid w:val="008B4FCF"/>
    <w:rsid w:val="008B4FD8"/>
    <w:rsid w:val="008B542E"/>
    <w:rsid w:val="008B59B2"/>
    <w:rsid w:val="008B5CF6"/>
    <w:rsid w:val="008B5E01"/>
    <w:rsid w:val="008B5F6A"/>
    <w:rsid w:val="008B7103"/>
    <w:rsid w:val="008B768D"/>
    <w:rsid w:val="008B76AB"/>
    <w:rsid w:val="008B7C02"/>
    <w:rsid w:val="008B7D2B"/>
    <w:rsid w:val="008C0049"/>
    <w:rsid w:val="008C054D"/>
    <w:rsid w:val="008C0A0B"/>
    <w:rsid w:val="008C0B3A"/>
    <w:rsid w:val="008C0E29"/>
    <w:rsid w:val="008C0E88"/>
    <w:rsid w:val="008C1968"/>
    <w:rsid w:val="008C2537"/>
    <w:rsid w:val="008C3953"/>
    <w:rsid w:val="008C3ED5"/>
    <w:rsid w:val="008C4486"/>
    <w:rsid w:val="008C53CB"/>
    <w:rsid w:val="008C6CF4"/>
    <w:rsid w:val="008C6FD4"/>
    <w:rsid w:val="008C713F"/>
    <w:rsid w:val="008C762C"/>
    <w:rsid w:val="008D07B9"/>
    <w:rsid w:val="008D1BA1"/>
    <w:rsid w:val="008D1E6A"/>
    <w:rsid w:val="008D2A16"/>
    <w:rsid w:val="008D2F53"/>
    <w:rsid w:val="008D38B6"/>
    <w:rsid w:val="008D3BDF"/>
    <w:rsid w:val="008D5398"/>
    <w:rsid w:val="008D5792"/>
    <w:rsid w:val="008D60FD"/>
    <w:rsid w:val="008D632C"/>
    <w:rsid w:val="008D6B35"/>
    <w:rsid w:val="008D6C14"/>
    <w:rsid w:val="008D75D9"/>
    <w:rsid w:val="008D792D"/>
    <w:rsid w:val="008E163D"/>
    <w:rsid w:val="008E215D"/>
    <w:rsid w:val="008E2C57"/>
    <w:rsid w:val="008E31FF"/>
    <w:rsid w:val="008E3D12"/>
    <w:rsid w:val="008E3E9D"/>
    <w:rsid w:val="008E4A7C"/>
    <w:rsid w:val="008E582C"/>
    <w:rsid w:val="008E6542"/>
    <w:rsid w:val="008E6F06"/>
    <w:rsid w:val="008E6F24"/>
    <w:rsid w:val="008E6F8B"/>
    <w:rsid w:val="008E72A6"/>
    <w:rsid w:val="008E7336"/>
    <w:rsid w:val="008E77B5"/>
    <w:rsid w:val="008E7FC9"/>
    <w:rsid w:val="008F029B"/>
    <w:rsid w:val="008F100E"/>
    <w:rsid w:val="008F16B9"/>
    <w:rsid w:val="008F1D0A"/>
    <w:rsid w:val="008F3FC9"/>
    <w:rsid w:val="008F4380"/>
    <w:rsid w:val="008F4B7F"/>
    <w:rsid w:val="008F4F78"/>
    <w:rsid w:val="008F585B"/>
    <w:rsid w:val="008F5E37"/>
    <w:rsid w:val="008F5EC9"/>
    <w:rsid w:val="008F63C8"/>
    <w:rsid w:val="008F6CE6"/>
    <w:rsid w:val="008F75BE"/>
    <w:rsid w:val="008F75C5"/>
    <w:rsid w:val="008F7E77"/>
    <w:rsid w:val="009003A8"/>
    <w:rsid w:val="0090149C"/>
    <w:rsid w:val="00901518"/>
    <w:rsid w:val="0090157D"/>
    <w:rsid w:val="00901BCC"/>
    <w:rsid w:val="0090225A"/>
    <w:rsid w:val="00902500"/>
    <w:rsid w:val="009029A4"/>
    <w:rsid w:val="00902EFF"/>
    <w:rsid w:val="00903165"/>
    <w:rsid w:val="00903C11"/>
    <w:rsid w:val="00906401"/>
    <w:rsid w:val="0090651C"/>
    <w:rsid w:val="00907C10"/>
    <w:rsid w:val="0091155E"/>
    <w:rsid w:val="00911F27"/>
    <w:rsid w:val="00912A92"/>
    <w:rsid w:val="00914878"/>
    <w:rsid w:val="00914968"/>
    <w:rsid w:val="00914A3D"/>
    <w:rsid w:val="00916567"/>
    <w:rsid w:val="009165A2"/>
    <w:rsid w:val="00916AF7"/>
    <w:rsid w:val="00916BC1"/>
    <w:rsid w:val="00917170"/>
    <w:rsid w:val="0091728D"/>
    <w:rsid w:val="0092180B"/>
    <w:rsid w:val="00921F14"/>
    <w:rsid w:val="00922EC2"/>
    <w:rsid w:val="009231A3"/>
    <w:rsid w:val="00923FAC"/>
    <w:rsid w:val="00924097"/>
    <w:rsid w:val="009246F6"/>
    <w:rsid w:val="00924751"/>
    <w:rsid w:val="00924AC8"/>
    <w:rsid w:val="0092597A"/>
    <w:rsid w:val="00925E75"/>
    <w:rsid w:val="00927E8F"/>
    <w:rsid w:val="00930992"/>
    <w:rsid w:val="00930FB1"/>
    <w:rsid w:val="0093139F"/>
    <w:rsid w:val="00932443"/>
    <w:rsid w:val="00932AC9"/>
    <w:rsid w:val="009343AD"/>
    <w:rsid w:val="00934464"/>
    <w:rsid w:val="00934B5F"/>
    <w:rsid w:val="00936F50"/>
    <w:rsid w:val="0093790E"/>
    <w:rsid w:val="00937AE2"/>
    <w:rsid w:val="00940484"/>
    <w:rsid w:val="00941E15"/>
    <w:rsid w:val="00942ACC"/>
    <w:rsid w:val="00943853"/>
    <w:rsid w:val="0094427A"/>
    <w:rsid w:val="00944A35"/>
    <w:rsid w:val="00945245"/>
    <w:rsid w:val="009452D0"/>
    <w:rsid w:val="00947CEF"/>
    <w:rsid w:val="00950CC1"/>
    <w:rsid w:val="00951CB1"/>
    <w:rsid w:val="00953E53"/>
    <w:rsid w:val="00954FD6"/>
    <w:rsid w:val="00955E5A"/>
    <w:rsid w:val="00956572"/>
    <w:rsid w:val="00957309"/>
    <w:rsid w:val="0095759C"/>
    <w:rsid w:val="009607C5"/>
    <w:rsid w:val="00961532"/>
    <w:rsid w:val="00961BD9"/>
    <w:rsid w:val="0096307C"/>
    <w:rsid w:val="00963AB3"/>
    <w:rsid w:val="0096593B"/>
    <w:rsid w:val="009659E1"/>
    <w:rsid w:val="00965EEF"/>
    <w:rsid w:val="0096666B"/>
    <w:rsid w:val="00966940"/>
    <w:rsid w:val="00966E1F"/>
    <w:rsid w:val="0096774F"/>
    <w:rsid w:val="00967E1B"/>
    <w:rsid w:val="00967E76"/>
    <w:rsid w:val="00970716"/>
    <w:rsid w:val="00970DF4"/>
    <w:rsid w:val="009714FD"/>
    <w:rsid w:val="00971519"/>
    <w:rsid w:val="00972129"/>
    <w:rsid w:val="009721DB"/>
    <w:rsid w:val="0097239B"/>
    <w:rsid w:val="00973107"/>
    <w:rsid w:val="00974071"/>
    <w:rsid w:val="009748DF"/>
    <w:rsid w:val="00974923"/>
    <w:rsid w:val="00974AEB"/>
    <w:rsid w:val="00975BF2"/>
    <w:rsid w:val="009808F7"/>
    <w:rsid w:val="00980D3D"/>
    <w:rsid w:val="00980F3E"/>
    <w:rsid w:val="00981177"/>
    <w:rsid w:val="00981FFA"/>
    <w:rsid w:val="00983035"/>
    <w:rsid w:val="0098378C"/>
    <w:rsid w:val="00985569"/>
    <w:rsid w:val="009855E1"/>
    <w:rsid w:val="00986D06"/>
    <w:rsid w:val="00987A30"/>
    <w:rsid w:val="00990102"/>
    <w:rsid w:val="00991E07"/>
    <w:rsid w:val="00992CF3"/>
    <w:rsid w:val="00993BEF"/>
    <w:rsid w:val="00993C2A"/>
    <w:rsid w:val="0099450E"/>
    <w:rsid w:val="00994868"/>
    <w:rsid w:val="0099574A"/>
    <w:rsid w:val="00995C6D"/>
    <w:rsid w:val="00995C95"/>
    <w:rsid w:val="00995D56"/>
    <w:rsid w:val="009967F2"/>
    <w:rsid w:val="009968D6"/>
    <w:rsid w:val="00996A53"/>
    <w:rsid w:val="00996DBD"/>
    <w:rsid w:val="00997F37"/>
    <w:rsid w:val="009A0AD3"/>
    <w:rsid w:val="009A1761"/>
    <w:rsid w:val="009A1CAB"/>
    <w:rsid w:val="009A1DEB"/>
    <w:rsid w:val="009A28B2"/>
    <w:rsid w:val="009A2E25"/>
    <w:rsid w:val="009A461A"/>
    <w:rsid w:val="009A4E7B"/>
    <w:rsid w:val="009A60D1"/>
    <w:rsid w:val="009A643E"/>
    <w:rsid w:val="009A795A"/>
    <w:rsid w:val="009B0AC7"/>
    <w:rsid w:val="009B0AFB"/>
    <w:rsid w:val="009B2633"/>
    <w:rsid w:val="009B263B"/>
    <w:rsid w:val="009B2896"/>
    <w:rsid w:val="009B2C7D"/>
    <w:rsid w:val="009B4034"/>
    <w:rsid w:val="009B475E"/>
    <w:rsid w:val="009B48C0"/>
    <w:rsid w:val="009B49B1"/>
    <w:rsid w:val="009B6508"/>
    <w:rsid w:val="009B6F12"/>
    <w:rsid w:val="009B6FD3"/>
    <w:rsid w:val="009B7BED"/>
    <w:rsid w:val="009B7C76"/>
    <w:rsid w:val="009B7E27"/>
    <w:rsid w:val="009C02C3"/>
    <w:rsid w:val="009C0956"/>
    <w:rsid w:val="009C1750"/>
    <w:rsid w:val="009C1C14"/>
    <w:rsid w:val="009C2ACA"/>
    <w:rsid w:val="009C2E29"/>
    <w:rsid w:val="009C3F5D"/>
    <w:rsid w:val="009C3F70"/>
    <w:rsid w:val="009C4883"/>
    <w:rsid w:val="009C4EC5"/>
    <w:rsid w:val="009C554B"/>
    <w:rsid w:val="009C58CC"/>
    <w:rsid w:val="009C59D0"/>
    <w:rsid w:val="009C61F3"/>
    <w:rsid w:val="009C6352"/>
    <w:rsid w:val="009C65DC"/>
    <w:rsid w:val="009C6EF9"/>
    <w:rsid w:val="009C719E"/>
    <w:rsid w:val="009C7240"/>
    <w:rsid w:val="009C7A10"/>
    <w:rsid w:val="009C7E11"/>
    <w:rsid w:val="009D1120"/>
    <w:rsid w:val="009D14F4"/>
    <w:rsid w:val="009D201B"/>
    <w:rsid w:val="009D24D5"/>
    <w:rsid w:val="009D29DB"/>
    <w:rsid w:val="009D3803"/>
    <w:rsid w:val="009D3ACD"/>
    <w:rsid w:val="009D3B3F"/>
    <w:rsid w:val="009D4785"/>
    <w:rsid w:val="009D5649"/>
    <w:rsid w:val="009D7FC6"/>
    <w:rsid w:val="009E0CDF"/>
    <w:rsid w:val="009E16C0"/>
    <w:rsid w:val="009E1988"/>
    <w:rsid w:val="009E33BB"/>
    <w:rsid w:val="009E3AF1"/>
    <w:rsid w:val="009E4927"/>
    <w:rsid w:val="009E5127"/>
    <w:rsid w:val="009E5273"/>
    <w:rsid w:val="009E5685"/>
    <w:rsid w:val="009E5AD5"/>
    <w:rsid w:val="009E5DDB"/>
    <w:rsid w:val="009E7F05"/>
    <w:rsid w:val="009F034E"/>
    <w:rsid w:val="009F46B7"/>
    <w:rsid w:val="009F4CA7"/>
    <w:rsid w:val="009F563F"/>
    <w:rsid w:val="009F7558"/>
    <w:rsid w:val="009F791A"/>
    <w:rsid w:val="00A00CEF"/>
    <w:rsid w:val="00A0156B"/>
    <w:rsid w:val="00A022B7"/>
    <w:rsid w:val="00A03BF3"/>
    <w:rsid w:val="00A0406E"/>
    <w:rsid w:val="00A044C1"/>
    <w:rsid w:val="00A044D8"/>
    <w:rsid w:val="00A04CEF"/>
    <w:rsid w:val="00A06374"/>
    <w:rsid w:val="00A0642E"/>
    <w:rsid w:val="00A077E2"/>
    <w:rsid w:val="00A10BE6"/>
    <w:rsid w:val="00A10D66"/>
    <w:rsid w:val="00A10D89"/>
    <w:rsid w:val="00A12306"/>
    <w:rsid w:val="00A12CAE"/>
    <w:rsid w:val="00A13BDB"/>
    <w:rsid w:val="00A14114"/>
    <w:rsid w:val="00A144BA"/>
    <w:rsid w:val="00A14995"/>
    <w:rsid w:val="00A1537C"/>
    <w:rsid w:val="00A16413"/>
    <w:rsid w:val="00A1684E"/>
    <w:rsid w:val="00A16E1D"/>
    <w:rsid w:val="00A178D0"/>
    <w:rsid w:val="00A17918"/>
    <w:rsid w:val="00A17A35"/>
    <w:rsid w:val="00A17D5B"/>
    <w:rsid w:val="00A17EB2"/>
    <w:rsid w:val="00A206E5"/>
    <w:rsid w:val="00A20CC0"/>
    <w:rsid w:val="00A2141F"/>
    <w:rsid w:val="00A21D25"/>
    <w:rsid w:val="00A220CB"/>
    <w:rsid w:val="00A22C64"/>
    <w:rsid w:val="00A22DA7"/>
    <w:rsid w:val="00A23447"/>
    <w:rsid w:val="00A23E43"/>
    <w:rsid w:val="00A24A80"/>
    <w:rsid w:val="00A25216"/>
    <w:rsid w:val="00A25477"/>
    <w:rsid w:val="00A25DB9"/>
    <w:rsid w:val="00A25DC6"/>
    <w:rsid w:val="00A267EF"/>
    <w:rsid w:val="00A30825"/>
    <w:rsid w:val="00A30D32"/>
    <w:rsid w:val="00A30D6F"/>
    <w:rsid w:val="00A30DE7"/>
    <w:rsid w:val="00A30F65"/>
    <w:rsid w:val="00A318DC"/>
    <w:rsid w:val="00A32BF2"/>
    <w:rsid w:val="00A33549"/>
    <w:rsid w:val="00A33814"/>
    <w:rsid w:val="00A33A89"/>
    <w:rsid w:val="00A33FC9"/>
    <w:rsid w:val="00A349DB"/>
    <w:rsid w:val="00A34D27"/>
    <w:rsid w:val="00A37C50"/>
    <w:rsid w:val="00A40373"/>
    <w:rsid w:val="00A40A0B"/>
    <w:rsid w:val="00A40A92"/>
    <w:rsid w:val="00A40EAC"/>
    <w:rsid w:val="00A40EDD"/>
    <w:rsid w:val="00A418BC"/>
    <w:rsid w:val="00A4206C"/>
    <w:rsid w:val="00A4279D"/>
    <w:rsid w:val="00A4346A"/>
    <w:rsid w:val="00A44D0C"/>
    <w:rsid w:val="00A4632B"/>
    <w:rsid w:val="00A46DE0"/>
    <w:rsid w:val="00A472EB"/>
    <w:rsid w:val="00A47FCA"/>
    <w:rsid w:val="00A50D73"/>
    <w:rsid w:val="00A51070"/>
    <w:rsid w:val="00A527E8"/>
    <w:rsid w:val="00A52CAD"/>
    <w:rsid w:val="00A53458"/>
    <w:rsid w:val="00A53FC7"/>
    <w:rsid w:val="00A5402E"/>
    <w:rsid w:val="00A54275"/>
    <w:rsid w:val="00A55208"/>
    <w:rsid w:val="00A563D1"/>
    <w:rsid w:val="00A57C75"/>
    <w:rsid w:val="00A601C4"/>
    <w:rsid w:val="00A6051A"/>
    <w:rsid w:val="00A60799"/>
    <w:rsid w:val="00A6118B"/>
    <w:rsid w:val="00A61B63"/>
    <w:rsid w:val="00A6238E"/>
    <w:rsid w:val="00A62CE1"/>
    <w:rsid w:val="00A63C9B"/>
    <w:rsid w:val="00A64380"/>
    <w:rsid w:val="00A64B59"/>
    <w:rsid w:val="00A65222"/>
    <w:rsid w:val="00A668A3"/>
    <w:rsid w:val="00A66F56"/>
    <w:rsid w:val="00A6741E"/>
    <w:rsid w:val="00A73109"/>
    <w:rsid w:val="00A73C0E"/>
    <w:rsid w:val="00A74EBD"/>
    <w:rsid w:val="00A754EA"/>
    <w:rsid w:val="00A75E40"/>
    <w:rsid w:val="00A765FD"/>
    <w:rsid w:val="00A76AF7"/>
    <w:rsid w:val="00A770F4"/>
    <w:rsid w:val="00A77D1D"/>
    <w:rsid w:val="00A82A8A"/>
    <w:rsid w:val="00A8349D"/>
    <w:rsid w:val="00A83B53"/>
    <w:rsid w:val="00A8449B"/>
    <w:rsid w:val="00A84A6A"/>
    <w:rsid w:val="00A857C0"/>
    <w:rsid w:val="00A85B5F"/>
    <w:rsid w:val="00A87F87"/>
    <w:rsid w:val="00A90FED"/>
    <w:rsid w:val="00A915C7"/>
    <w:rsid w:val="00A91AAB"/>
    <w:rsid w:val="00A91C1B"/>
    <w:rsid w:val="00A91EF3"/>
    <w:rsid w:val="00A94174"/>
    <w:rsid w:val="00A941F8"/>
    <w:rsid w:val="00A94ED2"/>
    <w:rsid w:val="00A95478"/>
    <w:rsid w:val="00A958F0"/>
    <w:rsid w:val="00A96371"/>
    <w:rsid w:val="00A97E48"/>
    <w:rsid w:val="00AA0591"/>
    <w:rsid w:val="00AA0ABE"/>
    <w:rsid w:val="00AA2996"/>
    <w:rsid w:val="00AA2A70"/>
    <w:rsid w:val="00AA2DA1"/>
    <w:rsid w:val="00AA4B30"/>
    <w:rsid w:val="00AA52BF"/>
    <w:rsid w:val="00AA559A"/>
    <w:rsid w:val="00AA58D7"/>
    <w:rsid w:val="00AA6953"/>
    <w:rsid w:val="00AA765D"/>
    <w:rsid w:val="00AB235A"/>
    <w:rsid w:val="00AB2AF1"/>
    <w:rsid w:val="00AB32CC"/>
    <w:rsid w:val="00AB5242"/>
    <w:rsid w:val="00AB535B"/>
    <w:rsid w:val="00AB63D5"/>
    <w:rsid w:val="00AB7936"/>
    <w:rsid w:val="00AB7F52"/>
    <w:rsid w:val="00AB7FE4"/>
    <w:rsid w:val="00AC45BD"/>
    <w:rsid w:val="00AC5791"/>
    <w:rsid w:val="00AC633A"/>
    <w:rsid w:val="00AC634C"/>
    <w:rsid w:val="00AC6D7C"/>
    <w:rsid w:val="00AC6D9A"/>
    <w:rsid w:val="00AC73C6"/>
    <w:rsid w:val="00AD0FBF"/>
    <w:rsid w:val="00AD101F"/>
    <w:rsid w:val="00AD1543"/>
    <w:rsid w:val="00AD15BB"/>
    <w:rsid w:val="00AD168E"/>
    <w:rsid w:val="00AD1DA1"/>
    <w:rsid w:val="00AD1E15"/>
    <w:rsid w:val="00AD2A17"/>
    <w:rsid w:val="00AD2BF6"/>
    <w:rsid w:val="00AD306C"/>
    <w:rsid w:val="00AD3EB3"/>
    <w:rsid w:val="00AD4F16"/>
    <w:rsid w:val="00AD4FC5"/>
    <w:rsid w:val="00AD5152"/>
    <w:rsid w:val="00AD5323"/>
    <w:rsid w:val="00AD5B55"/>
    <w:rsid w:val="00AD5D52"/>
    <w:rsid w:val="00AD5E10"/>
    <w:rsid w:val="00AD68C4"/>
    <w:rsid w:val="00AD7A0A"/>
    <w:rsid w:val="00AE01AE"/>
    <w:rsid w:val="00AE09B3"/>
    <w:rsid w:val="00AE0ED3"/>
    <w:rsid w:val="00AE153F"/>
    <w:rsid w:val="00AE1585"/>
    <w:rsid w:val="00AE1A2E"/>
    <w:rsid w:val="00AE1A83"/>
    <w:rsid w:val="00AE31A7"/>
    <w:rsid w:val="00AE39CE"/>
    <w:rsid w:val="00AE5CB9"/>
    <w:rsid w:val="00AE63ED"/>
    <w:rsid w:val="00AE678D"/>
    <w:rsid w:val="00AF1DE9"/>
    <w:rsid w:val="00AF24F1"/>
    <w:rsid w:val="00AF2CC1"/>
    <w:rsid w:val="00AF3683"/>
    <w:rsid w:val="00AF3D9E"/>
    <w:rsid w:val="00AF4D60"/>
    <w:rsid w:val="00AF5579"/>
    <w:rsid w:val="00AF5911"/>
    <w:rsid w:val="00AF6128"/>
    <w:rsid w:val="00AF76EF"/>
    <w:rsid w:val="00B00913"/>
    <w:rsid w:val="00B01439"/>
    <w:rsid w:val="00B01593"/>
    <w:rsid w:val="00B01CF3"/>
    <w:rsid w:val="00B023F2"/>
    <w:rsid w:val="00B03033"/>
    <w:rsid w:val="00B04705"/>
    <w:rsid w:val="00B04911"/>
    <w:rsid w:val="00B04E70"/>
    <w:rsid w:val="00B04EF7"/>
    <w:rsid w:val="00B05704"/>
    <w:rsid w:val="00B06251"/>
    <w:rsid w:val="00B06547"/>
    <w:rsid w:val="00B07939"/>
    <w:rsid w:val="00B07959"/>
    <w:rsid w:val="00B07BBB"/>
    <w:rsid w:val="00B10325"/>
    <w:rsid w:val="00B104EC"/>
    <w:rsid w:val="00B10A08"/>
    <w:rsid w:val="00B10A4D"/>
    <w:rsid w:val="00B10E75"/>
    <w:rsid w:val="00B123E8"/>
    <w:rsid w:val="00B124EF"/>
    <w:rsid w:val="00B128A6"/>
    <w:rsid w:val="00B13EF3"/>
    <w:rsid w:val="00B14A5D"/>
    <w:rsid w:val="00B14BC1"/>
    <w:rsid w:val="00B15997"/>
    <w:rsid w:val="00B159F7"/>
    <w:rsid w:val="00B15A8D"/>
    <w:rsid w:val="00B175C8"/>
    <w:rsid w:val="00B17E71"/>
    <w:rsid w:val="00B17FDE"/>
    <w:rsid w:val="00B207A7"/>
    <w:rsid w:val="00B21017"/>
    <w:rsid w:val="00B2176C"/>
    <w:rsid w:val="00B21E2C"/>
    <w:rsid w:val="00B21EF9"/>
    <w:rsid w:val="00B2322A"/>
    <w:rsid w:val="00B2327B"/>
    <w:rsid w:val="00B2379C"/>
    <w:rsid w:val="00B24437"/>
    <w:rsid w:val="00B25189"/>
    <w:rsid w:val="00B2687D"/>
    <w:rsid w:val="00B26897"/>
    <w:rsid w:val="00B2724A"/>
    <w:rsid w:val="00B272BD"/>
    <w:rsid w:val="00B27A6B"/>
    <w:rsid w:val="00B30BA8"/>
    <w:rsid w:val="00B329E8"/>
    <w:rsid w:val="00B32DDB"/>
    <w:rsid w:val="00B333BC"/>
    <w:rsid w:val="00B333C7"/>
    <w:rsid w:val="00B34528"/>
    <w:rsid w:val="00B34CC9"/>
    <w:rsid w:val="00B35675"/>
    <w:rsid w:val="00B35763"/>
    <w:rsid w:val="00B35E8D"/>
    <w:rsid w:val="00B35FC1"/>
    <w:rsid w:val="00B379FE"/>
    <w:rsid w:val="00B40069"/>
    <w:rsid w:val="00B402FC"/>
    <w:rsid w:val="00B405BD"/>
    <w:rsid w:val="00B4263C"/>
    <w:rsid w:val="00B42F87"/>
    <w:rsid w:val="00B435B6"/>
    <w:rsid w:val="00B439DA"/>
    <w:rsid w:val="00B46604"/>
    <w:rsid w:val="00B46FA4"/>
    <w:rsid w:val="00B47195"/>
    <w:rsid w:val="00B47732"/>
    <w:rsid w:val="00B47C25"/>
    <w:rsid w:val="00B5060E"/>
    <w:rsid w:val="00B50624"/>
    <w:rsid w:val="00B5237E"/>
    <w:rsid w:val="00B5296C"/>
    <w:rsid w:val="00B530CD"/>
    <w:rsid w:val="00B53A26"/>
    <w:rsid w:val="00B55F5E"/>
    <w:rsid w:val="00B5752E"/>
    <w:rsid w:val="00B60423"/>
    <w:rsid w:val="00B63A11"/>
    <w:rsid w:val="00B63B6A"/>
    <w:rsid w:val="00B64C24"/>
    <w:rsid w:val="00B64CEC"/>
    <w:rsid w:val="00B64D8E"/>
    <w:rsid w:val="00B65139"/>
    <w:rsid w:val="00B6608F"/>
    <w:rsid w:val="00B66354"/>
    <w:rsid w:val="00B67472"/>
    <w:rsid w:val="00B67681"/>
    <w:rsid w:val="00B67768"/>
    <w:rsid w:val="00B679FB"/>
    <w:rsid w:val="00B702E6"/>
    <w:rsid w:val="00B704BC"/>
    <w:rsid w:val="00B71EF7"/>
    <w:rsid w:val="00B7288D"/>
    <w:rsid w:val="00B7289D"/>
    <w:rsid w:val="00B72EB1"/>
    <w:rsid w:val="00B7358C"/>
    <w:rsid w:val="00B74326"/>
    <w:rsid w:val="00B7665A"/>
    <w:rsid w:val="00B76D1E"/>
    <w:rsid w:val="00B77292"/>
    <w:rsid w:val="00B8028A"/>
    <w:rsid w:val="00B80B8B"/>
    <w:rsid w:val="00B80DE0"/>
    <w:rsid w:val="00B80EC6"/>
    <w:rsid w:val="00B82874"/>
    <w:rsid w:val="00B82905"/>
    <w:rsid w:val="00B829DF"/>
    <w:rsid w:val="00B82E21"/>
    <w:rsid w:val="00B83446"/>
    <w:rsid w:val="00B8424C"/>
    <w:rsid w:val="00B84B72"/>
    <w:rsid w:val="00B84B89"/>
    <w:rsid w:val="00B84CF6"/>
    <w:rsid w:val="00B857A1"/>
    <w:rsid w:val="00B85CC7"/>
    <w:rsid w:val="00B86A96"/>
    <w:rsid w:val="00B875A7"/>
    <w:rsid w:val="00B87623"/>
    <w:rsid w:val="00B90BAE"/>
    <w:rsid w:val="00B92D1D"/>
    <w:rsid w:val="00B938C5"/>
    <w:rsid w:val="00B94199"/>
    <w:rsid w:val="00B94C53"/>
    <w:rsid w:val="00B94D8F"/>
    <w:rsid w:val="00B95940"/>
    <w:rsid w:val="00B95957"/>
    <w:rsid w:val="00B96FAD"/>
    <w:rsid w:val="00B977D1"/>
    <w:rsid w:val="00BA2B75"/>
    <w:rsid w:val="00BA3029"/>
    <w:rsid w:val="00BA3793"/>
    <w:rsid w:val="00BA37EA"/>
    <w:rsid w:val="00BA4B77"/>
    <w:rsid w:val="00BA5256"/>
    <w:rsid w:val="00BA6AAF"/>
    <w:rsid w:val="00BA6C2B"/>
    <w:rsid w:val="00BB0637"/>
    <w:rsid w:val="00BB0E67"/>
    <w:rsid w:val="00BB22F6"/>
    <w:rsid w:val="00BB4283"/>
    <w:rsid w:val="00BB46F3"/>
    <w:rsid w:val="00BB4A29"/>
    <w:rsid w:val="00BB4CB1"/>
    <w:rsid w:val="00BB4F98"/>
    <w:rsid w:val="00BB5CCF"/>
    <w:rsid w:val="00BB73ED"/>
    <w:rsid w:val="00BB7875"/>
    <w:rsid w:val="00BC1DD9"/>
    <w:rsid w:val="00BC2788"/>
    <w:rsid w:val="00BC3208"/>
    <w:rsid w:val="00BC4F88"/>
    <w:rsid w:val="00BC5938"/>
    <w:rsid w:val="00BC5C12"/>
    <w:rsid w:val="00BC5E22"/>
    <w:rsid w:val="00BC6007"/>
    <w:rsid w:val="00BC7154"/>
    <w:rsid w:val="00BC731E"/>
    <w:rsid w:val="00BC7396"/>
    <w:rsid w:val="00BC77F6"/>
    <w:rsid w:val="00BD0046"/>
    <w:rsid w:val="00BD15F8"/>
    <w:rsid w:val="00BD1ED8"/>
    <w:rsid w:val="00BD3055"/>
    <w:rsid w:val="00BD366B"/>
    <w:rsid w:val="00BD6D50"/>
    <w:rsid w:val="00BE18B9"/>
    <w:rsid w:val="00BE19ED"/>
    <w:rsid w:val="00BE2495"/>
    <w:rsid w:val="00BE2D3D"/>
    <w:rsid w:val="00BE2D99"/>
    <w:rsid w:val="00BE35EA"/>
    <w:rsid w:val="00BE390E"/>
    <w:rsid w:val="00BE3D06"/>
    <w:rsid w:val="00BE4BED"/>
    <w:rsid w:val="00BE53A6"/>
    <w:rsid w:val="00BE5DAB"/>
    <w:rsid w:val="00BE6572"/>
    <w:rsid w:val="00BE7117"/>
    <w:rsid w:val="00BE7BCD"/>
    <w:rsid w:val="00BE7FCB"/>
    <w:rsid w:val="00BF1578"/>
    <w:rsid w:val="00BF1FA2"/>
    <w:rsid w:val="00BF2223"/>
    <w:rsid w:val="00BF3B1D"/>
    <w:rsid w:val="00BF3D6E"/>
    <w:rsid w:val="00BF4BD4"/>
    <w:rsid w:val="00BF59B6"/>
    <w:rsid w:val="00BF6D32"/>
    <w:rsid w:val="00BF71A0"/>
    <w:rsid w:val="00BF723F"/>
    <w:rsid w:val="00C0100E"/>
    <w:rsid w:val="00C02714"/>
    <w:rsid w:val="00C02943"/>
    <w:rsid w:val="00C03294"/>
    <w:rsid w:val="00C03ACD"/>
    <w:rsid w:val="00C03E33"/>
    <w:rsid w:val="00C04EA2"/>
    <w:rsid w:val="00C05360"/>
    <w:rsid w:val="00C05597"/>
    <w:rsid w:val="00C05B27"/>
    <w:rsid w:val="00C07A3D"/>
    <w:rsid w:val="00C10440"/>
    <w:rsid w:val="00C11B46"/>
    <w:rsid w:val="00C12629"/>
    <w:rsid w:val="00C12B02"/>
    <w:rsid w:val="00C12CFD"/>
    <w:rsid w:val="00C132F3"/>
    <w:rsid w:val="00C13980"/>
    <w:rsid w:val="00C13B37"/>
    <w:rsid w:val="00C144D7"/>
    <w:rsid w:val="00C1648C"/>
    <w:rsid w:val="00C16FB0"/>
    <w:rsid w:val="00C17B96"/>
    <w:rsid w:val="00C20A51"/>
    <w:rsid w:val="00C210CB"/>
    <w:rsid w:val="00C21325"/>
    <w:rsid w:val="00C21442"/>
    <w:rsid w:val="00C21721"/>
    <w:rsid w:val="00C21F94"/>
    <w:rsid w:val="00C22AA6"/>
    <w:rsid w:val="00C2307C"/>
    <w:rsid w:val="00C2330B"/>
    <w:rsid w:val="00C23319"/>
    <w:rsid w:val="00C240F3"/>
    <w:rsid w:val="00C26765"/>
    <w:rsid w:val="00C2750F"/>
    <w:rsid w:val="00C27913"/>
    <w:rsid w:val="00C27E4F"/>
    <w:rsid w:val="00C325AE"/>
    <w:rsid w:val="00C32964"/>
    <w:rsid w:val="00C32B5A"/>
    <w:rsid w:val="00C32BFF"/>
    <w:rsid w:val="00C32E5D"/>
    <w:rsid w:val="00C33B68"/>
    <w:rsid w:val="00C34756"/>
    <w:rsid w:val="00C34B09"/>
    <w:rsid w:val="00C354A2"/>
    <w:rsid w:val="00C36A79"/>
    <w:rsid w:val="00C36BCC"/>
    <w:rsid w:val="00C37C3D"/>
    <w:rsid w:val="00C401D2"/>
    <w:rsid w:val="00C405D4"/>
    <w:rsid w:val="00C4098C"/>
    <w:rsid w:val="00C41650"/>
    <w:rsid w:val="00C41D07"/>
    <w:rsid w:val="00C420B7"/>
    <w:rsid w:val="00C42869"/>
    <w:rsid w:val="00C42C3D"/>
    <w:rsid w:val="00C42CE8"/>
    <w:rsid w:val="00C4431F"/>
    <w:rsid w:val="00C44E9D"/>
    <w:rsid w:val="00C4513B"/>
    <w:rsid w:val="00C4627C"/>
    <w:rsid w:val="00C46423"/>
    <w:rsid w:val="00C473D4"/>
    <w:rsid w:val="00C4763B"/>
    <w:rsid w:val="00C52C3E"/>
    <w:rsid w:val="00C53854"/>
    <w:rsid w:val="00C5390B"/>
    <w:rsid w:val="00C53E5D"/>
    <w:rsid w:val="00C53E65"/>
    <w:rsid w:val="00C54141"/>
    <w:rsid w:val="00C5418A"/>
    <w:rsid w:val="00C54697"/>
    <w:rsid w:val="00C55400"/>
    <w:rsid w:val="00C56A5F"/>
    <w:rsid w:val="00C57BF0"/>
    <w:rsid w:val="00C6007E"/>
    <w:rsid w:val="00C60B8B"/>
    <w:rsid w:val="00C61BEF"/>
    <w:rsid w:val="00C62FEF"/>
    <w:rsid w:val="00C64A15"/>
    <w:rsid w:val="00C65535"/>
    <w:rsid w:val="00C65B6D"/>
    <w:rsid w:val="00C65C22"/>
    <w:rsid w:val="00C65F06"/>
    <w:rsid w:val="00C66222"/>
    <w:rsid w:val="00C66B0D"/>
    <w:rsid w:val="00C67599"/>
    <w:rsid w:val="00C718F3"/>
    <w:rsid w:val="00C71E85"/>
    <w:rsid w:val="00C7209C"/>
    <w:rsid w:val="00C72884"/>
    <w:rsid w:val="00C72CDE"/>
    <w:rsid w:val="00C72F3B"/>
    <w:rsid w:val="00C73885"/>
    <w:rsid w:val="00C73BA9"/>
    <w:rsid w:val="00C7466F"/>
    <w:rsid w:val="00C747B1"/>
    <w:rsid w:val="00C74B82"/>
    <w:rsid w:val="00C74CD8"/>
    <w:rsid w:val="00C7674F"/>
    <w:rsid w:val="00C76D12"/>
    <w:rsid w:val="00C77572"/>
    <w:rsid w:val="00C77AC4"/>
    <w:rsid w:val="00C77E1A"/>
    <w:rsid w:val="00C81BA9"/>
    <w:rsid w:val="00C82191"/>
    <w:rsid w:val="00C83134"/>
    <w:rsid w:val="00C843D9"/>
    <w:rsid w:val="00C845FA"/>
    <w:rsid w:val="00C85545"/>
    <w:rsid w:val="00C85845"/>
    <w:rsid w:val="00C85F8A"/>
    <w:rsid w:val="00C8788E"/>
    <w:rsid w:val="00C9003C"/>
    <w:rsid w:val="00C90847"/>
    <w:rsid w:val="00C90CF4"/>
    <w:rsid w:val="00C9288C"/>
    <w:rsid w:val="00C92EB6"/>
    <w:rsid w:val="00C93229"/>
    <w:rsid w:val="00C93389"/>
    <w:rsid w:val="00C945BC"/>
    <w:rsid w:val="00C949A2"/>
    <w:rsid w:val="00C95DB2"/>
    <w:rsid w:val="00C96040"/>
    <w:rsid w:val="00C96F2E"/>
    <w:rsid w:val="00C96F89"/>
    <w:rsid w:val="00C9769E"/>
    <w:rsid w:val="00CA0914"/>
    <w:rsid w:val="00CA1DC0"/>
    <w:rsid w:val="00CA4B7C"/>
    <w:rsid w:val="00CA591D"/>
    <w:rsid w:val="00CA6AB4"/>
    <w:rsid w:val="00CA6C88"/>
    <w:rsid w:val="00CA76F6"/>
    <w:rsid w:val="00CA78F5"/>
    <w:rsid w:val="00CA7BE7"/>
    <w:rsid w:val="00CB0A22"/>
    <w:rsid w:val="00CB1C2E"/>
    <w:rsid w:val="00CB2D0E"/>
    <w:rsid w:val="00CB2F3F"/>
    <w:rsid w:val="00CB340E"/>
    <w:rsid w:val="00CB4930"/>
    <w:rsid w:val="00CB5441"/>
    <w:rsid w:val="00CB67BF"/>
    <w:rsid w:val="00CB67F0"/>
    <w:rsid w:val="00CB6E6E"/>
    <w:rsid w:val="00CC028E"/>
    <w:rsid w:val="00CC06EE"/>
    <w:rsid w:val="00CC08A4"/>
    <w:rsid w:val="00CC0E87"/>
    <w:rsid w:val="00CC1DC5"/>
    <w:rsid w:val="00CC2E7D"/>
    <w:rsid w:val="00CC445E"/>
    <w:rsid w:val="00CC64C1"/>
    <w:rsid w:val="00CC6B42"/>
    <w:rsid w:val="00CC6BB9"/>
    <w:rsid w:val="00CD03BC"/>
    <w:rsid w:val="00CD085A"/>
    <w:rsid w:val="00CD09AC"/>
    <w:rsid w:val="00CD10A5"/>
    <w:rsid w:val="00CD12C0"/>
    <w:rsid w:val="00CD2076"/>
    <w:rsid w:val="00CD22D2"/>
    <w:rsid w:val="00CD29B5"/>
    <w:rsid w:val="00CD4DE9"/>
    <w:rsid w:val="00CD5A9D"/>
    <w:rsid w:val="00CD5D9F"/>
    <w:rsid w:val="00CD5E63"/>
    <w:rsid w:val="00CD6331"/>
    <w:rsid w:val="00CD6C83"/>
    <w:rsid w:val="00CD7494"/>
    <w:rsid w:val="00CD7704"/>
    <w:rsid w:val="00CD7AC0"/>
    <w:rsid w:val="00CD7AFB"/>
    <w:rsid w:val="00CE10DA"/>
    <w:rsid w:val="00CE173A"/>
    <w:rsid w:val="00CE233D"/>
    <w:rsid w:val="00CE27B2"/>
    <w:rsid w:val="00CE3932"/>
    <w:rsid w:val="00CE3E57"/>
    <w:rsid w:val="00CE51C5"/>
    <w:rsid w:val="00CE5794"/>
    <w:rsid w:val="00CE670B"/>
    <w:rsid w:val="00CE74E1"/>
    <w:rsid w:val="00CF11A4"/>
    <w:rsid w:val="00CF19CB"/>
    <w:rsid w:val="00CF2371"/>
    <w:rsid w:val="00CF262D"/>
    <w:rsid w:val="00CF322D"/>
    <w:rsid w:val="00CF39C9"/>
    <w:rsid w:val="00CF4908"/>
    <w:rsid w:val="00CF51EC"/>
    <w:rsid w:val="00CF59E5"/>
    <w:rsid w:val="00CF5CEA"/>
    <w:rsid w:val="00CF6459"/>
    <w:rsid w:val="00CF719E"/>
    <w:rsid w:val="00CF73AE"/>
    <w:rsid w:val="00CF7E85"/>
    <w:rsid w:val="00D00C24"/>
    <w:rsid w:val="00D0105D"/>
    <w:rsid w:val="00D012DB"/>
    <w:rsid w:val="00D0381E"/>
    <w:rsid w:val="00D040DD"/>
    <w:rsid w:val="00D043A0"/>
    <w:rsid w:val="00D04C1F"/>
    <w:rsid w:val="00D06B25"/>
    <w:rsid w:val="00D075BE"/>
    <w:rsid w:val="00D075CF"/>
    <w:rsid w:val="00D07D61"/>
    <w:rsid w:val="00D10999"/>
    <w:rsid w:val="00D11A3A"/>
    <w:rsid w:val="00D12B5B"/>
    <w:rsid w:val="00D13273"/>
    <w:rsid w:val="00D133BB"/>
    <w:rsid w:val="00D13986"/>
    <w:rsid w:val="00D147FE"/>
    <w:rsid w:val="00D15524"/>
    <w:rsid w:val="00D167DC"/>
    <w:rsid w:val="00D168EE"/>
    <w:rsid w:val="00D1753E"/>
    <w:rsid w:val="00D17AA6"/>
    <w:rsid w:val="00D17BB8"/>
    <w:rsid w:val="00D2037E"/>
    <w:rsid w:val="00D21687"/>
    <w:rsid w:val="00D21D83"/>
    <w:rsid w:val="00D2218D"/>
    <w:rsid w:val="00D2231E"/>
    <w:rsid w:val="00D2296F"/>
    <w:rsid w:val="00D22A86"/>
    <w:rsid w:val="00D235B7"/>
    <w:rsid w:val="00D237A7"/>
    <w:rsid w:val="00D23C02"/>
    <w:rsid w:val="00D23F97"/>
    <w:rsid w:val="00D23F99"/>
    <w:rsid w:val="00D24011"/>
    <w:rsid w:val="00D25F28"/>
    <w:rsid w:val="00D25FD1"/>
    <w:rsid w:val="00D26071"/>
    <w:rsid w:val="00D268CA"/>
    <w:rsid w:val="00D2738E"/>
    <w:rsid w:val="00D2760C"/>
    <w:rsid w:val="00D276BF"/>
    <w:rsid w:val="00D27973"/>
    <w:rsid w:val="00D3074E"/>
    <w:rsid w:val="00D30B3A"/>
    <w:rsid w:val="00D30D0F"/>
    <w:rsid w:val="00D31188"/>
    <w:rsid w:val="00D32468"/>
    <w:rsid w:val="00D35C3D"/>
    <w:rsid w:val="00D35E1A"/>
    <w:rsid w:val="00D36119"/>
    <w:rsid w:val="00D37C1E"/>
    <w:rsid w:val="00D40B2B"/>
    <w:rsid w:val="00D40F7C"/>
    <w:rsid w:val="00D41384"/>
    <w:rsid w:val="00D417B7"/>
    <w:rsid w:val="00D4182F"/>
    <w:rsid w:val="00D42211"/>
    <w:rsid w:val="00D42756"/>
    <w:rsid w:val="00D43F40"/>
    <w:rsid w:val="00D4446D"/>
    <w:rsid w:val="00D445AD"/>
    <w:rsid w:val="00D44F50"/>
    <w:rsid w:val="00D4551E"/>
    <w:rsid w:val="00D45569"/>
    <w:rsid w:val="00D455F5"/>
    <w:rsid w:val="00D458AD"/>
    <w:rsid w:val="00D46FF9"/>
    <w:rsid w:val="00D4758C"/>
    <w:rsid w:val="00D50F46"/>
    <w:rsid w:val="00D51744"/>
    <w:rsid w:val="00D54688"/>
    <w:rsid w:val="00D55033"/>
    <w:rsid w:val="00D567C6"/>
    <w:rsid w:val="00D575B0"/>
    <w:rsid w:val="00D57677"/>
    <w:rsid w:val="00D60773"/>
    <w:rsid w:val="00D60B90"/>
    <w:rsid w:val="00D6190C"/>
    <w:rsid w:val="00D619A8"/>
    <w:rsid w:val="00D61DF8"/>
    <w:rsid w:val="00D61FB9"/>
    <w:rsid w:val="00D62E64"/>
    <w:rsid w:val="00D6320C"/>
    <w:rsid w:val="00D638C8"/>
    <w:rsid w:val="00D6496E"/>
    <w:rsid w:val="00D650C7"/>
    <w:rsid w:val="00D65174"/>
    <w:rsid w:val="00D65537"/>
    <w:rsid w:val="00D658DF"/>
    <w:rsid w:val="00D65B26"/>
    <w:rsid w:val="00D66223"/>
    <w:rsid w:val="00D674D7"/>
    <w:rsid w:val="00D71625"/>
    <w:rsid w:val="00D71B65"/>
    <w:rsid w:val="00D71E43"/>
    <w:rsid w:val="00D7385F"/>
    <w:rsid w:val="00D751DA"/>
    <w:rsid w:val="00D756D2"/>
    <w:rsid w:val="00D76EC6"/>
    <w:rsid w:val="00D76FC3"/>
    <w:rsid w:val="00D7778F"/>
    <w:rsid w:val="00D8084C"/>
    <w:rsid w:val="00D8454D"/>
    <w:rsid w:val="00D865FF"/>
    <w:rsid w:val="00D900EA"/>
    <w:rsid w:val="00D901F4"/>
    <w:rsid w:val="00D915EA"/>
    <w:rsid w:val="00D92636"/>
    <w:rsid w:val="00D92EDA"/>
    <w:rsid w:val="00D9454B"/>
    <w:rsid w:val="00D94BF8"/>
    <w:rsid w:val="00D95195"/>
    <w:rsid w:val="00D95B04"/>
    <w:rsid w:val="00D95B68"/>
    <w:rsid w:val="00D96855"/>
    <w:rsid w:val="00D9785D"/>
    <w:rsid w:val="00DA2756"/>
    <w:rsid w:val="00DA3745"/>
    <w:rsid w:val="00DA3F50"/>
    <w:rsid w:val="00DA44DC"/>
    <w:rsid w:val="00DA47A8"/>
    <w:rsid w:val="00DA48C1"/>
    <w:rsid w:val="00DA724F"/>
    <w:rsid w:val="00DA7C0C"/>
    <w:rsid w:val="00DA7CDD"/>
    <w:rsid w:val="00DB08A9"/>
    <w:rsid w:val="00DB0DA5"/>
    <w:rsid w:val="00DB1019"/>
    <w:rsid w:val="00DB2EC8"/>
    <w:rsid w:val="00DB4AEF"/>
    <w:rsid w:val="00DB4E31"/>
    <w:rsid w:val="00DB5AF8"/>
    <w:rsid w:val="00DB5FC0"/>
    <w:rsid w:val="00DB6035"/>
    <w:rsid w:val="00DB6566"/>
    <w:rsid w:val="00DB77BB"/>
    <w:rsid w:val="00DC048E"/>
    <w:rsid w:val="00DC0DBD"/>
    <w:rsid w:val="00DC1B9B"/>
    <w:rsid w:val="00DC1E84"/>
    <w:rsid w:val="00DC36AA"/>
    <w:rsid w:val="00DC40D2"/>
    <w:rsid w:val="00DC48F1"/>
    <w:rsid w:val="00DC4DB8"/>
    <w:rsid w:val="00DC4EDE"/>
    <w:rsid w:val="00DC53F3"/>
    <w:rsid w:val="00DC5B3B"/>
    <w:rsid w:val="00DC6594"/>
    <w:rsid w:val="00DC788B"/>
    <w:rsid w:val="00DD0A61"/>
    <w:rsid w:val="00DD129F"/>
    <w:rsid w:val="00DD340B"/>
    <w:rsid w:val="00DD3E0E"/>
    <w:rsid w:val="00DD492B"/>
    <w:rsid w:val="00DD4B4B"/>
    <w:rsid w:val="00DD4C01"/>
    <w:rsid w:val="00DD4EFE"/>
    <w:rsid w:val="00DD5B19"/>
    <w:rsid w:val="00DD6243"/>
    <w:rsid w:val="00DD6956"/>
    <w:rsid w:val="00DE020E"/>
    <w:rsid w:val="00DE02BD"/>
    <w:rsid w:val="00DE05F6"/>
    <w:rsid w:val="00DE161B"/>
    <w:rsid w:val="00DE3DE3"/>
    <w:rsid w:val="00DE58BE"/>
    <w:rsid w:val="00DE5DBA"/>
    <w:rsid w:val="00DE7747"/>
    <w:rsid w:val="00DF2766"/>
    <w:rsid w:val="00DF2C89"/>
    <w:rsid w:val="00DF3DF6"/>
    <w:rsid w:val="00DF42FF"/>
    <w:rsid w:val="00DF4A1C"/>
    <w:rsid w:val="00DF5908"/>
    <w:rsid w:val="00DF6241"/>
    <w:rsid w:val="00DF768A"/>
    <w:rsid w:val="00DF7D4E"/>
    <w:rsid w:val="00E00AF8"/>
    <w:rsid w:val="00E01C0E"/>
    <w:rsid w:val="00E01F0A"/>
    <w:rsid w:val="00E0328D"/>
    <w:rsid w:val="00E03F9A"/>
    <w:rsid w:val="00E0465E"/>
    <w:rsid w:val="00E04694"/>
    <w:rsid w:val="00E049AE"/>
    <w:rsid w:val="00E0609D"/>
    <w:rsid w:val="00E06322"/>
    <w:rsid w:val="00E063CE"/>
    <w:rsid w:val="00E06D4B"/>
    <w:rsid w:val="00E0741F"/>
    <w:rsid w:val="00E114D5"/>
    <w:rsid w:val="00E12B1E"/>
    <w:rsid w:val="00E12F7C"/>
    <w:rsid w:val="00E13733"/>
    <w:rsid w:val="00E13784"/>
    <w:rsid w:val="00E13996"/>
    <w:rsid w:val="00E15B76"/>
    <w:rsid w:val="00E15F11"/>
    <w:rsid w:val="00E16208"/>
    <w:rsid w:val="00E16E65"/>
    <w:rsid w:val="00E17262"/>
    <w:rsid w:val="00E17608"/>
    <w:rsid w:val="00E207A9"/>
    <w:rsid w:val="00E20B53"/>
    <w:rsid w:val="00E239CE"/>
    <w:rsid w:val="00E24B6C"/>
    <w:rsid w:val="00E24BFC"/>
    <w:rsid w:val="00E253A2"/>
    <w:rsid w:val="00E25D3B"/>
    <w:rsid w:val="00E26274"/>
    <w:rsid w:val="00E27397"/>
    <w:rsid w:val="00E3030A"/>
    <w:rsid w:val="00E30AD3"/>
    <w:rsid w:val="00E30BB0"/>
    <w:rsid w:val="00E312D1"/>
    <w:rsid w:val="00E314B9"/>
    <w:rsid w:val="00E31932"/>
    <w:rsid w:val="00E31B27"/>
    <w:rsid w:val="00E31BA0"/>
    <w:rsid w:val="00E329EF"/>
    <w:rsid w:val="00E3309D"/>
    <w:rsid w:val="00E3442B"/>
    <w:rsid w:val="00E3680C"/>
    <w:rsid w:val="00E374F4"/>
    <w:rsid w:val="00E409C2"/>
    <w:rsid w:val="00E41A0E"/>
    <w:rsid w:val="00E42316"/>
    <w:rsid w:val="00E430FC"/>
    <w:rsid w:val="00E439D3"/>
    <w:rsid w:val="00E43C1C"/>
    <w:rsid w:val="00E43E9D"/>
    <w:rsid w:val="00E43EC0"/>
    <w:rsid w:val="00E44F51"/>
    <w:rsid w:val="00E45931"/>
    <w:rsid w:val="00E45C44"/>
    <w:rsid w:val="00E45D3D"/>
    <w:rsid w:val="00E4643F"/>
    <w:rsid w:val="00E46F7E"/>
    <w:rsid w:val="00E472EB"/>
    <w:rsid w:val="00E476F4"/>
    <w:rsid w:val="00E47774"/>
    <w:rsid w:val="00E47EBA"/>
    <w:rsid w:val="00E50156"/>
    <w:rsid w:val="00E50469"/>
    <w:rsid w:val="00E5114C"/>
    <w:rsid w:val="00E514E4"/>
    <w:rsid w:val="00E51643"/>
    <w:rsid w:val="00E519FD"/>
    <w:rsid w:val="00E524A3"/>
    <w:rsid w:val="00E53470"/>
    <w:rsid w:val="00E53874"/>
    <w:rsid w:val="00E539F6"/>
    <w:rsid w:val="00E53DAC"/>
    <w:rsid w:val="00E54E39"/>
    <w:rsid w:val="00E55091"/>
    <w:rsid w:val="00E56671"/>
    <w:rsid w:val="00E5780A"/>
    <w:rsid w:val="00E61923"/>
    <w:rsid w:val="00E62BB4"/>
    <w:rsid w:val="00E63040"/>
    <w:rsid w:val="00E64E38"/>
    <w:rsid w:val="00E6519D"/>
    <w:rsid w:val="00E66127"/>
    <w:rsid w:val="00E67696"/>
    <w:rsid w:val="00E67A9F"/>
    <w:rsid w:val="00E7058D"/>
    <w:rsid w:val="00E710BB"/>
    <w:rsid w:val="00E71654"/>
    <w:rsid w:val="00E716AC"/>
    <w:rsid w:val="00E71A58"/>
    <w:rsid w:val="00E72A7A"/>
    <w:rsid w:val="00E7388C"/>
    <w:rsid w:val="00E75C94"/>
    <w:rsid w:val="00E7629E"/>
    <w:rsid w:val="00E7677B"/>
    <w:rsid w:val="00E80858"/>
    <w:rsid w:val="00E80EBB"/>
    <w:rsid w:val="00E81532"/>
    <w:rsid w:val="00E83327"/>
    <w:rsid w:val="00E84024"/>
    <w:rsid w:val="00E849A6"/>
    <w:rsid w:val="00E84B8D"/>
    <w:rsid w:val="00E850DA"/>
    <w:rsid w:val="00E855F6"/>
    <w:rsid w:val="00E85810"/>
    <w:rsid w:val="00E868CA"/>
    <w:rsid w:val="00E87031"/>
    <w:rsid w:val="00E908FB"/>
    <w:rsid w:val="00E90DED"/>
    <w:rsid w:val="00E91024"/>
    <w:rsid w:val="00E920F4"/>
    <w:rsid w:val="00E92EA6"/>
    <w:rsid w:val="00E93125"/>
    <w:rsid w:val="00E93514"/>
    <w:rsid w:val="00E936C9"/>
    <w:rsid w:val="00E93820"/>
    <w:rsid w:val="00E93E62"/>
    <w:rsid w:val="00E944EF"/>
    <w:rsid w:val="00E94A86"/>
    <w:rsid w:val="00E94D5E"/>
    <w:rsid w:val="00E94DB2"/>
    <w:rsid w:val="00E95113"/>
    <w:rsid w:val="00E95491"/>
    <w:rsid w:val="00E9591B"/>
    <w:rsid w:val="00E96143"/>
    <w:rsid w:val="00E967F7"/>
    <w:rsid w:val="00E96CF8"/>
    <w:rsid w:val="00EA0093"/>
    <w:rsid w:val="00EA038B"/>
    <w:rsid w:val="00EA0987"/>
    <w:rsid w:val="00EA0C68"/>
    <w:rsid w:val="00EA22CB"/>
    <w:rsid w:val="00EA2F7F"/>
    <w:rsid w:val="00EA32BC"/>
    <w:rsid w:val="00EA40B7"/>
    <w:rsid w:val="00EA40F6"/>
    <w:rsid w:val="00EA4302"/>
    <w:rsid w:val="00EA4327"/>
    <w:rsid w:val="00EA4391"/>
    <w:rsid w:val="00EA58E5"/>
    <w:rsid w:val="00EA5C8C"/>
    <w:rsid w:val="00EA6058"/>
    <w:rsid w:val="00EA696B"/>
    <w:rsid w:val="00EA6C97"/>
    <w:rsid w:val="00EA7407"/>
    <w:rsid w:val="00EB0418"/>
    <w:rsid w:val="00EB12EE"/>
    <w:rsid w:val="00EB25F1"/>
    <w:rsid w:val="00EB2B67"/>
    <w:rsid w:val="00EB2C86"/>
    <w:rsid w:val="00EB2FA5"/>
    <w:rsid w:val="00EB39C7"/>
    <w:rsid w:val="00EB3D8F"/>
    <w:rsid w:val="00EB4511"/>
    <w:rsid w:val="00EB4A12"/>
    <w:rsid w:val="00EB5180"/>
    <w:rsid w:val="00EB650B"/>
    <w:rsid w:val="00EB7A12"/>
    <w:rsid w:val="00EB7F7C"/>
    <w:rsid w:val="00EC03D7"/>
    <w:rsid w:val="00EC074F"/>
    <w:rsid w:val="00EC0A8B"/>
    <w:rsid w:val="00EC14D7"/>
    <w:rsid w:val="00EC15CC"/>
    <w:rsid w:val="00EC243D"/>
    <w:rsid w:val="00EC2A23"/>
    <w:rsid w:val="00EC313D"/>
    <w:rsid w:val="00EC34CA"/>
    <w:rsid w:val="00EC3C00"/>
    <w:rsid w:val="00EC3C2A"/>
    <w:rsid w:val="00EC6962"/>
    <w:rsid w:val="00EC6FA8"/>
    <w:rsid w:val="00ED049D"/>
    <w:rsid w:val="00ED0692"/>
    <w:rsid w:val="00ED0A16"/>
    <w:rsid w:val="00ED1680"/>
    <w:rsid w:val="00ED27C9"/>
    <w:rsid w:val="00ED40FA"/>
    <w:rsid w:val="00ED5CBD"/>
    <w:rsid w:val="00ED62C6"/>
    <w:rsid w:val="00ED64C1"/>
    <w:rsid w:val="00EE0AE7"/>
    <w:rsid w:val="00EE0E68"/>
    <w:rsid w:val="00EE28A7"/>
    <w:rsid w:val="00EE3374"/>
    <w:rsid w:val="00EE3446"/>
    <w:rsid w:val="00EE3E78"/>
    <w:rsid w:val="00EE4B1B"/>
    <w:rsid w:val="00EE539F"/>
    <w:rsid w:val="00EE7410"/>
    <w:rsid w:val="00EE7684"/>
    <w:rsid w:val="00EE7F19"/>
    <w:rsid w:val="00EF00A4"/>
    <w:rsid w:val="00EF150D"/>
    <w:rsid w:val="00EF1CDA"/>
    <w:rsid w:val="00EF1F5A"/>
    <w:rsid w:val="00EF221F"/>
    <w:rsid w:val="00EF27E6"/>
    <w:rsid w:val="00EF2B3F"/>
    <w:rsid w:val="00EF2CFC"/>
    <w:rsid w:val="00EF3A22"/>
    <w:rsid w:val="00EF47BF"/>
    <w:rsid w:val="00EF64B2"/>
    <w:rsid w:val="00EF6DB3"/>
    <w:rsid w:val="00EF77C4"/>
    <w:rsid w:val="00EF7C70"/>
    <w:rsid w:val="00EF7EA6"/>
    <w:rsid w:val="00F00698"/>
    <w:rsid w:val="00F01008"/>
    <w:rsid w:val="00F02331"/>
    <w:rsid w:val="00F04811"/>
    <w:rsid w:val="00F0488C"/>
    <w:rsid w:val="00F0536E"/>
    <w:rsid w:val="00F05798"/>
    <w:rsid w:val="00F05F7E"/>
    <w:rsid w:val="00F066CF"/>
    <w:rsid w:val="00F06ED4"/>
    <w:rsid w:val="00F07A88"/>
    <w:rsid w:val="00F101CF"/>
    <w:rsid w:val="00F10823"/>
    <w:rsid w:val="00F10941"/>
    <w:rsid w:val="00F10C15"/>
    <w:rsid w:val="00F10F11"/>
    <w:rsid w:val="00F11063"/>
    <w:rsid w:val="00F12D59"/>
    <w:rsid w:val="00F130CC"/>
    <w:rsid w:val="00F132B8"/>
    <w:rsid w:val="00F13B3B"/>
    <w:rsid w:val="00F15AAA"/>
    <w:rsid w:val="00F15BEF"/>
    <w:rsid w:val="00F15D9A"/>
    <w:rsid w:val="00F15FB2"/>
    <w:rsid w:val="00F160D4"/>
    <w:rsid w:val="00F16122"/>
    <w:rsid w:val="00F17E83"/>
    <w:rsid w:val="00F2180B"/>
    <w:rsid w:val="00F21C12"/>
    <w:rsid w:val="00F23D4A"/>
    <w:rsid w:val="00F241FB"/>
    <w:rsid w:val="00F24407"/>
    <w:rsid w:val="00F24931"/>
    <w:rsid w:val="00F24A89"/>
    <w:rsid w:val="00F24FAA"/>
    <w:rsid w:val="00F252A0"/>
    <w:rsid w:val="00F25837"/>
    <w:rsid w:val="00F25B4A"/>
    <w:rsid w:val="00F25DEE"/>
    <w:rsid w:val="00F26464"/>
    <w:rsid w:val="00F27A58"/>
    <w:rsid w:val="00F3012E"/>
    <w:rsid w:val="00F30195"/>
    <w:rsid w:val="00F304B2"/>
    <w:rsid w:val="00F307AF"/>
    <w:rsid w:val="00F319DC"/>
    <w:rsid w:val="00F32A18"/>
    <w:rsid w:val="00F33623"/>
    <w:rsid w:val="00F3364D"/>
    <w:rsid w:val="00F34609"/>
    <w:rsid w:val="00F36977"/>
    <w:rsid w:val="00F41B46"/>
    <w:rsid w:val="00F42B24"/>
    <w:rsid w:val="00F42CA5"/>
    <w:rsid w:val="00F437CC"/>
    <w:rsid w:val="00F43E29"/>
    <w:rsid w:val="00F44537"/>
    <w:rsid w:val="00F44B6A"/>
    <w:rsid w:val="00F4607E"/>
    <w:rsid w:val="00F46325"/>
    <w:rsid w:val="00F468D9"/>
    <w:rsid w:val="00F47067"/>
    <w:rsid w:val="00F472FC"/>
    <w:rsid w:val="00F501F1"/>
    <w:rsid w:val="00F503E4"/>
    <w:rsid w:val="00F50FC3"/>
    <w:rsid w:val="00F51087"/>
    <w:rsid w:val="00F5188A"/>
    <w:rsid w:val="00F52106"/>
    <w:rsid w:val="00F525EB"/>
    <w:rsid w:val="00F52BD7"/>
    <w:rsid w:val="00F5317B"/>
    <w:rsid w:val="00F54D07"/>
    <w:rsid w:val="00F5657D"/>
    <w:rsid w:val="00F61027"/>
    <w:rsid w:val="00F61D00"/>
    <w:rsid w:val="00F624A2"/>
    <w:rsid w:val="00F62AAB"/>
    <w:rsid w:val="00F63A05"/>
    <w:rsid w:val="00F63DDE"/>
    <w:rsid w:val="00F63EF8"/>
    <w:rsid w:val="00F63FB7"/>
    <w:rsid w:val="00F6421B"/>
    <w:rsid w:val="00F643E2"/>
    <w:rsid w:val="00F646E8"/>
    <w:rsid w:val="00F649D2"/>
    <w:rsid w:val="00F65951"/>
    <w:rsid w:val="00F6602B"/>
    <w:rsid w:val="00F6657C"/>
    <w:rsid w:val="00F66643"/>
    <w:rsid w:val="00F66E76"/>
    <w:rsid w:val="00F66FD9"/>
    <w:rsid w:val="00F67C4E"/>
    <w:rsid w:val="00F708C6"/>
    <w:rsid w:val="00F70D20"/>
    <w:rsid w:val="00F71F53"/>
    <w:rsid w:val="00F72275"/>
    <w:rsid w:val="00F72904"/>
    <w:rsid w:val="00F73990"/>
    <w:rsid w:val="00F73A0C"/>
    <w:rsid w:val="00F73F9D"/>
    <w:rsid w:val="00F742A4"/>
    <w:rsid w:val="00F750CF"/>
    <w:rsid w:val="00F756DB"/>
    <w:rsid w:val="00F7728A"/>
    <w:rsid w:val="00F804B9"/>
    <w:rsid w:val="00F8210F"/>
    <w:rsid w:val="00F823E2"/>
    <w:rsid w:val="00F84E7D"/>
    <w:rsid w:val="00F85066"/>
    <w:rsid w:val="00F853CC"/>
    <w:rsid w:val="00F868C6"/>
    <w:rsid w:val="00F87484"/>
    <w:rsid w:val="00F87A4D"/>
    <w:rsid w:val="00F87A6A"/>
    <w:rsid w:val="00F90035"/>
    <w:rsid w:val="00F906CD"/>
    <w:rsid w:val="00F91FCF"/>
    <w:rsid w:val="00F92283"/>
    <w:rsid w:val="00F923AC"/>
    <w:rsid w:val="00F934FE"/>
    <w:rsid w:val="00F93F05"/>
    <w:rsid w:val="00F95FAC"/>
    <w:rsid w:val="00F96D69"/>
    <w:rsid w:val="00F9785E"/>
    <w:rsid w:val="00FA11B5"/>
    <w:rsid w:val="00FA2CD4"/>
    <w:rsid w:val="00FA319D"/>
    <w:rsid w:val="00FA3FF4"/>
    <w:rsid w:val="00FA5D4D"/>
    <w:rsid w:val="00FA60AD"/>
    <w:rsid w:val="00FA6DCA"/>
    <w:rsid w:val="00FA7115"/>
    <w:rsid w:val="00FA76DA"/>
    <w:rsid w:val="00FA7F0A"/>
    <w:rsid w:val="00FA7F4A"/>
    <w:rsid w:val="00FB01E6"/>
    <w:rsid w:val="00FB0EE2"/>
    <w:rsid w:val="00FB18F0"/>
    <w:rsid w:val="00FB28F9"/>
    <w:rsid w:val="00FB2A62"/>
    <w:rsid w:val="00FB4423"/>
    <w:rsid w:val="00FB52BA"/>
    <w:rsid w:val="00FB52DF"/>
    <w:rsid w:val="00FB542E"/>
    <w:rsid w:val="00FB6631"/>
    <w:rsid w:val="00FB6778"/>
    <w:rsid w:val="00FB6BEB"/>
    <w:rsid w:val="00FC08F7"/>
    <w:rsid w:val="00FC0C9E"/>
    <w:rsid w:val="00FC0CF0"/>
    <w:rsid w:val="00FC0D05"/>
    <w:rsid w:val="00FC0E5F"/>
    <w:rsid w:val="00FC1A95"/>
    <w:rsid w:val="00FC227C"/>
    <w:rsid w:val="00FC2455"/>
    <w:rsid w:val="00FC56DE"/>
    <w:rsid w:val="00FC5D41"/>
    <w:rsid w:val="00FC6700"/>
    <w:rsid w:val="00FC684B"/>
    <w:rsid w:val="00FC7F05"/>
    <w:rsid w:val="00FD109B"/>
    <w:rsid w:val="00FD1A5F"/>
    <w:rsid w:val="00FD1BAB"/>
    <w:rsid w:val="00FD1E33"/>
    <w:rsid w:val="00FD1FC5"/>
    <w:rsid w:val="00FD2055"/>
    <w:rsid w:val="00FD3265"/>
    <w:rsid w:val="00FD3B95"/>
    <w:rsid w:val="00FD3F24"/>
    <w:rsid w:val="00FD4A5D"/>
    <w:rsid w:val="00FD4CF6"/>
    <w:rsid w:val="00FD4EAC"/>
    <w:rsid w:val="00FD5F03"/>
    <w:rsid w:val="00FD5F92"/>
    <w:rsid w:val="00FD66F9"/>
    <w:rsid w:val="00FD78F8"/>
    <w:rsid w:val="00FD7E05"/>
    <w:rsid w:val="00FE0953"/>
    <w:rsid w:val="00FE2315"/>
    <w:rsid w:val="00FE2F78"/>
    <w:rsid w:val="00FE470B"/>
    <w:rsid w:val="00FF0650"/>
    <w:rsid w:val="00FF153C"/>
    <w:rsid w:val="00FF17D1"/>
    <w:rsid w:val="00FF1EA9"/>
    <w:rsid w:val="00FF21D9"/>
    <w:rsid w:val="00FF2D5D"/>
    <w:rsid w:val="00FF2E47"/>
    <w:rsid w:val="00FF35C4"/>
    <w:rsid w:val="00FF4082"/>
    <w:rsid w:val="00FF4206"/>
    <w:rsid w:val="00FF5A31"/>
    <w:rsid w:val="00FF61F3"/>
    <w:rsid w:val="00FF6DDE"/>
    <w:rsid w:val="00FF7090"/>
    <w:rsid w:val="00FF78AF"/>
    <w:rsid w:val="00FF7B96"/>
    <w:rsid w:val="010E6CF6"/>
    <w:rsid w:val="0274CEEB"/>
    <w:rsid w:val="11D0C0D9"/>
    <w:rsid w:val="1C7F89FF"/>
    <w:rsid w:val="304DB734"/>
    <w:rsid w:val="30D0B3BE"/>
    <w:rsid w:val="52CC52E2"/>
    <w:rsid w:val="55C2456F"/>
    <w:rsid w:val="614CA75B"/>
    <w:rsid w:val="6B2670A5"/>
    <w:rsid w:val="6E1EAC99"/>
    <w:rsid w:val="7BDB84E4"/>
    <w:rsid w:val="7DB22E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val="en-GB"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tabs>
        <w:tab w:val="num" w:pos="360"/>
      </w:tabs>
      <w:spacing w:before="200" w:after="0"/>
      <w:ind w:left="0" w:firstLine="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tabs>
        <w:tab w:val="num" w:pos="360"/>
      </w:tabs>
      <w:spacing w:before="200" w:after="0"/>
      <w:ind w:left="0" w:firstLine="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tabs>
        <w:tab w:val="num" w:pos="360"/>
      </w:tabs>
      <w:spacing w:before="200" w:after="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tabs>
        <w:tab w:val="num" w:pos="360"/>
      </w:tabs>
      <w:spacing w:before="200" w:after="0"/>
      <w:ind w:left="0" w:firstLine="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tabs>
        <w:tab w:val="num" w:pos="360"/>
      </w:tabs>
      <w:spacing w:before="240" w:after="60"/>
      <w:ind w:left="0" w:firstLine="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link w:val="OdstavecseseznamemChar"/>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styleId="Odkaznakoment">
    <w:name w:val="annotation reference"/>
    <w:basedOn w:val="Standardnpsmoodstavce"/>
    <w:uiPriority w:val="99"/>
    <w:semiHidden/>
    <w:unhideWhenUsed/>
    <w:rsid w:val="00545512"/>
    <w:rPr>
      <w:sz w:val="16"/>
      <w:szCs w:val="16"/>
    </w:rPr>
  </w:style>
  <w:style w:type="paragraph" w:styleId="Textkomente">
    <w:name w:val="annotation text"/>
    <w:basedOn w:val="Normln"/>
    <w:link w:val="TextkomenteChar"/>
    <w:uiPriority w:val="99"/>
    <w:unhideWhenUsed/>
    <w:rsid w:val="00545512"/>
    <w:pPr>
      <w:spacing w:line="240" w:lineRule="auto"/>
    </w:pPr>
    <w:rPr>
      <w:szCs w:val="20"/>
    </w:rPr>
  </w:style>
  <w:style w:type="character" w:customStyle="1" w:styleId="TextkomenteChar">
    <w:name w:val="Text komentáře Char"/>
    <w:basedOn w:val="Standardnpsmoodstavce"/>
    <w:link w:val="Textkomente"/>
    <w:uiPriority w:val="99"/>
    <w:rsid w:val="00545512"/>
    <w:rPr>
      <w:rFonts w:ascii="Arial" w:eastAsia="Times New Roman" w:hAnsi="Arial"/>
      <w:lang w:eastAsia="cs-CZ"/>
    </w:rPr>
  </w:style>
  <w:style w:type="paragraph" w:styleId="Pedmtkomente">
    <w:name w:val="annotation subject"/>
    <w:basedOn w:val="Textkomente"/>
    <w:next w:val="Textkomente"/>
    <w:link w:val="PedmtkomenteChar"/>
    <w:uiPriority w:val="99"/>
    <w:semiHidden/>
    <w:unhideWhenUsed/>
    <w:rsid w:val="00545512"/>
    <w:rPr>
      <w:b/>
      <w:bCs/>
    </w:rPr>
  </w:style>
  <w:style w:type="character" w:customStyle="1" w:styleId="PedmtkomenteChar">
    <w:name w:val="Předmět komentáře Char"/>
    <w:basedOn w:val="TextkomenteChar"/>
    <w:link w:val="Pedmtkomente"/>
    <w:uiPriority w:val="99"/>
    <w:semiHidden/>
    <w:rsid w:val="00545512"/>
    <w:rPr>
      <w:rFonts w:ascii="Arial" w:eastAsia="Times New Roman" w:hAnsi="Arial"/>
      <w:b/>
      <w:bCs/>
      <w:lang w:eastAsia="cs-CZ"/>
    </w:rPr>
  </w:style>
  <w:style w:type="paragraph" w:styleId="Rozloendokumentu">
    <w:name w:val="Document Map"/>
    <w:basedOn w:val="Normln"/>
    <w:link w:val="RozloendokumentuChar"/>
    <w:uiPriority w:val="99"/>
    <w:semiHidden/>
    <w:rsid w:val="00545512"/>
    <w:pPr>
      <w:spacing w:after="0" w:line="288" w:lineRule="auto"/>
      <w:jc w:val="left"/>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545512"/>
    <w:rPr>
      <w:rFonts w:ascii="Tahoma" w:hAnsi="Tahoma" w:cs="Tahoma"/>
      <w:sz w:val="16"/>
      <w:szCs w:val="16"/>
      <w:lang w:eastAsia="cs-CZ"/>
    </w:rPr>
  </w:style>
  <w:style w:type="paragraph" w:customStyle="1" w:styleId="Nadpis12">
    <w:name w:val="Nadpis 12"/>
    <w:basedOn w:val="Normln"/>
    <w:uiPriority w:val="9"/>
    <w:qFormat/>
    <w:rsid w:val="00545512"/>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545512"/>
  </w:style>
  <w:style w:type="paragraph" w:styleId="Revize">
    <w:name w:val="Revision"/>
    <w:hidden/>
    <w:uiPriority w:val="99"/>
    <w:semiHidden/>
    <w:rsid w:val="00545512"/>
    <w:rPr>
      <w:rFonts w:ascii="Arial" w:eastAsia="Times New Roman" w:hAnsi="Arial"/>
      <w:szCs w:val="24"/>
      <w:lang w:eastAsia="cs-CZ"/>
    </w:rPr>
  </w:style>
  <w:style w:type="character" w:customStyle="1" w:styleId="odkaz-style-wrapper">
    <w:name w:val="odkaz-style-wrapper"/>
    <w:basedOn w:val="Standardnpsmoodstavce"/>
    <w:rsid w:val="00545512"/>
  </w:style>
  <w:style w:type="character" w:customStyle="1" w:styleId="tabulka">
    <w:name w:val="tabulka"/>
    <w:basedOn w:val="Standardnpsmoodstavce"/>
    <w:rsid w:val="00545512"/>
  </w:style>
  <w:style w:type="paragraph" w:customStyle="1" w:styleId="Default">
    <w:name w:val="Default"/>
    <w:rsid w:val="00545512"/>
    <w:pPr>
      <w:autoSpaceDE w:val="0"/>
      <w:autoSpaceDN w:val="0"/>
      <w:adjustRightInd w:val="0"/>
    </w:pPr>
    <w:rPr>
      <w:rFonts w:cs="Calibri"/>
      <w:color w:val="000000"/>
      <w:sz w:val="24"/>
      <w:szCs w:val="24"/>
    </w:rPr>
  </w:style>
  <w:style w:type="paragraph" w:styleId="Normlnweb">
    <w:name w:val="Normal (Web)"/>
    <w:basedOn w:val="Normln"/>
    <w:uiPriority w:val="99"/>
    <w:semiHidden/>
    <w:unhideWhenUsed/>
    <w:rsid w:val="00545512"/>
    <w:pPr>
      <w:spacing w:before="100" w:beforeAutospacing="1" w:after="100" w:afterAutospacing="1" w:line="240" w:lineRule="auto"/>
      <w:jc w:val="left"/>
    </w:pPr>
    <w:rPr>
      <w:rFonts w:ascii="Times New Roman" w:hAnsi="Times New Roman"/>
      <w:sz w:val="24"/>
    </w:rPr>
  </w:style>
  <w:style w:type="paragraph" w:styleId="FormtovanvHTML">
    <w:name w:val="HTML Preformatted"/>
    <w:basedOn w:val="Normln"/>
    <w:link w:val="FormtovanvHTMLChar"/>
    <w:uiPriority w:val="99"/>
    <w:semiHidden/>
    <w:unhideWhenUsed/>
    <w:rsid w:val="0054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545512"/>
    <w:rPr>
      <w:rFonts w:ascii="Courier New" w:eastAsia="Times New Roman" w:hAnsi="Courier New" w:cs="Courier New"/>
      <w:lang w:eastAsia="cs-CZ"/>
    </w:rPr>
  </w:style>
  <w:style w:type="paragraph" w:customStyle="1" w:styleId="cay">
    <w:name w:val="c_ay"/>
    <w:basedOn w:val="Normln"/>
    <w:rsid w:val="00545512"/>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545512"/>
  </w:style>
  <w:style w:type="character" w:styleId="Sledovanodkaz">
    <w:name w:val="FollowedHyperlink"/>
    <w:basedOn w:val="Standardnpsmoodstavce"/>
    <w:uiPriority w:val="99"/>
    <w:semiHidden/>
    <w:unhideWhenUsed/>
    <w:rsid w:val="00545512"/>
    <w:rPr>
      <w:color w:val="800080" w:themeColor="followedHyperlink"/>
      <w:u w:val="single"/>
    </w:rPr>
  </w:style>
  <w:style w:type="character" w:customStyle="1" w:styleId="cfu">
    <w:name w:val="c_fu"/>
    <w:basedOn w:val="Standardnpsmoodstavce"/>
    <w:rsid w:val="00BF3B1D"/>
  </w:style>
  <w:style w:type="character" w:customStyle="1" w:styleId="OdstavecseseznamemChar">
    <w:name w:val="Odstavec se seznamem Char"/>
    <w:basedOn w:val="Standardnpsmoodstavce"/>
    <w:link w:val="Odstavecseseznamem"/>
    <w:uiPriority w:val="34"/>
    <w:rsid w:val="00CF59E5"/>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6344914">
      <w:bodyDiv w:val="1"/>
      <w:marLeft w:val="0"/>
      <w:marRight w:val="0"/>
      <w:marTop w:val="0"/>
      <w:marBottom w:val="0"/>
      <w:divBdr>
        <w:top w:val="none" w:sz="0" w:space="0" w:color="auto"/>
        <w:left w:val="none" w:sz="0" w:space="0" w:color="auto"/>
        <w:bottom w:val="none" w:sz="0" w:space="0" w:color="auto"/>
        <w:right w:val="none" w:sz="0" w:space="0" w:color="auto"/>
      </w:divBdr>
    </w:div>
    <w:div w:id="11051791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73370128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66721734">
      <w:bodyDiv w:val="1"/>
      <w:marLeft w:val="0"/>
      <w:marRight w:val="0"/>
      <w:marTop w:val="0"/>
      <w:marBottom w:val="0"/>
      <w:divBdr>
        <w:top w:val="none" w:sz="0" w:space="0" w:color="auto"/>
        <w:left w:val="none" w:sz="0" w:space="0" w:color="auto"/>
        <w:bottom w:val="none" w:sz="0" w:space="0" w:color="auto"/>
        <w:right w:val="none" w:sz="0" w:space="0" w:color="auto"/>
      </w:divBdr>
    </w:div>
    <w:div w:id="1639457441">
      <w:bodyDiv w:val="1"/>
      <w:marLeft w:val="0"/>
      <w:marRight w:val="0"/>
      <w:marTop w:val="0"/>
      <w:marBottom w:val="0"/>
      <w:divBdr>
        <w:top w:val="none" w:sz="0" w:space="0" w:color="auto"/>
        <w:left w:val="none" w:sz="0" w:space="0" w:color="auto"/>
        <w:bottom w:val="none" w:sz="0" w:space="0" w:color="auto"/>
        <w:right w:val="none" w:sz="0" w:space="0" w:color="auto"/>
      </w:divBdr>
    </w:div>
    <w:div w:id="1716924412">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06206753">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4/eng/Makroanal&#253;za%20grafy_e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557159743329959E-2"/>
          <c:y val="2.1711264016309892E-2"/>
          <c:w val="0.93757303275920301"/>
          <c:h val="0.70445791591487306"/>
        </c:manualLayout>
      </c:layout>
      <c:barChart>
        <c:barDir val="col"/>
        <c:grouping val="clustered"/>
        <c:varyColors val="0"/>
        <c:ser>
          <c:idx val="0"/>
          <c:order val="0"/>
          <c:tx>
            <c:strRef>
              <c:f>'Měnové podmínky 1'!$C$5</c:f>
              <c:strCache>
                <c:ptCount val="1"/>
                <c:pt idx="0">
                  <c:v>2W repo rate</c:v>
                </c:pt>
              </c:strCache>
            </c:strRef>
          </c:tx>
          <c:spPr>
            <a:solidFill>
              <a:srgbClr val="B8BBC0"/>
            </a:solidFill>
          </c:spPr>
          <c:invertIfNegative val="0"/>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1'!$C$30:$C$101</c:f>
              <c:numCache>
                <c:formatCode>General</c:formatCode>
                <c:ptCount val="72"/>
                <c:pt idx="0">
                  <c:v>2</c:v>
                </c:pt>
                <c:pt idx="1">
                  <c:v>2.25</c:v>
                </c:pt>
                <c:pt idx="2">
                  <c:v>1</c:v>
                </c:pt>
                <c:pt idx="3">
                  <c:v>1</c:v>
                </c:pt>
                <c:pt idx="4">
                  <c:v>0.25</c:v>
                </c:pt>
                <c:pt idx="5">
                  <c:v>0.25</c:v>
                </c:pt>
                <c:pt idx="6">
                  <c:v>0.25</c:v>
                </c:pt>
                <c:pt idx="7">
                  <c:v>0.25</c:v>
                </c:pt>
                <c:pt idx="8">
                  <c:v>0.25</c:v>
                </c:pt>
                <c:pt idx="9">
                  <c:v>0.25</c:v>
                </c:pt>
                <c:pt idx="10">
                  <c:v>0.25</c:v>
                </c:pt>
                <c:pt idx="11">
                  <c:v>0.25</c:v>
                </c:pt>
                <c:pt idx="12">
                  <c:v>0.25</c:v>
                </c:pt>
                <c:pt idx="13">
                  <c:v>0.25</c:v>
                </c:pt>
                <c:pt idx="14">
                  <c:v>0.25</c:v>
                </c:pt>
                <c:pt idx="15">
                  <c:v>0.25</c:v>
                </c:pt>
                <c:pt idx="16">
                  <c:v>0.25</c:v>
                </c:pt>
                <c:pt idx="17">
                  <c:v>0.5</c:v>
                </c:pt>
                <c:pt idx="18">
                  <c:v>0.5</c:v>
                </c:pt>
                <c:pt idx="19">
                  <c:v>0.75</c:v>
                </c:pt>
                <c:pt idx="20">
                  <c:v>0.75</c:v>
                </c:pt>
                <c:pt idx="21">
                  <c:v>1.5</c:v>
                </c:pt>
                <c:pt idx="22">
                  <c:v>2.75</c:v>
                </c:pt>
                <c:pt idx="23">
                  <c:v>3.75</c:v>
                </c:pt>
                <c:pt idx="24">
                  <c:v>3.75</c:v>
                </c:pt>
                <c:pt idx="25">
                  <c:v>4.5</c:v>
                </c:pt>
                <c:pt idx="26">
                  <c:v>4.5</c:v>
                </c:pt>
                <c:pt idx="27">
                  <c:v>5</c:v>
                </c:pt>
                <c:pt idx="28">
                  <c:v>5.75</c:v>
                </c:pt>
                <c:pt idx="29">
                  <c:v>7</c:v>
                </c:pt>
                <c:pt idx="30">
                  <c:v>7</c:v>
                </c:pt>
                <c:pt idx="31">
                  <c:v>7</c:v>
                </c:pt>
                <c:pt idx="32">
                  <c:v>7</c:v>
                </c:pt>
                <c:pt idx="33">
                  <c:v>7</c:v>
                </c:pt>
                <c:pt idx="34">
                  <c:v>7</c:v>
                </c:pt>
                <c:pt idx="35">
                  <c:v>7</c:v>
                </c:pt>
                <c:pt idx="36">
                  <c:v>7</c:v>
                </c:pt>
                <c:pt idx="37">
                  <c:v>7</c:v>
                </c:pt>
                <c:pt idx="38">
                  <c:v>7</c:v>
                </c:pt>
                <c:pt idx="39" formatCode="###\ ###\ ###\ ###\ ##0.00;\-###\ ###\ ###\ ###\ ##0.00">
                  <c:v>7</c:v>
                </c:pt>
                <c:pt idx="40" formatCode="###\ ###\ ###\ ###\ ##0.00;\-###\ ###\ ###\ ###\ ##0.00">
                  <c:v>7</c:v>
                </c:pt>
                <c:pt idx="41" formatCode="###\ ###\ ###\ ###\ ##0.00;\-###\ ###\ ###\ ###\ ##0.00">
                  <c:v>7</c:v>
                </c:pt>
                <c:pt idx="42" formatCode="###\ ###\ ###\ ###\ ##0.00;\-###\ ###\ ###\ ###\ ##0.00">
                  <c:v>7</c:v>
                </c:pt>
                <c:pt idx="43" formatCode="###\ ###\ ###\ ###\ ##0.00;\-###\ ###\ ###\ ###\ ##0.00">
                  <c:v>7</c:v>
                </c:pt>
                <c:pt idx="44" formatCode="###\ ###\ ###\ ###\ ##0.00;\-###\ ###\ ###\ ###\ ##0.00">
                  <c:v>7</c:v>
                </c:pt>
                <c:pt idx="45" formatCode="###\ ###\ ###\ ###\ ##0.00;\-###\ ###\ ###\ ###\ ##0.00">
                  <c:v>7</c:v>
                </c:pt>
                <c:pt idx="46" formatCode="###\ ###\ ###\ ###\ ##0.00;\-###\ ###\ ###\ ###\ ##0.00">
                  <c:v>7</c:v>
                </c:pt>
                <c:pt idx="47" formatCode="###\ ###\ ###\ ###\ ##0.00;\-###\ ###\ ###\ ###\ ##0.00">
                  <c:v>6.75</c:v>
                </c:pt>
                <c:pt idx="48" formatCode="###\ ###\ ###\ ###\ ##0.00;\-###\ ###\ ###\ ###\ ##0.00">
                  <c:v>6.75</c:v>
                </c:pt>
                <c:pt idx="49" formatCode="###\ ###\ ###\ ###\ ##0.00;\-###\ ###\ ###\ ###\ ##0.00">
                  <c:v>6.25</c:v>
                </c:pt>
                <c:pt idx="50" formatCode="###\ ###\ ###\ ###\ ##0.00;\-###\ ###\ ###\ ###\ ##0.00">
                  <c:v>5.75</c:v>
                </c:pt>
                <c:pt idx="51" formatCode="###\ ###\ ###\ ###\ ##0.00;\-###\ ###\ ###\ ###\ ##0.00">
                  <c:v>5.75</c:v>
                </c:pt>
                <c:pt idx="52" formatCode="###\ ###\ ###\ ###\ ##0.00;\-###\ ###\ ###\ ###\ ##0.00">
                  <c:v>5.25</c:v>
                </c:pt>
                <c:pt idx="53" formatCode="###\ ###\ ###\ ###\ ##0.00;\-###\ ###\ ###\ ###\ ##0.00">
                  <c:v>4.75</c:v>
                </c:pt>
                <c:pt idx="54" formatCode="###\ ###\ ###\ ###\ ##0.00;\-###\ ###\ ###\ ###\ ##0.00">
                  <c:v>4.75</c:v>
                </c:pt>
                <c:pt idx="55" formatCode="###\ ###\ ###\ ###\ ##0.00;\-###\ ###\ ###\ ###\ ##0.00">
                  <c:v>4.5</c:v>
                </c:pt>
                <c:pt idx="56" formatCode="###\ ###\ ###\ ###\ ##0.00;\-###\ ###\ ###\ ###\ ##0.00">
                  <c:v>4.25</c:v>
                </c:pt>
                <c:pt idx="57" formatCode="###\ ###\ ###\ ###\ ##0.00;\-###\ ###\ ###\ ###\ ##0.00">
                  <c:v>4.25</c:v>
                </c:pt>
                <c:pt idx="58" formatCode="###\ ###\ ###\ ###\ ##0.00;\-###\ ###\ ###\ ###\ ##0.00">
                  <c:v>4</c:v>
                </c:pt>
                <c:pt idx="59" formatCode="###\ ###\ ###\ ###\ ##0.00;\-###\ ###\ ###\ ###\ ##0.00">
                  <c:v>4</c:v>
                </c:pt>
                <c:pt idx="60" formatCode="###\ ###\ ###\ ###\ ##0.00;\-###\ ###\ ###\ ###\ ##0.00">
                  <c:v>4</c:v>
                </c:pt>
                <c:pt idx="61" formatCode="###\ ###\ ###\ ###\ ##0.00;\-###\ ###\ ###\ ###\ ##0.00">
                  <c:v>3.75</c:v>
                </c:pt>
                <c:pt idx="62" formatCode="###\ ###\ ###\ ###\ ##0.00;\-###\ ###\ ###\ ###\ ##0.00">
                  <c:v>3.75</c:v>
                </c:pt>
                <c:pt idx="63" formatCode="###\ ###\ ###\ ###\ ##0.00;\-###\ ###\ ###\ ###\ ##0.00">
                  <c:v>3.75</c:v>
                </c:pt>
                <c:pt idx="64" formatCode="###\ ###\ ###\ ###\ ##0.00;\-###\ ###\ ###\ ###\ ##0.00">
                  <c:v>3.5</c:v>
                </c:pt>
                <c:pt idx="65" formatCode="###\ ###\ ###\ ###\ ##0.00;\-###\ ###\ ###\ ###\ ##0.00">
                  <c:v>3.5</c:v>
                </c:pt>
                <c:pt idx="66" formatCode="###\ ###\ ###\ ###\ ##0.00;\-###\ ###\ ###\ ###\ ##0.00">
                  <c:v>3.5</c:v>
                </c:pt>
                <c:pt idx="67" formatCode="###\ ###\ ###\ ###\ ##0.00;\-###\ ###\ ###\ ###\ ##0.00">
                  <c:v>3.5</c:v>
                </c:pt>
                <c:pt idx="68" formatCode="###\ ###\ ###\ ###\ ##0.00;\-###\ ###\ ###\ ###\ ##0.00">
                  <c:v>3.5</c:v>
                </c:pt>
                <c:pt idx="69" formatCode="###\ ###\ ###\ ###\ ##0.00;\-###\ ###\ ###\ ###\ ##0.00">
                  <c:v>3.5</c:v>
                </c:pt>
                <c:pt idx="70" formatCode="###\ ###\ ###\ ###\ ##0.00;\-###\ ###\ ###\ ###\ ##0.00">
                  <c:v>3.5</c:v>
                </c:pt>
                <c:pt idx="71" formatCode="###\ ###\ ###\ ###\ ##0.00;\-###\ ###\ ###\ ###\ ##0.00">
                  <c:v>3.5</c:v>
                </c:pt>
              </c:numCache>
            </c:numRef>
          </c:val>
          <c:extLst>
            <c:ext xmlns:c16="http://schemas.microsoft.com/office/drawing/2014/chart" uri="{C3380CC4-5D6E-409C-BE32-E72D297353CC}">
              <c16:uniqueId val="{00000000-B06E-4CA5-9370-6FA959DA4710}"/>
            </c:ext>
          </c:extLst>
        </c:ser>
        <c:dLbls>
          <c:showLegendKey val="0"/>
          <c:showVal val="0"/>
          <c:showCatName val="0"/>
          <c:showSerName val="0"/>
          <c:showPercent val="0"/>
          <c:showBubbleSize val="0"/>
        </c:dLbls>
        <c:gapWidth val="31"/>
        <c:axId val="131001344"/>
        <c:axId val="131027712"/>
      </c:barChart>
      <c:lineChart>
        <c:grouping val="standard"/>
        <c:varyColors val="0"/>
        <c:ser>
          <c:idx val="3"/>
          <c:order val="1"/>
          <c:tx>
            <c:strRef>
              <c:f>'Měnové podmínky 1'!$F$5</c:f>
              <c:strCache>
                <c:ptCount val="1"/>
                <c:pt idx="0">
                  <c:v>Average yield of government bonds (2Y)</c:v>
                </c:pt>
              </c:strCache>
            </c:strRef>
          </c:tx>
          <c:spPr>
            <a:ln w="19050">
              <a:solidFill>
                <a:srgbClr val="86BF5E"/>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1'!$F$30:$F$101</c:f>
              <c:numCache>
                <c:formatCode>General</c:formatCode>
                <c:ptCount val="72"/>
                <c:pt idx="0">
                  <c:v>1.55</c:v>
                </c:pt>
                <c:pt idx="1">
                  <c:v>1.57</c:v>
                </c:pt>
                <c:pt idx="2">
                  <c:v>1.27</c:v>
                </c:pt>
                <c:pt idx="3">
                  <c:v>0.71</c:v>
                </c:pt>
                <c:pt idx="4">
                  <c:v>0.13</c:v>
                </c:pt>
                <c:pt idx="5">
                  <c:v>0.08</c:v>
                </c:pt>
                <c:pt idx="6">
                  <c:v>0.02</c:v>
                </c:pt>
                <c:pt idx="7">
                  <c:v>0.04</c:v>
                </c:pt>
                <c:pt idx="8">
                  <c:v>0.05</c:v>
                </c:pt>
                <c:pt idx="9">
                  <c:v>0</c:v>
                </c:pt>
                <c:pt idx="10">
                  <c:v>0.06</c:v>
                </c:pt>
                <c:pt idx="11">
                  <c:v>0.16</c:v>
                </c:pt>
                <c:pt idx="12">
                  <c:v>0.26</c:v>
                </c:pt>
                <c:pt idx="13">
                  <c:v>0.45</c:v>
                </c:pt>
                <c:pt idx="14">
                  <c:v>0.75</c:v>
                </c:pt>
                <c:pt idx="15">
                  <c:v>0.76</c:v>
                </c:pt>
                <c:pt idx="16">
                  <c:v>0.76</c:v>
                </c:pt>
                <c:pt idx="17">
                  <c:v>0.69</c:v>
                </c:pt>
                <c:pt idx="18">
                  <c:v>0.84</c:v>
                </c:pt>
                <c:pt idx="19">
                  <c:v>1.24</c:v>
                </c:pt>
                <c:pt idx="20">
                  <c:v>1.6</c:v>
                </c:pt>
                <c:pt idx="21">
                  <c:v>2.29</c:v>
                </c:pt>
                <c:pt idx="22">
                  <c:v>3</c:v>
                </c:pt>
                <c:pt idx="23">
                  <c:v>3.07</c:v>
                </c:pt>
                <c:pt idx="24">
                  <c:v>3.81</c:v>
                </c:pt>
                <c:pt idx="25">
                  <c:v>3.77</c:v>
                </c:pt>
                <c:pt idx="26">
                  <c:v>4.54</c:v>
                </c:pt>
                <c:pt idx="27">
                  <c:v>5.13</c:v>
                </c:pt>
                <c:pt idx="28">
                  <c:v>5.65</c:v>
                </c:pt>
                <c:pt idx="29">
                  <c:v>6.26</c:v>
                </c:pt>
                <c:pt idx="30">
                  <c:v>6.38</c:v>
                </c:pt>
                <c:pt idx="31">
                  <c:v>5.86</c:v>
                </c:pt>
                <c:pt idx="32">
                  <c:v>5.9</c:v>
                </c:pt>
                <c:pt idx="33">
                  <c:v>6.18</c:v>
                </c:pt>
                <c:pt idx="34">
                  <c:v>5.68</c:v>
                </c:pt>
                <c:pt idx="35">
                  <c:v>5.19</c:v>
                </c:pt>
                <c:pt idx="36" formatCode="###\ ###\ ###\ ###\ ##0.00;\-###\ ###\ ###\ ###\ ##0.00">
                  <c:v>5.3820143358172814</c:v>
                </c:pt>
                <c:pt idx="37" formatCode="###\ ###\ ###\ ###\ ##0.00;\-###\ ###\ ###\ ###\ ##0.00">
                  <c:v>5.5102623550618501</c:v>
                </c:pt>
                <c:pt idx="38" formatCode="###\ ###\ ###\ ###\ ##0.00;\-###\ ###\ ###\ ###\ ##0.00">
                  <c:v>5.2897725027111999</c:v>
                </c:pt>
                <c:pt idx="39" formatCode="###\ ###\ ###\ ###\ ##0.00;\-###\ ###\ ###\ ###\ ##0.00">
                  <c:v>5.4232360381175866</c:v>
                </c:pt>
                <c:pt idx="40" formatCode="###\ ###\ ###\ ###\ ##0.00;\-###\ ###\ ###\ ###\ ##0.00">
                  <c:v>5.4162815888395777</c:v>
                </c:pt>
                <c:pt idx="41" formatCode="###\ ###\ ###\ ###\ ##0.00;\-###\ ###\ ###\ ###\ ##0.00">
                  <c:v>5.3664752553650841</c:v>
                </c:pt>
                <c:pt idx="42" formatCode="###\ ###\ ###\ ###\ ##0.00;\-###\ ###\ ###\ ###\ ##0.00">
                  <c:v>5.2428078558777935</c:v>
                </c:pt>
                <c:pt idx="43" formatCode="###\ ###\ ###\ ###\ ##0.00;\-###\ ###\ ###\ ###\ ##0.00">
                  <c:v>5.1353490658602521</c:v>
                </c:pt>
                <c:pt idx="44" formatCode="###\ ###\ ###\ ###\ ##0.00;\-###\ ###\ ###\ ###\ ##0.00">
                  <c:v>5.0416686003519704</c:v>
                </c:pt>
                <c:pt idx="45" formatCode="###\ ###\ ###\ ###\ ##0.00;\-###\ ###\ ###\ ###\ ##0.00">
                  <c:v>5.0079198294298592</c:v>
                </c:pt>
                <c:pt idx="46" formatCode="###\ ###\ ###\ ###\ ##0.00;\-###\ ###\ ###\ ###\ ##0.00">
                  <c:v>4.8554647740100689</c:v>
                </c:pt>
                <c:pt idx="47" formatCode="###\ ###\ ###\ ###\ ##0.00;\-###\ ###\ ###\ ###\ ##0.00">
                  <c:v>4.6053753410259048</c:v>
                </c:pt>
                <c:pt idx="48" formatCode="###\ ###\ ###\ ###\ ##0.00;\-###\ ###\ ###\ ###\ ##0.00">
                  <c:v>4.2136537187056122</c:v>
                </c:pt>
                <c:pt idx="49" formatCode="###\ ###\ ###\ ###\ ##0.00;\-###\ ###\ ###\ ###\ ##0.00">
                  <c:v>3.7766020145670578</c:v>
                </c:pt>
                <c:pt idx="50" formatCode="###\ ###\ ###\ ###\ ##0.00;\-###\ ###\ ###\ ###\ ##0.00">
                  <c:v>3.7279261080474861</c:v>
                </c:pt>
                <c:pt idx="51" formatCode="###\ ###\ ###\ ###\ ##0.00;\-###\ ###\ ###\ ###\ ##0.00">
                  <c:v>4.0118973322405145</c:v>
                </c:pt>
                <c:pt idx="52" formatCode="###\ ###\ ###\ ###\ ##0.00;\-###\ ###\ ###\ ###\ ##0.00">
                  <c:v>4.1300681765456435</c:v>
                </c:pt>
                <c:pt idx="53" formatCode="###\ ###\ ###\ ###\ ##0.00;\-###\ ###\ ###\ ###\ ##0.00">
                  <c:v>4.2164856033630391</c:v>
                </c:pt>
                <c:pt idx="54" formatCode="###\ ###\ ###\ ###\ ##0.00;\-###\ ###\ ###\ ###\ ##0.00">
                  <c:v>3.9029960800170911</c:v>
                </c:pt>
                <c:pt idx="55" formatCode="###\ ###\ ###\ ###\ ##0.00;\-###\ ###\ ###\ ###\ ##0.00">
                  <c:v>3.6092171953235983</c:v>
                </c:pt>
                <c:pt idx="56" formatCode="###\ ###\ ###\ ###\ ##0.00;\-###\ ###\ ###\ ###\ ##0.00">
                  <c:v>3.5038942508225221</c:v>
                </c:pt>
                <c:pt idx="57" formatCode="###\ ###\ ###\ ###\ ##0.00;\-###\ ###\ ###\ ###\ ##0.00">
                  <c:v>3.5913124701621322</c:v>
                </c:pt>
                <c:pt idx="58" formatCode="###\ ###\ ###\ ###\ ##0.00;\-###\ ###\ ###\ ###\ ##0.00">
                  <c:v>3.6229260484095986</c:v>
                </c:pt>
                <c:pt idx="59" formatCode="###\ ###\ ###\ ###\ ##0.00;\-###\ ###\ ###\ ###\ ##0.00">
                  <c:v>3.633213073730468</c:v>
                </c:pt>
                <c:pt idx="60" formatCode="###\ ###\ ###\ ###\ ##0.00;\-###\ ###\ ###\ ###\ ##0.00">
                  <c:v>3.6198225590376429</c:v>
                </c:pt>
                <c:pt idx="61" formatCode="###\ ###\ ###\ ###\ ##0.00;\-###\ ###\ ###\ ###\ ##0.00">
                  <c:v>3.4995673098754891</c:v>
                </c:pt>
                <c:pt idx="62" formatCode="###\ ###\ ###\ ###\ ##0.00;\-###\ ###\ ###\ ###\ ##0.00">
                  <c:v>3.4362126025099986</c:v>
                </c:pt>
                <c:pt idx="63" formatCode="###\ ###\ ###\ ###\ ##0.00;\-###\ ###\ ###\ ###\ ##0.00">
                  <c:v>3.3165813662414552</c:v>
                </c:pt>
                <c:pt idx="64" formatCode="###\ ###\ ###\ ###\ ##0.00;\-###\ ###\ ###\ ###\ ##0.00">
                  <c:v>3.381600528900147</c:v>
                </c:pt>
                <c:pt idx="65" formatCode="###\ ###\ ###\ ###\ ##0.00;\-###\ ###\ ###\ ###\ ##0.00">
                  <c:v>3.473857271350679</c:v>
                </c:pt>
                <c:pt idx="66" formatCode="###\ ###\ ###\ ###\ ##0.00;\-###\ ###\ ###\ ###\ ##0.00">
                  <c:v>3.5190819740892496</c:v>
                </c:pt>
                <c:pt idx="67" formatCode="###\ ###\ ###\ ###\ ##0.00;\-###\ ###\ ###\ ###\ ##0.00">
                  <c:v>3.4836667416091198</c:v>
                </c:pt>
                <c:pt idx="68" formatCode="###\ ###\ ###\ ###\ ##0.00;\-###\ ###\ ###\ ###\ ##0.00">
                  <c:v>3.5436249291853472</c:v>
                </c:pt>
                <c:pt idx="69" formatCode="###\ ###\ ###\ ###\ ##0.00;\-###\ ###\ ###\ ###\ ##0.00">
                  <c:v>3.574561141829057</c:v>
                </c:pt>
                <c:pt idx="70" formatCode="###\ ###\ ###\ ###\ ##0.00;\-###\ ###\ ###\ ###\ ##0.00">
                  <c:v>3.6337666942257352</c:v>
                </c:pt>
                <c:pt idx="71" formatCode="###\ ###\ ###\ ###\ ##0.00;\-###\ ###\ ###\ ###\ ##0.00">
                  <c:v>3.5964323584064695</c:v>
                </c:pt>
              </c:numCache>
            </c:numRef>
          </c:val>
          <c:smooth val="0"/>
          <c:extLst>
            <c:ext xmlns:c16="http://schemas.microsoft.com/office/drawing/2014/chart" uri="{C3380CC4-5D6E-409C-BE32-E72D297353CC}">
              <c16:uniqueId val="{00000001-B06E-4CA5-9370-6FA959DA4710}"/>
            </c:ext>
          </c:extLst>
        </c:ser>
        <c:ser>
          <c:idx val="1"/>
          <c:order val="2"/>
          <c:tx>
            <c:strRef>
              <c:f>'Měnové podmínky 1'!$D$5</c:f>
              <c:strCache>
                <c:ptCount val="1"/>
                <c:pt idx="0">
                  <c:v>PRIBOR (3M)</c:v>
                </c:pt>
              </c:strCache>
            </c:strRef>
          </c:tx>
          <c:spPr>
            <a:ln w="19050">
              <a:solidFill>
                <a:srgbClr val="009CB5"/>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1'!$D$30:$D$101</c:f>
              <c:numCache>
                <c:formatCode>General</c:formatCode>
                <c:ptCount val="72"/>
                <c:pt idx="0">
                  <c:v>2.17</c:v>
                </c:pt>
                <c:pt idx="1">
                  <c:v>2.34</c:v>
                </c:pt>
                <c:pt idx="2">
                  <c:v>2</c:v>
                </c:pt>
                <c:pt idx="3">
                  <c:v>0.97</c:v>
                </c:pt>
                <c:pt idx="4">
                  <c:v>0.46</c:v>
                </c:pt>
                <c:pt idx="5">
                  <c:v>0.34</c:v>
                </c:pt>
                <c:pt idx="6">
                  <c:v>0.34</c:v>
                </c:pt>
                <c:pt idx="7">
                  <c:v>0.34</c:v>
                </c:pt>
                <c:pt idx="8">
                  <c:v>0.34</c:v>
                </c:pt>
                <c:pt idx="9">
                  <c:v>0.35</c:v>
                </c:pt>
                <c:pt idx="10">
                  <c:v>0.35</c:v>
                </c:pt>
                <c:pt idx="11">
                  <c:v>0.35</c:v>
                </c:pt>
                <c:pt idx="12">
                  <c:v>0.36</c:v>
                </c:pt>
                <c:pt idx="13">
                  <c:v>0.36</c:v>
                </c:pt>
                <c:pt idx="14">
                  <c:v>0.36</c:v>
                </c:pt>
                <c:pt idx="15">
                  <c:v>0.36</c:v>
                </c:pt>
                <c:pt idx="16">
                  <c:v>0.37</c:v>
                </c:pt>
                <c:pt idx="17">
                  <c:v>0.48</c:v>
                </c:pt>
                <c:pt idx="18">
                  <c:v>0.69</c:v>
                </c:pt>
                <c:pt idx="19">
                  <c:v>0.94</c:v>
                </c:pt>
                <c:pt idx="20">
                  <c:v>1.1100000000000001</c:v>
                </c:pt>
                <c:pt idx="21">
                  <c:v>2.02</c:v>
                </c:pt>
                <c:pt idx="22">
                  <c:v>2.97</c:v>
                </c:pt>
                <c:pt idx="23">
                  <c:v>3.5</c:v>
                </c:pt>
                <c:pt idx="24">
                  <c:v>4.21</c:v>
                </c:pt>
                <c:pt idx="25">
                  <c:v>4.6900000000000004</c:v>
                </c:pt>
                <c:pt idx="26">
                  <c:v>4.8600000000000003</c:v>
                </c:pt>
                <c:pt idx="27">
                  <c:v>5.36</c:v>
                </c:pt>
                <c:pt idx="28">
                  <c:v>5.97</c:v>
                </c:pt>
                <c:pt idx="29">
                  <c:v>6.64</c:v>
                </c:pt>
                <c:pt idx="30">
                  <c:v>7.3</c:v>
                </c:pt>
                <c:pt idx="31">
                  <c:v>7.27</c:v>
                </c:pt>
                <c:pt idx="32">
                  <c:v>7.25</c:v>
                </c:pt>
                <c:pt idx="33">
                  <c:v>7.28</c:v>
                </c:pt>
                <c:pt idx="34">
                  <c:v>7.27</c:v>
                </c:pt>
                <c:pt idx="35">
                  <c:v>7.26</c:v>
                </c:pt>
                <c:pt idx="36" formatCode="###\ ###\ ###\ ###\ ##0.00;\-###\ ###\ ###\ ###\ ##0.00">
                  <c:v>7.2161904761904765</c:v>
                </c:pt>
                <c:pt idx="37" formatCode="###\ ###\ ###\ ###\ ##0.00;\-###\ ###\ ###\ ###\ ##0.00">
                  <c:v>7.2010526315789471</c:v>
                </c:pt>
                <c:pt idx="38" formatCode="###\ ###\ ###\ ###\ ##0.00;\-###\ ###\ ###\ ###\ ##0.00">
                  <c:v>7.1931818181818183</c:v>
                </c:pt>
                <c:pt idx="39" formatCode="###\ ###\ ###\ ###\ ##0.00;\-###\ ###\ ###\ ###\ ##0.00">
                  <c:v>7.1788888888888893</c:v>
                </c:pt>
                <c:pt idx="40" formatCode="###\ ###\ ###\ ###\ ##0.00;\-###\ ###\ ###\ ###\ ##0.00">
                  <c:v>7.1790476190476191</c:v>
                </c:pt>
                <c:pt idx="41" formatCode="###\ ###\ ###\ ###\ ##0.00;\-###\ ###\ ###\ ###\ ##0.00">
                  <c:v>7.1472727272727274</c:v>
                </c:pt>
                <c:pt idx="42" formatCode="###\ ###\ ###\ ###\ ##0.00;\-###\ ###\ ###\ ###\ ##0.00">
                  <c:v>7.1121052631578952</c:v>
                </c:pt>
                <c:pt idx="43" formatCode="###\ ###\ ###\ ###\ ##0.00;\-###\ ###\ ###\ ###\ ##0.00">
                  <c:v>7.1030434782608696</c:v>
                </c:pt>
                <c:pt idx="44" formatCode="###\ ###\ ###\ ###\ ##0.00;\-###\ ###\ ###\ ###\ ##0.00">
                  <c:v>7.0895000000000001</c:v>
                </c:pt>
                <c:pt idx="45" formatCode="###\ ###\ ###\ ###\ ##0.00;\-###\ ###\ ###\ ###\ ##0.00">
                  <c:v>7.0472727272727269</c:v>
                </c:pt>
                <c:pt idx="46" formatCode="###\ ###\ ###\ ###\ ##0.00;\-###\ ###\ ###\ ###\ ##0.00">
                  <c:v>7.062380952380952</c:v>
                </c:pt>
                <c:pt idx="47" formatCode="###\ ###\ ###\ ###\ ##0.00;\-###\ ###\ ###\ ###\ ##0.00">
                  <c:v>6.9663157894736845</c:v>
                </c:pt>
                <c:pt idx="48" formatCode="###\ ###\ ###\ ###\ ##0.00;\-###\ ###\ ###\ ###\ ##0.00">
                  <c:v>6.6340909090909088</c:v>
                </c:pt>
                <c:pt idx="49" formatCode="###\ ###\ ###\ ###\ ##0.00;\-###\ ###\ ###\ ###\ ##0.00">
                  <c:v>6.2019047619047623</c:v>
                </c:pt>
                <c:pt idx="50" formatCode="###\ ###\ ###\ ###\ ##0.00;\-###\ ###\ ###\ ###\ ##0.00">
                  <c:v>5.8363157894736846</c:v>
                </c:pt>
                <c:pt idx="51" formatCode="###\ ###\ ###\ ###\ ##0.00;\-###\ ###\ ###\ ###\ ##0.00">
                  <c:v>5.5461904761904766</c:v>
                </c:pt>
                <c:pt idx="52" formatCode="###\ ###\ ###\ ###\ ##0.00;\-###\ ###\ ###\ ###\ ##0.00">
                  <c:v>5.1704761904761902</c:v>
                </c:pt>
                <c:pt idx="53" formatCode="###\ ###\ ###\ ###\ ##0.00;\-###\ ###\ ###\ ###\ ##0.00">
                  <c:v>5.0274999999999999</c:v>
                </c:pt>
                <c:pt idx="54" formatCode="###\ ###\ ###\ ###\ ##0.00;\-###\ ###\ ###\ ###\ ##0.00">
                  <c:v>4.6090909090909093</c:v>
                </c:pt>
                <c:pt idx="55" formatCode="###\ ###\ ###\ ###\ ##0.00;\-###\ ###\ ###\ ###\ ##0.00">
                  <c:v>4.4118181818181821</c:v>
                </c:pt>
                <c:pt idx="56" formatCode="###\ ###\ ###\ ###\ ##0.00;\-###\ ###\ ###\ ###\ ##0.00">
                  <c:v>4.3004761904761901</c:v>
                </c:pt>
                <c:pt idx="57" formatCode="###\ ###\ ###\ ###\ ##0.00;\-###\ ###\ ###\ ###\ ##0.00">
                  <c:v>4.1322727272727269</c:v>
                </c:pt>
                <c:pt idx="58" formatCode="###\ ###\ ###\ ###\ ##0.00;\-###\ ###\ ###\ ###\ ##0.00">
                  <c:v>3.9452380952380954</c:v>
                </c:pt>
                <c:pt idx="59" formatCode="###\ ###\ ###\ ###\ ##0.00;\-###\ ###\ ###\ ###\ ##0.00">
                  <c:v>3.9066666666666667</c:v>
                </c:pt>
                <c:pt idx="60" formatCode="###\ ###\ ###\ ###\ ##0.00;\-###\ ###\ ###\ ###\ ##0.00">
                  <c:v>3.8804545454545454</c:v>
                </c:pt>
                <c:pt idx="61" formatCode="###\ ###\ ###\ ###\ ##0.00;\-###\ ###\ ###\ ###\ ##0.00">
                  <c:v>3.756842105263158</c:v>
                </c:pt>
                <c:pt idx="62" formatCode="###\ ###\ ###\ ###\ ##0.00;\-###\ ###\ ###\ ###\ ##0.00">
                  <c:v>3.7164999999999999</c:v>
                </c:pt>
                <c:pt idx="63" formatCode="###\ ###\ ###\ ###\ ##0.00;\-###\ ###\ ###\ ###\ ##0.00">
                  <c:v>3.68</c:v>
                </c:pt>
                <c:pt idx="64" formatCode="###\ ###\ ###\ ###\ ##0.00;\-###\ ###\ ###\ ###\ ##0.00">
                  <c:v>3.5357894736842104</c:v>
                </c:pt>
                <c:pt idx="65" formatCode="###\ ###\ ###\ ###\ ##0.00;\-###\ ###\ ###\ ###\ ##0.00">
                  <c:v>3.5114999999999998</c:v>
                </c:pt>
                <c:pt idx="66" formatCode="###\ ###\ ###\ ###\ ##0.00;\-###\ ###\ ###\ ###\ ##0.00">
                  <c:v>3.4930434782608697</c:v>
                </c:pt>
                <c:pt idx="67" formatCode="###\ ###\ ###\ ###\ ##0.00;\-###\ ###\ ###\ ###\ ##0.00">
                  <c:v>3.5024999999999999</c:v>
                </c:pt>
                <c:pt idx="68" formatCode="###\ ###\ ###\ ###\ ##0.00;\-###\ ###\ ###\ ###\ ##0.00">
                  <c:v>3.4909523809523808</c:v>
                </c:pt>
                <c:pt idx="69" formatCode="###\ ###\ ###\ ###\ ##0.00;\-###\ ###\ ###\ ###\ ##0.00">
                  <c:v>3.5263636363636364</c:v>
                </c:pt>
                <c:pt idx="70" formatCode="###\ ###\ ###\ ###\ ##0.00;\-###\ ###\ ###\ ###\ ##0.00">
                  <c:v>3.5516666666666667</c:v>
                </c:pt>
                <c:pt idx="71" formatCode="###\ ###\ ###\ ###\ ##0.00;\-###\ ###\ ###\ ###\ ##0.00">
                  <c:v>3.54</c:v>
                </c:pt>
              </c:numCache>
            </c:numRef>
          </c:val>
          <c:smooth val="0"/>
          <c:extLst>
            <c:ext xmlns:c16="http://schemas.microsoft.com/office/drawing/2014/chart" uri="{C3380CC4-5D6E-409C-BE32-E72D297353CC}">
              <c16:uniqueId val="{00000002-B06E-4CA5-9370-6FA959DA4710}"/>
            </c:ext>
          </c:extLst>
        </c:ser>
        <c:ser>
          <c:idx val="4"/>
          <c:order val="3"/>
          <c:tx>
            <c:strRef>
              <c:f>'Měnové podmínky 1'!$G$5</c:f>
              <c:strCache>
                <c:ptCount val="1"/>
                <c:pt idx="0">
                  <c:v>Average yield of government bonds (5Y)</c:v>
                </c:pt>
              </c:strCache>
            </c:strRef>
          </c:tx>
          <c:spPr>
            <a:ln w="19050">
              <a:solidFill>
                <a:srgbClr val="CC961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1'!$G$30:$G$101</c:f>
              <c:numCache>
                <c:formatCode>General</c:formatCode>
                <c:ptCount val="72"/>
                <c:pt idx="0">
                  <c:v>1.51</c:v>
                </c:pt>
                <c:pt idx="1">
                  <c:v>1.52</c:v>
                </c:pt>
                <c:pt idx="2">
                  <c:v>1.23</c:v>
                </c:pt>
                <c:pt idx="3">
                  <c:v>1.06</c:v>
                </c:pt>
                <c:pt idx="4">
                  <c:v>0.56999999999999995</c:v>
                </c:pt>
                <c:pt idx="5">
                  <c:v>0.52</c:v>
                </c:pt>
                <c:pt idx="6">
                  <c:v>0.52</c:v>
                </c:pt>
                <c:pt idx="7">
                  <c:v>0.57999999999999996</c:v>
                </c:pt>
                <c:pt idx="8">
                  <c:v>0.57999999999999996</c:v>
                </c:pt>
                <c:pt idx="9">
                  <c:v>0.54</c:v>
                </c:pt>
                <c:pt idx="10">
                  <c:v>0.66</c:v>
                </c:pt>
                <c:pt idx="11">
                  <c:v>0.8</c:v>
                </c:pt>
                <c:pt idx="12">
                  <c:v>0.82</c:v>
                </c:pt>
                <c:pt idx="13">
                  <c:v>1.06</c:v>
                </c:pt>
                <c:pt idx="14">
                  <c:v>1.4</c:v>
                </c:pt>
                <c:pt idx="15">
                  <c:v>1.43</c:v>
                </c:pt>
                <c:pt idx="16">
                  <c:v>1.47</c:v>
                </c:pt>
                <c:pt idx="17">
                  <c:v>1.55</c:v>
                </c:pt>
                <c:pt idx="18">
                  <c:v>1.63</c:v>
                </c:pt>
                <c:pt idx="19">
                  <c:v>1.68</c:v>
                </c:pt>
                <c:pt idx="20">
                  <c:v>1.87</c:v>
                </c:pt>
                <c:pt idx="21">
                  <c:v>2.37</c:v>
                </c:pt>
                <c:pt idx="22">
                  <c:v>2.84</c:v>
                </c:pt>
                <c:pt idx="23">
                  <c:v>2.84</c:v>
                </c:pt>
                <c:pt idx="24">
                  <c:v>3.36</c:v>
                </c:pt>
                <c:pt idx="25">
                  <c:v>3.2</c:v>
                </c:pt>
                <c:pt idx="26">
                  <c:v>3.85</c:v>
                </c:pt>
                <c:pt idx="27">
                  <c:v>4.54</c:v>
                </c:pt>
                <c:pt idx="28">
                  <c:v>4.99</c:v>
                </c:pt>
                <c:pt idx="29">
                  <c:v>5.49</c:v>
                </c:pt>
                <c:pt idx="30">
                  <c:v>5.12</c:v>
                </c:pt>
                <c:pt idx="31">
                  <c:v>4.67</c:v>
                </c:pt>
                <c:pt idx="32">
                  <c:v>5.0599999999999996</c:v>
                </c:pt>
                <c:pt idx="33">
                  <c:v>5.69</c:v>
                </c:pt>
                <c:pt idx="34">
                  <c:v>5.31</c:v>
                </c:pt>
                <c:pt idx="35">
                  <c:v>4.9000000000000004</c:v>
                </c:pt>
                <c:pt idx="36" formatCode="###\ ###\ ###\ ###\ ##0.00;\-###\ ###\ ###\ ###\ ##0.00">
                  <c:v>4.7307064721228871</c:v>
                </c:pt>
                <c:pt idx="37" formatCode="###\ ###\ ###\ ###\ ##0.00;\-###\ ###\ ###\ ###\ ##0.00">
                  <c:v>4.869274267276765</c:v>
                </c:pt>
                <c:pt idx="38" formatCode="###\ ###\ ###\ ###\ ##0.00;\-###\ ###\ ###\ ###\ ##0.00">
                  <c:v>4.8901662581800389</c:v>
                </c:pt>
                <c:pt idx="39" formatCode="###\ ###\ ###\ ###\ ##0.00;\-###\ ###\ ###\ ###\ ##0.00">
                  <c:v>4.9165403661897455</c:v>
                </c:pt>
                <c:pt idx="40" formatCode="###\ ###\ ###\ ###\ ##0.00;\-###\ ###\ ###\ ###\ ##0.00">
                  <c:v>4.8278684891401031</c:v>
                </c:pt>
                <c:pt idx="41" formatCode="###\ ###\ ###\ ###\ ##0.00;\-###\ ###\ ###\ ###\ ##0.00">
                  <c:v>4.641252073600076</c:v>
                </c:pt>
                <c:pt idx="42" formatCode="###\ ###\ ###\ ###\ ##0.00;\-###\ ###\ ###\ ###\ ##0.00">
                  <c:v>4.3712476122939803</c:v>
                </c:pt>
                <c:pt idx="43" formatCode="###\ ###\ ###\ ###\ ##0.00;\-###\ ###\ ###\ ###\ ##0.00">
                  <c:v>4.4394883944569479</c:v>
                </c:pt>
                <c:pt idx="44" formatCode="###\ ###\ ###\ ###\ ##0.00;\-###\ ###\ ###\ ###\ ##0.00">
                  <c:v>4.5697569170379646</c:v>
                </c:pt>
                <c:pt idx="45" formatCode="###\ ###\ ###\ ###\ ##0.00;\-###\ ###\ ###\ ###\ ##0.00">
                  <c:v>4.6213398432367514</c:v>
                </c:pt>
                <c:pt idx="46" formatCode="###\ ###\ ###\ ###\ ##0.00;\-###\ ###\ ###\ ###\ ##0.00">
                  <c:v>4.3189525391351618</c:v>
                </c:pt>
                <c:pt idx="47" formatCode="###\ ###\ ###\ ###\ ##0.00;\-###\ ###\ ###\ ###\ ##0.00">
                  <c:v>3.9581509254616192</c:v>
                </c:pt>
                <c:pt idx="48" formatCode="###\ ###\ ###\ ###\ ##0.00;\-###\ ###\ ###\ ###\ ##0.00">
                  <c:v>3.7948081133062201</c:v>
                </c:pt>
                <c:pt idx="49" formatCode="###\ ###\ ###\ ###\ ##0.00;\-###\ ###\ ###\ ###\ ##0.00">
                  <c:v>3.5373832658022923</c:v>
                </c:pt>
                <c:pt idx="50" formatCode="###\ ###\ ###\ ###\ ##0.00;\-###\ ###\ ###\ ###\ ##0.00">
                  <c:v>3.5659496523361214</c:v>
                </c:pt>
                <c:pt idx="51" formatCode="###\ ###\ ###\ ###\ ##0.00;\-###\ ###\ ###\ ###\ ##0.00">
                  <c:v>4.0341267380705332</c:v>
                </c:pt>
                <c:pt idx="52" formatCode="###\ ###\ ###\ ###\ ##0.00;\-###\ ###\ ###\ ###\ ##0.00">
                  <c:v>4.0872759187026269</c:v>
                </c:pt>
                <c:pt idx="53" formatCode="###\ ###\ ###\ ###\ ##0.00;\-###\ ###\ ###\ ###\ ##0.00">
                  <c:v>4.1227102073974615</c:v>
                </c:pt>
                <c:pt idx="54" formatCode="###\ ###\ ###\ ###\ ##0.00;\-###\ ###\ ###\ ###\ ##0.00">
                  <c:v>3.7623325475565603</c:v>
                </c:pt>
                <c:pt idx="55" formatCode="###\ ###\ ###\ ###\ ##0.00;\-###\ ###\ ###\ ###\ ##0.00">
                  <c:v>3.5039129182503443</c:v>
                </c:pt>
                <c:pt idx="56" formatCode="###\ ###\ ###\ ###\ ##0.00;\-###\ ###\ ###\ ###\ ##0.00">
                  <c:v>3.4678035691094786</c:v>
                </c:pt>
                <c:pt idx="57" formatCode="###\ ###\ ###\ ###\ ##0.00;\-###\ ###\ ###\ ###\ ##0.00">
                  <c:v>3.6478032298510006</c:v>
                </c:pt>
                <c:pt idx="58" formatCode="###\ ###\ ###\ ###\ ##0.00;\-###\ ###\ ###\ ###\ ##0.00">
                  <c:v>3.6973093706088598</c:v>
                </c:pt>
                <c:pt idx="59" formatCode="###\ ###\ ###\ ###\ ##0.00;\-###\ ###\ ###\ ###\ ##0.00">
                  <c:v>3.7325675120007555</c:v>
                </c:pt>
                <c:pt idx="60" formatCode="###\ ###\ ###\ ###\ ##0.00;\-###\ ###\ ###\ ###\ ##0.00">
                  <c:v>3.7588141404146134</c:v>
                </c:pt>
                <c:pt idx="61" formatCode="###\ ###\ ###\ ###\ ##0.00;\-###\ ###\ ###\ ###\ ##0.00">
                  <c:v>3.6352823803920744</c:v>
                </c:pt>
                <c:pt idx="62" formatCode="###\ ###\ ###\ ###\ ##0.00;\-###\ ###\ ###\ ###\ ##0.00">
                  <c:v>3.7899252239626939</c:v>
                </c:pt>
                <c:pt idx="63" formatCode="###\ ###\ ###\ ###\ ##0.00;\-###\ ###\ ###\ ###\ ##0.00">
                  <c:v>3.6082305577112832</c:v>
                </c:pt>
                <c:pt idx="64" formatCode="###\ ###\ ###\ ###\ ##0.00;\-###\ ###\ ###\ ###\ ##0.00">
                  <c:v>3.6407699215316769</c:v>
                </c:pt>
                <c:pt idx="65" formatCode="###\ ###\ ###\ ###\ ##0.00;\-###\ ###\ ###\ ###\ ##0.00">
                  <c:v>3.7391957632436612</c:v>
                </c:pt>
                <c:pt idx="66" formatCode="###\ ###\ ###\ ###\ ##0.00;\-###\ ###\ ###\ ###\ ##0.00">
                  <c:v>3.8233096920115157</c:v>
                </c:pt>
                <c:pt idx="67" formatCode="###\ ###\ ###\ ###\ ##0.00;\-###\ ###\ ###\ ###\ ##0.00">
                  <c:v>3.8536075264749683</c:v>
                </c:pt>
                <c:pt idx="68" formatCode="###\ ###\ ###\ ###\ ##0.00;\-###\ ###\ ###\ ###\ ##0.00">
                  <c:v>3.9325922037802039</c:v>
                </c:pt>
                <c:pt idx="69" formatCode="###\ ###\ ###\ ###\ ##0.00;\-###\ ###\ ###\ ###\ ##0.00">
                  <c:v>3.9580321574258517</c:v>
                </c:pt>
                <c:pt idx="70" formatCode="###\ ###\ ###\ ###\ ##0.00;\-###\ ###\ ###\ ###\ ##0.00">
                  <c:v>4.0644120306794917</c:v>
                </c:pt>
                <c:pt idx="71" formatCode="###\ ###\ ###\ ###\ ##0.00;\-###\ ###\ ###\ ###\ ##0.00">
                  <c:v>4.1202900348510756</c:v>
                </c:pt>
              </c:numCache>
            </c:numRef>
          </c:val>
          <c:smooth val="0"/>
          <c:extLst>
            <c:ext xmlns:c16="http://schemas.microsoft.com/office/drawing/2014/chart" uri="{C3380CC4-5D6E-409C-BE32-E72D297353CC}">
              <c16:uniqueId val="{00000003-B06E-4CA5-9370-6FA959DA4710}"/>
            </c:ext>
          </c:extLst>
        </c:ser>
        <c:ser>
          <c:idx val="2"/>
          <c:order val="4"/>
          <c:tx>
            <c:strRef>
              <c:f>'Měnové podmínky 1'!$E$5</c:f>
              <c:strCache>
                <c:ptCount val="1"/>
                <c:pt idx="0">
                  <c:v>PRIBOR (1Y)</c:v>
                </c:pt>
              </c:strCache>
            </c:strRef>
          </c:tx>
          <c:spPr>
            <a:ln w="19050">
              <a:solidFill>
                <a:srgbClr val="BC5B8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1'!$E$30:$E$101</c:f>
              <c:numCache>
                <c:formatCode>General</c:formatCode>
                <c:ptCount val="72"/>
                <c:pt idx="0">
                  <c:v>2.27</c:v>
                </c:pt>
                <c:pt idx="1">
                  <c:v>2.42</c:v>
                </c:pt>
                <c:pt idx="2">
                  <c:v>2.0099999999999998</c:v>
                </c:pt>
                <c:pt idx="3">
                  <c:v>0.92</c:v>
                </c:pt>
                <c:pt idx="4">
                  <c:v>0.51</c:v>
                </c:pt>
                <c:pt idx="5">
                  <c:v>0.43</c:v>
                </c:pt>
                <c:pt idx="6">
                  <c:v>0.43</c:v>
                </c:pt>
                <c:pt idx="7">
                  <c:v>0.43</c:v>
                </c:pt>
                <c:pt idx="8">
                  <c:v>0.44</c:v>
                </c:pt>
                <c:pt idx="9">
                  <c:v>0.43</c:v>
                </c:pt>
                <c:pt idx="10">
                  <c:v>0.44</c:v>
                </c:pt>
                <c:pt idx="11">
                  <c:v>0.49</c:v>
                </c:pt>
                <c:pt idx="12">
                  <c:v>0.49</c:v>
                </c:pt>
                <c:pt idx="13">
                  <c:v>0.54</c:v>
                </c:pt>
                <c:pt idx="14">
                  <c:v>0.56000000000000005</c:v>
                </c:pt>
                <c:pt idx="15">
                  <c:v>0.56000000000000005</c:v>
                </c:pt>
                <c:pt idx="16">
                  <c:v>0.67</c:v>
                </c:pt>
                <c:pt idx="17">
                  <c:v>0.78</c:v>
                </c:pt>
                <c:pt idx="18">
                  <c:v>1</c:v>
                </c:pt>
                <c:pt idx="19">
                  <c:v>1.3</c:v>
                </c:pt>
                <c:pt idx="20">
                  <c:v>1.52</c:v>
                </c:pt>
                <c:pt idx="21">
                  <c:v>2.44</c:v>
                </c:pt>
                <c:pt idx="22">
                  <c:v>3.5</c:v>
                </c:pt>
                <c:pt idx="23">
                  <c:v>3.96</c:v>
                </c:pt>
                <c:pt idx="24">
                  <c:v>4.55</c:v>
                </c:pt>
                <c:pt idx="25">
                  <c:v>4.87</c:v>
                </c:pt>
                <c:pt idx="26">
                  <c:v>5.12</c:v>
                </c:pt>
                <c:pt idx="27">
                  <c:v>5.74</c:v>
                </c:pt>
                <c:pt idx="28">
                  <c:v>6.33</c:v>
                </c:pt>
                <c:pt idx="29">
                  <c:v>7.02</c:v>
                </c:pt>
                <c:pt idx="30">
                  <c:v>7.55</c:v>
                </c:pt>
                <c:pt idx="31">
                  <c:v>7.48</c:v>
                </c:pt>
                <c:pt idx="32">
                  <c:v>7.44</c:v>
                </c:pt>
                <c:pt idx="33">
                  <c:v>7.45</c:v>
                </c:pt>
                <c:pt idx="34">
                  <c:v>7.39</c:v>
                </c:pt>
                <c:pt idx="35">
                  <c:v>7.28</c:v>
                </c:pt>
                <c:pt idx="36" formatCode="###\ ###\ ###\ ###\ ##0.00;\-###\ ###\ ###\ ###\ ##0.00">
                  <c:v>7.2480952380952379</c:v>
                </c:pt>
                <c:pt idx="37" formatCode="###\ ###\ ###\ ###\ ##0.00;\-###\ ###\ ###\ ###\ ##0.00">
                  <c:v>7.2326315789473687</c:v>
                </c:pt>
                <c:pt idx="38" formatCode="###\ ###\ ###\ ###\ ##0.00;\-###\ ###\ ###\ ###\ ##0.00">
                  <c:v>7.2263636363636365</c:v>
                </c:pt>
                <c:pt idx="39" formatCode="###\ ###\ ###\ ###\ ##0.00;\-###\ ###\ ###\ ###\ ##0.00">
                  <c:v>7.2088888888888887</c:v>
                </c:pt>
                <c:pt idx="40" formatCode="###\ ###\ ###\ ###\ ##0.00;\-###\ ###\ ###\ ###\ ##0.00">
                  <c:v>7.196190476190476</c:v>
                </c:pt>
                <c:pt idx="41" formatCode="###\ ###\ ###\ ###\ ##0.00;\-###\ ###\ ###\ ###\ ##0.00">
                  <c:v>7.1377272727272727</c:v>
                </c:pt>
                <c:pt idx="42" formatCode="###\ ###\ ###\ ###\ ##0.00;\-###\ ###\ ###\ ###\ ##0.00">
                  <c:v>7.0289473684210524</c:v>
                </c:pt>
                <c:pt idx="43" formatCode="###\ ###\ ###\ ###\ ##0.00;\-###\ ###\ ###\ ###\ ##0.00">
                  <c:v>6.9473913043478257</c:v>
                </c:pt>
                <c:pt idx="44" formatCode="###\ ###\ ###\ ###\ ##0.00;\-###\ ###\ ###\ ###\ ##0.00">
                  <c:v>6.8470000000000004</c:v>
                </c:pt>
                <c:pt idx="45" formatCode="###\ ###\ ###\ ###\ ##0.00;\-###\ ###\ ###\ ###\ ##0.00">
                  <c:v>6.6090909090909093</c:v>
                </c:pt>
                <c:pt idx="46" formatCode="###\ ###\ ###\ ###\ ##0.00;\-###\ ###\ ###\ ###\ ##0.00">
                  <c:v>6.4771428571428569</c:v>
                </c:pt>
                <c:pt idx="47" formatCode="###\ ###\ ###\ ###\ ##0.00;\-###\ ###\ ###\ ###\ ##0.00">
                  <c:v>6.1873684210526312</c:v>
                </c:pt>
                <c:pt idx="48" formatCode="###\ ###\ ###\ ###\ ##0.00;\-###\ ###\ ###\ ###\ ##0.00">
                  <c:v>5.4690909090909088</c:v>
                </c:pt>
                <c:pt idx="49" formatCode="###\ ###\ ###\ ###\ ##0.00;\-###\ ###\ ###\ ###\ ##0.00">
                  <c:v>5.0338095238095235</c:v>
                </c:pt>
                <c:pt idx="50" formatCode="###\ ###\ ###\ ###\ ##0.00;\-###\ ###\ ###\ ###\ ##0.00">
                  <c:v>4.7994736842105263</c:v>
                </c:pt>
                <c:pt idx="51" formatCode="###\ ###\ ###\ ###\ ##0.00;\-###\ ###\ ###\ ###\ ##0.00">
                  <c:v>4.588571428571429</c:v>
                </c:pt>
                <c:pt idx="52" formatCode="###\ ###\ ###\ ###\ ##0.00;\-###\ ###\ ###\ ###\ ##0.00">
                  <c:v>4.6500000000000004</c:v>
                </c:pt>
                <c:pt idx="53" formatCode="###\ ###\ ###\ ###\ ##0.00;\-###\ ###\ ###\ ###\ ##0.00">
                  <c:v>4.5715000000000003</c:v>
                </c:pt>
                <c:pt idx="54" formatCode="###\ ###\ ###\ ###\ ##0.00;\-###\ ###\ ###\ ###\ ##0.00">
                  <c:v>4.2559090909090909</c:v>
                </c:pt>
                <c:pt idx="55" formatCode="###\ ###\ ###\ ###\ ##0.00;\-###\ ###\ ###\ ###\ ##0.00">
                  <c:v>3.8945454545454545</c:v>
                </c:pt>
                <c:pt idx="56" formatCode="###\ ###\ ###\ ###\ ##0.00;\-###\ ###\ ###\ ###\ ##0.00">
                  <c:v>3.7338095238095237</c:v>
                </c:pt>
                <c:pt idx="57" formatCode="###\ ###\ ###\ ###\ ##0.00;\-###\ ###\ ###\ ###\ ##0.00">
                  <c:v>3.6840909090909091</c:v>
                </c:pt>
                <c:pt idx="58" formatCode="###\ ###\ ###\ ###\ ##0.00;\-###\ ###\ ###\ ###\ ##0.00">
                  <c:v>3.6609523809523807</c:v>
                </c:pt>
                <c:pt idx="59" formatCode="###\ ###\ ###\ ###\ ##0.00;\-###\ ###\ ###\ ###\ ##0.00">
                  <c:v>3.6933333333333334</c:v>
                </c:pt>
                <c:pt idx="60" formatCode="###\ ###\ ###\ ###\ ##0.00;\-###\ ###\ ###\ ###\ ##0.00">
                  <c:v>3.6631818181818181</c:v>
                </c:pt>
                <c:pt idx="61" formatCode="###\ ###\ ###\ ###\ ##0.00;\-###\ ###\ ###\ ###\ ##0.00">
                  <c:v>3.5689473684210524</c:v>
                </c:pt>
                <c:pt idx="62" formatCode="###\ ###\ ###\ ###\ ##0.00;\-###\ ###\ ###\ ###\ ##0.00">
                  <c:v>3.5285000000000002</c:v>
                </c:pt>
                <c:pt idx="63" formatCode="###\ ###\ ###\ ###\ ##0.00;\-###\ ###\ ###\ ###\ ##0.00">
                  <c:v>3.443888888888889</c:v>
                </c:pt>
                <c:pt idx="64" formatCode="###\ ###\ ###\ ###\ ##0.00;\-###\ ###\ ###\ ###\ ##0.00">
                  <c:v>3.3726315789473684</c:v>
                </c:pt>
                <c:pt idx="65" formatCode="###\ ###\ ###\ ###\ ##0.00;\-###\ ###\ ###\ ###\ ##0.00">
                  <c:v>3.4104999999999999</c:v>
                </c:pt>
                <c:pt idx="66" formatCode="###\ ###\ ###\ ###\ ##0.00;\-###\ ###\ ###\ ###\ ##0.00">
                  <c:v>3.4582608695652173</c:v>
                </c:pt>
                <c:pt idx="67" formatCode="###\ ###\ ###\ ###\ ##0.00;\-###\ ###\ ###\ ###\ ##0.00">
                  <c:v>3.4815</c:v>
                </c:pt>
                <c:pt idx="68" formatCode="###\ ###\ ###\ ###\ ##0.00;\-###\ ###\ ###\ ###\ ##0.00">
                  <c:v>3.4776190476190476</c:v>
                </c:pt>
                <c:pt idx="69" formatCode="###\ ###\ ###\ ###\ ##0.00;\-###\ ###\ ###\ ###\ ##0.00">
                  <c:v>3.5395454545454546</c:v>
                </c:pt>
                <c:pt idx="70" formatCode="###\ ###\ ###\ ###\ ##0.00;\-###\ ###\ ###\ ###\ ##0.00">
                  <c:v>3.6111111111111112</c:v>
                </c:pt>
                <c:pt idx="71" formatCode="###\ ###\ ###\ ###\ ##0.00;\-###\ ###\ ###\ ###\ ##0.00">
                  <c:v>3.6016666666666666</c:v>
                </c:pt>
              </c:numCache>
            </c:numRef>
          </c:val>
          <c:smooth val="0"/>
          <c:extLst>
            <c:ext xmlns:c16="http://schemas.microsoft.com/office/drawing/2014/chart" uri="{C3380CC4-5D6E-409C-BE32-E72D297353CC}">
              <c16:uniqueId val="{00000004-B06E-4CA5-9370-6FA959DA4710}"/>
            </c:ext>
          </c:extLst>
        </c:ser>
        <c:ser>
          <c:idx val="5"/>
          <c:order val="5"/>
          <c:tx>
            <c:strRef>
              <c:f>'Měnové podmínky 1'!$H$5</c:f>
              <c:strCache>
                <c:ptCount val="1"/>
                <c:pt idx="0">
                  <c:v>Average yield of government bonds (10Y)</c:v>
                </c:pt>
              </c:strCache>
            </c:strRef>
          </c:tx>
          <c:spPr>
            <a:ln w="19050">
              <a:solidFill>
                <a:srgbClr val="174F70"/>
              </a:solidFill>
            </a:ln>
          </c:spPr>
          <c:marker>
            <c:symbol val="none"/>
          </c:marker>
          <c:cat>
            <c:multiLvlStrRef>
              <c:f>'Měnové podmínky 1'!$A$30:$B$101</c:f>
              <c:multiLvlStrCache>
                <c:ptCount val="72"/>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pt idx="66">
                    <c:v>7</c:v>
                  </c:pt>
                  <c:pt idx="67">
                    <c:v>8</c:v>
                  </c:pt>
                  <c:pt idx="68">
                    <c:v>9</c:v>
                  </c:pt>
                  <c:pt idx="69">
                    <c:v>10</c:v>
                  </c:pt>
                  <c:pt idx="70">
                    <c:v>11</c:v>
                  </c:pt>
                  <c:pt idx="71">
                    <c:v>12</c:v>
                  </c:pt>
                </c:lvl>
                <c:lvl>
                  <c:pt idx="0">
                    <c:v>2020</c:v>
                  </c:pt>
                  <c:pt idx="12">
                    <c:v>2021</c:v>
                  </c:pt>
                  <c:pt idx="24">
                    <c:v>2022</c:v>
                  </c:pt>
                  <c:pt idx="36">
                    <c:v>2023</c:v>
                  </c:pt>
                  <c:pt idx="48">
                    <c:v>2024</c:v>
                  </c:pt>
                  <c:pt idx="60">
                    <c:v>2025</c:v>
                  </c:pt>
                </c:lvl>
              </c:multiLvlStrCache>
            </c:multiLvlStrRef>
          </c:cat>
          <c:val>
            <c:numRef>
              <c:f>'Měnové podmínky 1'!$H$30:$H$101</c:f>
              <c:numCache>
                <c:formatCode>General</c:formatCode>
                <c:ptCount val="72"/>
                <c:pt idx="0">
                  <c:v>1.62</c:v>
                </c:pt>
                <c:pt idx="1">
                  <c:v>1.47</c:v>
                </c:pt>
                <c:pt idx="2">
                  <c:v>1.28</c:v>
                </c:pt>
                <c:pt idx="3">
                  <c:v>1.28</c:v>
                </c:pt>
                <c:pt idx="4">
                  <c:v>0.92</c:v>
                </c:pt>
                <c:pt idx="5">
                  <c:v>0.86</c:v>
                </c:pt>
                <c:pt idx="6">
                  <c:v>0.86</c:v>
                </c:pt>
                <c:pt idx="7">
                  <c:v>0.95</c:v>
                </c:pt>
                <c:pt idx="8">
                  <c:v>0.98</c:v>
                </c:pt>
                <c:pt idx="9">
                  <c:v>0.94</c:v>
                </c:pt>
                <c:pt idx="10">
                  <c:v>1.1200000000000001</c:v>
                </c:pt>
                <c:pt idx="11">
                  <c:v>1.26</c:v>
                </c:pt>
                <c:pt idx="12">
                  <c:v>1.28</c:v>
                </c:pt>
                <c:pt idx="13">
                  <c:v>1.49</c:v>
                </c:pt>
                <c:pt idx="14">
                  <c:v>1.87</c:v>
                </c:pt>
                <c:pt idx="15">
                  <c:v>1.86</c:v>
                </c:pt>
                <c:pt idx="16">
                  <c:v>1.74</c:v>
                </c:pt>
                <c:pt idx="17">
                  <c:v>1.67</c:v>
                </c:pt>
                <c:pt idx="18">
                  <c:v>1.72</c:v>
                </c:pt>
                <c:pt idx="19">
                  <c:v>1.74</c:v>
                </c:pt>
                <c:pt idx="20">
                  <c:v>1.9</c:v>
                </c:pt>
                <c:pt idx="21">
                  <c:v>2.34</c:v>
                </c:pt>
                <c:pt idx="22">
                  <c:v>2.62</c:v>
                </c:pt>
                <c:pt idx="23">
                  <c:v>2.62</c:v>
                </c:pt>
                <c:pt idx="24">
                  <c:v>3.12</c:v>
                </c:pt>
                <c:pt idx="25">
                  <c:v>3.03</c:v>
                </c:pt>
                <c:pt idx="26">
                  <c:v>3.53</c:v>
                </c:pt>
                <c:pt idx="27">
                  <c:v>4.01</c:v>
                </c:pt>
                <c:pt idx="28">
                  <c:v>4.6100000000000003</c:v>
                </c:pt>
                <c:pt idx="29">
                  <c:v>5.12</c:v>
                </c:pt>
                <c:pt idx="30">
                  <c:v>4.4000000000000004</c:v>
                </c:pt>
                <c:pt idx="31">
                  <c:v>4.1100000000000003</c:v>
                </c:pt>
                <c:pt idx="32">
                  <c:v>4.72</c:v>
                </c:pt>
                <c:pt idx="33">
                  <c:v>5.52</c:v>
                </c:pt>
                <c:pt idx="34">
                  <c:v>5.1100000000000003</c:v>
                </c:pt>
                <c:pt idx="35">
                  <c:v>4.71</c:v>
                </c:pt>
                <c:pt idx="36" formatCode="###\ ###\ ###\ ###\ ##0.00;\-###\ ###\ ###\ ###\ ##0.00">
                  <c:v>4.4683071740930735</c:v>
                </c:pt>
                <c:pt idx="37" formatCode="###\ ###\ ###\ ###\ ##0.00;\-###\ ###\ ###\ ###\ ##0.00">
                  <c:v>4.6124456250457779</c:v>
                </c:pt>
                <c:pt idx="38" formatCode="###\ ###\ ###\ ###\ ##0.00;\-###\ ###\ ###\ ###\ ##0.00">
                  <c:v>4.6664316498532505</c:v>
                </c:pt>
                <c:pt idx="39" formatCode="###\ ###\ ###\ ###\ ##0.00;\-###\ ###\ ###\ ###\ ##0.00">
                  <c:v>4.6464031535593682</c:v>
                </c:pt>
                <c:pt idx="40" formatCode="###\ ###\ ###\ ###\ ##0.00;\-###\ ###\ ###\ ###\ ##0.00">
                  <c:v>4.4999821517871696</c:v>
                </c:pt>
                <c:pt idx="41" formatCode="###\ ###\ ###\ ###\ ##0.00;\-###\ ###\ ###\ ###\ ##0.00">
                  <c:v>4.3475817201909166</c:v>
                </c:pt>
                <c:pt idx="42" formatCode="###\ ###\ ###\ ###\ ##0.00;\-###\ ###\ ###\ ###\ ##0.00">
                  <c:v>4.1488922058727873</c:v>
                </c:pt>
                <c:pt idx="43" formatCode="###\ ###\ ###\ ###\ ##0.00;\-###\ ###\ ###\ ###\ ##0.00">
                  <c:v>4.2612326220421171</c:v>
                </c:pt>
                <c:pt idx="44" formatCode="###\ ###\ ###\ ###\ ##0.00;\-###\ ###\ ###\ ###\ ##0.00">
                  <c:v>4.4941452526073471</c:v>
                </c:pt>
                <c:pt idx="45" formatCode="###\ ###\ ###\ ###\ ##0.00;\-###\ ###\ ###\ ###\ ##0.00">
                  <c:v>4.7196492538174732</c:v>
                </c:pt>
                <c:pt idx="46" formatCode="###\ ###\ ###\ ###\ ##0.00;\-###\ ###\ ###\ ###\ ##0.00">
                  <c:v>4.4238011822001155</c:v>
                </c:pt>
                <c:pt idx="47" formatCode="###\ ###\ ###\ ###\ ##0.00;\-###\ ###\ ###\ ###\ ##0.00">
                  <c:v>3.9723129766524465</c:v>
                </c:pt>
                <c:pt idx="48" formatCode="###\ ###\ ###\ ###\ ##0.00;\-###\ ###\ ###\ ###\ ##0.00">
                  <c:v>3.8808928950535173</c:v>
                </c:pt>
                <c:pt idx="49" formatCode="###\ ###\ ###\ ###\ ##0.00;\-###\ ###\ ###\ ###\ ##0.00">
                  <c:v>3.7595547903987336</c:v>
                </c:pt>
                <c:pt idx="50" formatCode="###\ ###\ ###\ ###\ ##0.00;\-###\ ###\ ###\ ###\ ##0.00">
                  <c:v>3.8237627295684833</c:v>
                </c:pt>
                <c:pt idx="51" formatCode="###\ ###\ ###\ ###\ ##0.00;\-###\ ###\ ###\ ###\ ##0.00">
                  <c:v>4.2047003389485704</c:v>
                </c:pt>
                <c:pt idx="52" formatCode="###\ ###\ ###\ ###\ ##0.00;\-###\ ###\ ###\ ###\ ##0.00">
                  <c:v>4.1563388742973695</c:v>
                </c:pt>
                <c:pt idx="53" formatCode="###\ ###\ ###\ ###\ ##0.00;\-###\ ###\ ###\ ###\ ##0.00">
                  <c:v>4.2111868231811522</c:v>
                </c:pt>
                <c:pt idx="54" formatCode="###\ ###\ ###\ ###\ ##0.00;\-###\ ###\ ###\ ###\ ##0.00">
                  <c:v>3.9530858135362124</c:v>
                </c:pt>
                <c:pt idx="55" formatCode="###\ ###\ ###\ ###\ ##0.00;\-###\ ###\ ###\ ###\ ##0.00">
                  <c:v>3.7819619047615758</c:v>
                </c:pt>
                <c:pt idx="56" formatCode="###\ ###\ ###\ ###\ ##0.00;\-###\ ###\ ###\ ###\ ##0.00">
                  <c:v>3.7680573318990085</c:v>
                </c:pt>
                <c:pt idx="57" formatCode="###\ ###\ ###\ ###\ ##0.00;\-###\ ###\ ###\ ###\ ##0.00">
                  <c:v>3.9822987021498251</c:v>
                </c:pt>
                <c:pt idx="58" formatCode="###\ ###\ ###\ ###\ ##0.00;\-###\ ###\ ###\ ###\ ##0.00">
                  <c:v>4.1040262289864691</c:v>
                </c:pt>
                <c:pt idx="59" formatCode="###\ ###\ ###\ ###\ ##0.00;\-###\ ###\ ###\ ###\ ##0.00">
                  <c:v>4.1331038326115088</c:v>
                </c:pt>
                <c:pt idx="60" formatCode="###\ ###\ ###\ ###\ ##0.00;\-###\ ###\ ###\ ###\ ##0.00">
                  <c:v>4.1959770746595213</c:v>
                </c:pt>
                <c:pt idx="61" formatCode="###\ ###\ ###\ ###\ ##0.00;\-###\ ###\ ###\ ###\ ##0.00">
                  <c:v>4.0620794011249552</c:v>
                </c:pt>
                <c:pt idx="62" formatCode="###\ ###\ ###\ ###\ ##0.00;\-###\ ###\ ###\ ###\ ##0.00">
                  <c:v>4.2638389418665579</c:v>
                </c:pt>
                <c:pt idx="63" formatCode="###\ ###\ ###\ ###\ ##0.00;\-###\ ###\ ###\ ###\ ##0.00">
                  <c:v>4.0853304136734021</c:v>
                </c:pt>
                <c:pt idx="64" formatCode="###\ ###\ ###\ ###\ ##0.00;\-###\ ###\ ###\ ###\ ##0.00">
                  <c:v>4.155816660709382</c:v>
                </c:pt>
                <c:pt idx="65" formatCode="###\ ###\ ###\ ###\ ##0.00;\-###\ ###\ ###\ ###\ ##0.00">
                  <c:v>4.2295835387251115</c:v>
                </c:pt>
                <c:pt idx="66" formatCode="###\ ###\ ###\ ###\ ##0.00;\-###\ ###\ ###\ ###\ ##0.00">
                  <c:v>4.3002231108402862</c:v>
                </c:pt>
                <c:pt idx="67" formatCode="###\ ###\ ###\ ###\ ##0.00;\-###\ ###\ ###\ ###\ ##0.00">
                  <c:v>4.3484906070168519</c:v>
                </c:pt>
                <c:pt idx="68" formatCode="###\ ###\ ###\ ###\ ##0.00;\-###\ ###\ ###\ ###\ ##0.00">
                  <c:v>4.423009514594388</c:v>
                </c:pt>
                <c:pt idx="69" formatCode="###\ ###\ ###\ ###\ ##0.00;\-###\ ###\ ###\ ###\ ##0.00">
                  <c:v>4.4581363099927049</c:v>
                </c:pt>
                <c:pt idx="70" formatCode="###\ ###\ ###\ ###\ ##0.00;\-###\ ###\ ###\ ###\ ##0.00">
                  <c:v>4.6089530587514247</c:v>
                </c:pt>
                <c:pt idx="71" formatCode="###\ ###\ ###\ ###\ ##0.00;\-###\ ###\ ###\ ###\ ##0.00">
                  <c:v>4.6478358968116371</c:v>
                </c:pt>
              </c:numCache>
            </c:numRef>
          </c:val>
          <c:smooth val="0"/>
          <c:extLst>
            <c:ext xmlns:c16="http://schemas.microsoft.com/office/drawing/2014/chart" uri="{C3380CC4-5D6E-409C-BE32-E72D297353CC}">
              <c16:uniqueId val="{00000005-B06E-4CA5-9370-6FA959DA4710}"/>
            </c:ext>
          </c:extLst>
        </c:ser>
        <c:dLbls>
          <c:showLegendKey val="0"/>
          <c:showVal val="0"/>
          <c:showCatName val="0"/>
          <c:showSerName val="0"/>
          <c:showPercent val="0"/>
          <c:showBubbleSize val="0"/>
        </c:dLbls>
        <c:marker val="1"/>
        <c:smooth val="0"/>
        <c:axId val="131001344"/>
        <c:axId val="131027712"/>
      </c:lineChart>
      <c:catAx>
        <c:axId val="131001344"/>
        <c:scaling>
          <c:orientation val="minMax"/>
        </c:scaling>
        <c:delete val="0"/>
        <c:axPos val="b"/>
        <c:numFmt formatCode="General" sourceLinked="0"/>
        <c:majorTickMark val="out"/>
        <c:minorTickMark val="none"/>
        <c:tickLblPos val="low"/>
        <c:spPr>
          <a:ln>
            <a:solidFill>
              <a:schemeClr val="tx1"/>
            </a:solidFill>
          </a:ln>
        </c:spPr>
        <c:crossAx val="131027712"/>
        <c:crosses val="autoZero"/>
        <c:auto val="1"/>
        <c:lblAlgn val="ctr"/>
        <c:lblOffset val="100"/>
        <c:noMultiLvlLbl val="0"/>
      </c:catAx>
      <c:valAx>
        <c:axId val="131027712"/>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1001344"/>
        <c:crosses val="autoZero"/>
        <c:crossBetween val="between"/>
        <c:majorUnit val="1"/>
      </c:valAx>
      <c:spPr>
        <a:ln>
          <a:solidFill>
            <a:schemeClr val="tx1"/>
          </a:solidFill>
        </a:ln>
      </c:spPr>
    </c:plotArea>
    <c:legend>
      <c:legendPos val="b"/>
      <c:layout>
        <c:manualLayout>
          <c:xMode val="edge"/>
          <c:yMode val="edge"/>
          <c:x val="4.2139690982776527E-2"/>
          <c:y val="0.85257215331305058"/>
          <c:w val="0.93886651469098281"/>
          <c:h val="0.13316764934584521"/>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83CEA5EB905EA4A80C471566B3EA34E" ma:contentTypeVersion="4" ma:contentTypeDescription="Vytvoří nový dokument" ma:contentTypeScope="" ma:versionID="665595f58a29ebd0fb50f52fd1a3fb16">
  <xsd:schema xmlns:xsd="http://www.w3.org/2001/XMLSchema" xmlns:xs="http://www.w3.org/2001/XMLSchema" xmlns:p="http://schemas.microsoft.com/office/2006/metadata/properties" xmlns:ns2="7af72279-59da-4f02-a702-8316938752d7" targetNamespace="http://schemas.microsoft.com/office/2006/metadata/properties" ma:root="true" ma:fieldsID="8b23c26673a00a9a43ab51476a2e445e" ns2:_="">
    <xsd:import namespace="7af72279-59da-4f02-a702-8316938752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2279-59da-4f02-a702-831693875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08513-78FC-4939-82F8-E0A4971F101B}">
  <ds:schemaRefs>
    <ds:schemaRef ds:uri="http://schemas.openxmlformats.org/officeDocument/2006/bibliography"/>
  </ds:schemaRefs>
</ds:datastoreItem>
</file>

<file path=customXml/itemProps2.xml><?xml version="1.0" encoding="utf-8"?>
<ds:datastoreItem xmlns:ds="http://schemas.openxmlformats.org/officeDocument/2006/customXml" ds:itemID="{BCCC6C72-FE0A-4006-8736-F1547CB67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2279-59da-4f02-a702-831693875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A8A1E1-1E99-4B4F-B9B5-70567730A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888</Words>
  <Characters>5246</Characters>
  <Application>Microsoft Office Word</Application>
  <DocSecurity>0</DocSecurity>
  <Lines>43</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CSU</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52</cp:revision>
  <cp:lastPrinted>2014-07-17T14:07:00Z</cp:lastPrinted>
  <dcterms:created xsi:type="dcterms:W3CDTF">2026-04-14T10:07:00Z</dcterms:created>
  <dcterms:modified xsi:type="dcterms:W3CDTF">2026-04-16T10:36:00Z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0x010100A83CEA5EB905EA4A80C471566B3EA34E</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SIP_Label_29db9e61-aac5-4f6e-805d-ceb8cb9983a1_Enabled">
    <vt:lpwstr>true</vt:lpwstr>
  </property>
  <property fmtid="{D5CDD505-2E9C-101B-9397-08002B2CF9AE}" pid="17" name="MSIP_Label_29db9e61-aac5-4f6e-805d-ceb8cb9983a1_SetDate">
    <vt:lpwstr>2026-03-20T16:21:23Z</vt:lpwstr>
  </property>
  <property fmtid="{D5CDD505-2E9C-101B-9397-08002B2CF9AE}" pid="18" name="MSIP_Label_29db9e61-aac5-4f6e-805d-ceb8cb9983a1_Method">
    <vt:lpwstr>Standard</vt:lpwstr>
  </property>
  <property fmtid="{D5CDD505-2E9C-101B-9397-08002B2CF9AE}" pid="19" name="MSIP_Label_29db9e61-aac5-4f6e-805d-ceb8cb9983a1_Name">
    <vt:lpwstr>UniCredit - Internal Use Only - no visual markings</vt:lpwstr>
  </property>
  <property fmtid="{D5CDD505-2E9C-101B-9397-08002B2CF9AE}" pid="20" name="MSIP_Label_29db9e61-aac5-4f6e-805d-ceb8cb9983a1_SiteId">
    <vt:lpwstr>2cc49ce9-66a1-41ac-a96b-bdc54247696a</vt:lpwstr>
  </property>
  <property fmtid="{D5CDD505-2E9C-101B-9397-08002B2CF9AE}" pid="21" name="MSIP_Label_29db9e61-aac5-4f6e-805d-ceb8cb9983a1_ActionId">
    <vt:lpwstr>0aa2fcd6-2b26-4770-b8b2-cc6b4d35ce54</vt:lpwstr>
  </property>
  <property fmtid="{D5CDD505-2E9C-101B-9397-08002B2CF9AE}" pid="22" name="MSIP_Label_29db9e61-aac5-4f6e-805d-ceb8cb9983a1_ContentBits">
    <vt:lpwstr>0</vt:lpwstr>
  </property>
  <property fmtid="{D5CDD505-2E9C-101B-9397-08002B2CF9AE}" pid="23" name="MSIP_Label_29db9e61-aac5-4f6e-805d-ceb8cb9983a1_Tag">
    <vt:lpwstr>10, 3, 0, 1</vt:lpwstr>
  </property>
</Properties>
</file>